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beforeLines="50" w:afterLines="50" w:line="360" w:lineRule="auto"/>
        <w:jc w:val="center"/>
        <w:rPr>
          <w:rFonts w:hint="eastAsia" w:ascii="仿宋_GB2312" w:hAnsi="微软雅黑" w:eastAsia="仿宋_GB2312"/>
          <w:sz w:val="44"/>
          <w:szCs w:val="44"/>
        </w:rPr>
      </w:pPr>
      <w:r>
        <w:rPr>
          <w:rFonts w:hint="eastAsia" w:ascii="仿宋_GB2312" w:hAnsi="微软雅黑" w:eastAsia="仿宋_GB2312"/>
          <w:sz w:val="44"/>
          <w:szCs w:val="44"/>
        </w:rPr>
        <w:t>乐山市中心城区</w:t>
      </w:r>
      <w:r>
        <w:rPr>
          <w:rFonts w:hint="eastAsia" w:ascii="仿宋_GB2312" w:hAnsi="微软雅黑" w:eastAsia="仿宋_GB2312"/>
          <w:sz w:val="44"/>
          <w:szCs w:val="44"/>
          <w:lang w:eastAsia="zh-CN"/>
        </w:rPr>
        <w:t>冠英</w:t>
      </w:r>
      <w:r>
        <w:rPr>
          <w:rFonts w:hint="eastAsia" w:ascii="仿宋_GB2312" w:hAnsi="微软雅黑" w:eastAsia="仿宋_GB2312"/>
          <w:sz w:val="44"/>
          <w:szCs w:val="44"/>
        </w:rPr>
        <w:t>片区控制性详细规划简要说明</w:t>
      </w:r>
      <w:bookmarkStart w:id="7" w:name="_GoBack"/>
      <w:bookmarkEnd w:id="7"/>
    </w:p>
    <w:p>
      <w:pPr>
        <w:widowControl/>
        <w:shd w:val="clear" w:color="auto" w:fill="FFFFFF"/>
        <w:spacing w:line="450" w:lineRule="atLeas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一、规划范围及规模</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乐山市中心城区冠英片区东临岷江，西靠乐宜高速公路，北接乐山高新区总部经济区，南连乐宜高速五通桥连接线，规划区面积32.16平方公里。其中建设用地面积14.21平方公里，规划范围区内总人口16.6万人。</w:t>
      </w:r>
    </w:p>
    <w:p>
      <w:pPr>
        <w:widowControl/>
        <w:shd w:val="clear" w:color="auto" w:fill="FFFFFF"/>
        <w:spacing w:line="450" w:lineRule="atLeast"/>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二、功能定位</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bookmarkStart w:id="0" w:name="_Toc358296559"/>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湿地新城示范区——特殊生态美学与城市栖居共融的湿地公园片区。</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诗意中央生活区——“文化+、服务+”的多元邻里新城。</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空港服务配套区——智慧、绿色低碳的空港配套片区。</w:t>
      </w:r>
    </w:p>
    <w:p>
      <w:pPr>
        <w:widowControl/>
        <w:shd w:val="clear" w:color="auto" w:fill="FFFFFF"/>
        <w:spacing w:line="450" w:lineRule="atLeast"/>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三、规划</w:t>
      </w:r>
      <w:bookmarkEnd w:id="0"/>
      <w:r>
        <w:rPr>
          <w:rFonts w:hint="eastAsia" w:ascii="仿宋_GB2312" w:hAnsi="Times New Roman" w:eastAsia="仿宋_GB2312" w:cs="Times New Roman"/>
          <w:b/>
          <w:bCs/>
          <w:sz w:val="32"/>
          <w:szCs w:val="32"/>
        </w:rPr>
        <w:t>策略</w:t>
      </w:r>
    </w:p>
    <w:p>
      <w:pPr>
        <w:widowControl/>
        <w:shd w:val="clear" w:color="auto" w:fill="FFFFFF"/>
        <w:spacing w:line="450" w:lineRule="atLeast"/>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限定容量、做优增量、提高质量，改善人居环境，提升城市发展持续性、宜居性。</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疏老城——逐步疏解老城区公共服务职能，整合区域医疗、康养、教育资源，调整中心聚焦向多元扩散转变。</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立新居——以宜居、宜业为导向，建立完善慢性系统，健全服务配套，营造生态邻里第一城。</w:t>
      </w:r>
    </w:p>
    <w:p>
      <w:pPr>
        <w:widowControl/>
        <w:shd w:val="clear" w:color="auto" w:fill="FFFFFF"/>
        <w:spacing w:line="450" w:lineRule="atLeas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促旅游——以湿地为特质，凸显核心功能空间，探索“城市—湿地”新途径</w:t>
      </w:r>
      <w:r>
        <w:rPr>
          <w:rFonts w:hint="eastAsia" w:ascii="仿宋_GB2312" w:hAnsi="Times New Roman" w:eastAsia="仿宋_GB2312" w:cs="Times New Roman"/>
          <w:sz w:val="32"/>
          <w:szCs w:val="32"/>
          <w:lang w:eastAsia="zh-CN"/>
        </w:rPr>
        <w:t>。</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谋发展——加速推进乐山南拓发展之路，树立城市未来风向标。</w:t>
      </w:r>
    </w:p>
    <w:p>
      <w:pPr>
        <w:widowControl/>
        <w:shd w:val="clear" w:color="auto" w:fill="FFFFFF"/>
        <w:spacing w:line="450" w:lineRule="atLeast"/>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四、总体结构</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规划以“中心引领、绿廊联网、组团布局”的布局理念，形成"一核、一园、三次、七组团"的空间结构。</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一核：在规划区中部布局为总部经济及空港经济配套服务的商圈核心。  </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一园：以岷江湿地与岷江湖构成的湿地公园。</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三次：即北部会展次中心、中部娱乐康体次中心及南部五通桥商业次中心。</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七组团：分别为远景备用发展组团、保税物流组团及5个邻里居住组团。</w:t>
      </w:r>
    </w:p>
    <w:p>
      <w:pPr>
        <w:widowControl/>
        <w:shd w:val="clear" w:color="auto" w:fill="FFFFFF"/>
        <w:spacing w:line="450" w:lineRule="atLeast"/>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五、道路交通</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（一）</w:t>
      </w:r>
      <w:r>
        <w:rPr>
          <w:rFonts w:hint="eastAsia" w:ascii="仿宋_GB2312" w:hAnsi="Times New Roman" w:eastAsia="仿宋_GB2312" w:cs="Times New Roman"/>
          <w:sz w:val="32"/>
          <w:szCs w:val="32"/>
        </w:rPr>
        <w:t>对外交通</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根据片区发展要求，规划将形成立体化、全方位、多层次的对外交通系统，以此整合铁路、高速公路等现有交通设施和优势条件，提升冠英片区对外交通能力。</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1、铁路</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规划区内连乐铁路位于规划区外北侧，另外成贵铁路由北至南贯穿片区西侧山体并设置有站点1处。规划顺应铁路线，城市道路以下穿方式解决道路与铁路的交叉，同时强化铁路两侧的防护绿地建设。</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2、高速公路</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规划区内高速公路主要有西侧乐宜高速和规划区北面乐自高速，在北部分别规划高速公路之间以及高速公路与城市道路之间立交节点，增加了规划区的对外交通联系，提升规划区对外交通通行能力。</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（二）</w:t>
      </w:r>
      <w:r>
        <w:rPr>
          <w:rFonts w:hint="eastAsia" w:ascii="仿宋_GB2312" w:hAnsi="Times New Roman" w:eastAsia="仿宋_GB2312" w:cs="Times New Roman"/>
          <w:sz w:val="32"/>
          <w:szCs w:val="32"/>
        </w:rPr>
        <w:t>内部交通</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bookmarkStart w:id="1" w:name="_Toc358296593"/>
      <w:bookmarkStart w:id="2" w:name="_Toc414632143"/>
      <w:bookmarkStart w:id="3" w:name="_Toc420499425"/>
      <w:r>
        <w:rPr>
          <w:rFonts w:hint="eastAsia" w:ascii="仿宋_GB2312" w:hAnsi="Times New Roman" w:eastAsia="仿宋_GB2312" w:cs="Times New Roman"/>
          <w:sz w:val="32"/>
          <w:szCs w:val="32"/>
        </w:rPr>
        <w:t>1、路网形式</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规划区路网采用方格网形式，间距均匀，联系方便。</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2、路网等级</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规划区内城市道路分为三级：主干路、次干路和支路。</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（1）主干路</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主要功能是集流，是交通主干网的主要部分，以机动车交通为主，主要承担片区之间的交通联系。规划形成“两纵五横”的主干道结构，红线宽度一般为40—60 米。其中生态大道规划红线宽度为60米，为兼顾景观和交通通达性，规划对生态大道进行两处下穿节点改造。</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（2）次干路</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主要功能是分流，与城市主干道网一起构成新城区的道路网骨架，兼有交通和生活双重功能。红线宽度为30 米。</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（3）支路</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主要承担区内的交通联系，满足各组团交通集散。红线宽度在30米以下。</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（4）其他交通设施</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规划公交首末站1处，客运站1处，社会停车场13处。停车场的建设方式应遵循分期建设，地下与地面结合，且在人流比较密集、商业比较集中的地方等设置立体停车场的原则，并且近期地面停车位不超过总量的50％，远期不超过30％。</w:t>
      </w:r>
      <w:bookmarkEnd w:id="1"/>
      <w:bookmarkEnd w:id="2"/>
      <w:bookmarkEnd w:id="3"/>
    </w:p>
    <w:p>
      <w:pPr>
        <w:widowControl/>
        <w:shd w:val="clear" w:color="auto" w:fill="FFFFFF"/>
        <w:spacing w:line="450" w:lineRule="atLeast"/>
        <w:ind w:firstLine="643" w:firstLineChars="200"/>
        <w:rPr>
          <w:rFonts w:hint="eastAsia" w:ascii="仿宋_GB2312" w:hAnsi="Times New Roman" w:eastAsia="仿宋_GB2312" w:cs="Times New Roman"/>
          <w:b/>
          <w:bCs/>
          <w:sz w:val="32"/>
          <w:szCs w:val="32"/>
        </w:rPr>
      </w:pPr>
      <w:bookmarkStart w:id="4" w:name="_Toc414632144"/>
      <w:bookmarkStart w:id="5" w:name="_Toc420499426"/>
      <w:bookmarkStart w:id="6" w:name="_Toc358296594"/>
      <w:r>
        <w:rPr>
          <w:rFonts w:hint="eastAsia" w:ascii="仿宋_GB2312" w:hAnsi="Times New Roman" w:eastAsia="仿宋_GB2312" w:cs="Times New Roman"/>
          <w:b/>
          <w:bCs/>
          <w:sz w:val="32"/>
          <w:szCs w:val="32"/>
        </w:rPr>
        <w:t>六、</w:t>
      </w:r>
      <w:bookmarkEnd w:id="4"/>
      <w:bookmarkEnd w:id="5"/>
      <w:bookmarkEnd w:id="6"/>
      <w:r>
        <w:rPr>
          <w:rFonts w:hint="eastAsia" w:ascii="仿宋_GB2312" w:hAnsi="Times New Roman" w:eastAsia="仿宋_GB2312" w:cs="Times New Roman"/>
          <w:b/>
          <w:bCs/>
          <w:sz w:val="32"/>
          <w:szCs w:val="32"/>
        </w:rPr>
        <w:t>综合管廊规划</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规划区内综合管廊布局主要为A型和C型。其中A型综合管廊主要考虑布置冠英片区的生态大道、“两横一纵”及景观大道，C型综合管廊布置在其余主次干道上。根据冠英片区实际情况，雨水、污水管网单独设置，不进入综合管廊。</w:t>
      </w:r>
    </w:p>
    <w:p>
      <w:pPr>
        <w:widowControl/>
        <w:shd w:val="clear" w:color="auto" w:fill="FFFFFF"/>
        <w:spacing w:line="450" w:lineRule="atLeast"/>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七、绿地系统规划</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（一）规划思路</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规划以西侧生态林地对城市建设区的渗透为机制，以横向绿色廊道串联西侧山体和东侧湿地公园，构建网络化的城市生态开敞空间布局。城市与湿地的呼应，形成冠英特有的空间格局，打造城市与自然共处的有机生命体。</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（二）规划布局</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规划形成“斑块+廊道+基底”的主要绿化生态格局。同时加强河道防护绿地、道路绿地及广场绿地建设。构建横向六条绿地主廊道,成为山—水—城的有机联系通廊。规划各类绿地181.8公顷，占城市建设用地的12.79%。</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1、公园绿地</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主要依托水景廊道建设大型带状公园，分别位于片区中部和南部。主要道路两侧预留15-30米带状公园绿地。城市公园绿地的建设规模及服务半径宜满足：小于10 公顷的公园，服务半径500—1000 米；10—50 公顷的公园，服务半径1000—2000 米；50 公顷以上的公园服务半径2000—3000 米。</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2、街头绿地</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结合公园、河流水系及其他公园绿地规划布置街头绿地，使居民出行在500 米半径内能见到绿地，以满足景观及人们生活的需要。在城市中心区、主干路交叉口、滨河区域等视觉敏感地区开辟小、多、均的街头绿地，丰富城市景观。</w:t>
      </w:r>
    </w:p>
    <w:p>
      <w:pPr>
        <w:widowControl/>
        <w:shd w:val="clear" w:color="auto" w:fill="FFFFFF"/>
        <w:spacing w:line="450" w:lineRule="atLeast"/>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八、海绵城市建设</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规划将城市与湿地公园协调统一，结合基础设施建设综合规划，运用海绵城市建设理论为支撑，充分发挥资源特质，从节水、供水、污水、雨水等方面统筹考虑。 </w:t>
      </w:r>
    </w:p>
    <w:p>
      <w:pPr>
        <w:widowControl/>
        <w:shd w:val="clear" w:color="auto" w:fill="FFFFFF"/>
        <w:spacing w:line="450" w:lineRule="atLeas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 xml:space="preserve">节水：绿色建筑的运用与节水器具的普及，生水回用，充分利用雨水 </w:t>
      </w:r>
      <w:r>
        <w:rPr>
          <w:rFonts w:hint="eastAsia" w:ascii="仿宋_GB2312" w:hAnsi="Times New Roman" w:eastAsia="仿宋_GB2312" w:cs="Times New Roman"/>
          <w:sz w:val="32"/>
          <w:szCs w:val="32"/>
          <w:lang w:eastAsia="zh-CN"/>
        </w:rPr>
        <w:t>。</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供水：合理选择产业门类，禁止开采地下水</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 xml:space="preserve"> </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污水：生活、生产的污水须经过污水处理厂处理后排放，建立生态污水处理设施。 </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雨水：设置雨水收集装置，结合绿色建筑屋顶，统一采集后循环利用。</w:t>
      </w:r>
    </w:p>
    <w:p>
      <w:pPr>
        <w:widowControl/>
        <w:shd w:val="clear" w:color="auto" w:fill="FFFFFF"/>
        <w:spacing w:line="450" w:lineRule="atLeast"/>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九、城市设计引导</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(一)城市设计目标</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充分利用自然元素和人文元素，塑造以行政文化、体育休闲、公共服务、生态宜居相融合的冠英新城，结合岷江湿地公园建设，构建新的山水对话关系。</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(二)城市设计体系及其元素</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基于规划区的用地、道路和河流形成的基本空间格局，结合开发强度分区，依据城市设计控制的目标导向，确定规划区的城市设计控制体系，包括节点、廊道、高度、界面等控制元素，形成“点-线-片-网”的城市设计结构。</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1、历史元素</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古窑文化凝聚的是古嘉州人民的智慧和历史，是对完美的无尽追求，也是契合新城“诗意智美”的落脚点。展示和传承着五通桥历史与文化古窑文化场馆建设势必成为支撑新区发展和前行的底蕴。 </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2、自然元素</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城市与湿地的呼应，形成冠英特有的空间格局，城市为湿地提供生机，湿地为城市带来氧气。规划依托西部湿地，形成生态公园，作为区域绿核。以地为基础，以水为源，保留生态自然的环境，为人们提供天然氧吧。</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(三)街区形态引导</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引导原则</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通过对街区形态的规划设计，达到通风、采光、散热的降低热岛效应的作用，在强度控制上，以TOD开发模式为原则，形成集约高效、簇群发展、疏密有致的强度分布，并重点对景观周边地区建筑形态进行引导。</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引导方式</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尺度超过100米的城市核心区和核心居住街区，主要道路宜与夏季主导风向平行或成30-60度夹角，地块长边宜与此方向平行，当街块面积超过2公顷时，建筑物之间应尽可能保持足够的距离，以促进建筑群内的空气流通及减低对周边通风环境的影响。</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街道两侧建筑高度与街道两侧建筑界面之间宽度比值不宜大于1.5，宜通过街墙建筑上部后退等方式促进空气流通，一般而言，建筑长度不宜超过80米，并设置沿街开敞空间。</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在城市核心区，建筑高度不宜过于平均，在街块内宜组织不同高度的建筑群体，利用高度轮廓带来的气压差异区引导气流。同时，建筑群体的高度轮廓须考虑周边街区乃至整个地区的景观衔接，形成起伏有致的城市轮廓。</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(四)、廊道控制</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景观周边地区与山水自然景观地区应建立能够体现景观风貌的特色空间，引导形成相对完整、连续的景观风貌界面，并构筑观景点与景观风貌节点之间的视线通廊，组织游憩路线及步行通道，提高景观周边地区的可视性和可达性。</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景观周边地区建筑布局宜开敞、通透，控制天际轮廓线，严格避免建造对景观遮挡严重的板式建筑，应提供在一定范围内连续通达的视线通廊，单个视线通廊的宽度不宜小于25米。</w:t>
      </w:r>
    </w:p>
    <w:p>
      <w:pPr>
        <w:widowControl/>
        <w:shd w:val="clear" w:color="auto" w:fill="FFFFFF"/>
        <w:spacing w:line="450" w:lineRule="atLeas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冠英片区景观廊道主要纵向两条景观廊道与横向六条生态廊道。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方正舒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55429"/>
    <w:multiLevelType w:val="multilevel"/>
    <w:tmpl w:val="5D055429"/>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pStyle w:val="3"/>
      <w:suff w:val="nothing"/>
      <w:lvlText w:val=""/>
      <w:lvlJc w:val="left"/>
      <w:pPr>
        <w:ind w:left="0" w:firstLine="0"/>
      </w:pPr>
    </w:lvl>
    <w:lvl w:ilvl="3" w:tentative="0">
      <w:start w:val="1"/>
      <w:numFmt w:val="none"/>
      <w:pStyle w:val="4"/>
      <w:suff w:val="nothing"/>
      <w:lvlText w:val=""/>
      <w:lvlJc w:val="left"/>
      <w:pPr>
        <w:ind w:left="0" w:firstLine="0"/>
      </w:pPr>
    </w:lvl>
    <w:lvl w:ilvl="4" w:tentative="0">
      <w:start w:val="1"/>
      <w:numFmt w:val="none"/>
      <w:pStyle w:val="5"/>
      <w:suff w:val="nothing"/>
      <w:lvlText w:val=""/>
      <w:lvlJc w:val="left"/>
      <w:pPr>
        <w:ind w:left="0" w:firstLine="0"/>
      </w:pPr>
    </w:lvl>
    <w:lvl w:ilvl="5" w:tentative="0">
      <w:start w:val="1"/>
      <w:numFmt w:val="none"/>
      <w:pStyle w:val="6"/>
      <w:suff w:val="nothing"/>
      <w:lvlText w:val=""/>
      <w:lvlJc w:val="left"/>
      <w:pPr>
        <w:ind w:left="0" w:firstLine="0"/>
      </w:pPr>
    </w:lvl>
    <w:lvl w:ilvl="6" w:tentative="0">
      <w:start w:val="1"/>
      <w:numFmt w:val="none"/>
      <w:pStyle w:val="7"/>
      <w:suff w:val="nothing"/>
      <w:lvlText w:val=""/>
      <w:lvlJc w:val="left"/>
      <w:pPr>
        <w:ind w:left="0" w:firstLine="0"/>
      </w:pPr>
    </w:lvl>
    <w:lvl w:ilvl="7" w:tentative="0">
      <w:start w:val="1"/>
      <w:numFmt w:val="none"/>
      <w:pStyle w:val="8"/>
      <w:suff w:val="nothing"/>
      <w:lvlText w:val=""/>
      <w:lvlJc w:val="left"/>
      <w:pPr>
        <w:ind w:left="0" w:firstLine="0"/>
      </w:pPr>
    </w:lvl>
    <w:lvl w:ilvl="8" w:tentative="0">
      <w:start w:val="1"/>
      <w:numFmt w:val="none"/>
      <w:pStyle w:val="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0F9"/>
    <w:rsid w:val="00003581"/>
    <w:rsid w:val="00012EE4"/>
    <w:rsid w:val="00014309"/>
    <w:rsid w:val="0001606D"/>
    <w:rsid w:val="00026DD6"/>
    <w:rsid w:val="000B0794"/>
    <w:rsid w:val="001178B9"/>
    <w:rsid w:val="0013218E"/>
    <w:rsid w:val="0018101E"/>
    <w:rsid w:val="001B69E6"/>
    <w:rsid w:val="00235147"/>
    <w:rsid w:val="002764FA"/>
    <w:rsid w:val="002833EC"/>
    <w:rsid w:val="002B26F2"/>
    <w:rsid w:val="002F71D6"/>
    <w:rsid w:val="00361DCE"/>
    <w:rsid w:val="00395507"/>
    <w:rsid w:val="00400238"/>
    <w:rsid w:val="00485647"/>
    <w:rsid w:val="00487D21"/>
    <w:rsid w:val="0052677A"/>
    <w:rsid w:val="005650F9"/>
    <w:rsid w:val="005848B6"/>
    <w:rsid w:val="00641FD1"/>
    <w:rsid w:val="0067328F"/>
    <w:rsid w:val="006A570F"/>
    <w:rsid w:val="006B6526"/>
    <w:rsid w:val="007B39AE"/>
    <w:rsid w:val="008D7262"/>
    <w:rsid w:val="009C5DC6"/>
    <w:rsid w:val="00A513A0"/>
    <w:rsid w:val="00A51542"/>
    <w:rsid w:val="00AE28A1"/>
    <w:rsid w:val="00BA65C7"/>
    <w:rsid w:val="00BE136A"/>
    <w:rsid w:val="00C20C4A"/>
    <w:rsid w:val="00C52228"/>
    <w:rsid w:val="00C716A8"/>
    <w:rsid w:val="00C97B43"/>
    <w:rsid w:val="00D42883"/>
    <w:rsid w:val="00D56476"/>
    <w:rsid w:val="00E55A4D"/>
    <w:rsid w:val="00E55BB0"/>
    <w:rsid w:val="00F004B8"/>
    <w:rsid w:val="00FD54FD"/>
    <w:rsid w:val="25697B4E"/>
    <w:rsid w:val="69E045A1"/>
    <w:rsid w:val="6FCD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5"/>
    <w:qFormat/>
    <w:uiPriority w:val="9"/>
    <w:pPr>
      <w:keepNext/>
      <w:keepLines/>
      <w:spacing w:before="260" w:after="260" w:line="416" w:lineRule="auto"/>
      <w:outlineLvl w:val="1"/>
    </w:pPr>
    <w:rPr>
      <w:rFonts w:ascii="Arial" w:hAnsi="Arial" w:eastAsia="黑体" w:cs="Times New Roman"/>
      <w:b/>
      <w:bCs/>
      <w:sz w:val="32"/>
      <w:szCs w:val="32"/>
    </w:rPr>
  </w:style>
  <w:style w:type="paragraph" w:styleId="3">
    <w:name w:val="heading 3"/>
    <w:basedOn w:val="1"/>
    <w:next w:val="1"/>
    <w:link w:val="24"/>
    <w:qFormat/>
    <w:uiPriority w:val="99"/>
    <w:pPr>
      <w:keepNext/>
      <w:keepLines/>
      <w:numPr>
        <w:ilvl w:val="2"/>
        <w:numId w:val="1"/>
      </w:numPr>
      <w:spacing w:before="260" w:after="260" w:line="416" w:lineRule="auto"/>
      <w:outlineLvl w:val="2"/>
    </w:pPr>
    <w:rPr>
      <w:rFonts w:ascii="Times New Roman" w:hAnsi="Times New Roman" w:eastAsia="宋体" w:cs="Times New Roman"/>
      <w:b/>
      <w:bCs/>
      <w:sz w:val="32"/>
      <w:szCs w:val="32"/>
    </w:rPr>
  </w:style>
  <w:style w:type="paragraph" w:styleId="4">
    <w:name w:val="heading 4"/>
    <w:basedOn w:val="1"/>
    <w:next w:val="1"/>
    <w:link w:val="18"/>
    <w:qFormat/>
    <w:uiPriority w:val="9"/>
    <w:pPr>
      <w:keepNext/>
      <w:keepLines/>
      <w:numPr>
        <w:ilvl w:val="3"/>
        <w:numId w:val="1"/>
      </w:numPr>
      <w:spacing w:before="280" w:after="290" w:line="376" w:lineRule="auto"/>
      <w:outlineLvl w:val="3"/>
    </w:pPr>
    <w:rPr>
      <w:rFonts w:ascii="Cambria" w:hAnsi="Cambria" w:eastAsia="宋体" w:cs="Times New Roman"/>
      <w:b/>
      <w:bCs/>
      <w:sz w:val="28"/>
      <w:szCs w:val="28"/>
    </w:rPr>
  </w:style>
  <w:style w:type="paragraph" w:styleId="5">
    <w:name w:val="heading 5"/>
    <w:basedOn w:val="1"/>
    <w:next w:val="1"/>
    <w:link w:val="19"/>
    <w:qFormat/>
    <w:uiPriority w:val="9"/>
    <w:pPr>
      <w:keepNext/>
      <w:keepLines/>
      <w:numPr>
        <w:ilvl w:val="4"/>
        <w:numId w:val="1"/>
      </w:numPr>
      <w:spacing w:before="280" w:after="290" w:line="376" w:lineRule="auto"/>
      <w:outlineLvl w:val="4"/>
    </w:pPr>
    <w:rPr>
      <w:rFonts w:ascii="Times New Roman" w:hAnsi="Times New Roman" w:eastAsia="宋体" w:cs="Times New Roman"/>
      <w:b/>
      <w:bCs/>
      <w:sz w:val="28"/>
      <w:szCs w:val="28"/>
    </w:rPr>
  </w:style>
  <w:style w:type="paragraph" w:styleId="6">
    <w:name w:val="heading 6"/>
    <w:basedOn w:val="1"/>
    <w:next w:val="1"/>
    <w:link w:val="20"/>
    <w:qFormat/>
    <w:uiPriority w:val="9"/>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7">
    <w:name w:val="heading 7"/>
    <w:basedOn w:val="1"/>
    <w:next w:val="1"/>
    <w:link w:val="21"/>
    <w:qFormat/>
    <w:uiPriority w:val="9"/>
    <w:pPr>
      <w:keepNext/>
      <w:keepLines/>
      <w:numPr>
        <w:ilvl w:val="6"/>
        <w:numId w:val="1"/>
      </w:numPr>
      <w:spacing w:before="240" w:after="64" w:line="320" w:lineRule="auto"/>
      <w:outlineLvl w:val="6"/>
    </w:pPr>
    <w:rPr>
      <w:rFonts w:ascii="Times New Roman" w:hAnsi="Times New Roman" w:eastAsia="宋体" w:cs="Times New Roman"/>
      <w:b/>
      <w:bCs/>
      <w:sz w:val="24"/>
      <w:szCs w:val="24"/>
    </w:rPr>
  </w:style>
  <w:style w:type="paragraph" w:styleId="8">
    <w:name w:val="heading 8"/>
    <w:basedOn w:val="1"/>
    <w:next w:val="1"/>
    <w:link w:val="22"/>
    <w:qFormat/>
    <w:uiPriority w:val="9"/>
    <w:pPr>
      <w:keepNext/>
      <w:keepLines/>
      <w:numPr>
        <w:ilvl w:val="7"/>
        <w:numId w:val="1"/>
      </w:numPr>
      <w:spacing w:before="240" w:after="64" w:line="320" w:lineRule="auto"/>
      <w:outlineLvl w:val="7"/>
    </w:pPr>
    <w:rPr>
      <w:rFonts w:ascii="Cambria" w:hAnsi="Cambria" w:eastAsia="宋体" w:cs="Times New Roman"/>
      <w:sz w:val="24"/>
      <w:szCs w:val="24"/>
    </w:rPr>
  </w:style>
  <w:style w:type="paragraph" w:styleId="9">
    <w:name w:val="heading 9"/>
    <w:basedOn w:val="1"/>
    <w:next w:val="1"/>
    <w:link w:val="23"/>
    <w:qFormat/>
    <w:uiPriority w:val="9"/>
    <w:pPr>
      <w:keepNext/>
      <w:keepLines/>
      <w:numPr>
        <w:ilvl w:val="8"/>
        <w:numId w:val="1"/>
      </w:numPr>
      <w:spacing w:before="240" w:after="64" w:line="320" w:lineRule="auto"/>
      <w:outlineLvl w:val="8"/>
    </w:pPr>
    <w:rPr>
      <w:rFonts w:ascii="Cambria" w:hAnsi="Cambria" w:eastAsia="宋体" w:cs="Times New Roman"/>
      <w:szCs w:val="21"/>
    </w:rPr>
  </w:style>
  <w:style w:type="character" w:default="1" w:styleId="13">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10">
    <w:name w:val="footer"/>
    <w:basedOn w:val="1"/>
    <w:link w:val="16"/>
    <w:semiHidden/>
    <w:unhideWhenUsed/>
    <w:uiPriority w:val="99"/>
    <w:pPr>
      <w:tabs>
        <w:tab w:val="center" w:pos="4153"/>
        <w:tab w:val="right" w:pos="8306"/>
      </w:tabs>
      <w:snapToGrid w:val="0"/>
      <w:jc w:val="left"/>
    </w:pPr>
    <w:rPr>
      <w:sz w:val="18"/>
      <w:szCs w:val="18"/>
    </w:rPr>
  </w:style>
  <w:style w:type="paragraph" w:styleId="11">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5">
    <w:name w:val="页眉 Char"/>
    <w:basedOn w:val="13"/>
    <w:link w:val="11"/>
    <w:semiHidden/>
    <w:uiPriority w:val="99"/>
    <w:rPr>
      <w:sz w:val="18"/>
      <w:szCs w:val="18"/>
    </w:rPr>
  </w:style>
  <w:style w:type="character" w:customStyle="1" w:styleId="16">
    <w:name w:val="页脚 Char"/>
    <w:basedOn w:val="13"/>
    <w:link w:val="10"/>
    <w:semiHidden/>
    <w:uiPriority w:val="99"/>
    <w:rPr>
      <w:sz w:val="18"/>
      <w:szCs w:val="18"/>
    </w:rPr>
  </w:style>
  <w:style w:type="character" w:customStyle="1" w:styleId="17">
    <w:name w:val="标题 3 Char"/>
    <w:basedOn w:val="13"/>
    <w:link w:val="3"/>
    <w:semiHidden/>
    <w:uiPriority w:val="9"/>
    <w:rPr>
      <w:b/>
      <w:bCs/>
      <w:sz w:val="32"/>
      <w:szCs w:val="32"/>
    </w:rPr>
  </w:style>
  <w:style w:type="character" w:customStyle="1" w:styleId="18">
    <w:name w:val="标题 4 Char"/>
    <w:basedOn w:val="13"/>
    <w:link w:val="4"/>
    <w:uiPriority w:val="9"/>
    <w:rPr>
      <w:rFonts w:ascii="Cambria" w:hAnsi="Cambria" w:eastAsia="宋体" w:cs="Times New Roman"/>
      <w:b/>
      <w:bCs/>
      <w:sz w:val="28"/>
      <w:szCs w:val="28"/>
    </w:rPr>
  </w:style>
  <w:style w:type="character" w:customStyle="1" w:styleId="19">
    <w:name w:val="标题 5 Char"/>
    <w:basedOn w:val="13"/>
    <w:link w:val="5"/>
    <w:uiPriority w:val="9"/>
    <w:rPr>
      <w:rFonts w:ascii="Times New Roman" w:hAnsi="Times New Roman" w:eastAsia="宋体" w:cs="Times New Roman"/>
      <w:b/>
      <w:bCs/>
      <w:sz w:val="28"/>
      <w:szCs w:val="28"/>
    </w:rPr>
  </w:style>
  <w:style w:type="character" w:customStyle="1" w:styleId="20">
    <w:name w:val="标题 6 Char"/>
    <w:basedOn w:val="13"/>
    <w:link w:val="6"/>
    <w:uiPriority w:val="9"/>
    <w:rPr>
      <w:rFonts w:ascii="Cambria" w:hAnsi="Cambria" w:eastAsia="宋体" w:cs="Times New Roman"/>
      <w:b/>
      <w:bCs/>
      <w:sz w:val="24"/>
      <w:szCs w:val="24"/>
    </w:rPr>
  </w:style>
  <w:style w:type="character" w:customStyle="1" w:styleId="21">
    <w:name w:val="标题 7 Char"/>
    <w:basedOn w:val="13"/>
    <w:link w:val="7"/>
    <w:uiPriority w:val="9"/>
    <w:rPr>
      <w:rFonts w:ascii="Times New Roman" w:hAnsi="Times New Roman" w:eastAsia="宋体" w:cs="Times New Roman"/>
      <w:b/>
      <w:bCs/>
      <w:sz w:val="24"/>
      <w:szCs w:val="24"/>
    </w:rPr>
  </w:style>
  <w:style w:type="character" w:customStyle="1" w:styleId="22">
    <w:name w:val="标题 8 Char"/>
    <w:basedOn w:val="13"/>
    <w:link w:val="8"/>
    <w:uiPriority w:val="9"/>
    <w:rPr>
      <w:rFonts w:ascii="Cambria" w:hAnsi="Cambria" w:eastAsia="宋体" w:cs="Times New Roman"/>
      <w:sz w:val="24"/>
      <w:szCs w:val="24"/>
    </w:rPr>
  </w:style>
  <w:style w:type="character" w:customStyle="1" w:styleId="23">
    <w:name w:val="标题 9 Char"/>
    <w:basedOn w:val="13"/>
    <w:link w:val="9"/>
    <w:qFormat/>
    <w:uiPriority w:val="9"/>
    <w:rPr>
      <w:rFonts w:ascii="Cambria" w:hAnsi="Cambria" w:eastAsia="宋体" w:cs="Times New Roman"/>
      <w:szCs w:val="21"/>
    </w:rPr>
  </w:style>
  <w:style w:type="character" w:customStyle="1" w:styleId="24">
    <w:name w:val="标题 3 Char1"/>
    <w:basedOn w:val="13"/>
    <w:link w:val="3"/>
    <w:locked/>
    <w:uiPriority w:val="99"/>
    <w:rPr>
      <w:rFonts w:ascii="Times New Roman" w:hAnsi="Times New Roman" w:eastAsia="宋体" w:cs="Times New Roman"/>
      <w:b/>
      <w:bCs/>
      <w:sz w:val="32"/>
      <w:szCs w:val="32"/>
    </w:rPr>
  </w:style>
  <w:style w:type="character" w:customStyle="1" w:styleId="25">
    <w:name w:val="标题 2 Char"/>
    <w:basedOn w:val="13"/>
    <w:link w:val="2"/>
    <w:uiPriority w:val="99"/>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39519-9BA5-4709-AB67-4E8A7F4927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474</Words>
  <Characters>2703</Characters>
  <Lines>22</Lines>
  <Paragraphs>6</Paragraphs>
  <TotalTime>0</TotalTime>
  <ScaleCrop>false</ScaleCrop>
  <LinksUpToDate>false</LinksUpToDate>
  <CharactersWithSpaces>3171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2018-10-30T04:03:00Z</dcterms:created>
  <dc:creator>微软用户</dc:creator>
  <cp:lastModifiedBy>Administrator</cp:lastModifiedBy>
  <dcterms:modified xsi:type="dcterms:W3CDTF">2018-11-01T02:24:41Z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2052-10.1.0.7521</vt:lpwstr>
  </property>
</Properties>
</file>