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乐山市苏稽发展建设管理委员会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比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价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文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件</w:t>
      </w:r>
    </w:p>
    <w:p>
      <w:pPr>
        <w:pStyle w:val="5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440" w:lineRule="atLeast"/>
        <w:ind w:left="1800" w:leftChars="0" w:right="0" w:rightChars="0" w:hanging="1800" w:hangingChars="5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highlight w:val="none"/>
          <w:u w:val="single"/>
          <w:lang w:eastAsia="zh-CN"/>
        </w:rPr>
        <w:t>乐山市苏稽片区城市公园生态修复及配套设施建设项目-弘毅公园“多测合一”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highlight w:val="none"/>
          <w:u w:val="single"/>
          <w:lang w:val="en-US" w:eastAsia="zh-CN"/>
        </w:rPr>
        <w:t>测绘</w:t>
      </w:r>
    </w:p>
    <w:p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highlight w:val="none"/>
        </w:rPr>
        <w:t>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highlight w:val="none"/>
        </w:rPr>
        <w:t>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highlight w:val="none"/>
        </w:rPr>
        <w:t>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highlight w:val="none"/>
          <w:u w:val="single"/>
          <w:lang w:eastAsia="zh-CN"/>
        </w:rPr>
        <w:t>乐山市苏稽发展建设管理委员会</w:t>
      </w:r>
    </w:p>
    <w:p>
      <w:pPr>
        <w:pStyle w:val="5"/>
        <w:rPr>
          <w:rFonts w:hint="eastAsia" w:hAnsi="宋体" w:eastAsia="宋体" w:cs="宋体"/>
          <w:b/>
          <w:color w:val="auto"/>
          <w:sz w:val="32"/>
          <w:szCs w:val="32"/>
          <w:highlight w:val="none"/>
          <w:u w:val="single"/>
          <w:lang w:eastAsia="zh-CN"/>
        </w:rPr>
      </w:pPr>
    </w:p>
    <w:p>
      <w:pPr>
        <w:jc w:val="center"/>
        <w:rPr>
          <w:rFonts w:hint="eastAsia" w:hAnsi="宋体" w:cs="宋体"/>
          <w:b/>
          <w:color w:val="auto"/>
          <w:sz w:val="32"/>
          <w:szCs w:val="32"/>
          <w:highlight w:val="none"/>
          <w:u w:val="single"/>
          <w:lang w:eastAsia="zh-CN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目录</w:t>
      </w:r>
    </w:p>
    <w:p>
      <w:pPr>
        <w:pStyle w:val="2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1062697413_WPSOffice_Type1"/>
      <w:bookmarkStart w:id="1" w:name="_Toc13214"/>
      <w:bookmarkStart w:id="2" w:name="_Toc9487"/>
    </w:p>
    <w:p>
      <w:pPr>
        <w:pStyle w:val="2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_Toc365155318_WPSOffice_Level1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第一章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比价公告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_Toc1697832711_WPSOffice_Level1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第二章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比价</w:t>
      </w:r>
      <w:r>
        <w:rPr>
          <w:rFonts w:hint="eastAsia" w:ascii="仿宋_GB2312" w:hAnsi="仿宋_GB2312" w:eastAsia="仿宋_GB2312" w:cs="仿宋_GB2312"/>
          <w:sz w:val="32"/>
          <w:szCs w:val="32"/>
        </w:rPr>
        <w:t>须知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_Toc1352271040_WPSOffice_Level1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第三章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比价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程序和成交标准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2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_Toc2028396133_WPSOffice_Level1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第四章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比价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响应文件格式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Style w:val="16"/>
          <w:rFonts w:hint="eastAsia"/>
        </w:rPr>
        <w:sectPr>
          <w:footerReference r:id="rId3" w:type="default"/>
          <w:pgSz w:w="11906" w:h="16838"/>
          <w:pgMar w:top="2098" w:right="1474" w:bottom="1984" w:left="1587" w:header="720" w:footer="720" w:gutter="0"/>
          <w:pgNumType w:fmt="decimal" w:start="1"/>
          <w:cols w:space="720" w:num="1"/>
          <w:docGrid w:type="lines" w:linePitch="312" w:charSpace="0"/>
        </w:sectPr>
      </w:pPr>
      <w:bookmarkStart w:id="3" w:name="_Toc2073651234_WPSOffice_Level1"/>
      <w:bookmarkStart w:id="4" w:name="_Toc365155318_WPSOffice_Level1"/>
      <w:bookmarkStart w:id="5" w:name="_Toc678010396_WPSOffice_Level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</w:rPr>
        <w:t>第一章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bookmarkEnd w:id="1"/>
      <w:bookmarkEnd w:id="2"/>
      <w:bookmarkEnd w:id="3"/>
      <w:bookmarkEnd w:id="4"/>
      <w:bookmarkEnd w:id="5"/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比价公告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  <w:lang w:eastAsia="zh-CN"/>
        </w:rPr>
        <w:t>乐山市苏稽发展建设管理委员会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single"/>
        </w:rPr>
        <w:t>（采购人）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拟对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乐山市苏稽片区城市公园生态修复及配套设施建设项目-弘毅公园“多测合一”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测绘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比价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采购，兹邀请符合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供应商参加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比价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乐山市苏稽片区城市公园生态修复及配套设施建设项目-弘毅公园“多测合一”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测绘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、资金来源：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财政资金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比价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项目简介：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项目占地面积约37.9亩，主要包含健身步道、铺装工程、健身设施及器材、给排水工程等。估算总投资约3310万元。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四、“多测合一”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测绘服务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1.报建地形图测绘（含控制测量）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2.地下管线探测（盲探）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3.规划放线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4.规划核实测量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4.1竣工地形图测量（含绿地测量）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4.2竣工地下管线测量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5.房屋面积测绘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（含产权、建筑预测、实测）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6.人防测量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7.消防测量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五、最高限价：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以《乐山市“多测合一”项目收费指导价（试行版）》收费标准和《测绘生产成本费用定额》及有关细则的通知（财建[2009]17号）下浮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最高限价为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47400元。在此基础上报价。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、供应商本次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比价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采购应当具备下列条件：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（一）具有独立承担民事责任的能力；</w:t>
      </w:r>
    </w:p>
    <w:p>
      <w:pPr>
        <w:keepNext w:val="0"/>
        <w:keepLines w:val="0"/>
        <w:pageBreakBefore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（二）具有良好的商业信誉和健全的财务会计制度；</w:t>
      </w:r>
    </w:p>
    <w:p>
      <w:pPr>
        <w:keepNext w:val="0"/>
        <w:keepLines w:val="0"/>
        <w:pageBreakBefore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具有履行合同所必需的设备和专业技术能力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（四）具有依法缴纳税收和社会保障资金的良好记录；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（五）参加本次政府采购活动前三年内，在经营活动中没有重大违法记录；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（六）法律、行政法规规定的其他条件；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（七）根据采购项目提出的特殊条件：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1.供应商在乐山市主城区“多测合一”测绘单位名单内或具有乐山市自然资源和规划局提供测绘成果清单（使用目的：“多测合一”）；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2.具有乙级或以上测绘资质，包括工程测量；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u w:val="singl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u w:val="single"/>
        </w:rPr>
        <w:t>本项目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u w:val="single"/>
          <w:lang w:eastAsia="zh-CN"/>
        </w:rPr>
        <w:t>不允许分包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u w:val="single"/>
        </w:rPr>
        <w:t>，采购人不接受联合体参加。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比价响应文件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递交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截止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2026年</w:t>
      </w:r>
      <w:r>
        <w:rPr>
          <w:rFonts w:hint="eastAsia" w:ascii="仿宋_GB2312" w:hAnsi="仿宋_GB2312" w:eastAsia="仿宋_GB2312" w:cs="仿宋_GB2312"/>
          <w:color w:val="auto"/>
          <w:spacing w:val="-4"/>
          <w:kern w:val="2"/>
          <w:sz w:val="32"/>
          <w:szCs w:val="32"/>
          <w:highlight w:val="none"/>
          <w:u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4"/>
          <w:kern w:val="2"/>
          <w:sz w:val="32"/>
          <w:szCs w:val="32"/>
          <w:highlight w:val="none"/>
          <w:u w:val="none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日11:00（北京时间）。逾期送达的响应文件不予接收。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比价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采购活动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无需报名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，响应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的递交方式为面呈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或邮寄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响应文件必须提供纸质版1份、电子版1份（纸质版本扫描件），纸质版左侧胶装成册，电子版应光盘刻录或U盘储存响应文件所有内容。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比价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响应文件递交地点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单位</w:t>
      </w:r>
      <w:bookmarkStart w:id="44" w:name="_GoBack"/>
      <w:bookmarkEnd w:id="44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乐山市苏稽发展建设管理委员会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乐山市市中区苏稽镇民营路奥林匹克中心体育场3楼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328办公室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九、比价响应文件有效期：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30日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、联系方式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采购人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乐山市苏稽发展建设管理委员会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 w:bidi="ar-SA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乐山市市中区苏稽镇民营路奥林匹克中心体育场3楼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联系人：秦老师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hAnsi="宋体" w:eastAsia="宋体" w:cs="宋体"/>
          <w:color w:val="auto"/>
          <w:sz w:val="24"/>
          <w:szCs w:val="24"/>
          <w:highlight w:val="none"/>
          <w:u w:val="none"/>
          <w:lang w:val="en-US" w:eastAsia="zh-CN" w:bidi="ar-SA"/>
        </w:rPr>
        <w:sectPr>
          <w:footerReference r:id="rId4" w:type="default"/>
          <w:pgSz w:w="11906" w:h="16838"/>
          <w:pgMar w:top="2098" w:right="1474" w:bottom="1984" w:left="1587" w:header="720" w:footer="720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联系电话：0833-2555898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6" w:name="_Toc1187765387_WPSOffice_Level1"/>
      <w:bookmarkStart w:id="7" w:name="_Toc1963958051_WPSOffice_Level1"/>
      <w:bookmarkStart w:id="8" w:name="_Toc1697832711_WPSOffice_Level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第二章  比价须知</w:t>
      </w:r>
      <w:bookmarkEnd w:id="6"/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一、比价总则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1.本项目比价范围包括本项目必须测绘的所有测绘内容。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2.本采购项目最低要求：符合资质条件且结算不超过最高限价。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3.供应商自行承担本项目比价活动所发生的费用。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二、比价文件的组成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比价文件包括下列内容：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第一章  比价公告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第二章  比价须知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第三章  比价程序和成交标准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第四章  比价响应文件格式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三、比价响应文件的编制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1.比价响应文件和与响应文件有关的所有文件均使用汉语文字，其度量衡单位均采用中华人民共和国法定计量单位。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2.响应文件可装订为一册，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 w:bidi="ar-SA"/>
        </w:rPr>
        <w:t>逐页加盖供应商鲜章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3.比价响应文件的主要内容应包括但不限于：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（1）比价报价函；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（2）企业法人营业执照副本、税务登记证副本、组织机构代码证复印件或新营业执照（三证合一）或事业单位法人证书复印件；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（3）法定代表人授权委托书；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（4）承诺函；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（5）资质证明资料。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四、响应文件的提交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1.响应文件的密封：响应文件须密封并加盖单位鲜章。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响应文件须提供正本一份，密封于一个包装袋内，封口处加盖单位鲜章，封面须注明：“项目名称：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>乐山市苏稽片区城市公园生态修复及配套设施建设项目-弘毅公园“多测合一”测绘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”，“于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>xxxx年xx月xx日xx时xx分前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不得拆封”等字样。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未按比价文件要求密封的响应文件将被拒收。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2.响应文件的装订：响应文件的正本用A4复印纸（图、表及证件可以除外）印制。响应文件应采用胶粘方式左侧装订，不得采用活页夹等可随时拆换的方式装订，不得有零散页。未按要求编制和装订的响应文件在资格审查时不予通过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3.响应文件的提交：响应文件应在截止时间前递交至规定的地点，在截止时间以后送到的响应文件将被拒绝并退还给供应商。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4.在响应文件提交的截止时间至比价有效期满之前，供应商不得撤回其响应文件的修改及补充。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五、质疑提出与答复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供应商对比价文件中资格要求以及合同条款的询问或质疑，应向采购人提出，并由采购人负责解释和回复。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9" w:name="_Toc90621743_WPSOffice_Level1"/>
      <w:bookmarkStart w:id="10" w:name="_Toc1067262663_WPSOffice_Level1"/>
      <w:bookmarkStart w:id="11" w:name="_Toc1352271040_WPSOffice_Level1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第三章  比价程序和成交标准</w:t>
      </w:r>
      <w:bookmarkEnd w:id="9"/>
      <w:bookmarkEnd w:id="10"/>
      <w:bookmarkEnd w:id="11"/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一、根据比价须知中规定的递交文件截止时间前接收供应商响应文件，并按以下程序组织比价：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1.比价文件接收（如邮寄则以签收时间为准）；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2.检查比价响应文件密封情况；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3.将符合密封要求的比价文件拆封，采购人进行审核；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4.采购人资格审查填报资格审查表；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5.采购人填报报价；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6.采购人将比价结果公示。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二、出现但不限于下列情况之一的，其响应文件将被视为无效文件不予通过资格审查：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1.资格不符合要求的；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2.响应文件未实质性响应比价文件要求的；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3.响应文件无法定代表人签字，或签字人未被法定代表人授权的；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4.所报总价超出最高限价的；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5.不同供应商负责人为同一人或者存在直接控股、管理关系的。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在比价中，比价的任何一方不得透露与比价有关的其他供应商的技术资料、价格和其他信息。比价结束后，采购人根据报价最低的原则确定成交供应商，并将结果通知所有参加比价的未成交供应商。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报价不正当竞争审查：报价低于50%的供应商应提供相关书面说明，一并密封进响应文件（若报价低于50%，又未提供书面说明将被判定为无效投标文件）。书面说明应当按照国家财务会计制度的规定要求，逐项就供应商提供检测服务的主营业务成本、税金及附加、管理费用、财务费用等成本构成事项详细陈述。投标人不能证明其报价合理性的，采购人应当将其作为无效投标处理。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成交标准:以报价响应文件中的报价为依据，体现满足采购项目最低要求且报价最低原则确定成交供应商。如报价相同的由采购人抽签决定排序，排名第一的为成交供应商。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五、比价工作纪律和注意事项。在比价活动中，与比价有关人员应严格遵守相关纪律规定，注意以下事项。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1.采购人不得泄露比价活动在应当保密的情况和资料，不得与供应商串通损害国家利益、社会公共利益或者他人合法权益。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2.供应商不得相互串通报价或者与采购人串通报价；不得向比价小组成员行贿谋取成交；不得以他人名义或者其他方式弄虚作假骗取成交；不得以任何方式干扰、影响比价活动。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3.组织比价的工作人员不得收受他人的财物或者其他好处，不得向他人透露比价活动中各有关细节及推荐评审情况。在比价活动中不得擅离职守，影响比价活动的正常进行。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2" w:name="_Toc2028396133_WPSOffice_Level1"/>
      <w:bookmarkStart w:id="13" w:name="_Toc1136260840_WPSOffice_Level1"/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第四章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比价响应文件格式</w:t>
      </w:r>
      <w:bookmarkEnd w:id="12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bookmarkEnd w:id="1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乐山市苏稽片区城市公园生态修复及配套设施建设项目-弘毅公园“多测合一”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测绘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val="en-US" w:eastAsia="zh-CN"/>
        </w:rPr>
        <w:t>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eastAsia="zh-CN"/>
        </w:rPr>
      </w:pPr>
      <w:bookmarkStart w:id="14" w:name="_Toc28050537_WPSOffice_Level1"/>
      <w:bookmarkStart w:id="15" w:name="_Toc1255996635_WPSOffice_Level1"/>
      <w:bookmarkStart w:id="16" w:name="_Toc238270263_WPSOffice_Level1"/>
      <w:r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eastAsia="zh-CN"/>
        </w:rPr>
        <w:t>价</w:t>
      </w:r>
      <w:bookmarkEnd w:id="14"/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eastAsia="zh-CN"/>
        </w:rPr>
      </w:pPr>
      <w:bookmarkStart w:id="17" w:name="_Toc1668948548_WPSOffice_Level1"/>
      <w:bookmarkStart w:id="18" w:name="_Toc1182350840_WPSOffice_Level1"/>
      <w:bookmarkStart w:id="19" w:name="_Toc1934914626_WPSOffice_Level1"/>
      <w:r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eastAsia="zh-CN"/>
        </w:rPr>
        <w:t>响</w:t>
      </w:r>
      <w:bookmarkEnd w:id="17"/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eastAsia="zh-CN"/>
        </w:rPr>
      </w:pPr>
      <w:bookmarkStart w:id="20" w:name="_Toc1887955206_WPSOffice_Level1"/>
      <w:bookmarkStart w:id="21" w:name="_Toc1979444575_WPSOffice_Level1"/>
      <w:bookmarkStart w:id="22" w:name="_Toc144425513_WPSOffice_Level1"/>
      <w:r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eastAsia="zh-CN"/>
        </w:rPr>
        <w:t>应</w:t>
      </w:r>
      <w:bookmarkEnd w:id="20"/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eastAsia="zh-CN"/>
        </w:rPr>
      </w:pPr>
      <w:bookmarkStart w:id="23" w:name="_Toc1121669070_WPSOffice_Level1"/>
      <w:bookmarkStart w:id="24" w:name="_Toc2052904976_WPSOffice_Level1"/>
      <w:bookmarkStart w:id="25" w:name="_Toc1608568750_WPSOffice_Level1"/>
      <w:r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eastAsia="zh-CN"/>
        </w:rPr>
        <w:t>文</w:t>
      </w:r>
      <w:bookmarkEnd w:id="23"/>
      <w:bookmarkEnd w:id="24"/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eastAsia="zh-CN"/>
        </w:rPr>
      </w:pPr>
      <w:bookmarkStart w:id="26" w:name="_Toc255812935_WPSOffice_Level1"/>
      <w:bookmarkStart w:id="27" w:name="_Toc532177220_WPSOffice_Level1"/>
      <w:bookmarkStart w:id="28" w:name="_Toc634129448_WPSOffice_Level1"/>
      <w:r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eastAsia="zh-CN"/>
        </w:rPr>
        <w:t>件</w:t>
      </w:r>
      <w:bookmarkEnd w:id="26"/>
      <w:bookmarkEnd w:id="27"/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600" w:hanging="1600" w:hangingChars="5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乐山市苏稽片区城市公园生态修复及配套设施建设项目-弘毅公园“多测合一”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测绘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29" w:name="_Toc2095105460_WPSOffice_Level1"/>
      <w:bookmarkStart w:id="30" w:name="_Toc517459210_WPSOffice_Level1"/>
      <w:bookmarkStart w:id="31" w:name="_Toc1072286893_WPSOffice_Level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一、报价函</w:t>
      </w:r>
      <w:bookmarkEnd w:id="29"/>
      <w:bookmarkEnd w:id="30"/>
      <w:bookmarkEnd w:id="31"/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2" w:name="_Toc21405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乐山市苏稽发展建设管理委员会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我方全面研究了“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乐山市苏稽片区城市公园生态修复及配套设施建设项目-弘毅公园‘多测合一’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测绘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，决定参加贵单位组织的本项目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乐山市“多测合一”项目收费指导价（试行版）》收费标准和《测绘生产成本费用定额》及有关细则的通知（财建[2009]17号）下浮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30%后，结合报价下浮比例按实结算，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结算价不超过我方报价。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我方报价下浮比例为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（报下浮比例），报价为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（大写：               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乐山市苏稽片区城市公园生态修复及配套设施建设项目-弘毅公园“多测合一”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测绘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一旦我方成交，我方将严格履行合同规定的责任和义务，保证于合同签字生效后按照合同规定履行义务；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我方报价为本采购项目合同下所有费用，是采购人最终验收合格后的总价，包括完成本次采购标的物的所有内容以及相关的代理、培训、税费等和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规定的其它费用。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我方报价均真实有效，不存在低于成本的不正当竞争行为，并且不存在以低价谋取成交后提供不良产品或者不诚信履约情况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供应商全称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4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年     月     日</w:t>
      </w:r>
    </w:p>
    <w:bookmarkEnd w:id="32"/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33" w:name="_Toc1340775840_WPSOffice_Level1"/>
      <w:bookmarkStart w:id="34" w:name="_Toc1043036591_WPSOffice_Level1"/>
      <w:bookmarkStart w:id="35" w:name="_Toc17306"/>
      <w:bookmarkStart w:id="36" w:name="_Toc1858906964_WPSOffice_Level1"/>
      <w:bookmarkStart w:id="37" w:name="_Toc32597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、承诺函</w:t>
      </w:r>
      <w:bookmarkEnd w:id="33"/>
      <w:bookmarkEnd w:id="34"/>
      <w:bookmarkEnd w:id="35"/>
      <w:bookmarkEnd w:id="36"/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480" w:hanging="6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480" w:hanging="6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>乐山市苏稽发展建设管理委员会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我公司作为本次采购项目的供应商，根据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比价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文件要求，现郑重承诺如下：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一、具备本项目规定的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资格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条件：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（一）具有独立承担民事责任的能力；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（二）具有良好的商业信誉和健全的财务会计制度；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（三）具有履行合同所必需的设备和专业技术能力；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（四）有依法缴纳税收和社会保障资金的良好记录；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（五）参加采购活动前三年内，在经营活动中没有重大违法记录；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</w:rPr>
        <w:t>联合体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  <w:lang w:eastAsia="zh-CN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</w:rPr>
        <w:t>报价。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二、我公司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承诺完成本项目多测合一采购的所有内容，按实际工作量办理结算，最终结算价不超过报价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我公司不得以该项目工作内容结算价超过报价为由拒绝测绘工作，否则视为我公司违约并承担相应后果，同时采购人有权委托其他公司进行测绘，费用从我公司已完成工作量办理的结算价中扣除。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、完全接受和满足本项目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比价文件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中规定的要求，如对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比价文件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有异议，已经在响应文件递交截止时间届满前依法进行维权救济，不存在对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比价文件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有异议的同时又参加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比价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以求侥幸成交或者为实现其他非法目的的行为。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、参加本次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比价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采购活动，不存在与单位负责人为同一人或者存在直接控股、管理关系的其他供应商参与同一合同项下的采购活动的行为。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、参加本次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比价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采购活动，不存在和其他供应商在同一合同项下的采购项目中，同时委托同一个自然人、同一家庭的人员、同一单位的人员作为代理人的行为。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、响应文件中提供的任何材料、资料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响应承诺情况都是真实的、有效的、合法的。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我方保证在本项目使用的任何产品和服务（包括部分使用）时，不会产生因第三方提出侵犯其专利权、商标权或其它知识产权而引起的法律和经济纠纷，如因专利权、商标权或其它知识产权而引起法律和经济纠纷，由我方承担所有相关责任。采购人享有本项目实施过程中产生的知识成果及知识产权。如我方在项目实施过程中采用自有知识成果，我方承诺提供开发接口和开发手册等技术文档，并提供无限期技术支持，采购人享有永久使用权（含采购人委托第三方在该项目后续开发的使用权）。如我方在项目实施过程中采用非自有的知识产权，则在投标报价中已包括合法获取该知识产权的相关费用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、国家或行业主管部门对采购产品的技术标准、质量标准和资格资质条件等有强制性规定的，我方承诺符合其要求。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九、我方承诺提供的测绘成果真实可靠，若测绘成果错误或虚假造成的损失由我方承担。采购人可委托其他单位进行复核，如我方提供的成果失真，复核费用从我方结算价款中加倍扣除。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本公司对上述承诺的内容事项真实性负责。如经查实上述承诺的内容事项存在虚假，我公司愿意接受以提供虚假材料谋取成交追究法律责任。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供应商全称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：　　　                      （盖单位公章）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法定代表人或授权代表：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 　　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　　　　　　　　年　　　　月　　　日</w:t>
      </w:r>
    </w:p>
    <w:p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line="4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38" w:name="_Toc1816619901_WPSOffice_Level1"/>
      <w:bookmarkStart w:id="39" w:name="_Toc646383394_WPSOffice_Level1"/>
      <w:bookmarkStart w:id="40" w:name="_Toc307191920_WPSOffice_Level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法定代表人（负责人）授权书</w:t>
      </w:r>
      <w:bookmarkEnd w:id="37"/>
      <w:bookmarkEnd w:id="38"/>
      <w:bookmarkEnd w:id="39"/>
      <w:bookmarkEnd w:id="40"/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乐山市苏稽发展建设管理委员会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本授权声明：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供应商全称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（法定代表人姓名、职务）授权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被授权人姓名）为我方“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乐山市苏稽片区城市公园生态修复及配套设施建设项目-弘毅公园‘多测合一’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测绘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项目比价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活动的合法代表，以我方名义全权处理该项目有关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、签订合同以及执行合同等一切事宜。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供应商全称：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（盖单位公章）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　（签字）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　　　　　　（签字）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联系电话（被委托人手机号码）：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年       月         日</w:t>
      </w: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附：法定代表人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身份证复印件和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被授权人的身份证复印件。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before="0" w:beforeAutospacing="0" w:line="440" w:lineRule="atLeast"/>
        <w:ind w:right="0" w:rightChars="0"/>
        <w:jc w:val="both"/>
        <w:textAlignment w:val="auto"/>
        <w:rPr>
          <w:rFonts w:hint="eastAsia" w:ascii="宋体" w:hAnsi="宋体" w:cs="宋体"/>
          <w:lang w:eastAsia="zh-CN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before="0" w:beforeAutospacing="0"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  <w:bookmarkStart w:id="41" w:name="_Toc827419308_WPSOffice_Level1"/>
      <w:bookmarkStart w:id="42" w:name="_Toc952458478_WPSOffice_Level1"/>
      <w:bookmarkStart w:id="43" w:name="_Toc974748055_WPSOffice_Level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四、营业执照</w:t>
      </w:r>
      <w:bookmarkEnd w:id="41"/>
      <w:bookmarkEnd w:id="42"/>
      <w:bookmarkEnd w:id="43"/>
    </w:p>
    <w:p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before="0" w:beforeAutospacing="0"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五、测绘资质证明资料</w:t>
      </w:r>
    </w:p>
    <w:p>
      <w:pPr>
        <w:pStyle w:val="3"/>
        <w:pageBreakBefore w:val="0"/>
        <w:numPr>
          <w:ilvl w:val="0"/>
          <w:numId w:val="0"/>
        </w:numPr>
        <w:kinsoku/>
        <w:wordWrap w:val="0"/>
        <w:overflowPunct/>
        <w:topLinePunct w:val="0"/>
        <w:bidi w:val="0"/>
        <w:spacing w:before="0" w:beforeAutospacing="0" w:line="440" w:lineRule="atLeas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六、“多测合一”资格证明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ZgoZa0AQAAUgMAAA4AAABkcnMv&#10;ZTJvRG9jLnhtbK1TzWobMRC+F/IOQvdYawe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LnJ7+hBr&#10;zHoKmJeGaz80NMFGjqGI/ix8UGDzFyURTMFe7079lUMiAp3T+Ww+rzAkMDZesAR7/T1ATHfSW5KN&#10;hgIOsPSVb7/EdEgdU3I152+1MWWIxv3jQMzsYZn+gWO20rAajppWvt2hpB5n31CHy0mJuXfY2rwm&#10;owGjsRqNTQC97pCa4ibm4XCEv9okJFL45SoH6GNxHFxReFyyvBl/30vW61NY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dmChl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3E8F1A"/>
    <w:multiLevelType w:val="singleLevel"/>
    <w:tmpl w:val="7E3E8F1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4BCD"/>
    <w:rsid w:val="09D46A7F"/>
    <w:rsid w:val="0AC1103F"/>
    <w:rsid w:val="0CE7033B"/>
    <w:rsid w:val="109A2CC5"/>
    <w:rsid w:val="11B07F4B"/>
    <w:rsid w:val="151A764B"/>
    <w:rsid w:val="158117BD"/>
    <w:rsid w:val="16F0787A"/>
    <w:rsid w:val="19C8782E"/>
    <w:rsid w:val="1ADE06E2"/>
    <w:rsid w:val="1CE15033"/>
    <w:rsid w:val="1FFF6E9D"/>
    <w:rsid w:val="22EE7329"/>
    <w:rsid w:val="29D61F6A"/>
    <w:rsid w:val="2FFD3BA9"/>
    <w:rsid w:val="36086879"/>
    <w:rsid w:val="36603374"/>
    <w:rsid w:val="375D2E11"/>
    <w:rsid w:val="3C7EA9D4"/>
    <w:rsid w:val="3EBD39DE"/>
    <w:rsid w:val="46EF1203"/>
    <w:rsid w:val="476F41D5"/>
    <w:rsid w:val="4AE6667E"/>
    <w:rsid w:val="4FFF30E4"/>
    <w:rsid w:val="55E631E8"/>
    <w:rsid w:val="5F4A0903"/>
    <w:rsid w:val="69D30FD0"/>
    <w:rsid w:val="6BCB71BE"/>
    <w:rsid w:val="6CAA3AF3"/>
    <w:rsid w:val="6CE462FD"/>
    <w:rsid w:val="6D9CE8CA"/>
    <w:rsid w:val="6E778E1F"/>
    <w:rsid w:val="6EB9273E"/>
    <w:rsid w:val="70134342"/>
    <w:rsid w:val="71BE9306"/>
    <w:rsid w:val="74A5668D"/>
    <w:rsid w:val="760E456F"/>
    <w:rsid w:val="7B71034E"/>
    <w:rsid w:val="7BFEB019"/>
    <w:rsid w:val="7F3F55BC"/>
    <w:rsid w:val="7F4F3BDC"/>
    <w:rsid w:val="7F7F739F"/>
    <w:rsid w:val="7FBF2DE9"/>
    <w:rsid w:val="7FCF6525"/>
    <w:rsid w:val="7FDF9E5B"/>
    <w:rsid w:val="7FFF5FDB"/>
    <w:rsid w:val="97309C47"/>
    <w:rsid w:val="B1BFFDC7"/>
    <w:rsid w:val="C79FAF9D"/>
    <w:rsid w:val="CDFBF4B1"/>
    <w:rsid w:val="CEBC1DEE"/>
    <w:rsid w:val="CFFFEB0F"/>
    <w:rsid w:val="EDED7993"/>
    <w:rsid w:val="EDFE2884"/>
    <w:rsid w:val="EFFF3281"/>
    <w:rsid w:val="F4FD8C8E"/>
    <w:rsid w:val="FDE7748F"/>
    <w:rsid w:val="FE984AB7"/>
    <w:rsid w:val="FFD9B2ED"/>
    <w:rsid w:val="FFEB1328"/>
    <w:rsid w:val="FFFB6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hAnsi="宋体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1"/>
    </w:pPr>
    <w:rPr>
      <w:rFonts w:ascii="Arial" w:hAnsi="Arial" w:eastAsia="宋体" w:cs="Times New Roman"/>
      <w:b/>
      <w:bCs/>
      <w:sz w:val="28"/>
      <w:szCs w:val="32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Body Text Indent"/>
    <w:basedOn w:val="1"/>
    <w:qFormat/>
    <w:uiPriority w:val="0"/>
    <w:pPr>
      <w:ind w:firstLine="630"/>
    </w:pPr>
    <w:rPr>
      <w:kern w:val="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5"/>
    <w:qFormat/>
    <w:uiPriority w:val="0"/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/>
      <w:kern w:val="0"/>
      <w:sz w:val="18"/>
      <w:szCs w:val="18"/>
    </w:rPr>
  </w:style>
  <w:style w:type="paragraph" w:styleId="12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Char"/>
    <w:link w:val="2"/>
    <w:qFormat/>
    <w:uiPriority w:val="0"/>
    <w:rPr>
      <w:rFonts w:hAnsi="宋体" w:eastAsia="宋体"/>
      <w:b/>
      <w:bCs/>
      <w:kern w:val="44"/>
      <w:sz w:val="36"/>
      <w:szCs w:val="44"/>
    </w:rPr>
  </w:style>
  <w:style w:type="character" w:customStyle="1" w:styleId="17">
    <w:name w:val="默认段落字体1"/>
    <w:qFormat/>
    <w:uiPriority w:val="0"/>
  </w:style>
  <w:style w:type="paragraph" w:customStyle="1" w:styleId="18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9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1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2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4627</Words>
  <Characters>4731</Characters>
  <TotalTime>34</TotalTime>
  <ScaleCrop>false</ScaleCrop>
  <LinksUpToDate>false</LinksUpToDate>
  <CharactersWithSpaces>5120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2018-12-05T17:47:00Z</dcterms:created>
  <dc:creator>user</dc:creator>
  <cp:lastModifiedBy>user</cp:lastModifiedBy>
  <cp:lastPrinted>2026-04-07T15:56:00Z</cp:lastPrinted>
  <dcterms:modified xsi:type="dcterms:W3CDTF">2026-04-07T16:54:03Z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96FA2C6B092D4DD4B9B88A181F7111D5_13</vt:lpwstr>
  </property>
  <property fmtid="{D5CDD505-2E9C-101B-9397-08002B2CF9AE}" pid="4" name="KSOTemplateDocerSaveRecord">
    <vt:lpwstr>eyJoZGlkIjoiNzk3MTE4MmYyZTg2MzQ0MTdjMmQwM2ZkOTc5NWM0MWQiLCJ1c2VySWQiOiIxMTMxOTU0MzMwIn0=</vt:lpwstr>
  </property>
</Properties>
</file>