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01B1" w:rsidRPr="00373891" w:rsidRDefault="001901B1" w:rsidP="001901B1">
      <w:pPr>
        <w:spacing w:line="520" w:lineRule="exact"/>
        <w:rPr>
          <w:rFonts w:ascii="黑体" w:eastAsia="黑体" w:hAnsi="黑体"/>
          <w:sz w:val="32"/>
          <w:szCs w:val="32"/>
        </w:rPr>
      </w:pPr>
      <w:r w:rsidRPr="00373891">
        <w:rPr>
          <w:rFonts w:ascii="黑体" w:eastAsia="黑体" w:hAnsi="黑体" w:hint="eastAsia"/>
          <w:sz w:val="32"/>
          <w:szCs w:val="32"/>
        </w:rPr>
        <w:t>附件</w:t>
      </w:r>
    </w:p>
    <w:p w:rsidR="001901B1" w:rsidRDefault="001901B1" w:rsidP="001901B1">
      <w:pPr>
        <w:spacing w:line="520" w:lineRule="exact"/>
        <w:jc w:val="center"/>
        <w:rPr>
          <w:rFonts w:ascii="方正小标宋简体" w:eastAsia="方正小标宋简体"/>
          <w:sz w:val="44"/>
          <w:szCs w:val="44"/>
        </w:rPr>
      </w:pPr>
      <w:bookmarkStart w:id="0" w:name="_GoBack"/>
      <w:r w:rsidRPr="00FE5765">
        <w:rPr>
          <w:rFonts w:ascii="方正小标宋简体" w:eastAsia="方正小标宋简体" w:hint="eastAsia"/>
          <w:sz w:val="44"/>
          <w:szCs w:val="44"/>
        </w:rPr>
        <w:t>2023年省级防震减灾转移支付资金分配表</w:t>
      </w:r>
    </w:p>
    <w:bookmarkEnd w:id="0"/>
    <w:p w:rsidR="001901B1" w:rsidRPr="008954AE" w:rsidRDefault="001901B1" w:rsidP="001901B1">
      <w:pPr>
        <w:spacing w:line="520" w:lineRule="exact"/>
        <w:jc w:val="right"/>
        <w:rPr>
          <w:sz w:val="24"/>
          <w:szCs w:val="24"/>
        </w:rPr>
      </w:pPr>
      <w:r w:rsidRPr="008954AE">
        <w:rPr>
          <w:rFonts w:hint="eastAsia"/>
          <w:sz w:val="24"/>
          <w:szCs w:val="24"/>
        </w:rPr>
        <w:t>单位：万元</w:t>
      </w:r>
    </w:p>
    <w:tbl>
      <w:tblPr>
        <w:tblW w:w="14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992"/>
        <w:gridCol w:w="1276"/>
        <w:gridCol w:w="1276"/>
        <w:gridCol w:w="850"/>
        <w:gridCol w:w="8603"/>
        <w:gridCol w:w="1134"/>
      </w:tblGrid>
      <w:tr w:rsidR="001901B1" w:rsidRPr="008954AE" w:rsidTr="001901B1">
        <w:trPr>
          <w:trHeight w:val="546"/>
          <w:tblHeader/>
          <w:jc w:val="center"/>
        </w:trPr>
        <w:tc>
          <w:tcPr>
            <w:tcW w:w="562" w:type="dxa"/>
            <w:shd w:val="clear" w:color="auto" w:fill="auto"/>
            <w:vAlign w:val="center"/>
          </w:tcPr>
          <w:p w:rsidR="001901B1" w:rsidRPr="006030ED" w:rsidRDefault="001901B1" w:rsidP="001F50BC">
            <w:pPr>
              <w:spacing w:line="280" w:lineRule="exact"/>
              <w:jc w:val="center"/>
              <w:rPr>
                <w:rFonts w:ascii="黑体" w:eastAsia="黑体" w:hAnsi="黑体"/>
                <w:sz w:val="24"/>
                <w:szCs w:val="24"/>
              </w:rPr>
            </w:pPr>
            <w:r w:rsidRPr="006030ED">
              <w:rPr>
                <w:rFonts w:ascii="黑体" w:eastAsia="黑体" w:hAnsi="黑体" w:hint="eastAsia"/>
                <w:sz w:val="24"/>
                <w:szCs w:val="24"/>
              </w:rPr>
              <w:t>序号</w:t>
            </w:r>
          </w:p>
        </w:tc>
        <w:tc>
          <w:tcPr>
            <w:tcW w:w="992" w:type="dxa"/>
            <w:shd w:val="clear" w:color="auto" w:fill="auto"/>
            <w:vAlign w:val="center"/>
          </w:tcPr>
          <w:p w:rsidR="001901B1" w:rsidRPr="006030ED" w:rsidRDefault="001901B1" w:rsidP="001F50BC">
            <w:pPr>
              <w:spacing w:line="280" w:lineRule="exact"/>
              <w:jc w:val="center"/>
              <w:rPr>
                <w:rFonts w:ascii="黑体" w:eastAsia="黑体" w:hAnsi="黑体"/>
                <w:sz w:val="24"/>
                <w:szCs w:val="24"/>
              </w:rPr>
            </w:pPr>
            <w:r w:rsidRPr="006030ED">
              <w:rPr>
                <w:rFonts w:ascii="黑体" w:eastAsia="黑体" w:hAnsi="黑体" w:hint="eastAsia"/>
                <w:sz w:val="24"/>
                <w:szCs w:val="24"/>
              </w:rPr>
              <w:t>地区/单位</w:t>
            </w:r>
          </w:p>
        </w:tc>
        <w:tc>
          <w:tcPr>
            <w:tcW w:w="1276" w:type="dxa"/>
            <w:shd w:val="clear" w:color="auto" w:fill="auto"/>
            <w:vAlign w:val="center"/>
          </w:tcPr>
          <w:p w:rsidR="001901B1" w:rsidRPr="006030ED" w:rsidRDefault="001901B1" w:rsidP="001F50BC">
            <w:pPr>
              <w:spacing w:line="280" w:lineRule="exact"/>
              <w:jc w:val="center"/>
              <w:rPr>
                <w:rFonts w:ascii="黑体" w:eastAsia="黑体" w:hAnsi="黑体"/>
                <w:sz w:val="24"/>
                <w:szCs w:val="24"/>
              </w:rPr>
            </w:pPr>
            <w:r w:rsidRPr="006030ED">
              <w:rPr>
                <w:rFonts w:ascii="黑体" w:eastAsia="黑体" w:hAnsi="黑体" w:hint="eastAsia"/>
                <w:sz w:val="24"/>
                <w:szCs w:val="24"/>
              </w:rPr>
              <w:t>项目</w:t>
            </w:r>
          </w:p>
        </w:tc>
        <w:tc>
          <w:tcPr>
            <w:tcW w:w="1276" w:type="dxa"/>
            <w:shd w:val="clear" w:color="auto" w:fill="auto"/>
            <w:vAlign w:val="center"/>
          </w:tcPr>
          <w:p w:rsidR="001901B1" w:rsidRPr="006030ED" w:rsidRDefault="001901B1" w:rsidP="001F50BC">
            <w:pPr>
              <w:spacing w:line="280" w:lineRule="exact"/>
              <w:jc w:val="center"/>
              <w:rPr>
                <w:rFonts w:ascii="黑体" w:eastAsia="黑体" w:hAnsi="黑体"/>
                <w:sz w:val="24"/>
                <w:szCs w:val="24"/>
              </w:rPr>
            </w:pPr>
            <w:r w:rsidRPr="006030ED">
              <w:rPr>
                <w:rFonts w:ascii="黑体" w:eastAsia="黑体" w:hAnsi="黑体" w:hint="eastAsia"/>
                <w:sz w:val="24"/>
                <w:szCs w:val="24"/>
              </w:rPr>
              <w:t>项目类型</w:t>
            </w:r>
          </w:p>
        </w:tc>
        <w:tc>
          <w:tcPr>
            <w:tcW w:w="850" w:type="dxa"/>
            <w:shd w:val="clear" w:color="auto" w:fill="auto"/>
            <w:vAlign w:val="center"/>
          </w:tcPr>
          <w:p w:rsidR="001901B1" w:rsidRPr="006030ED" w:rsidRDefault="001901B1" w:rsidP="001F50BC">
            <w:pPr>
              <w:spacing w:line="280" w:lineRule="exact"/>
              <w:jc w:val="center"/>
              <w:rPr>
                <w:rFonts w:ascii="黑体" w:eastAsia="黑体" w:hAnsi="黑体"/>
                <w:sz w:val="24"/>
                <w:szCs w:val="24"/>
              </w:rPr>
            </w:pPr>
            <w:r w:rsidRPr="006030ED">
              <w:rPr>
                <w:rFonts w:ascii="黑体" w:eastAsia="黑体" w:hAnsi="黑体" w:hint="eastAsia"/>
                <w:sz w:val="24"/>
                <w:szCs w:val="24"/>
              </w:rPr>
              <w:t>资金</w:t>
            </w:r>
          </w:p>
        </w:tc>
        <w:tc>
          <w:tcPr>
            <w:tcW w:w="8603" w:type="dxa"/>
            <w:shd w:val="clear" w:color="auto" w:fill="auto"/>
            <w:vAlign w:val="center"/>
          </w:tcPr>
          <w:p w:rsidR="001901B1" w:rsidRPr="006030ED" w:rsidRDefault="001901B1" w:rsidP="001F50BC">
            <w:pPr>
              <w:spacing w:line="280" w:lineRule="exact"/>
              <w:jc w:val="center"/>
              <w:rPr>
                <w:rFonts w:ascii="黑体" w:eastAsia="黑体" w:hAnsi="黑体"/>
                <w:sz w:val="24"/>
                <w:szCs w:val="24"/>
              </w:rPr>
            </w:pPr>
            <w:r w:rsidRPr="006030ED">
              <w:rPr>
                <w:rFonts w:ascii="黑体" w:eastAsia="黑体" w:hAnsi="黑体" w:hint="eastAsia"/>
                <w:sz w:val="24"/>
                <w:szCs w:val="24"/>
              </w:rPr>
              <w:t>绩效目标</w:t>
            </w:r>
          </w:p>
        </w:tc>
        <w:tc>
          <w:tcPr>
            <w:tcW w:w="1134" w:type="dxa"/>
            <w:shd w:val="clear" w:color="auto" w:fill="auto"/>
            <w:vAlign w:val="center"/>
          </w:tcPr>
          <w:p w:rsidR="001901B1" w:rsidRPr="006030ED" w:rsidRDefault="001901B1" w:rsidP="001F50BC">
            <w:pPr>
              <w:spacing w:line="280" w:lineRule="exact"/>
              <w:jc w:val="center"/>
              <w:rPr>
                <w:rFonts w:ascii="黑体" w:eastAsia="黑体" w:hAnsi="黑体"/>
                <w:sz w:val="24"/>
                <w:szCs w:val="24"/>
              </w:rPr>
            </w:pPr>
            <w:r w:rsidRPr="006030ED">
              <w:rPr>
                <w:rFonts w:ascii="黑体" w:eastAsia="黑体" w:hAnsi="黑体" w:hint="eastAsia"/>
                <w:sz w:val="24"/>
                <w:szCs w:val="24"/>
              </w:rPr>
              <w:t>主管部门</w:t>
            </w:r>
          </w:p>
        </w:tc>
      </w:tr>
      <w:tr w:rsidR="001901B1" w:rsidRPr="008954AE" w:rsidTr="001901B1">
        <w:trPr>
          <w:trHeight w:val="546"/>
          <w:tblHeader/>
          <w:jc w:val="center"/>
        </w:trPr>
        <w:tc>
          <w:tcPr>
            <w:tcW w:w="562" w:type="dxa"/>
            <w:shd w:val="clear" w:color="auto" w:fill="auto"/>
            <w:vAlign w:val="center"/>
          </w:tcPr>
          <w:p w:rsidR="001901B1" w:rsidRPr="006030ED" w:rsidRDefault="001901B1" w:rsidP="001F50BC">
            <w:pPr>
              <w:spacing w:line="280" w:lineRule="exact"/>
              <w:jc w:val="center"/>
              <w:rPr>
                <w:sz w:val="24"/>
                <w:szCs w:val="24"/>
              </w:rPr>
            </w:pPr>
          </w:p>
        </w:tc>
        <w:tc>
          <w:tcPr>
            <w:tcW w:w="992" w:type="dxa"/>
            <w:shd w:val="clear" w:color="auto" w:fill="auto"/>
            <w:vAlign w:val="center"/>
          </w:tcPr>
          <w:p w:rsidR="001901B1" w:rsidRPr="006030ED" w:rsidRDefault="001901B1" w:rsidP="001F50BC">
            <w:pPr>
              <w:spacing w:line="280" w:lineRule="exact"/>
              <w:jc w:val="center"/>
              <w:rPr>
                <w:sz w:val="24"/>
                <w:szCs w:val="24"/>
              </w:rPr>
            </w:pPr>
          </w:p>
        </w:tc>
        <w:tc>
          <w:tcPr>
            <w:tcW w:w="1276" w:type="dxa"/>
            <w:shd w:val="clear" w:color="auto" w:fill="auto"/>
            <w:vAlign w:val="center"/>
          </w:tcPr>
          <w:p w:rsidR="001901B1" w:rsidRPr="006030ED" w:rsidRDefault="001901B1" w:rsidP="001F50BC">
            <w:pPr>
              <w:spacing w:line="280" w:lineRule="exact"/>
              <w:jc w:val="right"/>
              <w:rPr>
                <w:sz w:val="24"/>
                <w:szCs w:val="24"/>
              </w:rPr>
            </w:pPr>
          </w:p>
        </w:tc>
        <w:tc>
          <w:tcPr>
            <w:tcW w:w="1276" w:type="dxa"/>
            <w:shd w:val="clear" w:color="auto" w:fill="auto"/>
            <w:vAlign w:val="center"/>
          </w:tcPr>
          <w:p w:rsidR="001901B1" w:rsidRPr="006030ED" w:rsidRDefault="001901B1" w:rsidP="001F50BC">
            <w:pPr>
              <w:spacing w:line="280" w:lineRule="exact"/>
              <w:jc w:val="center"/>
              <w:rPr>
                <w:sz w:val="24"/>
                <w:szCs w:val="24"/>
              </w:rPr>
            </w:pPr>
          </w:p>
        </w:tc>
        <w:tc>
          <w:tcPr>
            <w:tcW w:w="850" w:type="dxa"/>
            <w:shd w:val="clear" w:color="auto" w:fill="auto"/>
            <w:vAlign w:val="center"/>
          </w:tcPr>
          <w:p w:rsidR="001901B1" w:rsidRPr="006030ED" w:rsidRDefault="001901B1" w:rsidP="001F50BC">
            <w:pPr>
              <w:spacing w:line="280" w:lineRule="exact"/>
              <w:jc w:val="right"/>
              <w:rPr>
                <w:sz w:val="24"/>
                <w:szCs w:val="24"/>
              </w:rPr>
            </w:pPr>
            <w:r w:rsidRPr="006030ED">
              <w:rPr>
                <w:rFonts w:hint="eastAsia"/>
                <w:sz w:val="24"/>
                <w:szCs w:val="24"/>
              </w:rPr>
              <w:t>80</w:t>
            </w:r>
          </w:p>
        </w:tc>
        <w:tc>
          <w:tcPr>
            <w:tcW w:w="8603" w:type="dxa"/>
            <w:shd w:val="clear" w:color="auto" w:fill="auto"/>
            <w:vAlign w:val="center"/>
          </w:tcPr>
          <w:p w:rsidR="001901B1" w:rsidRPr="006030ED" w:rsidRDefault="001901B1" w:rsidP="001F50BC">
            <w:pPr>
              <w:spacing w:line="280" w:lineRule="exact"/>
              <w:jc w:val="center"/>
              <w:rPr>
                <w:sz w:val="24"/>
                <w:szCs w:val="24"/>
              </w:rPr>
            </w:pPr>
          </w:p>
        </w:tc>
        <w:tc>
          <w:tcPr>
            <w:tcW w:w="1134" w:type="dxa"/>
            <w:shd w:val="clear" w:color="auto" w:fill="auto"/>
            <w:vAlign w:val="center"/>
          </w:tcPr>
          <w:p w:rsidR="001901B1" w:rsidRPr="006030ED" w:rsidRDefault="001901B1" w:rsidP="001F50BC">
            <w:pPr>
              <w:spacing w:line="280" w:lineRule="exact"/>
              <w:jc w:val="center"/>
              <w:rPr>
                <w:sz w:val="24"/>
                <w:szCs w:val="24"/>
              </w:rPr>
            </w:pPr>
          </w:p>
        </w:tc>
      </w:tr>
      <w:tr w:rsidR="001901B1" w:rsidRPr="008954AE" w:rsidTr="001901B1">
        <w:trPr>
          <w:trHeight w:val="873"/>
          <w:tblHeader/>
          <w:jc w:val="center"/>
        </w:trPr>
        <w:tc>
          <w:tcPr>
            <w:tcW w:w="562" w:type="dxa"/>
            <w:shd w:val="clear" w:color="auto" w:fill="auto"/>
            <w:vAlign w:val="center"/>
          </w:tcPr>
          <w:p w:rsidR="001901B1" w:rsidRPr="006030ED" w:rsidRDefault="001901B1" w:rsidP="001F50BC">
            <w:pPr>
              <w:spacing w:line="280" w:lineRule="exact"/>
              <w:jc w:val="center"/>
              <w:rPr>
                <w:sz w:val="24"/>
                <w:szCs w:val="24"/>
              </w:rPr>
            </w:pPr>
            <w:r w:rsidRPr="006030ED">
              <w:rPr>
                <w:rFonts w:hint="eastAsia"/>
                <w:sz w:val="24"/>
                <w:szCs w:val="24"/>
              </w:rPr>
              <w:t>1</w:t>
            </w:r>
          </w:p>
        </w:tc>
        <w:tc>
          <w:tcPr>
            <w:tcW w:w="992" w:type="dxa"/>
            <w:shd w:val="clear" w:color="auto" w:fill="auto"/>
            <w:vAlign w:val="center"/>
          </w:tcPr>
          <w:p w:rsidR="001901B1" w:rsidRPr="006030ED" w:rsidRDefault="001901B1" w:rsidP="001F50BC">
            <w:pPr>
              <w:spacing w:line="280" w:lineRule="exact"/>
              <w:jc w:val="center"/>
              <w:rPr>
                <w:sz w:val="24"/>
                <w:szCs w:val="24"/>
              </w:rPr>
            </w:pPr>
            <w:r w:rsidRPr="006030ED">
              <w:rPr>
                <w:rFonts w:hint="eastAsia"/>
                <w:sz w:val="24"/>
                <w:szCs w:val="24"/>
              </w:rPr>
              <w:t>市防震减灾服务中心</w:t>
            </w:r>
          </w:p>
        </w:tc>
        <w:tc>
          <w:tcPr>
            <w:tcW w:w="1276" w:type="dxa"/>
            <w:shd w:val="clear" w:color="auto" w:fill="auto"/>
            <w:vAlign w:val="center"/>
          </w:tcPr>
          <w:p w:rsidR="001901B1" w:rsidRPr="006030ED" w:rsidRDefault="001901B1" w:rsidP="001F50BC">
            <w:pPr>
              <w:spacing w:line="280" w:lineRule="exact"/>
              <w:jc w:val="center"/>
              <w:rPr>
                <w:sz w:val="24"/>
                <w:szCs w:val="24"/>
              </w:rPr>
            </w:pPr>
            <w:r w:rsidRPr="006030ED">
              <w:rPr>
                <w:rFonts w:hint="eastAsia"/>
                <w:sz w:val="24"/>
                <w:szCs w:val="24"/>
              </w:rPr>
              <w:t>市县防震减灾部门培训（川北片区）</w:t>
            </w:r>
          </w:p>
        </w:tc>
        <w:tc>
          <w:tcPr>
            <w:tcW w:w="1276" w:type="dxa"/>
            <w:shd w:val="clear" w:color="auto" w:fill="auto"/>
            <w:vAlign w:val="center"/>
          </w:tcPr>
          <w:p w:rsidR="001901B1" w:rsidRPr="006030ED" w:rsidRDefault="001901B1" w:rsidP="001F50BC">
            <w:pPr>
              <w:spacing w:line="280" w:lineRule="exact"/>
              <w:jc w:val="center"/>
              <w:rPr>
                <w:sz w:val="24"/>
                <w:szCs w:val="24"/>
              </w:rPr>
            </w:pPr>
            <w:r w:rsidRPr="006030ED">
              <w:rPr>
                <w:rFonts w:hint="eastAsia"/>
                <w:sz w:val="24"/>
                <w:szCs w:val="24"/>
              </w:rPr>
              <w:t>地震灾害风险防治能力提升</w:t>
            </w:r>
          </w:p>
        </w:tc>
        <w:tc>
          <w:tcPr>
            <w:tcW w:w="850" w:type="dxa"/>
            <w:shd w:val="clear" w:color="auto" w:fill="auto"/>
            <w:vAlign w:val="center"/>
          </w:tcPr>
          <w:p w:rsidR="001901B1" w:rsidRPr="006030ED" w:rsidRDefault="001901B1" w:rsidP="001F50BC">
            <w:pPr>
              <w:spacing w:line="280" w:lineRule="exact"/>
              <w:jc w:val="right"/>
              <w:rPr>
                <w:sz w:val="24"/>
                <w:szCs w:val="24"/>
              </w:rPr>
            </w:pPr>
            <w:r w:rsidRPr="006030ED">
              <w:rPr>
                <w:rFonts w:hint="eastAsia"/>
                <w:sz w:val="24"/>
                <w:szCs w:val="24"/>
              </w:rPr>
              <w:t>5</w:t>
            </w:r>
          </w:p>
        </w:tc>
        <w:tc>
          <w:tcPr>
            <w:tcW w:w="8603" w:type="dxa"/>
            <w:shd w:val="clear" w:color="auto" w:fill="auto"/>
            <w:vAlign w:val="center"/>
          </w:tcPr>
          <w:p w:rsidR="001901B1" w:rsidRPr="006030ED" w:rsidRDefault="001901B1" w:rsidP="001F50BC">
            <w:pPr>
              <w:spacing w:line="280" w:lineRule="exact"/>
              <w:jc w:val="left"/>
              <w:rPr>
                <w:sz w:val="24"/>
                <w:szCs w:val="24"/>
              </w:rPr>
            </w:pPr>
            <w:r w:rsidRPr="006030ED">
              <w:rPr>
                <w:rFonts w:hint="eastAsia"/>
                <w:sz w:val="24"/>
                <w:szCs w:val="24"/>
              </w:rPr>
              <w:t>数量指标：举办川北片区市县防震减灾部门培训班</w:t>
            </w:r>
            <w:r w:rsidRPr="006030ED">
              <w:rPr>
                <w:rFonts w:hint="eastAsia"/>
                <w:sz w:val="24"/>
                <w:szCs w:val="24"/>
              </w:rPr>
              <w:t>1</w:t>
            </w:r>
            <w:r w:rsidRPr="006030ED">
              <w:rPr>
                <w:rFonts w:hint="eastAsia"/>
                <w:sz w:val="24"/>
                <w:szCs w:val="24"/>
              </w:rPr>
              <w:t>次，培训人数≥</w:t>
            </w:r>
            <w:r w:rsidRPr="006030ED">
              <w:rPr>
                <w:rFonts w:hint="eastAsia"/>
                <w:sz w:val="24"/>
                <w:szCs w:val="24"/>
              </w:rPr>
              <w:t>60</w:t>
            </w:r>
            <w:r w:rsidRPr="006030ED">
              <w:rPr>
                <w:rFonts w:hint="eastAsia"/>
                <w:sz w:val="24"/>
                <w:szCs w:val="24"/>
              </w:rPr>
              <w:t>人。</w:t>
            </w:r>
          </w:p>
          <w:p w:rsidR="001901B1" w:rsidRPr="006030ED" w:rsidRDefault="001901B1" w:rsidP="001F50BC">
            <w:pPr>
              <w:spacing w:line="280" w:lineRule="exact"/>
              <w:jc w:val="left"/>
              <w:rPr>
                <w:sz w:val="24"/>
                <w:szCs w:val="24"/>
              </w:rPr>
            </w:pPr>
            <w:r w:rsidRPr="006030ED">
              <w:rPr>
                <w:rFonts w:hint="eastAsia"/>
                <w:sz w:val="24"/>
                <w:szCs w:val="24"/>
              </w:rPr>
              <w:t>质量指标：组织开展地震监测、地震灾害风险防治、公共服务等方面的知识培训。</w:t>
            </w:r>
          </w:p>
          <w:p w:rsidR="001901B1" w:rsidRPr="006030ED" w:rsidRDefault="001901B1" w:rsidP="001F50BC">
            <w:pPr>
              <w:spacing w:line="280" w:lineRule="exact"/>
              <w:jc w:val="left"/>
              <w:rPr>
                <w:sz w:val="24"/>
                <w:szCs w:val="24"/>
              </w:rPr>
            </w:pPr>
            <w:r w:rsidRPr="006030ED">
              <w:rPr>
                <w:rFonts w:hint="eastAsia"/>
                <w:sz w:val="24"/>
                <w:szCs w:val="24"/>
              </w:rPr>
              <w:t>时效指标：</w:t>
            </w:r>
            <w:r w:rsidRPr="006030ED">
              <w:rPr>
                <w:rFonts w:hint="eastAsia"/>
                <w:sz w:val="24"/>
                <w:szCs w:val="24"/>
              </w:rPr>
              <w:t>2023</w:t>
            </w:r>
            <w:r w:rsidRPr="006030ED">
              <w:rPr>
                <w:rFonts w:hint="eastAsia"/>
                <w:sz w:val="24"/>
                <w:szCs w:val="24"/>
              </w:rPr>
              <w:t>年</w:t>
            </w:r>
            <w:r w:rsidRPr="006030ED">
              <w:rPr>
                <w:rFonts w:hint="eastAsia"/>
                <w:sz w:val="24"/>
                <w:szCs w:val="24"/>
              </w:rPr>
              <w:t>12</w:t>
            </w:r>
            <w:r w:rsidRPr="006030ED">
              <w:rPr>
                <w:rFonts w:hint="eastAsia"/>
                <w:sz w:val="24"/>
                <w:szCs w:val="24"/>
              </w:rPr>
              <w:t>月前完成。</w:t>
            </w:r>
          </w:p>
          <w:p w:rsidR="001901B1" w:rsidRPr="006030ED" w:rsidRDefault="001901B1" w:rsidP="001F50BC">
            <w:pPr>
              <w:spacing w:line="280" w:lineRule="exact"/>
              <w:jc w:val="left"/>
              <w:rPr>
                <w:sz w:val="24"/>
                <w:szCs w:val="24"/>
              </w:rPr>
            </w:pPr>
            <w:r w:rsidRPr="006030ED">
              <w:rPr>
                <w:rFonts w:hint="eastAsia"/>
                <w:sz w:val="24"/>
                <w:szCs w:val="24"/>
              </w:rPr>
              <w:t>社会效益指标：进一步提升参训人员专业素养。</w:t>
            </w:r>
          </w:p>
        </w:tc>
        <w:tc>
          <w:tcPr>
            <w:tcW w:w="1134" w:type="dxa"/>
            <w:shd w:val="clear" w:color="auto" w:fill="auto"/>
            <w:vAlign w:val="center"/>
          </w:tcPr>
          <w:p w:rsidR="001901B1" w:rsidRPr="006030ED" w:rsidRDefault="001901B1" w:rsidP="001F50BC">
            <w:pPr>
              <w:spacing w:line="280" w:lineRule="exact"/>
              <w:jc w:val="center"/>
              <w:rPr>
                <w:sz w:val="24"/>
                <w:szCs w:val="24"/>
              </w:rPr>
            </w:pPr>
            <w:r w:rsidRPr="006030ED">
              <w:rPr>
                <w:rFonts w:hint="eastAsia"/>
                <w:sz w:val="24"/>
                <w:szCs w:val="24"/>
              </w:rPr>
              <w:t>市防震减灾服务中心</w:t>
            </w:r>
          </w:p>
        </w:tc>
      </w:tr>
      <w:tr w:rsidR="001901B1" w:rsidRPr="008954AE" w:rsidTr="001901B1">
        <w:trPr>
          <w:trHeight w:val="985"/>
          <w:tblHeader/>
          <w:jc w:val="center"/>
        </w:trPr>
        <w:tc>
          <w:tcPr>
            <w:tcW w:w="562" w:type="dxa"/>
            <w:shd w:val="clear" w:color="auto" w:fill="auto"/>
            <w:vAlign w:val="center"/>
          </w:tcPr>
          <w:p w:rsidR="001901B1" w:rsidRPr="006030ED" w:rsidRDefault="001901B1" w:rsidP="001F50BC">
            <w:pPr>
              <w:spacing w:line="280" w:lineRule="exact"/>
              <w:jc w:val="center"/>
              <w:rPr>
                <w:sz w:val="24"/>
                <w:szCs w:val="24"/>
              </w:rPr>
            </w:pPr>
            <w:r w:rsidRPr="006030ED">
              <w:rPr>
                <w:rFonts w:hint="eastAsia"/>
                <w:sz w:val="24"/>
                <w:szCs w:val="24"/>
              </w:rPr>
              <w:t>2</w:t>
            </w:r>
          </w:p>
        </w:tc>
        <w:tc>
          <w:tcPr>
            <w:tcW w:w="992" w:type="dxa"/>
            <w:shd w:val="clear" w:color="auto" w:fill="auto"/>
            <w:vAlign w:val="center"/>
          </w:tcPr>
          <w:p w:rsidR="001901B1" w:rsidRPr="006030ED" w:rsidRDefault="001901B1" w:rsidP="001F50BC">
            <w:pPr>
              <w:spacing w:line="280" w:lineRule="exact"/>
              <w:jc w:val="center"/>
              <w:rPr>
                <w:sz w:val="24"/>
                <w:szCs w:val="24"/>
              </w:rPr>
            </w:pPr>
            <w:r w:rsidRPr="006030ED">
              <w:rPr>
                <w:rFonts w:hint="eastAsia"/>
                <w:sz w:val="24"/>
                <w:szCs w:val="24"/>
              </w:rPr>
              <w:t>市防震减灾服务中心</w:t>
            </w:r>
          </w:p>
        </w:tc>
        <w:tc>
          <w:tcPr>
            <w:tcW w:w="1276" w:type="dxa"/>
            <w:shd w:val="clear" w:color="auto" w:fill="auto"/>
            <w:vAlign w:val="center"/>
          </w:tcPr>
          <w:p w:rsidR="001901B1" w:rsidRPr="006030ED" w:rsidRDefault="001901B1" w:rsidP="001F50BC">
            <w:pPr>
              <w:spacing w:line="280" w:lineRule="exact"/>
              <w:jc w:val="center"/>
              <w:rPr>
                <w:sz w:val="24"/>
                <w:szCs w:val="24"/>
              </w:rPr>
            </w:pPr>
            <w:r w:rsidRPr="006030ED">
              <w:rPr>
                <w:rFonts w:hint="eastAsia"/>
                <w:sz w:val="24"/>
                <w:szCs w:val="24"/>
              </w:rPr>
              <w:t>地震科普携手同行活动</w:t>
            </w:r>
          </w:p>
        </w:tc>
        <w:tc>
          <w:tcPr>
            <w:tcW w:w="1276" w:type="dxa"/>
            <w:shd w:val="clear" w:color="auto" w:fill="auto"/>
            <w:vAlign w:val="center"/>
          </w:tcPr>
          <w:p w:rsidR="001901B1" w:rsidRPr="006030ED" w:rsidRDefault="001901B1" w:rsidP="001F50BC">
            <w:pPr>
              <w:spacing w:line="280" w:lineRule="exact"/>
              <w:jc w:val="center"/>
              <w:rPr>
                <w:sz w:val="24"/>
                <w:szCs w:val="24"/>
              </w:rPr>
            </w:pPr>
            <w:r w:rsidRPr="006030ED">
              <w:rPr>
                <w:rFonts w:hint="eastAsia"/>
                <w:sz w:val="24"/>
                <w:szCs w:val="24"/>
              </w:rPr>
              <w:t>防震减灾社会治理能力提升</w:t>
            </w:r>
          </w:p>
        </w:tc>
        <w:tc>
          <w:tcPr>
            <w:tcW w:w="850" w:type="dxa"/>
            <w:shd w:val="clear" w:color="auto" w:fill="auto"/>
            <w:vAlign w:val="center"/>
          </w:tcPr>
          <w:p w:rsidR="001901B1" w:rsidRPr="006030ED" w:rsidRDefault="001901B1" w:rsidP="001F50BC">
            <w:pPr>
              <w:spacing w:line="280" w:lineRule="exact"/>
              <w:jc w:val="right"/>
              <w:rPr>
                <w:sz w:val="24"/>
                <w:szCs w:val="24"/>
              </w:rPr>
            </w:pPr>
            <w:r w:rsidRPr="006030ED">
              <w:rPr>
                <w:rFonts w:hint="eastAsia"/>
                <w:sz w:val="24"/>
                <w:szCs w:val="24"/>
              </w:rPr>
              <w:t>5</w:t>
            </w:r>
          </w:p>
        </w:tc>
        <w:tc>
          <w:tcPr>
            <w:tcW w:w="8603" w:type="dxa"/>
            <w:shd w:val="clear" w:color="auto" w:fill="auto"/>
            <w:vAlign w:val="center"/>
          </w:tcPr>
          <w:p w:rsidR="001901B1" w:rsidRPr="006030ED" w:rsidRDefault="001901B1" w:rsidP="001F50BC">
            <w:pPr>
              <w:spacing w:line="280" w:lineRule="exact"/>
              <w:jc w:val="left"/>
              <w:rPr>
                <w:sz w:val="24"/>
                <w:szCs w:val="24"/>
              </w:rPr>
            </w:pPr>
            <w:r w:rsidRPr="006030ED">
              <w:rPr>
                <w:rFonts w:hint="eastAsia"/>
                <w:sz w:val="24"/>
                <w:szCs w:val="24"/>
              </w:rPr>
              <w:t>数量指标：为峨边县、马边县等地部分学校和</w:t>
            </w:r>
            <w:r w:rsidRPr="006030ED">
              <w:rPr>
                <w:rFonts w:hint="eastAsia"/>
                <w:sz w:val="24"/>
                <w:szCs w:val="24"/>
              </w:rPr>
              <w:t>2023</w:t>
            </w:r>
            <w:r w:rsidRPr="006030ED">
              <w:rPr>
                <w:rFonts w:hint="eastAsia"/>
                <w:sz w:val="24"/>
                <w:szCs w:val="24"/>
              </w:rPr>
              <w:t>年正在开展国家防震减灾科普示范学校认定申报工作的省级示范学校各购置一批图书。</w:t>
            </w:r>
          </w:p>
          <w:p w:rsidR="001901B1" w:rsidRPr="006030ED" w:rsidRDefault="001901B1" w:rsidP="001F50BC">
            <w:pPr>
              <w:spacing w:line="280" w:lineRule="exact"/>
              <w:jc w:val="left"/>
              <w:rPr>
                <w:sz w:val="24"/>
                <w:szCs w:val="24"/>
              </w:rPr>
            </w:pPr>
            <w:r w:rsidRPr="006030ED">
              <w:rPr>
                <w:rFonts w:hint="eastAsia"/>
                <w:sz w:val="24"/>
                <w:szCs w:val="24"/>
              </w:rPr>
              <w:t>质量指标：所购图书均为正式出版发行的与防震减灾科普有关的书籍。</w:t>
            </w:r>
          </w:p>
          <w:p w:rsidR="001901B1" w:rsidRPr="006030ED" w:rsidRDefault="001901B1" w:rsidP="001F50BC">
            <w:pPr>
              <w:spacing w:line="280" w:lineRule="exact"/>
              <w:jc w:val="left"/>
              <w:rPr>
                <w:sz w:val="24"/>
                <w:szCs w:val="24"/>
              </w:rPr>
            </w:pPr>
            <w:r w:rsidRPr="006030ED">
              <w:rPr>
                <w:rFonts w:hint="eastAsia"/>
                <w:sz w:val="24"/>
                <w:szCs w:val="24"/>
              </w:rPr>
              <w:t>时效指标：</w:t>
            </w:r>
            <w:r w:rsidRPr="006030ED">
              <w:rPr>
                <w:rFonts w:hint="eastAsia"/>
                <w:sz w:val="24"/>
                <w:szCs w:val="24"/>
              </w:rPr>
              <w:t>2023</w:t>
            </w:r>
            <w:r w:rsidRPr="006030ED">
              <w:rPr>
                <w:rFonts w:hint="eastAsia"/>
                <w:sz w:val="24"/>
                <w:szCs w:val="24"/>
              </w:rPr>
              <w:t>年</w:t>
            </w:r>
            <w:r w:rsidRPr="006030ED">
              <w:rPr>
                <w:rFonts w:hint="eastAsia"/>
                <w:sz w:val="24"/>
                <w:szCs w:val="24"/>
              </w:rPr>
              <w:t>12</w:t>
            </w:r>
            <w:r w:rsidRPr="006030ED">
              <w:rPr>
                <w:rFonts w:hint="eastAsia"/>
                <w:sz w:val="24"/>
                <w:szCs w:val="24"/>
              </w:rPr>
              <w:t>月底前完成购买和发送。</w:t>
            </w:r>
          </w:p>
          <w:p w:rsidR="001901B1" w:rsidRPr="006030ED" w:rsidRDefault="001901B1" w:rsidP="001F50BC">
            <w:pPr>
              <w:spacing w:line="280" w:lineRule="exact"/>
              <w:jc w:val="left"/>
              <w:rPr>
                <w:sz w:val="24"/>
                <w:szCs w:val="24"/>
              </w:rPr>
            </w:pPr>
            <w:r w:rsidRPr="006030ED">
              <w:rPr>
                <w:rFonts w:hint="eastAsia"/>
                <w:sz w:val="24"/>
                <w:szCs w:val="24"/>
              </w:rPr>
              <w:t>社会效益指标：进一步提升参与本次活动的师生的防灾减灾意识以及地震应急能力。</w:t>
            </w:r>
          </w:p>
        </w:tc>
        <w:tc>
          <w:tcPr>
            <w:tcW w:w="1134" w:type="dxa"/>
            <w:shd w:val="clear" w:color="auto" w:fill="auto"/>
            <w:vAlign w:val="center"/>
          </w:tcPr>
          <w:p w:rsidR="001901B1" w:rsidRPr="006030ED" w:rsidRDefault="001901B1" w:rsidP="001F50BC">
            <w:pPr>
              <w:spacing w:line="280" w:lineRule="exact"/>
              <w:rPr>
                <w:sz w:val="24"/>
                <w:szCs w:val="24"/>
              </w:rPr>
            </w:pPr>
            <w:r w:rsidRPr="006030ED">
              <w:rPr>
                <w:rFonts w:hint="eastAsia"/>
                <w:sz w:val="24"/>
                <w:szCs w:val="24"/>
              </w:rPr>
              <w:t>市防震减灾服务中心</w:t>
            </w:r>
          </w:p>
        </w:tc>
      </w:tr>
      <w:tr w:rsidR="001901B1" w:rsidRPr="008954AE" w:rsidTr="001901B1">
        <w:trPr>
          <w:trHeight w:val="546"/>
          <w:tblHeader/>
          <w:jc w:val="center"/>
        </w:trPr>
        <w:tc>
          <w:tcPr>
            <w:tcW w:w="562" w:type="dxa"/>
            <w:shd w:val="clear" w:color="auto" w:fill="auto"/>
            <w:vAlign w:val="center"/>
          </w:tcPr>
          <w:p w:rsidR="001901B1" w:rsidRPr="006030ED" w:rsidRDefault="001901B1" w:rsidP="001F50BC">
            <w:pPr>
              <w:spacing w:line="280" w:lineRule="exact"/>
              <w:jc w:val="center"/>
              <w:rPr>
                <w:sz w:val="24"/>
                <w:szCs w:val="24"/>
              </w:rPr>
            </w:pPr>
            <w:r w:rsidRPr="006030ED">
              <w:rPr>
                <w:rFonts w:hint="eastAsia"/>
                <w:sz w:val="24"/>
                <w:szCs w:val="24"/>
              </w:rPr>
              <w:t>3</w:t>
            </w:r>
          </w:p>
        </w:tc>
        <w:tc>
          <w:tcPr>
            <w:tcW w:w="992" w:type="dxa"/>
            <w:shd w:val="clear" w:color="auto" w:fill="auto"/>
            <w:vAlign w:val="center"/>
          </w:tcPr>
          <w:p w:rsidR="001901B1" w:rsidRPr="006030ED" w:rsidRDefault="001901B1" w:rsidP="001F50BC">
            <w:pPr>
              <w:spacing w:line="280" w:lineRule="exact"/>
              <w:jc w:val="center"/>
              <w:rPr>
                <w:sz w:val="24"/>
                <w:szCs w:val="24"/>
              </w:rPr>
            </w:pPr>
            <w:r w:rsidRPr="006030ED">
              <w:rPr>
                <w:rFonts w:hint="eastAsia"/>
                <w:sz w:val="24"/>
                <w:szCs w:val="24"/>
              </w:rPr>
              <w:t>井研县</w:t>
            </w:r>
          </w:p>
        </w:tc>
        <w:tc>
          <w:tcPr>
            <w:tcW w:w="1276" w:type="dxa"/>
            <w:shd w:val="clear" w:color="auto" w:fill="auto"/>
            <w:vAlign w:val="center"/>
          </w:tcPr>
          <w:p w:rsidR="001901B1" w:rsidRPr="006030ED" w:rsidRDefault="001901B1" w:rsidP="001F50BC">
            <w:pPr>
              <w:spacing w:line="280" w:lineRule="exact"/>
              <w:jc w:val="center"/>
              <w:rPr>
                <w:sz w:val="24"/>
                <w:szCs w:val="24"/>
              </w:rPr>
            </w:pPr>
            <w:r w:rsidRPr="006030ED">
              <w:rPr>
                <w:rFonts w:hint="eastAsia"/>
                <w:sz w:val="24"/>
                <w:szCs w:val="24"/>
              </w:rPr>
              <w:t>井下倾斜观测</w:t>
            </w:r>
          </w:p>
        </w:tc>
        <w:tc>
          <w:tcPr>
            <w:tcW w:w="1276" w:type="dxa"/>
            <w:shd w:val="clear" w:color="auto" w:fill="auto"/>
            <w:vAlign w:val="center"/>
          </w:tcPr>
          <w:p w:rsidR="001901B1" w:rsidRPr="006030ED" w:rsidRDefault="001901B1" w:rsidP="001F50BC">
            <w:pPr>
              <w:spacing w:line="280" w:lineRule="exact"/>
              <w:jc w:val="center"/>
              <w:rPr>
                <w:sz w:val="24"/>
                <w:szCs w:val="24"/>
              </w:rPr>
            </w:pPr>
            <w:r w:rsidRPr="006030ED">
              <w:rPr>
                <w:rFonts w:hint="eastAsia"/>
                <w:sz w:val="24"/>
                <w:szCs w:val="24"/>
              </w:rPr>
              <w:t>井下倾斜观测</w:t>
            </w:r>
          </w:p>
        </w:tc>
        <w:tc>
          <w:tcPr>
            <w:tcW w:w="850" w:type="dxa"/>
            <w:shd w:val="clear" w:color="auto" w:fill="auto"/>
            <w:vAlign w:val="center"/>
          </w:tcPr>
          <w:p w:rsidR="001901B1" w:rsidRPr="006030ED" w:rsidRDefault="001901B1" w:rsidP="001F50BC">
            <w:pPr>
              <w:spacing w:line="280" w:lineRule="exact"/>
              <w:jc w:val="right"/>
              <w:rPr>
                <w:sz w:val="24"/>
                <w:szCs w:val="24"/>
              </w:rPr>
            </w:pPr>
            <w:r w:rsidRPr="006030ED">
              <w:rPr>
                <w:rFonts w:hint="eastAsia"/>
                <w:sz w:val="24"/>
                <w:szCs w:val="24"/>
              </w:rPr>
              <w:t>70</w:t>
            </w:r>
          </w:p>
        </w:tc>
        <w:tc>
          <w:tcPr>
            <w:tcW w:w="8603" w:type="dxa"/>
            <w:shd w:val="clear" w:color="auto" w:fill="auto"/>
            <w:vAlign w:val="center"/>
          </w:tcPr>
          <w:p w:rsidR="001901B1" w:rsidRPr="006030ED" w:rsidRDefault="001901B1" w:rsidP="001F50BC">
            <w:pPr>
              <w:spacing w:line="280" w:lineRule="exact"/>
              <w:jc w:val="left"/>
              <w:rPr>
                <w:sz w:val="24"/>
                <w:szCs w:val="24"/>
              </w:rPr>
            </w:pPr>
            <w:r w:rsidRPr="006030ED">
              <w:rPr>
                <w:rFonts w:hint="eastAsia"/>
                <w:sz w:val="24"/>
                <w:szCs w:val="24"/>
              </w:rPr>
              <w:t>数量指标：修建面积约</w:t>
            </w:r>
            <w:r w:rsidRPr="006030ED">
              <w:rPr>
                <w:rFonts w:hint="eastAsia"/>
                <w:sz w:val="24"/>
                <w:szCs w:val="24"/>
              </w:rPr>
              <w:t>10</w:t>
            </w:r>
            <w:r w:rsidRPr="006030ED">
              <w:rPr>
                <w:rFonts w:hint="eastAsia"/>
                <w:sz w:val="24"/>
                <w:szCs w:val="24"/>
              </w:rPr>
              <w:t>平方米的观测房</w:t>
            </w:r>
            <w:r w:rsidRPr="006030ED">
              <w:rPr>
                <w:rFonts w:hint="eastAsia"/>
                <w:sz w:val="24"/>
                <w:szCs w:val="24"/>
              </w:rPr>
              <w:t>1</w:t>
            </w:r>
            <w:r w:rsidRPr="006030ED">
              <w:rPr>
                <w:rFonts w:hint="eastAsia"/>
                <w:sz w:val="24"/>
                <w:szCs w:val="24"/>
              </w:rPr>
              <w:t>个，钻深度</w:t>
            </w:r>
            <w:r w:rsidRPr="006030ED">
              <w:rPr>
                <w:rFonts w:hint="eastAsia"/>
                <w:sz w:val="24"/>
                <w:szCs w:val="24"/>
              </w:rPr>
              <w:t>200</w:t>
            </w:r>
            <w:r w:rsidRPr="006030ED">
              <w:rPr>
                <w:rFonts w:hint="eastAsia"/>
                <w:sz w:val="24"/>
                <w:szCs w:val="24"/>
              </w:rPr>
              <w:t>米左右的地震观测井</w:t>
            </w:r>
            <w:r w:rsidRPr="006030ED">
              <w:rPr>
                <w:rFonts w:hint="eastAsia"/>
                <w:sz w:val="24"/>
                <w:szCs w:val="24"/>
              </w:rPr>
              <w:t>1</w:t>
            </w:r>
            <w:r w:rsidRPr="006030ED">
              <w:rPr>
                <w:rFonts w:hint="eastAsia"/>
                <w:sz w:val="24"/>
                <w:szCs w:val="24"/>
              </w:rPr>
              <w:t>口，购置钻孔倾斜仪及供电、通信、防雷等配套设备。</w:t>
            </w:r>
          </w:p>
          <w:p w:rsidR="001901B1" w:rsidRPr="006030ED" w:rsidRDefault="001901B1" w:rsidP="001F50BC">
            <w:pPr>
              <w:spacing w:line="280" w:lineRule="exact"/>
              <w:jc w:val="left"/>
              <w:rPr>
                <w:sz w:val="24"/>
                <w:szCs w:val="24"/>
              </w:rPr>
            </w:pPr>
            <w:r w:rsidRPr="006030ED">
              <w:rPr>
                <w:rFonts w:hint="eastAsia"/>
                <w:sz w:val="24"/>
                <w:szCs w:val="24"/>
              </w:rPr>
              <w:t>质量指标：观测井、倾斜仪符合相关规范技术要求，井深</w:t>
            </w:r>
            <w:r w:rsidRPr="006030ED">
              <w:rPr>
                <w:rFonts w:hint="eastAsia"/>
                <w:sz w:val="24"/>
                <w:szCs w:val="24"/>
              </w:rPr>
              <w:t>200</w:t>
            </w:r>
            <w:r w:rsidRPr="006030ED">
              <w:rPr>
                <w:rFonts w:hint="eastAsia"/>
                <w:sz w:val="24"/>
                <w:szCs w:val="24"/>
              </w:rPr>
              <w:t>米左右，全程（包含裸岩）最大倾斜不大于</w:t>
            </w:r>
            <w:r w:rsidRPr="006030ED">
              <w:rPr>
                <w:rFonts w:hint="eastAsia"/>
                <w:sz w:val="24"/>
                <w:szCs w:val="24"/>
              </w:rPr>
              <w:t>3.0</w:t>
            </w:r>
            <w:r w:rsidRPr="006030ED">
              <w:rPr>
                <w:rFonts w:hint="eastAsia"/>
                <w:sz w:val="24"/>
                <w:szCs w:val="24"/>
              </w:rPr>
              <w:t>°，全程采用Φ</w:t>
            </w:r>
            <w:r w:rsidRPr="006030ED">
              <w:rPr>
                <w:rFonts w:hint="eastAsia"/>
                <w:sz w:val="24"/>
                <w:szCs w:val="24"/>
              </w:rPr>
              <w:t>146mm</w:t>
            </w:r>
            <w:r w:rsidRPr="006030ED">
              <w:rPr>
                <w:rFonts w:hint="eastAsia"/>
                <w:sz w:val="24"/>
                <w:szCs w:val="24"/>
              </w:rPr>
              <w:t>×</w:t>
            </w:r>
            <w:r w:rsidRPr="006030ED">
              <w:rPr>
                <w:rFonts w:hint="eastAsia"/>
                <w:sz w:val="24"/>
                <w:szCs w:val="24"/>
              </w:rPr>
              <w:t>5.0mm</w:t>
            </w:r>
            <w:r w:rsidRPr="006030ED">
              <w:rPr>
                <w:rFonts w:hint="eastAsia"/>
                <w:sz w:val="24"/>
                <w:szCs w:val="24"/>
              </w:rPr>
              <w:t>材质无磁不锈钢套管至井底，</w:t>
            </w:r>
            <w:proofErr w:type="gramStart"/>
            <w:r w:rsidRPr="006030ED">
              <w:rPr>
                <w:rFonts w:hint="eastAsia"/>
                <w:sz w:val="24"/>
                <w:szCs w:val="24"/>
              </w:rPr>
              <w:t>井孔底部</w:t>
            </w:r>
            <w:proofErr w:type="gramEnd"/>
            <w:r w:rsidRPr="006030ED">
              <w:rPr>
                <w:rFonts w:hint="eastAsia"/>
                <w:sz w:val="24"/>
                <w:szCs w:val="24"/>
              </w:rPr>
              <w:t>为完整基岩。</w:t>
            </w:r>
          </w:p>
          <w:p w:rsidR="001901B1" w:rsidRPr="006030ED" w:rsidRDefault="001901B1" w:rsidP="001F50BC">
            <w:pPr>
              <w:spacing w:line="280" w:lineRule="exact"/>
              <w:jc w:val="left"/>
              <w:rPr>
                <w:sz w:val="24"/>
                <w:szCs w:val="24"/>
              </w:rPr>
            </w:pPr>
            <w:r w:rsidRPr="006030ED">
              <w:rPr>
                <w:rFonts w:hint="eastAsia"/>
                <w:sz w:val="24"/>
                <w:szCs w:val="24"/>
              </w:rPr>
              <w:t>时效指标：</w:t>
            </w:r>
            <w:r w:rsidRPr="006030ED">
              <w:rPr>
                <w:rFonts w:hint="eastAsia"/>
                <w:sz w:val="24"/>
                <w:szCs w:val="24"/>
              </w:rPr>
              <w:t>2023</w:t>
            </w:r>
            <w:r w:rsidRPr="006030ED">
              <w:rPr>
                <w:rFonts w:hint="eastAsia"/>
                <w:sz w:val="24"/>
                <w:szCs w:val="24"/>
              </w:rPr>
              <w:t>年完成项目书预定内容。</w:t>
            </w:r>
          </w:p>
          <w:p w:rsidR="001901B1" w:rsidRPr="006030ED" w:rsidRDefault="001901B1" w:rsidP="001F50BC">
            <w:pPr>
              <w:spacing w:line="280" w:lineRule="exact"/>
              <w:jc w:val="left"/>
              <w:rPr>
                <w:sz w:val="24"/>
                <w:szCs w:val="24"/>
              </w:rPr>
            </w:pPr>
            <w:r w:rsidRPr="006030ED">
              <w:rPr>
                <w:rFonts w:hint="eastAsia"/>
                <w:sz w:val="24"/>
                <w:szCs w:val="24"/>
              </w:rPr>
              <w:t>社会效益指标：提升乐山地球物理观测能力，增强区域地震监测预报能力，地球物理。</w:t>
            </w:r>
          </w:p>
          <w:p w:rsidR="001901B1" w:rsidRPr="006030ED" w:rsidRDefault="001901B1" w:rsidP="001F50BC">
            <w:pPr>
              <w:spacing w:line="280" w:lineRule="exact"/>
              <w:jc w:val="left"/>
              <w:rPr>
                <w:sz w:val="24"/>
                <w:szCs w:val="24"/>
              </w:rPr>
            </w:pPr>
            <w:r w:rsidRPr="006030ED">
              <w:rPr>
                <w:rFonts w:hint="eastAsia"/>
                <w:sz w:val="24"/>
                <w:szCs w:val="24"/>
              </w:rPr>
              <w:t>观测取得明显实效。</w:t>
            </w:r>
          </w:p>
        </w:tc>
        <w:tc>
          <w:tcPr>
            <w:tcW w:w="1134" w:type="dxa"/>
            <w:shd w:val="clear" w:color="auto" w:fill="auto"/>
            <w:vAlign w:val="center"/>
          </w:tcPr>
          <w:p w:rsidR="001901B1" w:rsidRPr="006030ED" w:rsidRDefault="001901B1" w:rsidP="001F50BC">
            <w:pPr>
              <w:spacing w:line="280" w:lineRule="exact"/>
              <w:jc w:val="left"/>
              <w:rPr>
                <w:sz w:val="24"/>
                <w:szCs w:val="24"/>
              </w:rPr>
            </w:pPr>
            <w:r w:rsidRPr="006030ED">
              <w:rPr>
                <w:rFonts w:hint="eastAsia"/>
                <w:sz w:val="24"/>
                <w:szCs w:val="24"/>
              </w:rPr>
              <w:t>井研县应急管理局</w:t>
            </w:r>
          </w:p>
        </w:tc>
      </w:tr>
    </w:tbl>
    <w:p w:rsidR="00AB155E" w:rsidRDefault="00AB155E" w:rsidP="001901B1">
      <w:pPr>
        <w:spacing w:line="20" w:lineRule="exact"/>
      </w:pPr>
    </w:p>
    <w:sectPr w:rsidR="00AB155E" w:rsidSect="001901B1">
      <w:pgSz w:w="16838" w:h="11906" w:orient="landscape"/>
      <w:pgMar w:top="1800" w:right="1440" w:bottom="180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01B1"/>
    <w:rsid w:val="000109DC"/>
    <w:rsid w:val="00041CD6"/>
    <w:rsid w:val="000721D2"/>
    <w:rsid w:val="00072F17"/>
    <w:rsid w:val="00072FE8"/>
    <w:rsid w:val="000802B1"/>
    <w:rsid w:val="000B21A6"/>
    <w:rsid w:val="000C3534"/>
    <w:rsid w:val="000C47C4"/>
    <w:rsid w:val="000D61B2"/>
    <w:rsid w:val="0010212B"/>
    <w:rsid w:val="00121578"/>
    <w:rsid w:val="00126C38"/>
    <w:rsid w:val="001323D4"/>
    <w:rsid w:val="00154ACB"/>
    <w:rsid w:val="00161FEF"/>
    <w:rsid w:val="001901B1"/>
    <w:rsid w:val="001B09A1"/>
    <w:rsid w:val="001C236A"/>
    <w:rsid w:val="001D051B"/>
    <w:rsid w:val="001F028C"/>
    <w:rsid w:val="001F4CD6"/>
    <w:rsid w:val="0020517F"/>
    <w:rsid w:val="00224FC8"/>
    <w:rsid w:val="00231F1E"/>
    <w:rsid w:val="00244E2B"/>
    <w:rsid w:val="002706FB"/>
    <w:rsid w:val="00274668"/>
    <w:rsid w:val="002A0834"/>
    <w:rsid w:val="002C7621"/>
    <w:rsid w:val="002D0E56"/>
    <w:rsid w:val="002D6087"/>
    <w:rsid w:val="002E3E1F"/>
    <w:rsid w:val="002E470C"/>
    <w:rsid w:val="002E7EB5"/>
    <w:rsid w:val="00306B31"/>
    <w:rsid w:val="0034423E"/>
    <w:rsid w:val="00354C27"/>
    <w:rsid w:val="003633D8"/>
    <w:rsid w:val="0039692C"/>
    <w:rsid w:val="003B2CB0"/>
    <w:rsid w:val="003D5899"/>
    <w:rsid w:val="003E1815"/>
    <w:rsid w:val="003F56AB"/>
    <w:rsid w:val="00402439"/>
    <w:rsid w:val="0041185C"/>
    <w:rsid w:val="00422B21"/>
    <w:rsid w:val="00441C5A"/>
    <w:rsid w:val="00470D5B"/>
    <w:rsid w:val="004B2B7E"/>
    <w:rsid w:val="004B6374"/>
    <w:rsid w:val="004F1929"/>
    <w:rsid w:val="005218D0"/>
    <w:rsid w:val="0053639D"/>
    <w:rsid w:val="00551F40"/>
    <w:rsid w:val="005807B4"/>
    <w:rsid w:val="00594E9F"/>
    <w:rsid w:val="005C4434"/>
    <w:rsid w:val="00605620"/>
    <w:rsid w:val="00646E6D"/>
    <w:rsid w:val="00666EB2"/>
    <w:rsid w:val="0068108D"/>
    <w:rsid w:val="0068252B"/>
    <w:rsid w:val="006B1033"/>
    <w:rsid w:val="006B17A9"/>
    <w:rsid w:val="006B3865"/>
    <w:rsid w:val="006C7BAF"/>
    <w:rsid w:val="0070078C"/>
    <w:rsid w:val="00740668"/>
    <w:rsid w:val="0074264D"/>
    <w:rsid w:val="007D7A2A"/>
    <w:rsid w:val="007E0566"/>
    <w:rsid w:val="007E30EF"/>
    <w:rsid w:val="00821D2D"/>
    <w:rsid w:val="00841AC9"/>
    <w:rsid w:val="008542C8"/>
    <w:rsid w:val="0086278D"/>
    <w:rsid w:val="008971CC"/>
    <w:rsid w:val="008B5D8C"/>
    <w:rsid w:val="008C144B"/>
    <w:rsid w:val="008C4508"/>
    <w:rsid w:val="008C4672"/>
    <w:rsid w:val="008E3DB0"/>
    <w:rsid w:val="008F76FB"/>
    <w:rsid w:val="00916539"/>
    <w:rsid w:val="00941488"/>
    <w:rsid w:val="009453FD"/>
    <w:rsid w:val="00951EC0"/>
    <w:rsid w:val="009644D9"/>
    <w:rsid w:val="00995680"/>
    <w:rsid w:val="00997120"/>
    <w:rsid w:val="00997A87"/>
    <w:rsid w:val="009A0066"/>
    <w:rsid w:val="009A7476"/>
    <w:rsid w:val="009C5D9D"/>
    <w:rsid w:val="009C763D"/>
    <w:rsid w:val="00A34F06"/>
    <w:rsid w:val="00A41C54"/>
    <w:rsid w:val="00A55491"/>
    <w:rsid w:val="00A82338"/>
    <w:rsid w:val="00A8341D"/>
    <w:rsid w:val="00AB155E"/>
    <w:rsid w:val="00AC35FF"/>
    <w:rsid w:val="00AD615F"/>
    <w:rsid w:val="00B141CF"/>
    <w:rsid w:val="00B666ED"/>
    <w:rsid w:val="00B72E96"/>
    <w:rsid w:val="00BA2479"/>
    <w:rsid w:val="00BE14E7"/>
    <w:rsid w:val="00C32A66"/>
    <w:rsid w:val="00C62237"/>
    <w:rsid w:val="00C80A6E"/>
    <w:rsid w:val="00CE3755"/>
    <w:rsid w:val="00D20438"/>
    <w:rsid w:val="00D320B5"/>
    <w:rsid w:val="00D33C16"/>
    <w:rsid w:val="00D41F80"/>
    <w:rsid w:val="00D51A52"/>
    <w:rsid w:val="00D74132"/>
    <w:rsid w:val="00D93541"/>
    <w:rsid w:val="00DF3A5F"/>
    <w:rsid w:val="00E055B1"/>
    <w:rsid w:val="00E6685F"/>
    <w:rsid w:val="00EB3274"/>
    <w:rsid w:val="00EC43C8"/>
    <w:rsid w:val="00F12BCB"/>
    <w:rsid w:val="00F26D6E"/>
    <w:rsid w:val="00F45958"/>
    <w:rsid w:val="00F65FE3"/>
    <w:rsid w:val="00F831F9"/>
    <w:rsid w:val="00FC0B0E"/>
    <w:rsid w:val="00FD2930"/>
    <w:rsid w:val="00FF0A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01B1"/>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01B1"/>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104</Words>
  <Characters>599</Characters>
  <Application>Microsoft Office Word</Application>
  <DocSecurity>0</DocSecurity>
  <Lines>4</Lines>
  <Paragraphs>1</Paragraphs>
  <ScaleCrop>false</ScaleCrop>
  <Company>Lenovo</Company>
  <LinksUpToDate>false</LinksUpToDate>
  <CharactersWithSpaces>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李健</dc:creator>
  <cp:lastModifiedBy>李健</cp:lastModifiedBy>
  <cp:revision>1</cp:revision>
  <dcterms:created xsi:type="dcterms:W3CDTF">2023-08-28T06:17:00Z</dcterms:created>
  <dcterms:modified xsi:type="dcterms:W3CDTF">2023-08-28T06:18:00Z</dcterms:modified>
</cp:coreProperties>
</file>