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ascii="方正小标宋简体" w:hAnsi="宋体" w:eastAsia="方正小标宋简体" w:cs="宋体"/>
          <w:bCs/>
          <w:color w:val="000000" w:themeColor="text1"/>
          <w:sz w:val="52"/>
          <w:szCs w:val="52"/>
          <w:highlight w:val="none"/>
          <w14:textFill>
            <w14:solidFill>
              <w14:schemeClr w14:val="tx1"/>
            </w14:solidFill>
          </w14:textFill>
        </w:rPr>
      </w:pPr>
    </w:p>
    <w:p>
      <w:pPr>
        <w:spacing w:line="720" w:lineRule="auto"/>
        <w:jc w:val="center"/>
        <w:rPr>
          <w:rFonts w:ascii="方正小标宋简体" w:hAnsi="宋体" w:eastAsia="方正小标宋简体" w:cs="宋体"/>
          <w:bCs/>
          <w:color w:val="000000" w:themeColor="text1"/>
          <w:sz w:val="52"/>
          <w:szCs w:val="52"/>
          <w:highlight w:val="none"/>
          <w14:textFill>
            <w14:solidFill>
              <w14:schemeClr w14:val="tx1"/>
            </w14:solidFill>
          </w14:textFill>
        </w:rPr>
      </w:pPr>
      <w:r>
        <w:rPr>
          <w:rFonts w:hint="eastAsia" w:ascii="方正小标宋简体" w:hAnsi="宋体" w:eastAsia="方正小标宋简体" w:cs="宋体"/>
          <w:bCs/>
          <w:color w:val="000000" w:themeColor="text1"/>
          <w:sz w:val="52"/>
          <w:szCs w:val="52"/>
          <w:highlight w:val="none"/>
          <w14:textFill>
            <w14:solidFill>
              <w14:schemeClr w14:val="tx1"/>
            </w14:solidFill>
          </w14:textFill>
        </w:rPr>
        <w:t>乐山市电动汽车充电基础设施</w:t>
      </w:r>
    </w:p>
    <w:p>
      <w:pPr>
        <w:spacing w:line="720" w:lineRule="auto"/>
        <w:jc w:val="center"/>
        <w:rPr>
          <w:rFonts w:hint="eastAsia" w:ascii="楷体" w:hAnsi="楷体" w:eastAsia="楷体" w:cs="楷体"/>
          <w:b w:val="0"/>
          <w:bCs w:val="0"/>
          <w:color w:val="000000" w:themeColor="text1"/>
          <w:sz w:val="52"/>
          <w:szCs w:val="52"/>
          <w:highlight w:val="none"/>
          <w:lang w:eastAsia="zh-CN"/>
          <w14:textFill>
            <w14:solidFill>
              <w14:schemeClr w14:val="tx1"/>
            </w14:solidFill>
          </w14:textFill>
        </w:rPr>
      </w:pPr>
      <w:r>
        <w:rPr>
          <w:rFonts w:hint="eastAsia" w:ascii="方正小标宋简体" w:hAnsi="宋体" w:eastAsia="方正小标宋简体" w:cs="宋体"/>
          <w:bCs/>
          <w:color w:val="000000" w:themeColor="text1"/>
          <w:sz w:val="52"/>
          <w:szCs w:val="52"/>
          <w:highlight w:val="none"/>
          <w14:textFill>
            <w14:solidFill>
              <w14:schemeClr w14:val="tx1"/>
            </w14:solidFill>
          </w14:textFill>
        </w:rPr>
        <w:t>专项规划</w:t>
      </w:r>
      <w:r>
        <w:rPr>
          <w:rFonts w:hint="eastAsia" w:ascii="方正小标宋简体" w:hAnsi="宋体" w:eastAsia="方正小标宋简体" w:cs="宋体"/>
          <w:bCs/>
          <w:color w:val="000000" w:themeColor="text1"/>
          <w:sz w:val="52"/>
          <w:szCs w:val="52"/>
          <w:highlight w:val="none"/>
          <w:lang w:eastAsia="zh-CN"/>
          <w14:textFill>
            <w14:solidFill>
              <w14:schemeClr w14:val="tx1"/>
            </w14:solidFill>
          </w14:textFill>
        </w:rPr>
        <w:t>（</w:t>
      </w:r>
      <w:r>
        <w:rPr>
          <w:rFonts w:hint="eastAsia" w:ascii="方正小标宋简体" w:hAnsi="宋体" w:eastAsia="方正小标宋简体" w:cs="宋体"/>
          <w:bCs/>
          <w:color w:val="000000" w:themeColor="text1"/>
          <w:sz w:val="52"/>
          <w:szCs w:val="52"/>
          <w:highlight w:val="none"/>
          <w14:textFill>
            <w14:solidFill>
              <w14:schemeClr w14:val="tx1"/>
            </w14:solidFill>
          </w14:textFill>
        </w:rPr>
        <w:t>202</w:t>
      </w:r>
      <w:r>
        <w:rPr>
          <w:rFonts w:hint="eastAsia" w:ascii="方正小标宋简体" w:hAnsi="宋体" w:eastAsia="方正小标宋简体" w:cs="宋体"/>
          <w:bCs/>
          <w:color w:val="000000" w:themeColor="text1"/>
          <w:sz w:val="52"/>
          <w:szCs w:val="52"/>
          <w:highlight w:val="none"/>
          <w:lang w:val="en-US" w:eastAsia="zh-CN"/>
          <w14:textFill>
            <w14:solidFill>
              <w14:schemeClr w14:val="tx1"/>
            </w14:solidFill>
          </w14:textFill>
        </w:rPr>
        <w:t>5</w:t>
      </w:r>
      <w:r>
        <w:rPr>
          <w:rFonts w:hint="eastAsia" w:ascii="方正小标宋简体" w:hAnsi="宋体" w:eastAsia="方正小标宋简体" w:cs="宋体"/>
          <w:bCs/>
          <w:color w:val="000000" w:themeColor="text1"/>
          <w:sz w:val="52"/>
          <w:szCs w:val="52"/>
          <w:highlight w:val="none"/>
          <w:lang w:eastAsia="zh-CN"/>
          <w14:textFill>
            <w14:solidFill>
              <w14:schemeClr w14:val="tx1"/>
            </w14:solidFill>
          </w14:textFill>
        </w:rPr>
        <w:t>—</w:t>
      </w:r>
      <w:r>
        <w:rPr>
          <w:rFonts w:hint="eastAsia" w:ascii="方正小标宋简体" w:hAnsi="宋体" w:eastAsia="方正小标宋简体" w:cs="宋体"/>
          <w:bCs/>
          <w:color w:val="000000" w:themeColor="text1"/>
          <w:sz w:val="52"/>
          <w:szCs w:val="52"/>
          <w:highlight w:val="none"/>
          <w14:textFill>
            <w14:solidFill>
              <w14:schemeClr w14:val="tx1"/>
            </w14:solidFill>
          </w14:textFill>
        </w:rPr>
        <w:t>20</w:t>
      </w:r>
      <w:r>
        <w:rPr>
          <w:rFonts w:hint="eastAsia" w:ascii="方正小标宋简体" w:hAnsi="宋体" w:eastAsia="方正小标宋简体" w:cs="宋体"/>
          <w:bCs/>
          <w:color w:val="000000" w:themeColor="text1"/>
          <w:sz w:val="52"/>
          <w:szCs w:val="52"/>
          <w:highlight w:val="none"/>
          <w:lang w:val="en-US" w:eastAsia="zh-CN"/>
          <w14:textFill>
            <w14:solidFill>
              <w14:schemeClr w14:val="tx1"/>
            </w14:solidFill>
          </w14:textFill>
        </w:rPr>
        <w:t>30</w:t>
      </w:r>
      <w:r>
        <w:rPr>
          <w:rFonts w:hint="eastAsia" w:ascii="方正小标宋简体" w:hAnsi="宋体" w:eastAsia="方正小标宋简体" w:cs="宋体"/>
          <w:bCs/>
          <w:color w:val="000000" w:themeColor="text1"/>
          <w:sz w:val="52"/>
          <w:szCs w:val="52"/>
          <w:highlight w:val="none"/>
          <w14:textFill>
            <w14:solidFill>
              <w14:schemeClr w14:val="tx1"/>
            </w14:solidFill>
          </w14:textFill>
        </w:rPr>
        <w:t>年</w:t>
      </w:r>
      <w:r>
        <w:rPr>
          <w:rFonts w:hint="eastAsia" w:ascii="方正小标宋简体" w:hAnsi="宋体" w:eastAsia="方正小标宋简体" w:cs="宋体"/>
          <w:bCs/>
          <w:color w:val="000000" w:themeColor="text1"/>
          <w:sz w:val="52"/>
          <w:szCs w:val="52"/>
          <w:highlight w:val="none"/>
          <w:lang w:eastAsia="zh-CN"/>
          <w14:textFill>
            <w14:solidFill>
              <w14:schemeClr w14:val="tx1"/>
            </w14:solidFill>
          </w14:textFill>
        </w:rPr>
        <w:t>）</w:t>
      </w: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r>
        <w:rPr>
          <w:rFonts w:hint="eastAsia" w:ascii="楷体" w:hAnsi="楷体" w:eastAsia="楷体" w:cs="楷体"/>
          <w:b w:val="0"/>
          <w:bCs w:val="0"/>
          <w:color w:val="000000" w:themeColor="text1"/>
          <w:sz w:val="52"/>
          <w:szCs w:val="52"/>
          <w:highlight w:val="none"/>
          <w:lang w:eastAsia="zh-CN"/>
          <w14:textFill>
            <w14:solidFill>
              <w14:schemeClr w14:val="tx1"/>
            </w14:solidFill>
          </w14:textFill>
        </w:rPr>
        <w:br w:type="textWrapping"/>
      </w:r>
      <w:r>
        <w:rPr>
          <w:rFonts w:hint="eastAsia" w:ascii="宋体" w:hAnsi="宋体" w:cs="宋体"/>
          <w:b/>
          <w:bCs/>
          <w:color w:val="000000" w:themeColor="text1"/>
          <w:sz w:val="52"/>
          <w:szCs w:val="52"/>
          <w:highlight w:val="none"/>
          <w:lang w:eastAsia="zh-CN"/>
          <w14:textFill>
            <w14:solidFill>
              <w14:schemeClr w14:val="tx1"/>
            </w14:solidFill>
          </w14:textFill>
        </w:rPr>
        <w:br w:type="textWrapping"/>
      </w: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p>
    <w:p>
      <w:pPr>
        <w:spacing w:line="480" w:lineRule="auto"/>
        <w:jc w:val="center"/>
        <w:rPr>
          <w:rFonts w:ascii="宋体" w:hAnsi="宋体" w:cs="宋体"/>
          <w:b/>
          <w:bCs/>
          <w:color w:val="000000" w:themeColor="text1"/>
          <w:sz w:val="52"/>
          <w:szCs w:val="52"/>
          <w:highlight w:val="none"/>
          <w14:textFill>
            <w14:solidFill>
              <w14:schemeClr w14:val="tx1"/>
            </w14:solidFill>
          </w14:textFill>
        </w:rPr>
      </w:pPr>
    </w:p>
    <w:p>
      <w:pPr>
        <w:spacing w:line="480" w:lineRule="auto"/>
        <w:jc w:val="center"/>
        <w:rPr>
          <w:rFonts w:hint="eastAsia" w:ascii="宋体" w:hAnsi="宋体" w:cs="宋体"/>
          <w:b/>
          <w:bCs/>
          <w:color w:val="000000" w:themeColor="text1"/>
          <w:sz w:val="52"/>
          <w:szCs w:val="52"/>
          <w:highlight w:val="none"/>
          <w14:textFill>
            <w14:solidFill>
              <w14:schemeClr w14:val="tx1"/>
            </w14:solidFill>
          </w14:textFill>
        </w:rPr>
      </w:pPr>
    </w:p>
    <w:p>
      <w:pPr>
        <w:spacing w:line="480" w:lineRule="auto"/>
        <w:jc w:val="center"/>
        <w:rPr>
          <w:rFonts w:ascii="黑体" w:hAnsi="黑体" w:eastAsia="黑体" w:cs="宋体"/>
          <w:bCs/>
          <w:color w:val="000000" w:themeColor="text1"/>
          <w:sz w:val="28"/>
          <w:szCs w:val="28"/>
          <w:highlight w:val="none"/>
          <w14:textFill>
            <w14:solidFill>
              <w14:schemeClr w14:val="tx1"/>
            </w14:solidFill>
          </w14:textFill>
        </w:rPr>
      </w:pPr>
      <w:r>
        <w:rPr>
          <w:rFonts w:hint="eastAsia" w:ascii="黑体" w:hAnsi="黑体" w:eastAsia="黑体" w:cs="宋体"/>
          <w:bCs/>
          <w:color w:val="000000" w:themeColor="text1"/>
          <w:sz w:val="28"/>
          <w:szCs w:val="28"/>
          <w:highlight w:val="none"/>
          <w14:textFill>
            <w14:solidFill>
              <w14:schemeClr w14:val="tx1"/>
            </w14:solidFill>
          </w14:textFill>
        </w:rPr>
        <w:t>乐山市发展和改革委员会</w:t>
      </w:r>
    </w:p>
    <w:p>
      <w:pPr>
        <w:spacing w:line="480" w:lineRule="auto"/>
        <w:jc w:val="center"/>
        <w:rPr>
          <w:rFonts w:ascii="黑体" w:hAnsi="黑体" w:eastAsia="黑体"/>
          <w:color w:val="000000" w:themeColor="text1"/>
          <w:highlight w:val="none"/>
          <w14:textFill>
            <w14:solidFill>
              <w14:schemeClr w14:val="tx1"/>
            </w14:solidFill>
          </w14:textFill>
        </w:rPr>
      </w:pPr>
      <w:r>
        <w:rPr>
          <w:rFonts w:hint="eastAsia" w:ascii="黑体" w:hAnsi="黑体" w:eastAsia="黑体" w:cs="宋体"/>
          <w:bCs/>
          <w:color w:val="000000" w:themeColor="text1"/>
          <w:sz w:val="28"/>
          <w:szCs w:val="28"/>
          <w:highlight w:val="none"/>
          <w14:textFill>
            <w14:solidFill>
              <w14:schemeClr w14:val="tx1"/>
            </w14:solidFill>
          </w14:textFill>
        </w:rPr>
        <w:t>202</w:t>
      </w:r>
      <w:r>
        <w:rPr>
          <w:rFonts w:hint="eastAsia" w:ascii="黑体" w:hAnsi="黑体" w:eastAsia="黑体" w:cs="宋体"/>
          <w:bCs/>
          <w:color w:val="000000" w:themeColor="text1"/>
          <w:sz w:val="28"/>
          <w:szCs w:val="28"/>
          <w:highlight w:val="none"/>
          <w:lang w:val="en-US" w:eastAsia="zh-CN"/>
          <w14:textFill>
            <w14:solidFill>
              <w14:schemeClr w14:val="tx1"/>
            </w14:solidFill>
          </w14:textFill>
        </w:rPr>
        <w:t>5</w:t>
      </w:r>
      <w:r>
        <w:rPr>
          <w:rFonts w:hint="eastAsia" w:ascii="黑体" w:hAnsi="黑体" w:eastAsia="黑体" w:cs="宋体"/>
          <w:bCs/>
          <w:color w:val="000000" w:themeColor="text1"/>
          <w:sz w:val="28"/>
          <w:szCs w:val="28"/>
          <w:highlight w:val="none"/>
          <w14:textFill>
            <w14:solidFill>
              <w14:schemeClr w14:val="tx1"/>
            </w14:solidFill>
          </w14:textFill>
        </w:rPr>
        <w:t>年</w:t>
      </w:r>
      <w:r>
        <w:rPr>
          <w:rFonts w:hint="eastAsia" w:ascii="黑体" w:hAnsi="黑体" w:eastAsia="黑体" w:cs="宋体"/>
          <w:bCs/>
          <w:color w:val="000000" w:themeColor="text1"/>
          <w:sz w:val="28"/>
          <w:szCs w:val="28"/>
          <w:highlight w:val="none"/>
          <w:lang w:val="en-US" w:eastAsia="zh-CN"/>
          <w14:textFill>
            <w14:solidFill>
              <w14:schemeClr w14:val="tx1"/>
            </w14:solidFill>
          </w14:textFill>
        </w:rPr>
        <w:t>12</w:t>
      </w:r>
      <w:r>
        <w:rPr>
          <w:rFonts w:hint="eastAsia" w:ascii="黑体" w:hAnsi="黑体" w:eastAsia="黑体" w:cs="宋体"/>
          <w:bCs/>
          <w:color w:val="000000" w:themeColor="text1"/>
          <w:sz w:val="28"/>
          <w:szCs w:val="28"/>
          <w:highlight w:val="none"/>
          <w14:textFill>
            <w14:solidFill>
              <w14:schemeClr w14:val="tx1"/>
            </w14:solidFill>
          </w14:textFill>
        </w:rPr>
        <w:t>月</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黑体" w:hAnsi="黑体" w:eastAsia="黑体" w:cs="黑体"/>
          <w:b/>
          <w:bCs/>
          <w:sz w:val="36"/>
          <w:szCs w:val="44"/>
          <w:highlight w:val="none"/>
          <w:lang w:val="en-US" w:eastAsia="zh-CN"/>
        </w:rPr>
      </w:pPr>
      <w:bookmarkStart w:id="0" w:name="_Toc28101"/>
      <w:bookmarkStart w:id="1" w:name="_Toc6592"/>
      <w:bookmarkStart w:id="2" w:name="_Toc1321"/>
      <w:bookmarkStart w:id="3" w:name="_Toc15565"/>
      <w:bookmarkStart w:id="4" w:name="_Toc30946"/>
      <w:r>
        <w:rPr>
          <w:rFonts w:hint="eastAsia" w:ascii="黑体" w:hAnsi="黑体" w:eastAsia="黑体" w:cs="黑体"/>
          <w:b/>
          <w:bCs/>
          <w:sz w:val="36"/>
          <w:szCs w:val="44"/>
          <w:highlight w:val="none"/>
          <w:lang w:val="en-US" w:eastAsia="zh-CN"/>
        </w:rPr>
        <w:t>编制背景</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为优化全市电动汽车充电基础设施布局，推动充电基础设施建设，按照市政府工作安排，2021年</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乐山市发展改革委编制</w:t>
      </w:r>
      <w:r>
        <w:rPr>
          <w:rFonts w:hint="eastAsia" w:ascii="宋体" w:hAnsi="宋体" w:cs="宋体"/>
          <w:color w:val="000000" w:themeColor="text1"/>
          <w:sz w:val="24"/>
          <w:szCs w:val="32"/>
          <w:highlight w:val="none"/>
          <w:lang w:val="en-US" w:eastAsia="zh-CN"/>
          <w14:textFill>
            <w14:solidFill>
              <w14:schemeClr w14:val="tx1"/>
            </w14:solidFill>
          </w14:textFill>
        </w:rPr>
        <w:t>印发</w:t>
      </w:r>
      <w:r>
        <w:rPr>
          <w:rFonts w:ascii="Segoe UI" w:hAnsi="Segoe UI" w:eastAsia="Segoe UI" w:cs="Segoe UI"/>
          <w:i w:val="0"/>
          <w:iCs w:val="0"/>
          <w:caps w:val="0"/>
          <w:color w:val="0F1115"/>
          <w:spacing w:val="0"/>
          <w:sz w:val="24"/>
          <w:szCs w:val="24"/>
          <w:shd w:val="clear" w:fill="FFFFFF"/>
        </w:rPr>
        <w:t>了</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《乐山市电动汽车充电基础设施专项规划（2021—2025年）》（以下简称《规划》）</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随着电动汽车发展的日新月异，《规划》在实施过程中也逐渐显现出以下问题，亟需进行相应调整。</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FZHTK--GBK1-0" w:hAnsi="FZHTK--GBK1-0" w:eastAsia="FZHTK--GBK1-0"/>
          <w:sz w:val="24"/>
          <w:szCs w:val="24"/>
          <w:lang w:val="en-US" w:eastAsia="zh-CN"/>
        </w:rPr>
      </w:pPr>
      <w:bookmarkStart w:id="5" w:name="_Toc4791"/>
      <w:bookmarkStart w:id="6" w:name="_Toc2997"/>
      <w:bookmarkStart w:id="7" w:name="_Toc10307"/>
      <w:bookmarkStart w:id="8" w:name="_Toc10163"/>
      <w:bookmarkStart w:id="9" w:name="_Toc16609"/>
      <w:bookmarkStart w:id="10" w:name="_Toc21088"/>
      <w:bookmarkStart w:id="11" w:name="_Toc22989"/>
      <w:bookmarkStart w:id="12" w:name="_Toc15916"/>
      <w:bookmarkStart w:id="13" w:name="_Toc12685"/>
      <w:bookmarkStart w:id="14" w:name="_Toc27400"/>
      <w:bookmarkStart w:id="15" w:name="_Toc7871"/>
      <w:bookmarkStart w:id="16" w:name="_Toc20540"/>
      <w:bookmarkStart w:id="17" w:name="_Toc8678"/>
      <w:r>
        <w:rPr>
          <w:rStyle w:val="19"/>
          <w:rFonts w:hint="eastAsia" w:cs="宋体"/>
          <w:color w:val="000000" w:themeColor="text1"/>
          <w:szCs w:val="24"/>
          <w:highlight w:val="none"/>
          <w:lang w:val="en-US" w:eastAsia="zh-CN"/>
          <w14:textFill>
            <w14:solidFill>
              <w14:schemeClr w14:val="tx1"/>
            </w14:solidFill>
          </w14:textFill>
        </w:rPr>
        <w:t>（一）鼓励电动汽车消费的政策持续发力。</w:t>
      </w:r>
      <w:bookmarkEnd w:id="5"/>
      <w:bookmarkEnd w:id="6"/>
      <w:bookmarkEnd w:id="7"/>
      <w:bookmarkEnd w:id="8"/>
      <w:bookmarkEnd w:id="9"/>
      <w:bookmarkEnd w:id="10"/>
      <w:bookmarkEnd w:id="11"/>
      <w:bookmarkEnd w:id="12"/>
      <w:bookmarkEnd w:id="13"/>
      <w:bookmarkEnd w:id="14"/>
      <w:bookmarkEnd w:id="15"/>
      <w:bookmarkEnd w:id="16"/>
      <w:bookmarkEnd w:id="17"/>
      <w:r>
        <w:rPr>
          <w:rFonts w:hint="eastAsia" w:ascii="宋体" w:hAnsi="宋体" w:eastAsia="宋体" w:cs="宋体"/>
          <w:color w:val="000000" w:themeColor="text1"/>
          <w:sz w:val="24"/>
          <w:szCs w:val="32"/>
          <w:highlight w:val="none"/>
          <w:lang w:val="en-US" w:eastAsia="zh-CN"/>
          <w14:textFill>
            <w14:solidFill>
              <w14:schemeClr w14:val="tx1"/>
            </w14:solidFill>
          </w14:textFill>
        </w:rPr>
        <w:t>为巩固和扩大新能源汽</w:t>
      </w:r>
      <w:r>
        <w:rPr>
          <w:rFonts w:hint="eastAsia" w:ascii="FZHTK--GBK1-0" w:hAnsi="FZHTK--GBK1-0" w:eastAsia="FZHTK--GBK1-0"/>
          <w:sz w:val="24"/>
          <w:szCs w:val="24"/>
          <w:lang w:val="en-US" w:eastAsia="zh-CN"/>
        </w:rPr>
        <w:t>车发展优势，加快推进充电基础设施建设和配套电网升级，各级政府和相关部门陆续推出了促进新能源汽车产业高质量发展的政策措施。尤其是2023年以来，新能源车购置税减免、以旧换新补贴及下乡政策持续发力，推动电动汽车消费保持高速增长。截至2024年底，在政策强有力推动下，全市电动汽车保有量为34884辆。</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bookmarkStart w:id="18" w:name="_Toc29118"/>
      <w:bookmarkStart w:id="19" w:name="_Toc9257"/>
      <w:bookmarkStart w:id="20" w:name="_Toc23231"/>
      <w:bookmarkStart w:id="21" w:name="_Toc3854"/>
      <w:bookmarkStart w:id="22" w:name="_Toc5641"/>
      <w:bookmarkStart w:id="23" w:name="_Toc28073"/>
      <w:bookmarkStart w:id="24" w:name="_Toc19164"/>
      <w:bookmarkStart w:id="25" w:name="_Toc25563"/>
      <w:bookmarkStart w:id="26" w:name="_Toc12010"/>
      <w:bookmarkStart w:id="27" w:name="_Toc6107"/>
      <w:bookmarkStart w:id="28" w:name="_Toc10089"/>
      <w:bookmarkStart w:id="29" w:name="_Toc21476"/>
      <w:bookmarkStart w:id="30" w:name="_Toc29986"/>
      <w:r>
        <w:rPr>
          <w:rStyle w:val="19"/>
          <w:rFonts w:hint="eastAsia" w:cs="Times New Roman"/>
          <w:color w:val="000000" w:themeColor="text1"/>
          <w:szCs w:val="22"/>
          <w:highlight w:val="none"/>
          <w:lang w:val="en-US" w:eastAsia="zh-CN"/>
          <w14:textFill>
            <w14:solidFill>
              <w14:schemeClr w14:val="tx1"/>
            </w14:solidFill>
          </w14:textFill>
        </w:rPr>
        <w:t>（二）推进充电基础设施建设的政策不断深化。</w:t>
      </w:r>
      <w:bookmarkEnd w:id="18"/>
      <w:bookmarkEnd w:id="19"/>
      <w:bookmarkEnd w:id="20"/>
      <w:bookmarkEnd w:id="21"/>
      <w:bookmarkEnd w:id="22"/>
      <w:bookmarkEnd w:id="23"/>
      <w:bookmarkEnd w:id="24"/>
      <w:bookmarkEnd w:id="25"/>
      <w:bookmarkEnd w:id="26"/>
      <w:bookmarkEnd w:id="27"/>
      <w:bookmarkEnd w:id="28"/>
      <w:bookmarkEnd w:id="29"/>
      <w:bookmarkEnd w:id="30"/>
      <w:bookmarkStart w:id="31" w:name="_Toc29376"/>
      <w:bookmarkStart w:id="32" w:name="_Toc1295"/>
      <w:bookmarkStart w:id="33" w:name="_Toc23645"/>
      <w:bookmarkStart w:id="34" w:name="_Toc7714"/>
      <w:bookmarkStart w:id="35" w:name="_Toc28226"/>
      <w:bookmarkStart w:id="36" w:name="_Toc26329"/>
      <w:bookmarkStart w:id="37" w:name="_Toc31274"/>
      <w:bookmarkStart w:id="38" w:name="_Toc5306"/>
      <w:bookmarkStart w:id="39" w:name="_Toc12788"/>
      <w:bookmarkStart w:id="40" w:name="_Toc27476"/>
      <w:r>
        <w:rPr>
          <w:rFonts w:hint="eastAsia" w:ascii="宋体" w:hAnsi="宋体" w:eastAsia="宋体" w:cs="宋体"/>
          <w:color w:val="000000" w:themeColor="text1"/>
          <w:sz w:val="24"/>
          <w:szCs w:val="32"/>
          <w:highlight w:val="none"/>
          <w:lang w:val="en-US" w:eastAsia="zh-CN"/>
          <w14:textFill>
            <w14:solidFill>
              <w14:schemeClr w14:val="tx1"/>
            </w14:solidFill>
          </w14:textFill>
        </w:rPr>
        <w:t>我国充电基础设施呈现快速发展态势，已建成世界上数量最多、服务范围最广、品种类型最全的充电基础设施体系。《国务院办公厅关于进一步构建高质量充电基础设施体系的指导意见》（国办发〔2023〕19号）的发展目标明确提出</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要形成城市面状、公路线状、乡村点状布局的充电网络</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《四川省推进电动汽车充电基础设施建设工作方案》也明确发展目标，要求基本实现电动汽车充电站“县县全覆盖”、电动汽车充电桩“乡乡全覆盖”。根据</w:t>
      </w:r>
      <w:r>
        <w:rPr>
          <w:rFonts w:hint="eastAsia" w:ascii="宋体" w:hAnsi="宋体" w:cs="宋体"/>
          <w:color w:val="000000" w:themeColor="text1"/>
          <w:sz w:val="24"/>
          <w:szCs w:val="32"/>
          <w:highlight w:val="none"/>
          <w:lang w:val="en-US" w:eastAsia="zh-CN"/>
          <w14:textFill>
            <w14:solidFill>
              <w14:schemeClr w14:val="tx1"/>
            </w14:solidFill>
          </w14:textFill>
        </w:rPr>
        <w:t>我市</w:t>
      </w:r>
      <w:r>
        <w:rPr>
          <w:rFonts w:hint="eastAsia" w:ascii="宋体" w:hAnsi="宋体" w:eastAsia="宋体" w:cs="宋体"/>
          <w:color w:val="000000" w:themeColor="text1"/>
          <w:sz w:val="24"/>
          <w:szCs w:val="32"/>
          <w:highlight w:val="none"/>
          <w:lang w:val="en-US" w:eastAsia="zh-CN"/>
          <w14:textFill>
            <w14:solidFill>
              <w14:schemeClr w14:val="tx1"/>
            </w14:solidFill>
          </w14:textFill>
        </w:rPr>
        <w:t>充电设施安装及备案统计</w:t>
      </w:r>
      <w:r>
        <w:rPr>
          <w:rFonts w:hint="eastAsia" w:ascii="宋体" w:hAnsi="宋体" w:cs="宋体"/>
          <w:color w:val="000000" w:themeColor="text1"/>
          <w:sz w:val="24"/>
          <w:szCs w:val="32"/>
          <w:highlight w:val="none"/>
          <w:lang w:val="en-US" w:eastAsia="zh-CN"/>
          <w14:textFill>
            <w14:solidFill>
              <w14:schemeClr w14:val="tx1"/>
            </w14:solidFill>
          </w14:textFill>
        </w:rPr>
        <w:t>数据情况</w:t>
      </w:r>
      <w:r>
        <w:rPr>
          <w:rFonts w:hint="eastAsia" w:ascii="宋体" w:hAnsi="宋体" w:eastAsia="宋体" w:cs="宋体"/>
          <w:color w:val="000000" w:themeColor="text1"/>
          <w:sz w:val="24"/>
          <w:szCs w:val="32"/>
          <w:highlight w:val="none"/>
          <w:lang w:val="en-US" w:eastAsia="zh-CN"/>
          <w14:textFill>
            <w14:solidFill>
              <w14:schemeClr w14:val="tx1"/>
            </w14:solidFill>
          </w14:textFill>
        </w:rPr>
        <w:t>，当前充电基础设施投资热度持续攀升</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乐山市作为</w:t>
      </w:r>
      <w:r>
        <w:rPr>
          <w:rFonts w:hint="eastAsia" w:ascii="宋体" w:hAnsi="宋体" w:cs="宋体"/>
          <w:color w:val="000000" w:themeColor="text1"/>
          <w:sz w:val="24"/>
          <w:szCs w:val="32"/>
          <w:highlight w:val="none"/>
          <w:lang w:val="en-US" w:eastAsia="zh-CN"/>
          <w14:textFill>
            <w14:solidFill>
              <w14:schemeClr w14:val="tx1"/>
            </w14:solidFill>
          </w14:textFill>
        </w:rPr>
        <w:t>四川省</w:t>
      </w:r>
      <w:r>
        <w:rPr>
          <w:rFonts w:hint="eastAsia" w:ascii="宋体" w:hAnsi="宋体" w:eastAsia="宋体" w:cs="宋体"/>
          <w:color w:val="000000" w:themeColor="text1"/>
          <w:sz w:val="24"/>
          <w:szCs w:val="32"/>
          <w:highlight w:val="none"/>
          <w:lang w:val="en-US" w:eastAsia="zh-CN"/>
          <w14:textFill>
            <w14:solidFill>
              <w14:schemeClr w14:val="tx1"/>
            </w14:solidFill>
          </w14:textFill>
        </w:rPr>
        <w:t>确定的充电基础设施快速发展地区，有必要对《规划》进行调整，以满足市场建设需求。</w:t>
      </w:r>
    </w:p>
    <w:p>
      <w:pPr>
        <w:spacing w:line="360" w:lineRule="auto"/>
        <w:ind w:firstLine="562" w:firstLineChars="200"/>
        <w:jc w:val="both"/>
        <w:rPr>
          <w:rFonts w:hint="eastAsia" w:ascii="宋体" w:hAnsi="宋体" w:eastAsia="宋体" w:cs="宋体"/>
          <w:color w:val="000000" w:themeColor="text1"/>
          <w:sz w:val="24"/>
          <w:szCs w:val="32"/>
          <w:highlight w:val="none"/>
          <w:lang w:val="en-US" w:eastAsia="zh-CN"/>
          <w14:textFill>
            <w14:solidFill>
              <w14:schemeClr w14:val="tx1"/>
            </w14:solidFill>
          </w14:textFill>
        </w:rPr>
      </w:pPr>
      <w:bookmarkStart w:id="41" w:name="_Toc22873"/>
      <w:bookmarkStart w:id="42" w:name="_Toc21491"/>
      <w:bookmarkStart w:id="43" w:name="_Toc16927"/>
      <w:r>
        <w:rPr>
          <w:rStyle w:val="19"/>
          <w:rFonts w:hint="eastAsia" w:cs="Times New Roman"/>
          <w:color w:val="000000" w:themeColor="text1"/>
          <w:szCs w:val="22"/>
          <w:highlight w:val="none"/>
          <w:lang w:val="en-US" w:eastAsia="zh-CN"/>
          <w14:textFill>
            <w14:solidFill>
              <w14:schemeClr w14:val="tx1"/>
            </w14:solidFill>
          </w14:textFill>
        </w:rPr>
        <w:t>（三）中心城区城镇开发边界已发生变化。</w:t>
      </w:r>
      <w:bookmarkEnd w:id="31"/>
      <w:bookmarkEnd w:id="32"/>
      <w:bookmarkEnd w:id="33"/>
      <w:bookmarkEnd w:id="34"/>
      <w:bookmarkEnd w:id="35"/>
      <w:bookmarkEnd w:id="36"/>
      <w:bookmarkEnd w:id="37"/>
      <w:bookmarkEnd w:id="38"/>
      <w:bookmarkEnd w:id="39"/>
      <w:bookmarkEnd w:id="40"/>
      <w:bookmarkEnd w:id="41"/>
      <w:bookmarkEnd w:id="42"/>
      <w:bookmarkEnd w:id="43"/>
      <w:r>
        <w:rPr>
          <w:rFonts w:hint="eastAsia" w:ascii="宋体" w:hAnsi="宋体" w:eastAsia="宋体" w:cs="宋体"/>
          <w:b w:val="0"/>
          <w:bCs w:val="0"/>
          <w:color w:val="000000" w:themeColor="text1"/>
          <w:kern w:val="2"/>
          <w:sz w:val="24"/>
          <w:szCs w:val="32"/>
          <w:highlight w:val="none"/>
          <w:lang w:val="en-US" w:eastAsia="zh-CN" w:bidi="ar-SA"/>
          <w14:textFill>
            <w14:solidFill>
              <w14:schemeClr w14:val="tx1"/>
            </w14:solidFill>
          </w14:textFill>
        </w:rPr>
        <w:t>根据《中共中央 国务院关于建立国土空间规划体系并监督实施的若干意见》（中发〔2019〕18号），乐山市启动国土空间规划编制工作，目前</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《乐山市国土空间总体规划（2021—2035</w:t>
      </w:r>
      <w:r>
        <w:rPr>
          <w:rFonts w:hint="eastAsia" w:ascii="宋体" w:hAnsi="宋体" w:cs="宋体"/>
          <w:color w:val="000000" w:themeColor="text1"/>
          <w:sz w:val="24"/>
          <w:szCs w:val="32"/>
          <w:highlight w:val="none"/>
          <w:lang w:val="en-US" w:eastAsia="zh-CN"/>
          <w14:textFill>
            <w14:solidFill>
              <w14:schemeClr w14:val="tx1"/>
            </w14:solidFill>
          </w14:textFill>
        </w:rPr>
        <w:t>年</w:t>
      </w:r>
      <w:r>
        <w:rPr>
          <w:rFonts w:hint="eastAsia"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2"/>
          <w:sz w:val="24"/>
          <w:szCs w:val="32"/>
          <w:highlight w:val="none"/>
          <w:lang w:val="en-US" w:eastAsia="zh-CN" w:bidi="ar-SA"/>
          <w14:textFill>
            <w14:solidFill>
              <w14:schemeClr w14:val="tx1"/>
            </w14:solidFill>
          </w14:textFill>
        </w:rPr>
        <w:t>已获省政府批准，国土空间规划已对《乐山市城市总体规划（2011-2030）（2017）年版》作出较大调整，特别是苏稽、水口、竹根、冠英等片区的城镇开发边界发生显著变化，中心城区用地布局也相应优化。因此，有必要对《规划》中的充电设施布局进行同步更新。</w:t>
      </w:r>
    </w:p>
    <w:p>
      <w:pPr>
        <w:spacing w:line="360" w:lineRule="auto"/>
        <w:ind w:firstLine="562" w:firstLineChars="200"/>
        <w:jc w:val="both"/>
        <w:rPr>
          <w:rFonts w:ascii="Segoe UI" w:hAnsi="Segoe UI" w:eastAsia="Segoe UI" w:cs="Segoe UI"/>
          <w:i w:val="0"/>
          <w:iCs w:val="0"/>
          <w:caps w:val="0"/>
          <w:color w:val="0F1115"/>
          <w:spacing w:val="0"/>
          <w:sz w:val="24"/>
          <w:szCs w:val="24"/>
          <w:shd w:val="clear" w:fill="FFFFFF"/>
        </w:rPr>
      </w:pPr>
      <w:bookmarkStart w:id="44" w:name="_Toc16523"/>
      <w:bookmarkStart w:id="45" w:name="_Toc25674"/>
      <w:bookmarkStart w:id="46" w:name="_Toc1349"/>
      <w:bookmarkStart w:id="47" w:name="_Toc659"/>
      <w:bookmarkStart w:id="48" w:name="_Toc29268"/>
      <w:bookmarkStart w:id="49" w:name="_Toc16610"/>
      <w:bookmarkStart w:id="50" w:name="_Toc22177"/>
      <w:bookmarkStart w:id="51" w:name="_Toc3232"/>
      <w:bookmarkStart w:id="52" w:name="_Toc3675"/>
      <w:bookmarkStart w:id="53" w:name="_Toc27989"/>
      <w:bookmarkStart w:id="54" w:name="_Toc16246"/>
      <w:bookmarkStart w:id="55" w:name="_Toc22725"/>
      <w:bookmarkStart w:id="56" w:name="_Toc17792"/>
      <w:r>
        <w:rPr>
          <w:rStyle w:val="19"/>
          <w:rFonts w:hint="eastAsia" w:cs="Times New Roman"/>
          <w:color w:val="000000" w:themeColor="text1"/>
          <w:szCs w:val="22"/>
          <w:highlight w:val="none"/>
          <w:lang w:val="en-US" w:eastAsia="zh-CN"/>
          <w14:textFill>
            <w14:solidFill>
              <w14:schemeClr w14:val="tx1"/>
            </w14:solidFill>
          </w14:textFill>
        </w:rPr>
        <w:t>（四）专用充电基础设施规划覆盖不够全面。</w:t>
      </w:r>
      <w:bookmarkEnd w:id="44"/>
      <w:bookmarkEnd w:id="45"/>
      <w:bookmarkEnd w:id="46"/>
      <w:bookmarkEnd w:id="47"/>
      <w:bookmarkEnd w:id="48"/>
      <w:bookmarkEnd w:id="49"/>
      <w:bookmarkEnd w:id="50"/>
      <w:bookmarkEnd w:id="51"/>
      <w:bookmarkEnd w:id="52"/>
      <w:bookmarkEnd w:id="53"/>
      <w:bookmarkEnd w:id="54"/>
      <w:bookmarkEnd w:id="55"/>
      <w:bookmarkEnd w:id="56"/>
      <w:bookmarkStart w:id="57" w:name="_Toc16325"/>
      <w:bookmarkStart w:id="58" w:name="_Toc1298"/>
      <w:bookmarkStart w:id="59" w:name="_Toc19237"/>
      <w:bookmarkStart w:id="60" w:name="_Toc25207"/>
      <w:bookmarkStart w:id="61" w:name="_Toc20211"/>
      <w:bookmarkStart w:id="62" w:name="_Toc29585"/>
      <w:bookmarkStart w:id="63" w:name="_Toc29839"/>
      <w:r>
        <w:rPr>
          <w:rFonts w:hint="eastAsia" w:ascii="宋体" w:hAnsi="宋体" w:eastAsia="宋体" w:cs="宋体"/>
          <w:b w:val="0"/>
          <w:bCs w:val="0"/>
          <w:color w:val="000000" w:themeColor="text1"/>
          <w:sz w:val="24"/>
          <w:szCs w:val="32"/>
          <w:highlight w:val="none"/>
          <w:lang w:val="en-US"/>
          <w14:textFill>
            <w14:solidFill>
              <w14:schemeClr w14:val="tx1"/>
            </w14:solidFill>
          </w14:textFill>
        </w:rPr>
        <w:t>《规划》虽明确了专用充电基础设施的布局点位、建设数量及控制功率，在一定程度上指引了各类专用充电设施的建设目标，但公交（客运）、</w:t>
      </w:r>
      <w:r>
        <w:rPr>
          <w:rFonts w:hint="eastAsia" w:ascii="宋体" w:hAnsi="宋体" w:cs="宋体"/>
          <w:b w:val="0"/>
          <w:bCs w:val="0"/>
          <w:color w:val="000000" w:themeColor="text1"/>
          <w:sz w:val="24"/>
          <w:szCs w:val="32"/>
          <w:highlight w:val="none"/>
          <w:lang w:val="en-US" w:eastAsia="zh-CN"/>
          <w14:textFill>
            <w14:solidFill>
              <w14:schemeClr w14:val="tx1"/>
            </w14:solidFill>
          </w14:textFill>
        </w:rPr>
        <w:t>货运</w:t>
      </w:r>
      <w:r>
        <w:rPr>
          <w:rFonts w:hint="eastAsia" w:ascii="宋体" w:hAnsi="宋体" w:eastAsia="宋体" w:cs="宋体"/>
          <w:b w:val="0"/>
          <w:bCs w:val="0"/>
          <w:color w:val="000000" w:themeColor="text1"/>
          <w:sz w:val="24"/>
          <w:szCs w:val="32"/>
          <w:highlight w:val="none"/>
          <w:lang w:val="en-US"/>
          <w14:textFill>
            <w14:solidFill>
              <w14:schemeClr w14:val="tx1"/>
            </w14:solidFill>
          </w14:textFill>
        </w:rPr>
        <w:t>、</w:t>
      </w:r>
      <w:r>
        <w:rPr>
          <w:rFonts w:hint="eastAsia" w:ascii="宋体" w:hAnsi="宋体" w:cs="宋体"/>
          <w:b w:val="0"/>
          <w:bCs w:val="0"/>
          <w:color w:val="000000" w:themeColor="text1"/>
          <w:sz w:val="24"/>
          <w:szCs w:val="32"/>
          <w:highlight w:val="none"/>
          <w:lang w:val="en-US" w:eastAsia="zh-CN"/>
          <w14:textFill>
            <w14:solidFill>
              <w14:schemeClr w14:val="tx1"/>
            </w14:solidFill>
          </w14:textFill>
        </w:rPr>
        <w:t>市政</w:t>
      </w:r>
      <w:r>
        <w:rPr>
          <w:rFonts w:hint="eastAsia" w:ascii="宋体" w:hAnsi="宋体" w:eastAsia="宋体" w:cs="宋体"/>
          <w:b w:val="0"/>
          <w:bCs w:val="0"/>
          <w:color w:val="000000" w:themeColor="text1"/>
          <w:sz w:val="24"/>
          <w:szCs w:val="32"/>
          <w:highlight w:val="none"/>
          <w:lang w:val="en-US"/>
          <w14:textFill>
            <w14:solidFill>
              <w14:schemeClr w14:val="tx1"/>
            </w14:solidFill>
          </w14:textFill>
        </w:rPr>
        <w:t>等专用车辆宜结合推广实际，在专用停车场按需建设，更有利于配套使用。此外，近两年出台的相关政策进一步补充了党政机关、事业单位、国有企业等内部停车场配建充电设施的要求。因此，有必要对《规划》进行修订，全面落实专用充电基础设施建设目标。</w:t>
      </w:r>
    </w:p>
    <w:p>
      <w:pPr>
        <w:spacing w:line="360" w:lineRule="auto"/>
        <w:ind w:firstLine="562" w:firstLineChars="200"/>
        <w:jc w:val="both"/>
        <w:rPr>
          <w:rFonts w:hint="eastAsia" w:ascii="宋体" w:hAnsi="宋体" w:eastAsia="宋体" w:cs="宋体"/>
          <w:color w:val="000000" w:themeColor="text1"/>
          <w:sz w:val="24"/>
          <w:szCs w:val="32"/>
          <w:highlight w:val="none"/>
          <w:lang w:val="en-US" w:eastAsia="zh-CN"/>
          <w14:textFill>
            <w14:solidFill>
              <w14:schemeClr w14:val="tx1"/>
            </w14:solidFill>
          </w14:textFill>
        </w:rPr>
      </w:pPr>
      <w:bookmarkStart w:id="64" w:name="_Toc11947"/>
      <w:bookmarkStart w:id="65" w:name="_Toc30308"/>
      <w:bookmarkStart w:id="66" w:name="_Toc9548"/>
      <w:r>
        <w:rPr>
          <w:rStyle w:val="19"/>
          <w:rFonts w:hint="eastAsia" w:cs="Times New Roman"/>
          <w:color w:val="000000" w:themeColor="text1"/>
          <w:szCs w:val="22"/>
          <w:highlight w:val="none"/>
          <w:lang w:val="en-US" w:eastAsia="zh-CN"/>
          <w14:textFill>
            <w14:solidFill>
              <w14:schemeClr w14:val="tx1"/>
            </w14:solidFill>
          </w14:textFill>
        </w:rPr>
        <w:t>（五）公共充电基础设施布局布点过于细化。</w:t>
      </w:r>
      <w:bookmarkEnd w:id="57"/>
      <w:bookmarkEnd w:id="58"/>
      <w:bookmarkEnd w:id="59"/>
      <w:bookmarkEnd w:id="60"/>
      <w:bookmarkEnd w:id="61"/>
      <w:bookmarkEnd w:id="62"/>
      <w:bookmarkEnd w:id="63"/>
      <w:bookmarkEnd w:id="64"/>
      <w:bookmarkEnd w:id="65"/>
      <w:bookmarkEnd w:id="66"/>
      <w:r>
        <w:rPr>
          <w:rFonts w:hint="eastAsia" w:ascii="宋体" w:hAnsi="宋体" w:eastAsia="宋体" w:cs="宋体"/>
          <w:color w:val="000000" w:themeColor="text1"/>
          <w:sz w:val="24"/>
          <w:szCs w:val="32"/>
          <w:highlight w:val="none"/>
          <w:lang w:val="en-US" w:eastAsia="zh-CN"/>
          <w14:textFill>
            <w14:solidFill>
              <w14:schemeClr w14:val="tx1"/>
            </w14:solidFill>
          </w14:textFill>
        </w:rPr>
        <w:t>根据</w:t>
      </w:r>
      <w:r>
        <w:rPr>
          <w:rFonts w:hint="eastAsia" w:ascii="宋体" w:hAnsi="宋体" w:cs="宋体"/>
          <w:color w:val="000000" w:themeColor="text1"/>
          <w:sz w:val="24"/>
          <w:szCs w:val="32"/>
          <w:highlight w:val="none"/>
          <w:shd w:val="clear"/>
          <w:lang w:val="zh-CN"/>
          <w14:textFill>
            <w14:solidFill>
              <w14:schemeClr w14:val="tx1"/>
            </w14:solidFill>
          </w14:textFill>
        </w:rPr>
        <w:t>《四川省能源局</w:t>
      </w:r>
      <w:r>
        <w:rPr>
          <w:rFonts w:hint="eastAsia" w:ascii="宋体" w:hAnsi="宋体" w:eastAsia="宋体" w:cs="宋体"/>
          <w:color w:val="000000" w:themeColor="text1"/>
          <w:sz w:val="24"/>
          <w:szCs w:val="32"/>
          <w:highlight w:val="none"/>
          <w:lang w:val="en-US" w:eastAsia="zh-CN"/>
          <w14:textFill>
            <w14:solidFill>
              <w14:schemeClr w14:val="tx1"/>
            </w14:solidFill>
          </w14:textFill>
        </w:rPr>
        <w:t>关于开展新能源汽车充电基础设施“十四五”规划编制工作的通知</w:t>
      </w:r>
      <w:r>
        <w:rPr>
          <w:rFonts w:hint="eastAsia" w:ascii="宋体" w:hAnsi="宋体" w:eastAsia="宋体" w:cs="宋体"/>
          <w:color w:val="000000" w:themeColor="text1"/>
          <w:sz w:val="24"/>
          <w:szCs w:val="32"/>
          <w:highlight w:val="none"/>
          <w:lang w:val="zh-CN"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（川能源〔20</w:t>
      </w:r>
      <w:r>
        <w:rPr>
          <w:rFonts w:hint="eastAsia" w:ascii="宋体" w:hAnsi="宋体" w:eastAsia="宋体" w:cs="宋体"/>
          <w:color w:val="000000" w:themeColor="text1"/>
          <w:sz w:val="24"/>
          <w:szCs w:val="32"/>
          <w:highlight w:val="none"/>
          <w:lang w:val="zh-CN" w:eastAsia="zh-CN"/>
          <w14:textFill>
            <w14:solidFill>
              <w14:schemeClr w14:val="tx1"/>
            </w14:solidFill>
          </w14:textFill>
        </w:rPr>
        <w:t>20</w:t>
      </w:r>
      <w:r>
        <w:rPr>
          <w:rFonts w:hint="eastAsia"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zh-CN" w:eastAsia="zh-CN"/>
          <w14:textFill>
            <w14:solidFill>
              <w14:schemeClr w14:val="tx1"/>
            </w14:solidFill>
          </w14:textFill>
        </w:rPr>
        <w:t>23</w:t>
      </w:r>
      <w:r>
        <w:rPr>
          <w:rFonts w:hint="eastAsia" w:ascii="宋体" w:hAnsi="宋体" w:eastAsia="宋体" w:cs="宋体"/>
          <w:color w:val="000000" w:themeColor="text1"/>
          <w:sz w:val="24"/>
          <w:szCs w:val="32"/>
          <w:highlight w:val="none"/>
          <w:lang w:val="en-US" w:eastAsia="zh-CN"/>
          <w14:textFill>
            <w14:solidFill>
              <w14:schemeClr w14:val="tx1"/>
            </w14:solidFill>
          </w14:textFill>
        </w:rPr>
        <w:t>号）</w:t>
      </w:r>
      <w:r>
        <w:rPr>
          <w:rFonts w:hint="eastAsia" w:ascii="宋体" w:hAnsi="宋体" w:eastAsia="宋体" w:cs="宋体"/>
          <w:color w:val="000000" w:themeColor="text1"/>
          <w:sz w:val="24"/>
          <w:szCs w:val="32"/>
          <w:highlight w:val="none"/>
          <w:lang w:val="zh-CN" w:eastAsia="zh-CN"/>
          <w14:textFill>
            <w14:solidFill>
              <w14:schemeClr w14:val="tx1"/>
            </w14:solidFill>
          </w14:textFill>
        </w:rPr>
        <w:t>及《四川省发展和改革委员会 四川省能源局关于</w:t>
      </w:r>
      <w:r>
        <w:rPr>
          <w:rFonts w:hint="default" w:ascii="宋体" w:hAnsi="宋体" w:eastAsia="宋体" w:cs="宋体"/>
          <w:color w:val="000000" w:themeColor="text1"/>
          <w:sz w:val="24"/>
          <w:szCs w:val="32"/>
          <w:highlight w:val="none"/>
          <w:lang w:val="en-US" w:eastAsia="zh-CN"/>
          <w14:textFill>
            <w14:solidFill>
              <w14:schemeClr w14:val="tx1"/>
            </w14:solidFill>
          </w14:textFill>
        </w:rPr>
        <w:t>印发</w:t>
      </w:r>
      <w:r>
        <w:rPr>
          <w:rFonts w:hint="eastAsia" w:ascii="宋体" w:hAnsi="宋体" w:eastAsia="宋体" w:cs="宋体"/>
          <w:color w:val="000000" w:themeColor="text1"/>
          <w:sz w:val="24"/>
          <w:szCs w:val="32"/>
          <w:highlight w:val="none"/>
          <w:lang w:val="en-US" w:eastAsia="zh-CN"/>
          <w14:textFill>
            <w14:solidFill>
              <w14:schemeClr w14:val="tx1"/>
            </w14:solidFill>
          </w14:textFill>
        </w:rPr>
        <w:t>&lt;</w:t>
      </w:r>
      <w:r>
        <w:rPr>
          <w:rFonts w:hint="eastAsia" w:ascii="宋体" w:hAnsi="宋体" w:eastAsia="宋体" w:cs="宋体"/>
          <w:color w:val="000000" w:themeColor="text1"/>
          <w:sz w:val="24"/>
          <w:szCs w:val="32"/>
          <w:highlight w:val="none"/>
          <w:lang w:val="zh-CN" w:eastAsia="zh-CN"/>
          <w14:textFill>
            <w14:solidFill>
              <w14:schemeClr w14:val="tx1"/>
            </w14:solidFill>
          </w14:textFill>
        </w:rPr>
        <w:t>四川省公(专)用充电基础设施建设运营管理暂行办法</w:t>
      </w:r>
      <w:r>
        <w:rPr>
          <w:rFonts w:hint="eastAsia" w:ascii="宋体" w:hAnsi="宋体" w:eastAsia="宋体" w:cs="宋体"/>
          <w:color w:val="000000" w:themeColor="text1"/>
          <w:sz w:val="24"/>
          <w:szCs w:val="32"/>
          <w:highlight w:val="none"/>
          <w:lang w:val="en-US" w:eastAsia="zh-CN"/>
          <w14:textFill>
            <w14:solidFill>
              <w14:schemeClr w14:val="tx1"/>
            </w14:solidFill>
          </w14:textFill>
        </w:rPr>
        <w:t>&gt;</w:t>
      </w:r>
      <w:r>
        <w:rPr>
          <w:rFonts w:hint="eastAsia" w:ascii="宋体" w:hAnsi="宋体" w:eastAsia="宋体" w:cs="宋体"/>
          <w:color w:val="000000" w:themeColor="text1"/>
          <w:sz w:val="24"/>
          <w:szCs w:val="32"/>
          <w:highlight w:val="none"/>
          <w:lang w:val="zh-CN" w:eastAsia="zh-CN"/>
          <w14:textFill>
            <w14:solidFill>
              <w14:schemeClr w14:val="tx1"/>
            </w14:solidFill>
          </w14:textFill>
        </w:rPr>
        <w:t>的通知》</w:t>
      </w:r>
      <w:r>
        <w:rPr>
          <w:rFonts w:hint="eastAsia" w:ascii="宋体" w:hAnsi="宋体" w:eastAsia="宋体" w:cs="宋体"/>
          <w:color w:val="000000" w:themeColor="text1"/>
          <w:sz w:val="24"/>
          <w:szCs w:val="32"/>
          <w:highlight w:val="none"/>
          <w:lang w:val="en-US" w:eastAsia="zh-CN"/>
          <w14:textFill>
            <w14:solidFill>
              <w14:schemeClr w14:val="tx1"/>
            </w14:solidFill>
          </w14:textFill>
        </w:rPr>
        <w:t>（川发改能源规〔2020〕380号）要求，《规划》将公共充电基础设施点位具体落实至地块，虽在一定程度上保障了建设推进，但也限制了其他适宜场所建设公共充电设施的灵活性，不符合“应建尽建”的指导原则。因此，有必要推动公共充电基础设施规划由定点布局向灵活布点转变，以满足投资者建设热情，填补服务空白，提升公共充电设施覆盖密度。</w:t>
      </w:r>
    </w:p>
    <w:p>
      <w:pPr>
        <w:spacing w:line="360" w:lineRule="auto"/>
        <w:ind w:firstLine="480" w:firstLineChars="200"/>
        <w:jc w:val="both"/>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为适应新</w:t>
      </w:r>
      <w:r>
        <w:rPr>
          <w:rFonts w:hint="eastAsia" w:ascii="宋体" w:hAnsi="宋体" w:cs="宋体"/>
          <w:color w:val="000000" w:themeColor="text1"/>
          <w:sz w:val="24"/>
          <w:szCs w:val="32"/>
          <w:highlight w:val="none"/>
          <w:lang w:val="en-US" w:eastAsia="zh-CN"/>
          <w14:textFill>
            <w14:solidFill>
              <w14:schemeClr w14:val="tx1"/>
            </w14:solidFill>
          </w14:textFill>
        </w:rPr>
        <w:t>形势</w:t>
      </w:r>
      <w:r>
        <w:rPr>
          <w:rFonts w:hint="eastAsia" w:ascii="宋体" w:hAnsi="宋体" w:eastAsia="宋体" w:cs="宋体"/>
          <w:color w:val="000000" w:themeColor="text1"/>
          <w:sz w:val="24"/>
          <w:szCs w:val="32"/>
          <w:highlight w:val="none"/>
          <w:lang w:val="en-US" w:eastAsia="zh-CN"/>
          <w14:textFill>
            <w14:solidFill>
              <w14:schemeClr w14:val="tx1"/>
            </w14:solidFill>
          </w14:textFill>
        </w:rPr>
        <w:t>新要求，更好地促进我市充电基础设施</w:t>
      </w:r>
      <w:r>
        <w:rPr>
          <w:rFonts w:hint="eastAsia" w:ascii="宋体" w:hAnsi="宋体" w:eastAsia="宋体" w:cs="宋体"/>
          <w:color w:val="000000" w:themeColor="text1"/>
          <w:sz w:val="24"/>
          <w:szCs w:val="32"/>
          <w:highlight w:val="none"/>
          <w:lang w:val="zh-CN" w:eastAsia="zh-CN"/>
          <w14:textFill>
            <w14:solidFill>
              <w14:schemeClr w14:val="tx1"/>
            </w14:solidFill>
          </w14:textFill>
        </w:rPr>
        <w:t>“十四五”</w:t>
      </w:r>
      <w:r>
        <w:rPr>
          <w:rFonts w:hint="eastAsia" w:ascii="宋体" w:hAnsi="宋体" w:eastAsia="宋体" w:cs="宋体"/>
          <w:color w:val="000000" w:themeColor="text1"/>
          <w:sz w:val="24"/>
          <w:szCs w:val="32"/>
          <w:highlight w:val="none"/>
          <w:lang w:val="en-US" w:eastAsia="zh-CN"/>
          <w14:textFill>
            <w14:solidFill>
              <w14:schemeClr w14:val="tx1"/>
            </w14:solidFill>
          </w14:textFill>
        </w:rPr>
        <w:t>圆满收</w:t>
      </w:r>
      <w:r>
        <w:rPr>
          <w:rFonts w:hint="eastAsia" w:ascii="宋体" w:hAnsi="宋体" w:cs="宋体"/>
          <w:color w:val="000000" w:themeColor="text1"/>
          <w:sz w:val="24"/>
          <w:szCs w:val="32"/>
          <w:highlight w:val="none"/>
          <w:lang w:val="en-US" w:eastAsia="zh-CN"/>
          <w14:textFill>
            <w14:solidFill>
              <w14:schemeClr w14:val="tx1"/>
            </w14:solidFill>
          </w14:textFill>
        </w:rPr>
        <w:t>官</w:t>
      </w:r>
      <w:r>
        <w:rPr>
          <w:rFonts w:hint="eastAsia" w:ascii="宋体" w:hAnsi="宋体" w:eastAsia="宋体" w:cs="宋体"/>
          <w:color w:val="000000" w:themeColor="text1"/>
          <w:sz w:val="24"/>
          <w:szCs w:val="32"/>
          <w:highlight w:val="none"/>
          <w:lang w:val="zh-CN" w:eastAsia="zh-CN"/>
          <w14:textFill>
            <w14:solidFill>
              <w14:schemeClr w14:val="tx1"/>
            </w14:solidFill>
          </w14:textFill>
        </w:rPr>
        <w:t>与“十五五”前瞻布局</w:t>
      </w:r>
      <w:r>
        <w:rPr>
          <w:rFonts w:hint="eastAsia" w:ascii="宋体" w:hAnsi="宋体" w:eastAsia="宋体" w:cs="宋体"/>
          <w:color w:val="000000" w:themeColor="text1"/>
          <w:sz w:val="24"/>
          <w:szCs w:val="32"/>
          <w:highlight w:val="none"/>
          <w:lang w:val="en-US" w:eastAsia="zh-CN"/>
          <w14:textFill>
            <w14:solidFill>
              <w14:schemeClr w14:val="tx1"/>
            </w14:solidFill>
          </w14:textFill>
        </w:rPr>
        <w:t>，因此开展</w:t>
      </w:r>
      <w:r>
        <w:rPr>
          <w:rFonts w:hint="default"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乐山市电动汽车充电基础设施专项规划（202</w:t>
      </w:r>
      <w:r>
        <w:rPr>
          <w:rFonts w:hint="eastAsia" w:ascii="宋体" w:hAnsi="宋体" w:cs="宋体"/>
          <w:color w:val="000000" w:themeColor="text1"/>
          <w:sz w:val="24"/>
          <w:szCs w:val="32"/>
          <w:highlight w:val="none"/>
          <w:lang w:val="en-US" w:eastAsia="zh-CN"/>
          <w14:textFill>
            <w14:solidFill>
              <w14:schemeClr w14:val="tx1"/>
            </w14:solidFill>
          </w14:textFill>
        </w:rPr>
        <w:t>5</w:t>
      </w:r>
      <w:r>
        <w:rPr>
          <w:rFonts w:hint="eastAsia" w:ascii="宋体" w:hAnsi="宋体" w:eastAsia="宋体" w:cs="宋体"/>
          <w:color w:val="000000" w:themeColor="text1"/>
          <w:sz w:val="24"/>
          <w:szCs w:val="32"/>
          <w:highlight w:val="none"/>
          <w:lang w:val="en-US" w:eastAsia="zh-CN"/>
          <w14:textFill>
            <w14:solidFill>
              <w14:schemeClr w14:val="tx1"/>
            </w14:solidFill>
          </w14:textFill>
        </w:rPr>
        <w:t>—2030年）</w:t>
      </w:r>
      <w:r>
        <w:rPr>
          <w:rFonts w:hint="default"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编制工作。</w:t>
      </w:r>
    </w:p>
    <w:p>
      <w:pPr>
        <w:jc w:val="both"/>
        <w:rPr>
          <w:rFonts w:hint="eastAsia" w:ascii="宋体" w:hAnsi="宋体" w:cs="宋体"/>
          <w:color w:val="000000" w:themeColor="text1"/>
          <w:sz w:val="24"/>
          <w:szCs w:val="32"/>
          <w:highlight w:val="none"/>
          <w14:textFill>
            <w14:solidFill>
              <w14:schemeClr w14:val="tx1"/>
            </w14:solidFill>
          </w14:textFill>
        </w:rPr>
        <w:sectPr>
          <w:headerReference r:id="rId3" w:type="default"/>
          <w:pgSz w:w="11850" w:h="16783"/>
          <w:pgMar w:top="1440" w:right="1800" w:bottom="1440" w:left="1800" w:header="851" w:footer="992" w:gutter="0"/>
          <w:cols w:space="720" w:num="1"/>
          <w:docGrid w:type="lines" w:linePitch="312" w:charSpace="0"/>
        </w:sectPr>
      </w:pPr>
    </w:p>
    <w:p>
      <w:pPr>
        <w:jc w:val="center"/>
        <w:rPr>
          <w:rFonts w:hint="eastAsia" w:ascii="黑体" w:hAnsi="黑体" w:eastAsia="黑体" w:cs="黑体"/>
          <w:color w:val="000000" w:themeColor="text1"/>
          <w:kern w:val="2"/>
          <w:sz w:val="21"/>
          <w:szCs w:val="28"/>
          <w:highlight w:val="none"/>
          <w:lang w:val="en-US" w:eastAsia="zh-CN" w:bidi="ar-SA"/>
          <w14:textFill>
            <w14:solidFill>
              <w14:schemeClr w14:val="tx1"/>
            </w14:solidFill>
          </w14:textFill>
        </w:rPr>
      </w:pPr>
      <w:r>
        <w:rPr>
          <w:rFonts w:hint="eastAsia" w:ascii="黑体" w:hAnsi="黑体" w:eastAsia="黑体" w:cs="黑体"/>
          <w:b/>
          <w:bCs/>
          <w:color w:val="000000" w:themeColor="text1"/>
          <w:sz w:val="36"/>
          <w:szCs w:val="36"/>
          <w:highlight w:val="none"/>
          <w14:textFill>
            <w14:solidFill>
              <w14:schemeClr w14:val="tx1"/>
            </w14:solidFill>
          </w14:textFill>
        </w:rPr>
        <w:t>目 录</w:t>
      </w:r>
      <w:r>
        <w:rPr>
          <w:rFonts w:hint="eastAsia" w:ascii="黑体" w:hAnsi="黑体" w:eastAsia="黑体" w:cs="黑体"/>
          <w:color w:val="000000" w:themeColor="text1"/>
          <w:sz w:val="28"/>
          <w:szCs w:val="28"/>
          <w:highlight w:val="none"/>
          <w14:textFill>
            <w14:solidFill>
              <w14:schemeClr w14:val="tx1"/>
            </w14:solidFill>
          </w14:textFill>
        </w:rPr>
        <w:fldChar w:fldCharType="begin"/>
      </w:r>
      <w:r>
        <w:rPr>
          <w:rFonts w:hint="eastAsia" w:ascii="黑体" w:hAnsi="黑体" w:eastAsia="黑体" w:cs="黑体"/>
          <w:color w:val="000000" w:themeColor="text1"/>
          <w:sz w:val="28"/>
          <w:szCs w:val="28"/>
          <w:highlight w:val="none"/>
          <w14:textFill>
            <w14:solidFill>
              <w14:schemeClr w14:val="tx1"/>
            </w14:solidFill>
          </w14:textFill>
        </w:rPr>
        <w:instrText xml:space="preserve">TOC \t "充电桩01,1,充电桩02,2,充电桩03,3" \h</w:instrText>
      </w:r>
      <w:r>
        <w:rPr>
          <w:rFonts w:hint="eastAsia" w:ascii="黑体" w:hAnsi="黑体" w:eastAsia="黑体" w:cs="黑体"/>
          <w:color w:val="000000" w:themeColor="text1"/>
          <w:sz w:val="28"/>
          <w:szCs w:val="28"/>
          <w:highlight w:val="none"/>
          <w14:textFill>
            <w14:solidFill>
              <w14:schemeClr w14:val="tx1"/>
            </w14:solidFill>
          </w14:textFill>
        </w:rPr>
        <w:fldChar w:fldCharType="separate"/>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_Toc7175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第一章 前言</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_Toc7175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1</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_Toc11479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编制目的和意义</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_Toc11479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_Toc28435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（一）资源环境保护的需要</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_Toc28435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_Toc3912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（二）产业培育发展的需要</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_Toc3912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_Toc27419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（三）贯彻各级政策的需要</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_Toc27419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_Toc3776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（四）群众交通出行的需要</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_Toc3776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_Toc31014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指导思想</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_Toc31014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_Toc2538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第三节 规划期限与范围</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_Toc2538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_Toc14315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（一）规划期限</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_Toc14315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_Toc23665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（二）规划范围</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_Toc23665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_Toc13556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第四节 编制依据</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_Toc13556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_Toc9240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（一）法律、法规、规范、</w:t>
      </w:r>
      <w:r>
        <w:rPr>
          <w:rStyle w:val="19"/>
          <w:rFonts w:hint="eastAsia" w:cs="Times New Roman"/>
          <w:b w:val="0"/>
          <w:bCs/>
          <w:szCs w:val="22"/>
          <w:highlight w:val="none"/>
          <w:lang w:val="en-US" w:eastAsia="zh-CN"/>
        </w:rPr>
        <w:t>标准</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_Toc9240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4</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_Toc19410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（二）相关政策</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_Toc19410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4</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_Toc6051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zh-CN"/>
        </w:rPr>
        <w:t>（三）相关规划</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_Toc6051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6</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_Toc17382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第二章 社会经济发展及规划概况</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_Toc17382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7</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_Toc17902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社会经济发展概况</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_Toc17902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7</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_Toc18831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国土空间规划情况</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_Toc18831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_Toc1773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第三章 电动汽车及充电设施现状分析</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_Toc1773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11</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_Toc1475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政策环境</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_Toc1475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11</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_Toc30049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en-US" w:eastAsia="zh-CN"/>
        </w:rPr>
        <w:t>（一）国家级层面政策</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_Toc30049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_Toc28499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en-US" w:eastAsia="zh-CN"/>
        </w:rPr>
        <w:t>（二）省级层面政策</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_Toc28499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12</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_Toc16266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val="en-US" w:eastAsia="zh-CN"/>
        </w:rPr>
        <w:t>（三）市级层面政策</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_Toc16266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14</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_Toc2924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汽车与电动汽车现状</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_Toc2924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15</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_Toc20002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第三节 充电设施现状</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_Toc20002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16</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_Toc16153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第四节 现状总结</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_Toc16153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16</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_Toc31837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（一）发展机遇</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_Toc31837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16</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_Toc8651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（二）发展挑战</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_Toc8651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17</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_Toc12485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第四章 需求预测</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_Toc12485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18</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_Toc310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预测思路</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_Toc310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_Toc26162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电动汽车保有量预测</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_Toc26162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_Toc2310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第三节 充电设施需求预测</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_Toc2310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19</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_Toc27939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第五章 发展策略与规划目标</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_Toc27939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21</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_Toc21809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发展策略</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_Toc21809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21</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_Toc12615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（一）科学布局、适度超前</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_Toc12615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_Toc11256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（二）重点突出、分类实施</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_Toc11256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_Toc27645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（三）因地制宜、集约高效</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_Toc27645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_Toc17620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（四）市场主导、创新机制</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_Toc17620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_Toc13323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（五）</w:t>
      </w:r>
      <w:r>
        <w:rPr>
          <w:rStyle w:val="19"/>
          <w:rFonts w:hint="eastAsia" w:cs="Times New Roman"/>
          <w:b w:val="0"/>
          <w:bCs/>
          <w:szCs w:val="22"/>
          <w:highlight w:val="none"/>
          <w:lang w:val="en-US" w:eastAsia="zh-CN"/>
        </w:rPr>
        <w:t>服务为本</w:t>
      </w:r>
      <w:r>
        <w:rPr>
          <w:rStyle w:val="19"/>
          <w:rFonts w:hint="eastAsia" w:cs="Times New Roman"/>
          <w:b w:val="0"/>
          <w:bCs/>
          <w:szCs w:val="22"/>
          <w:highlight w:val="none"/>
        </w:rPr>
        <w:t>、安全便捷</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_Toc13323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21</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_Toc27617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规划目标</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_Toc27617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22</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_Toc23333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第六章 选址布局方案</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_Toc23333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23</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_Toc21596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充电设施配建要求</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_Toc21596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23</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_Toc9554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自用充电设施</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_Toc9554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24</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_Toc5069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 xml:space="preserve">第三节 </w:t>
      </w:r>
      <w:r>
        <w:rPr>
          <w:rFonts w:hint="default" w:ascii="黑体" w:hAnsi="黑体" w:eastAsia="黑体" w:cs="黑体"/>
          <w:sz w:val="28"/>
          <w:szCs w:val="28"/>
          <w:highlight w:val="none"/>
          <w:lang w:val="en-US" w:eastAsia="zh-CN"/>
        </w:rPr>
        <w:t>专用</w:t>
      </w:r>
      <w:r>
        <w:rPr>
          <w:rFonts w:hint="eastAsia" w:ascii="黑体" w:hAnsi="黑体" w:eastAsia="黑体" w:cs="黑体"/>
          <w:sz w:val="28"/>
          <w:szCs w:val="28"/>
          <w:highlight w:val="none"/>
          <w:lang w:val="en-US" w:eastAsia="zh-CN"/>
        </w:rPr>
        <w:t>充（换）电</w:t>
      </w:r>
      <w:r>
        <w:rPr>
          <w:rFonts w:hint="default" w:ascii="黑体" w:hAnsi="黑体" w:eastAsia="黑体" w:cs="黑体"/>
          <w:sz w:val="28"/>
          <w:szCs w:val="28"/>
          <w:highlight w:val="none"/>
          <w:lang w:val="en-US" w:eastAsia="zh-CN"/>
        </w:rPr>
        <w:t>设施</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_Toc5069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24</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_Toc7864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（一）规划建设要求</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_Toc7864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24</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_Toc19346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（二）中心城区布局</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_Toc19346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25</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_Toc10787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第四节 公共充（换）电</w:t>
      </w:r>
      <w:r>
        <w:rPr>
          <w:rFonts w:hint="default" w:ascii="黑体" w:hAnsi="黑体" w:eastAsia="黑体" w:cs="黑体"/>
          <w:sz w:val="28"/>
          <w:szCs w:val="28"/>
          <w:highlight w:val="none"/>
          <w:lang w:val="en-US" w:eastAsia="zh-CN"/>
        </w:rPr>
        <w:t>设施</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_Toc10787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26</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_Toc13633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（一）规划建设要求</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_Toc13633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26</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_Toc23781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（二）中心城区布局</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_Toc23781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28</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_Toc4782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第七章 重点任务</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_Toc4782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32</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_Toc5156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强化建设管理</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_Toc5156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32</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_Toc27779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完善配套电网</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_Toc27779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32</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_Toc15762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第三节 优化运营模式</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_Toc15762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33</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_Toc10897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第四节 加强宣传引导</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_Toc10897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33</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_Toc14081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第八章 建设投资与成效分析</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_Toc14081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35</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_Toc31647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建设规模</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_Toc31647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35</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_Toc874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投资估算</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_Toc874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35</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_Toc28870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第三节 经济效益</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_Toc28870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35</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_Toc18790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第九章 环境影响评价</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_Toc18790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36</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_Toc4252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环境影响分析</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_Toc4252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36</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_Toc28197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eastAsia="zh-CN"/>
        </w:rPr>
        <w:t>（</w:t>
      </w:r>
      <w:r>
        <w:rPr>
          <w:rStyle w:val="19"/>
          <w:rFonts w:hint="eastAsia" w:cs="Times New Roman"/>
          <w:b w:val="0"/>
          <w:bCs/>
          <w:szCs w:val="22"/>
          <w:highlight w:val="none"/>
          <w:lang w:val="en-US" w:eastAsia="zh-CN"/>
        </w:rPr>
        <w:t>一</w:t>
      </w:r>
      <w:r>
        <w:rPr>
          <w:rStyle w:val="19"/>
          <w:rFonts w:hint="eastAsia" w:cs="Times New Roman"/>
          <w:b w:val="0"/>
          <w:bCs/>
          <w:szCs w:val="22"/>
          <w:highlight w:val="none"/>
          <w:lang w:eastAsia="zh-CN"/>
        </w:rPr>
        <w:t>）</w:t>
      </w:r>
      <w:r>
        <w:rPr>
          <w:rStyle w:val="19"/>
          <w:rFonts w:hint="eastAsia" w:cs="Times New Roman"/>
          <w:b w:val="0"/>
          <w:bCs/>
          <w:szCs w:val="22"/>
          <w:highlight w:val="none"/>
        </w:rPr>
        <w:t>电动汽车替代的减排效益</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_Toc28197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36</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_Toc2232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eastAsia="zh-CN"/>
        </w:rPr>
        <w:t>（</w:t>
      </w:r>
      <w:r>
        <w:rPr>
          <w:rStyle w:val="19"/>
          <w:rFonts w:hint="eastAsia" w:cs="Times New Roman"/>
          <w:b w:val="0"/>
          <w:bCs/>
          <w:szCs w:val="22"/>
          <w:highlight w:val="none"/>
        </w:rPr>
        <w:t>二</w:t>
      </w:r>
      <w:r>
        <w:rPr>
          <w:rStyle w:val="19"/>
          <w:rFonts w:hint="eastAsia" w:cs="Times New Roman"/>
          <w:b w:val="0"/>
          <w:bCs/>
          <w:szCs w:val="22"/>
          <w:highlight w:val="none"/>
          <w:lang w:eastAsia="zh-CN"/>
        </w:rPr>
        <w:t>）</w:t>
      </w:r>
      <w:r>
        <w:rPr>
          <w:rStyle w:val="19"/>
          <w:rFonts w:hint="eastAsia" w:cs="Times New Roman"/>
          <w:b w:val="0"/>
          <w:bCs/>
          <w:szCs w:val="22"/>
          <w:highlight w:val="none"/>
        </w:rPr>
        <w:t>施工期间的污染排放</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_Toc2232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36</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_Toc31079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eastAsia="zh-CN"/>
        </w:rPr>
        <w:t>（</w:t>
      </w:r>
      <w:r>
        <w:rPr>
          <w:rStyle w:val="19"/>
          <w:rFonts w:hint="eastAsia" w:cs="Times New Roman"/>
          <w:b w:val="0"/>
          <w:bCs/>
          <w:szCs w:val="22"/>
          <w:highlight w:val="none"/>
        </w:rPr>
        <w:t>三</w:t>
      </w:r>
      <w:r>
        <w:rPr>
          <w:rStyle w:val="19"/>
          <w:rFonts w:hint="eastAsia" w:cs="Times New Roman"/>
          <w:b w:val="0"/>
          <w:bCs/>
          <w:szCs w:val="22"/>
          <w:highlight w:val="none"/>
          <w:lang w:eastAsia="zh-CN"/>
        </w:rPr>
        <w:t>）</w:t>
      </w:r>
      <w:r>
        <w:rPr>
          <w:rStyle w:val="19"/>
          <w:rFonts w:hint="eastAsia" w:cs="Times New Roman"/>
          <w:b w:val="0"/>
          <w:bCs/>
          <w:szCs w:val="22"/>
          <w:highlight w:val="none"/>
        </w:rPr>
        <w:t>运营期间的</w:t>
      </w:r>
      <w:r>
        <w:rPr>
          <w:rStyle w:val="19"/>
          <w:rFonts w:hint="eastAsia" w:cs="Times New Roman"/>
          <w:b w:val="0"/>
          <w:bCs/>
          <w:szCs w:val="22"/>
          <w:highlight w:val="none"/>
          <w:lang w:val="en-US" w:eastAsia="zh-CN"/>
        </w:rPr>
        <w:t>环境影响</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_Toc31079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36</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_Toc6229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环境保护措施</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_Toc6229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36</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_Toc4618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eastAsia="zh-CN"/>
        </w:rPr>
        <w:t>（</w:t>
      </w:r>
      <w:r>
        <w:rPr>
          <w:rStyle w:val="19"/>
          <w:rFonts w:hint="eastAsia" w:cs="Times New Roman"/>
          <w:b w:val="0"/>
          <w:bCs/>
          <w:szCs w:val="22"/>
          <w:highlight w:val="none"/>
        </w:rPr>
        <w:t>一</w:t>
      </w:r>
      <w:r>
        <w:rPr>
          <w:rStyle w:val="19"/>
          <w:rFonts w:hint="eastAsia" w:cs="Times New Roman"/>
          <w:b w:val="0"/>
          <w:bCs/>
          <w:szCs w:val="22"/>
          <w:highlight w:val="none"/>
          <w:lang w:eastAsia="zh-CN"/>
        </w:rPr>
        <w:t>）</w:t>
      </w:r>
      <w:r>
        <w:rPr>
          <w:rStyle w:val="19"/>
          <w:rFonts w:hint="eastAsia" w:cs="Times New Roman"/>
          <w:b w:val="0"/>
          <w:bCs/>
          <w:szCs w:val="22"/>
          <w:highlight w:val="none"/>
        </w:rPr>
        <w:t>施工期污染防控措施</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_Toc4618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37</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_Toc25890 </w:instrText>
      </w:r>
      <w:r>
        <w:rPr>
          <w:rStyle w:val="19"/>
          <w:rFonts w:hint="eastAsia" w:cs="Times New Roman"/>
          <w:b w:val="0"/>
          <w:bCs/>
          <w:szCs w:val="22"/>
          <w:highlight w:val="none"/>
        </w:rPr>
        <w:fldChar w:fldCharType="separate"/>
      </w:r>
      <w:r>
        <w:rPr>
          <w:rStyle w:val="19"/>
          <w:rFonts w:hint="eastAsia" w:cs="Times New Roman"/>
          <w:b w:val="0"/>
          <w:bCs/>
          <w:szCs w:val="22"/>
          <w:highlight w:val="none"/>
          <w:lang w:eastAsia="zh-CN"/>
        </w:rPr>
        <w:t>（</w:t>
      </w:r>
      <w:r>
        <w:rPr>
          <w:rStyle w:val="19"/>
          <w:rFonts w:hint="eastAsia" w:cs="Times New Roman"/>
          <w:b w:val="0"/>
          <w:bCs/>
          <w:szCs w:val="22"/>
          <w:highlight w:val="none"/>
        </w:rPr>
        <w:t>二</w:t>
      </w:r>
      <w:r>
        <w:rPr>
          <w:rStyle w:val="19"/>
          <w:rFonts w:hint="eastAsia" w:cs="Times New Roman"/>
          <w:b w:val="0"/>
          <w:bCs/>
          <w:szCs w:val="22"/>
          <w:highlight w:val="none"/>
          <w:lang w:eastAsia="zh-CN"/>
        </w:rPr>
        <w:t>）</w:t>
      </w:r>
      <w:r>
        <w:rPr>
          <w:rStyle w:val="19"/>
          <w:rFonts w:hint="eastAsia" w:cs="Times New Roman"/>
          <w:b w:val="0"/>
          <w:bCs/>
          <w:szCs w:val="22"/>
          <w:highlight w:val="none"/>
        </w:rPr>
        <w:t>运营期环保控制要求</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_Toc25890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37</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_Toc8224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第十章 保障措施</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_Toc8224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38</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_Toc13188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第一节 强化规划引领</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_Toc13188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_Toc18610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第二节 加强组织领导</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_Toc18610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_Toc1480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第三节 细化责任分工</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_Toc1480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_Toc22680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第四节 强化政策支持</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_Toc22680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38</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7"/>
        <w:tabs>
          <w:tab w:val="right" w:leader="dot" w:pos="8250"/>
        </w:tabs>
        <w:rPr>
          <w:rFonts w:hint="eastAsia" w:ascii="黑体" w:hAnsi="黑体" w:eastAsia="黑体" w:cs="黑体"/>
          <w:kern w:val="2"/>
          <w:sz w:val="30"/>
          <w:szCs w:val="30"/>
          <w:highlight w:val="none"/>
          <w:lang w:val="en-US" w:eastAsia="zh-CN" w:bidi="ar-SA"/>
        </w:rPr>
      </w:pP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HYPERLINK \l _Toc544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附件</w:t>
      </w:r>
      <w:r>
        <w:rPr>
          <w:rFonts w:hint="eastAsia" w:ascii="黑体" w:hAnsi="黑体" w:eastAsia="黑体" w:cs="黑体"/>
          <w:kern w:val="2"/>
          <w:sz w:val="30"/>
          <w:szCs w:val="30"/>
          <w:highlight w:val="none"/>
          <w:lang w:val="en-US" w:eastAsia="zh-CN" w:bidi="ar-SA"/>
        </w:rPr>
        <w:tab/>
      </w:r>
      <w:r>
        <w:rPr>
          <w:rFonts w:hint="eastAsia" w:ascii="黑体" w:hAnsi="黑体" w:eastAsia="黑体" w:cs="黑体"/>
          <w:kern w:val="2"/>
          <w:sz w:val="30"/>
          <w:szCs w:val="30"/>
          <w:highlight w:val="none"/>
          <w:lang w:val="en-US" w:eastAsia="zh-CN" w:bidi="ar-SA"/>
        </w:rPr>
        <w:fldChar w:fldCharType="begin"/>
      </w:r>
      <w:r>
        <w:rPr>
          <w:rFonts w:hint="eastAsia" w:ascii="黑体" w:hAnsi="黑体" w:eastAsia="黑体" w:cs="黑体"/>
          <w:kern w:val="2"/>
          <w:sz w:val="30"/>
          <w:szCs w:val="30"/>
          <w:highlight w:val="none"/>
          <w:lang w:val="en-US" w:eastAsia="zh-CN" w:bidi="ar-SA"/>
        </w:rPr>
        <w:instrText xml:space="preserve"> PAGEREF _Toc544 \h </w:instrText>
      </w:r>
      <w:r>
        <w:rPr>
          <w:rFonts w:hint="eastAsia" w:ascii="黑体" w:hAnsi="黑体" w:eastAsia="黑体" w:cs="黑体"/>
          <w:kern w:val="2"/>
          <w:sz w:val="30"/>
          <w:szCs w:val="30"/>
          <w:highlight w:val="none"/>
          <w:lang w:val="en-US" w:eastAsia="zh-CN" w:bidi="ar-SA"/>
        </w:rPr>
        <w:fldChar w:fldCharType="separate"/>
      </w:r>
      <w:r>
        <w:rPr>
          <w:rFonts w:hint="eastAsia" w:ascii="黑体" w:hAnsi="黑体" w:eastAsia="黑体" w:cs="黑体"/>
          <w:kern w:val="2"/>
          <w:sz w:val="30"/>
          <w:szCs w:val="30"/>
          <w:highlight w:val="none"/>
          <w:lang w:val="en-US" w:eastAsia="zh-CN" w:bidi="ar-SA"/>
        </w:rPr>
        <w:t>39</w:t>
      </w:r>
      <w:r>
        <w:rPr>
          <w:rFonts w:hint="eastAsia" w:ascii="黑体" w:hAnsi="黑体" w:eastAsia="黑体" w:cs="黑体"/>
          <w:kern w:val="2"/>
          <w:sz w:val="30"/>
          <w:szCs w:val="30"/>
          <w:highlight w:val="none"/>
          <w:lang w:val="en-US" w:eastAsia="zh-CN" w:bidi="ar-SA"/>
        </w:rPr>
        <w:fldChar w:fldCharType="end"/>
      </w:r>
      <w:r>
        <w:rPr>
          <w:rFonts w:hint="eastAsia" w:ascii="黑体" w:hAnsi="黑体" w:eastAsia="黑体" w:cs="黑体"/>
          <w:kern w:val="2"/>
          <w:sz w:val="30"/>
          <w:szCs w:val="30"/>
          <w:highlight w:val="none"/>
          <w:lang w:val="en-US" w:eastAsia="zh-CN" w:bidi="ar-SA"/>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_Toc7950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附件一：名词解释</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_Toc7950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39</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8"/>
        <w:tabs>
          <w:tab w:val="right" w:leader="dot" w:pos="8250"/>
        </w:tabs>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HYPERLINK \l _Toc15717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附件二：附图</w:t>
      </w:r>
      <w:r>
        <w:rPr>
          <w:rFonts w:hint="eastAsia" w:ascii="黑体" w:hAnsi="黑体" w:eastAsia="黑体" w:cs="黑体"/>
          <w:sz w:val="28"/>
          <w:szCs w:val="28"/>
          <w:highlight w:val="none"/>
          <w:lang w:val="en-US" w:eastAsia="zh-CN"/>
        </w:rPr>
        <w:tab/>
      </w:r>
      <w:r>
        <w:rPr>
          <w:rFonts w:hint="eastAsia" w:ascii="黑体" w:hAnsi="黑体" w:eastAsia="黑体" w:cs="黑体"/>
          <w:sz w:val="28"/>
          <w:szCs w:val="28"/>
          <w:highlight w:val="none"/>
          <w:lang w:val="en-US" w:eastAsia="zh-CN"/>
        </w:rPr>
        <w:fldChar w:fldCharType="begin"/>
      </w:r>
      <w:r>
        <w:rPr>
          <w:rFonts w:hint="eastAsia" w:ascii="黑体" w:hAnsi="黑体" w:eastAsia="黑体" w:cs="黑体"/>
          <w:sz w:val="28"/>
          <w:szCs w:val="28"/>
          <w:highlight w:val="none"/>
          <w:lang w:val="en-US" w:eastAsia="zh-CN"/>
        </w:rPr>
        <w:instrText xml:space="preserve"> PAGEREF _Toc15717 \h </w:instrText>
      </w:r>
      <w:r>
        <w:rPr>
          <w:rFonts w:hint="eastAsia" w:ascii="黑体" w:hAnsi="黑体" w:eastAsia="黑体" w:cs="黑体"/>
          <w:sz w:val="28"/>
          <w:szCs w:val="28"/>
          <w:highlight w:val="none"/>
          <w:lang w:val="en-US" w:eastAsia="zh-CN"/>
        </w:rPr>
        <w:fldChar w:fldCharType="separate"/>
      </w:r>
      <w:r>
        <w:rPr>
          <w:rFonts w:hint="eastAsia" w:ascii="黑体" w:hAnsi="黑体" w:eastAsia="黑体" w:cs="黑体"/>
          <w:sz w:val="28"/>
          <w:szCs w:val="28"/>
          <w:highlight w:val="none"/>
          <w:lang w:val="en-US" w:eastAsia="zh-CN"/>
        </w:rPr>
        <w:t>40</w:t>
      </w:r>
      <w:r>
        <w:rPr>
          <w:rFonts w:hint="eastAsia" w:ascii="黑体" w:hAnsi="黑体" w:eastAsia="黑体" w:cs="黑体"/>
          <w:sz w:val="28"/>
          <w:szCs w:val="28"/>
          <w:highlight w:val="none"/>
          <w:lang w:val="en-US" w:eastAsia="zh-CN"/>
        </w:rPr>
        <w:fldChar w:fldCharType="end"/>
      </w:r>
      <w:r>
        <w:rPr>
          <w:rFonts w:hint="eastAsia" w:ascii="黑体" w:hAnsi="黑体" w:eastAsia="黑体" w:cs="黑体"/>
          <w:sz w:val="28"/>
          <w:szCs w:val="28"/>
          <w:highlight w:val="none"/>
          <w:lang w:val="en-US" w:eastAsia="zh-CN"/>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_Toc32236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图1：中心城区现状公交（客运）专用充电设施分布图</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_Toc32236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40</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_Toc14569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图2：中心城区现状主要公共充电设施分布图</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_Toc14569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40</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cs="Times New Roman"/>
          <w:b w:val="0"/>
          <w:bCs/>
          <w:szCs w:val="22"/>
          <w:highlight w:val="none"/>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_Toc25772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图3：中心城区专用充电设施规划布局图</w:t>
      </w:r>
      <w:r>
        <w:rPr>
          <w:rStyle w:val="19"/>
          <w:rFonts w:hint="eastAsia" w:cs="Times New Roman"/>
          <w:b w:val="0"/>
          <w:bCs/>
          <w:szCs w:val="22"/>
          <w:highlight w:val="none"/>
        </w:rPr>
        <w:tab/>
      </w: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PAGEREF _Toc25772 \h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40</w:t>
      </w:r>
      <w:r>
        <w:rPr>
          <w:rStyle w:val="19"/>
          <w:rFonts w:hint="eastAsia" w:cs="Times New Roman"/>
          <w:b w:val="0"/>
          <w:bCs/>
          <w:szCs w:val="22"/>
          <w:highlight w:val="none"/>
        </w:rPr>
        <w:fldChar w:fldCharType="end"/>
      </w:r>
      <w:r>
        <w:rPr>
          <w:rStyle w:val="19"/>
          <w:rFonts w:hint="eastAsia" w:cs="Times New Roman"/>
          <w:b w:val="0"/>
          <w:bCs/>
          <w:szCs w:val="22"/>
          <w:highlight w:val="none"/>
        </w:rPr>
        <w:fldChar w:fldCharType="end"/>
      </w:r>
    </w:p>
    <w:p>
      <w:pPr>
        <w:pStyle w:val="4"/>
        <w:tabs>
          <w:tab w:val="right" w:leader="dot" w:pos="8250"/>
        </w:tabs>
        <w:rPr>
          <w:rStyle w:val="19"/>
          <w:rFonts w:hint="eastAsia" w:eastAsia="楷体_GB2312" w:cs="Times New Roman"/>
          <w:b w:val="0"/>
          <w:bCs/>
          <w:szCs w:val="22"/>
          <w:highlight w:val="none"/>
          <w:lang w:val="en-US" w:eastAsia="zh-CN"/>
        </w:rPr>
      </w:pPr>
      <w:r>
        <w:rPr>
          <w:rStyle w:val="19"/>
          <w:rFonts w:hint="eastAsia" w:cs="Times New Roman"/>
          <w:b w:val="0"/>
          <w:bCs/>
          <w:szCs w:val="22"/>
          <w:highlight w:val="none"/>
        </w:rPr>
        <w:fldChar w:fldCharType="begin"/>
      </w:r>
      <w:r>
        <w:rPr>
          <w:rStyle w:val="19"/>
          <w:rFonts w:hint="eastAsia" w:cs="Times New Roman"/>
          <w:b w:val="0"/>
          <w:bCs/>
          <w:szCs w:val="22"/>
          <w:highlight w:val="none"/>
        </w:rPr>
        <w:instrText xml:space="preserve"> HYPERLINK \l _Toc5092 </w:instrText>
      </w:r>
      <w:r>
        <w:rPr>
          <w:rStyle w:val="19"/>
          <w:rFonts w:hint="eastAsia" w:cs="Times New Roman"/>
          <w:b w:val="0"/>
          <w:bCs/>
          <w:szCs w:val="22"/>
          <w:highlight w:val="none"/>
        </w:rPr>
        <w:fldChar w:fldCharType="separate"/>
      </w:r>
      <w:r>
        <w:rPr>
          <w:rStyle w:val="19"/>
          <w:rFonts w:hint="eastAsia" w:cs="Times New Roman"/>
          <w:b w:val="0"/>
          <w:bCs/>
          <w:szCs w:val="22"/>
          <w:highlight w:val="none"/>
        </w:rPr>
        <w:t>图4：中心城区公共充电设施规划布局图</w:t>
      </w:r>
      <w:r>
        <w:rPr>
          <w:rStyle w:val="19"/>
          <w:rFonts w:hint="eastAsia" w:cs="Times New Roman"/>
          <w:b w:val="0"/>
          <w:bCs/>
          <w:szCs w:val="22"/>
          <w:highlight w:val="none"/>
        </w:rPr>
        <w:tab/>
      </w:r>
      <w:r>
        <w:rPr>
          <w:rStyle w:val="19"/>
          <w:rFonts w:hint="eastAsia" w:eastAsia="楷体_GB2312" w:cs="Times New Roman"/>
          <w:b w:val="0"/>
          <w:bCs/>
          <w:szCs w:val="22"/>
          <w:highlight w:val="none"/>
          <w:lang w:val="en-US" w:eastAsia="zh-CN"/>
        </w:rPr>
        <w:t>4</w:t>
      </w:r>
      <w:r>
        <w:rPr>
          <w:rStyle w:val="19"/>
          <w:rFonts w:hint="eastAsia" w:cs="Times New Roman"/>
          <w:b w:val="0"/>
          <w:bCs/>
          <w:szCs w:val="22"/>
          <w:highlight w:val="none"/>
        </w:rPr>
        <w:fldChar w:fldCharType="end"/>
      </w:r>
      <w:r>
        <w:rPr>
          <w:rStyle w:val="19"/>
          <w:rFonts w:hint="eastAsia" w:eastAsia="楷体_GB2312" w:cs="Times New Roman"/>
          <w:b w:val="0"/>
          <w:bCs/>
          <w:szCs w:val="22"/>
          <w:highlight w:val="none"/>
          <w:lang w:val="en-US" w:eastAsia="zh-CN"/>
        </w:rPr>
        <w:t>4</w:t>
      </w:r>
    </w:p>
    <w:p>
      <w:pPr>
        <w:jc w:val="center"/>
        <w:rPr>
          <w:rFonts w:hint="eastAsia" w:ascii="宋体" w:hAnsi="宋体" w:cs="宋体"/>
          <w:color w:val="000000" w:themeColor="text1"/>
          <w:sz w:val="24"/>
          <w:szCs w:val="32"/>
          <w:highlight w:val="none"/>
          <w14:textFill>
            <w14:solidFill>
              <w14:schemeClr w14:val="tx1"/>
            </w14:solidFill>
          </w14:textFill>
        </w:rPr>
      </w:pPr>
      <w:r>
        <w:rPr>
          <w:rFonts w:hint="eastAsia" w:ascii="黑体" w:hAnsi="黑体" w:eastAsia="黑体" w:cs="黑体"/>
          <w:color w:val="000000" w:themeColor="text1"/>
          <w:szCs w:val="28"/>
          <w:highlight w:val="none"/>
          <w14:textFill>
            <w14:solidFill>
              <w14:schemeClr w14:val="tx1"/>
            </w14:solidFill>
          </w14:textFill>
        </w:rPr>
        <w:fldChar w:fldCharType="end"/>
      </w:r>
    </w:p>
    <w:p>
      <w:pPr>
        <w:spacing w:line="360" w:lineRule="auto"/>
        <w:ind w:firstLine="480" w:firstLineChars="200"/>
        <w:jc w:val="left"/>
        <w:rPr>
          <w:rFonts w:hint="eastAsia" w:ascii="宋体" w:hAnsi="宋体" w:cs="宋体"/>
          <w:color w:val="000000" w:themeColor="text1"/>
          <w:sz w:val="24"/>
          <w:szCs w:val="32"/>
          <w:highlight w:val="none"/>
          <w14:textFill>
            <w14:solidFill>
              <w14:schemeClr w14:val="tx1"/>
            </w14:solidFill>
          </w14:textFill>
        </w:rPr>
        <w:sectPr>
          <w:headerReference r:id="rId4" w:type="default"/>
          <w:footerReference r:id="rId5" w:type="default"/>
          <w:pgSz w:w="11850" w:h="16783"/>
          <w:pgMar w:top="1440" w:right="1800" w:bottom="1440" w:left="1800" w:header="851" w:footer="992" w:gutter="0"/>
          <w:pgNumType w:fmt="upperRoman" w:start="1"/>
          <w:cols w:space="720" w:num="1"/>
          <w:docGrid w:type="lines" w:linePitch="312" w:charSpace="0"/>
        </w:sectPr>
      </w:pPr>
    </w:p>
    <w:p>
      <w:pPr>
        <w:pStyle w:val="17"/>
        <w:rPr>
          <w:rFonts w:hint="eastAsia" w:eastAsia="黑体"/>
          <w:color w:val="000000" w:themeColor="text1"/>
          <w:highlight w:val="none"/>
          <w:lang w:eastAsia="zh-CN"/>
          <w14:textFill>
            <w14:solidFill>
              <w14:schemeClr w14:val="tx1"/>
            </w14:solidFill>
          </w14:textFill>
        </w:rPr>
      </w:pPr>
      <w:bookmarkStart w:id="67" w:name="_Toc25381"/>
      <w:bookmarkStart w:id="68" w:name="_Toc8815"/>
      <w:bookmarkStart w:id="69" w:name="_Toc9156"/>
      <w:bookmarkStart w:id="70" w:name="_Toc32583"/>
      <w:bookmarkStart w:id="71" w:name="_Toc14809"/>
      <w:bookmarkStart w:id="72" w:name="_Toc7175"/>
      <w:r>
        <w:rPr>
          <w:rFonts w:hint="eastAsia"/>
          <w:color w:val="000000" w:themeColor="text1"/>
          <w:highlight w:val="none"/>
          <w14:textFill>
            <w14:solidFill>
              <w14:schemeClr w14:val="tx1"/>
            </w14:solidFill>
          </w14:textFill>
        </w:rPr>
        <w:t xml:space="preserve">第一章 </w:t>
      </w:r>
      <w:bookmarkEnd w:id="67"/>
      <w:bookmarkEnd w:id="68"/>
      <w:bookmarkEnd w:id="69"/>
      <w:bookmarkEnd w:id="70"/>
      <w:r>
        <w:rPr>
          <w:rFonts w:hint="eastAsia"/>
          <w:color w:val="000000" w:themeColor="text1"/>
          <w:highlight w:val="none"/>
          <w:lang w:val="en-US" w:eastAsia="zh-CN"/>
          <w14:textFill>
            <w14:solidFill>
              <w14:schemeClr w14:val="tx1"/>
            </w14:solidFill>
          </w14:textFill>
        </w:rPr>
        <w:t>前言</w:t>
      </w:r>
      <w:bookmarkEnd w:id="71"/>
      <w:bookmarkEnd w:id="72"/>
    </w:p>
    <w:p>
      <w:pPr>
        <w:pStyle w:val="21"/>
        <w:rPr>
          <w:rFonts w:hint="default" w:eastAsia="黑体"/>
          <w:color w:val="000000" w:themeColor="text1"/>
          <w:highlight w:val="none"/>
          <w:lang w:val="en-US" w:eastAsia="zh-CN"/>
          <w14:textFill>
            <w14:solidFill>
              <w14:schemeClr w14:val="tx1"/>
            </w14:solidFill>
          </w14:textFill>
        </w:rPr>
      </w:pPr>
      <w:bookmarkStart w:id="73" w:name="_Toc22664"/>
      <w:bookmarkStart w:id="74" w:name="_Toc32146"/>
      <w:bookmarkStart w:id="75" w:name="_Toc13413"/>
      <w:bookmarkStart w:id="76" w:name="_Toc17853"/>
      <w:bookmarkStart w:id="77" w:name="_Toc1001"/>
      <w:bookmarkStart w:id="78" w:name="_Toc11479"/>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"_Toc6397"</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第一节 </w:t>
      </w:r>
      <w:r>
        <w:rPr>
          <w:rFonts w:hint="eastAsia"/>
          <w:color w:val="000000" w:themeColor="text1"/>
          <w:highlight w:val="none"/>
          <w:lang w:val="en-US" w:eastAsia="zh-CN"/>
          <w14:textFill>
            <w14:solidFill>
              <w14:schemeClr w14:val="tx1"/>
            </w14:solidFill>
          </w14:textFill>
        </w:rPr>
        <w:t>编制</w:t>
      </w:r>
      <w:r>
        <w:rPr>
          <w:rFonts w:hint="eastAsia"/>
          <w:color w:val="000000" w:themeColor="text1"/>
          <w:highlight w:val="none"/>
          <w14:textFill>
            <w14:solidFill>
              <w14:schemeClr w14:val="tx1"/>
            </w14:solidFill>
          </w14:textFill>
        </w:rPr>
        <w:fldChar w:fldCharType="end"/>
      </w:r>
      <w:bookmarkEnd w:id="73"/>
      <w:bookmarkEnd w:id="74"/>
      <w:bookmarkEnd w:id="75"/>
      <w:bookmarkEnd w:id="76"/>
      <w:r>
        <w:rPr>
          <w:rFonts w:hint="eastAsia"/>
          <w:color w:val="000000" w:themeColor="text1"/>
          <w:highlight w:val="none"/>
          <w:lang w:val="en-US" w:eastAsia="zh-CN"/>
          <w14:textFill>
            <w14:solidFill>
              <w14:schemeClr w14:val="tx1"/>
            </w14:solidFill>
          </w14:textFill>
        </w:rPr>
        <w:t>目的和意义</w:t>
      </w:r>
      <w:bookmarkEnd w:id="77"/>
      <w:bookmarkEnd w:id="78"/>
    </w:p>
    <w:p>
      <w:pPr>
        <w:pStyle w:val="22"/>
        <w:ind w:firstLine="480"/>
        <w:rPr>
          <w:rFonts w:ascii="宋体" w:hAnsi="宋体" w:cs="宋体"/>
          <w:color w:val="000000" w:themeColor="text1"/>
          <w:highlight w:val="none"/>
          <w:lang w:val="zh-CN"/>
          <w14:textFill>
            <w14:solidFill>
              <w14:schemeClr w14:val="tx1"/>
            </w14:solidFill>
          </w14:textFill>
        </w:rPr>
      </w:pPr>
      <w:bookmarkStart w:id="79" w:name="_Toc25709"/>
      <w:bookmarkStart w:id="80" w:name="_Toc11369"/>
      <w:bookmarkStart w:id="81" w:name="_Toc29000"/>
      <w:bookmarkStart w:id="82" w:name="_Toc10476"/>
      <w:r>
        <w:rPr>
          <w:rFonts w:hint="eastAsia" w:ascii="宋体" w:hAnsi="宋体" w:cs="宋体"/>
          <w:color w:val="000000" w:themeColor="text1"/>
          <w:highlight w:val="none"/>
          <w:lang w:val="zh-CN"/>
          <w14:textFill>
            <w14:solidFill>
              <w14:schemeClr w14:val="tx1"/>
            </w14:solidFill>
          </w14:textFill>
        </w:rPr>
        <w:t>近年来，为加快发展电动汽车和充电基础设施，国家先后印发了《关于加快新能源汽车推广应用的指导意见》（国办发〔2014〕35号）、《关于加快电动汽车充电基础设施建设的指导意见》（国办发〔2015〕73号）、《新能源汽车产业发展规划（2021-2035年）》（国办发〔2020〕39号）、《国务院办公厅关于进一步构建高质量充电基础设施体系的指导意见》（国办发〔2023〕19号）等文件，电动汽车和充电基础设施呈现</w:t>
      </w:r>
      <w:r>
        <w:rPr>
          <w:rFonts w:hint="eastAsia" w:ascii="宋体" w:hAnsi="宋体" w:cs="宋体"/>
          <w:color w:val="000000" w:themeColor="text1"/>
          <w:highlight w:val="none"/>
          <w:lang w:val="en-US" w:eastAsia="zh-CN"/>
          <w14:textFill>
            <w14:solidFill>
              <w14:schemeClr w14:val="tx1"/>
            </w14:solidFill>
          </w14:textFill>
        </w:rPr>
        <w:t>高速</w:t>
      </w:r>
      <w:r>
        <w:rPr>
          <w:rFonts w:hint="eastAsia" w:ascii="宋体" w:hAnsi="宋体" w:cs="宋体"/>
          <w:color w:val="000000" w:themeColor="text1"/>
          <w:highlight w:val="none"/>
          <w:lang w:val="zh-CN"/>
          <w14:textFill>
            <w14:solidFill>
              <w14:schemeClr w14:val="tx1"/>
            </w14:solidFill>
          </w14:textFill>
        </w:rPr>
        <w:t>发展趋</w:t>
      </w:r>
      <w:r>
        <w:rPr>
          <w:rFonts w:hint="eastAsia" w:ascii="宋体" w:hAnsi="宋体" w:cs="宋体"/>
          <w:color w:val="000000" w:themeColor="text1"/>
          <w:highlight w:val="none"/>
          <w:lang w:val="zh-CN" w:eastAsia="zh-CN"/>
          <w14:textFill>
            <w14:solidFill>
              <w14:schemeClr w14:val="tx1"/>
            </w14:solidFill>
          </w14:textFill>
        </w:rPr>
        <w:t>势。截至2024年底，全国新能源汽车保有量达3140万辆，占汽车总量的8.9</w:t>
      </w:r>
      <w:r>
        <w:rPr>
          <w:rFonts w:hint="eastAsia" w:ascii="宋体" w:hAnsi="宋体" w:cs="宋体"/>
          <w:color w:val="000000" w:themeColor="text1"/>
          <w:highlight w:val="none"/>
          <w:lang w:val="en-US" w:eastAsia="zh-CN"/>
          <w14:textFill>
            <w14:solidFill>
              <w14:schemeClr w14:val="tx1"/>
            </w14:solidFill>
          </w14:textFill>
        </w:rPr>
        <w:t>0</w:t>
      </w:r>
      <w:r>
        <w:rPr>
          <w:rFonts w:hint="eastAsia" w:ascii="宋体" w:hAnsi="宋体" w:cs="宋体"/>
          <w:color w:val="000000" w:themeColor="text1"/>
          <w:highlight w:val="none"/>
          <w:lang w:val="zh-CN" w:eastAsia="zh-CN"/>
          <w14:textFill>
            <w14:solidFill>
              <w14:schemeClr w14:val="tx1"/>
            </w14:solidFill>
          </w14:textFill>
        </w:rPr>
        <w:t>%；其中纯电动汽车保有量2209万辆，占新能源汽车总量的70.34%</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zh-CN" w:eastAsia="zh-CN"/>
          <w14:textFill>
            <w14:solidFill>
              <w14:schemeClr w14:val="tx1"/>
            </w14:solidFill>
          </w14:textFill>
        </w:rPr>
        <w:t>充电基础设施累计数量达1281.8万台，同比增长49.1%，全国高速公路服务区累计建成充电桩3.5万台，覆盖率达到98%，</w:t>
      </w:r>
      <w:r>
        <w:rPr>
          <w:rFonts w:hint="eastAsia" w:ascii="宋体" w:hAnsi="宋体" w:cs="宋体"/>
          <w:color w:val="000000" w:themeColor="text1"/>
          <w:highlight w:val="none"/>
          <w:lang w:val="zh-CN"/>
          <w14:textFill>
            <w14:solidFill>
              <w14:schemeClr w14:val="tx1"/>
            </w14:solidFill>
          </w14:textFill>
        </w:rPr>
        <w:t>已建成世界上数量最多、辐射面积最大、服务车辆最全的充电基础设施体系，基本满足公共交通、物流运输、私人出行等领域的充电需要。“十四五”和“十五五”时期是我市由全面建成小康社会向基本实现社会主义现代化迈进的关键阶段，统筹做好两个五年规划期各行业发展的接续布局，对推进经济社会可持续发展意义重大。在此背景下，抓好电动汽车充电基础设施的中长期规划，科学推进“十四五”建设实施与“十五五”前瞻布局工作迫在眉睫。</w:t>
      </w:r>
    </w:p>
    <w:bookmarkEnd w:id="79"/>
    <w:bookmarkEnd w:id="80"/>
    <w:bookmarkEnd w:id="81"/>
    <w:bookmarkEnd w:id="82"/>
    <w:p>
      <w:pPr>
        <w:pStyle w:val="22"/>
        <w:ind w:firstLine="562"/>
        <w:rPr>
          <w:rFonts w:ascii="宋体" w:hAnsi="宋体" w:cs="宋体"/>
          <w:color w:val="000000" w:themeColor="text1"/>
          <w:highlight w:val="none"/>
          <w:lang w:val="zh-CN"/>
          <w14:textFill>
            <w14:solidFill>
              <w14:schemeClr w14:val="tx1"/>
            </w14:solidFill>
          </w14:textFill>
        </w:rPr>
      </w:pPr>
      <w:bookmarkStart w:id="83" w:name="_Toc24100"/>
      <w:bookmarkStart w:id="84" w:name="_Toc28435"/>
      <w:bookmarkStart w:id="85" w:name="_Toc32744"/>
      <w:bookmarkStart w:id="86" w:name="_Toc27630"/>
      <w:bookmarkStart w:id="87" w:name="_Toc8596"/>
      <w:bookmarkStart w:id="88" w:name="_Toc27465"/>
      <w:r>
        <w:rPr>
          <w:rStyle w:val="19"/>
          <w:rFonts w:hint="eastAsia"/>
          <w:color w:val="000000" w:themeColor="text1"/>
          <w:highlight w:val="none"/>
          <w14:textFill>
            <w14:solidFill>
              <w14:schemeClr w14:val="tx1"/>
            </w14:solidFill>
          </w14:textFill>
        </w:rPr>
        <w:t>（一）资源环境保护的需要。</w:t>
      </w:r>
      <w:bookmarkEnd w:id="83"/>
      <w:bookmarkEnd w:id="84"/>
      <w:bookmarkStart w:id="89" w:name="_Toc6876"/>
      <w:bookmarkStart w:id="90" w:name="_Toc26210"/>
      <w:bookmarkStart w:id="91" w:name="_Toc734"/>
      <w:bookmarkStart w:id="92" w:name="_Toc4746"/>
      <w:bookmarkStart w:id="93" w:name="_Toc21406"/>
      <w:r>
        <w:rPr>
          <w:rFonts w:hint="eastAsia" w:ascii="宋体" w:hAnsi="宋体" w:cs="宋体"/>
          <w:color w:val="000000" w:themeColor="text1"/>
          <w:highlight w:val="none"/>
          <w:lang w:val="zh-CN"/>
          <w14:textFill>
            <w14:solidFill>
              <w14:schemeClr w14:val="tx1"/>
            </w14:solidFill>
          </w14:textFill>
        </w:rPr>
        <w:t>随着全球环境问题的日益突出，能源危机的不断加深，石油资源的日趋枯竭，坚持保护环境，推进资源节约和循环利用，实现绿色低碳循环可持续发展成为国际共识。改革开放以来，我国经济实现快速发展，人民生活水平持续改善，但随之而来的环境污染问题也日趋严峻，资源环境承载压力加大，优化能源消费结构已成为我国能源发展战略举措之一。推动新能源汽车产业发展，推广电动汽车，加快汽车燃油替代对减少尾气排放、促进节能减排、防治大气污染、助力</w:t>
      </w:r>
      <w:r>
        <w:rPr>
          <w:rFonts w:hint="eastAsia" w:ascii="宋体" w:hAnsi="宋体" w:eastAsia="宋体" w:cs="宋体"/>
          <w:color w:val="000000" w:themeColor="text1"/>
          <w:sz w:val="24"/>
          <w:szCs w:val="24"/>
          <w:highlight w:val="none"/>
          <w:lang w:val="zh-CN"/>
          <w14:textFill>
            <w14:solidFill>
              <w14:schemeClr w14:val="tx1"/>
            </w14:solidFill>
          </w14:textFill>
        </w:rPr>
        <w:t>“双碳”目标</w:t>
      </w:r>
      <w:r>
        <w:rPr>
          <w:rFonts w:hint="eastAsia" w:ascii="宋体" w:hAnsi="宋体" w:cs="宋体"/>
          <w:color w:val="000000" w:themeColor="text1"/>
          <w:sz w:val="24"/>
          <w:szCs w:val="24"/>
          <w:highlight w:val="none"/>
          <w:lang w:val="zh-CN"/>
          <w14:textFill>
            <w14:solidFill>
              <w14:schemeClr w14:val="tx1"/>
            </w14:solidFill>
          </w14:textFill>
        </w:rPr>
        <w:t>实现</w:t>
      </w:r>
      <w:r>
        <w:rPr>
          <w:rFonts w:hint="eastAsia" w:ascii="宋体" w:hAnsi="宋体" w:cs="宋体"/>
          <w:color w:val="000000" w:themeColor="text1"/>
          <w:highlight w:val="none"/>
          <w:lang w:val="zh-CN"/>
          <w14:textFill>
            <w14:solidFill>
              <w14:schemeClr w14:val="tx1"/>
            </w14:solidFill>
          </w14:textFill>
        </w:rPr>
        <w:t>具有重要意义。充电基础设施是电动汽车发展产业链中的关键环节，大力推进充电基础设施建设，形成完善配套充电网络，促进电动汽车的推广和应用，是发展新能源汽车产业的重要保障。</w:t>
      </w:r>
    </w:p>
    <w:p>
      <w:pPr>
        <w:pStyle w:val="22"/>
        <w:ind w:firstLine="562"/>
        <w:rPr>
          <w:rFonts w:ascii="宋体" w:hAnsi="宋体" w:cs="宋体"/>
          <w:color w:val="000000" w:themeColor="text1"/>
          <w:highlight w:val="none"/>
          <w:lang w:val="zh-CN"/>
          <w14:textFill>
            <w14:solidFill>
              <w14:schemeClr w14:val="tx1"/>
            </w14:solidFill>
          </w14:textFill>
        </w:rPr>
      </w:pPr>
      <w:bookmarkStart w:id="94" w:name="_Toc3912"/>
      <w:r>
        <w:rPr>
          <w:rStyle w:val="19"/>
          <w:rFonts w:hint="eastAsia"/>
          <w:color w:val="000000" w:themeColor="text1"/>
          <w:highlight w:val="none"/>
          <w14:textFill>
            <w14:solidFill>
              <w14:schemeClr w14:val="tx1"/>
            </w14:solidFill>
          </w14:textFill>
        </w:rPr>
        <w:t>（二）</w:t>
      </w:r>
      <w:bookmarkEnd w:id="89"/>
      <w:r>
        <w:rPr>
          <w:rStyle w:val="19"/>
          <w:rFonts w:hint="eastAsia"/>
          <w:color w:val="000000" w:themeColor="text1"/>
          <w:highlight w:val="none"/>
          <w14:textFill>
            <w14:solidFill>
              <w14:schemeClr w14:val="tx1"/>
            </w14:solidFill>
          </w14:textFill>
        </w:rPr>
        <w:fldChar w:fldCharType="begin"/>
      </w:r>
      <w:r>
        <w:rPr>
          <w:rStyle w:val="19"/>
          <w:rFonts w:hint="eastAsia"/>
          <w:color w:val="000000" w:themeColor="text1"/>
          <w:highlight w:val="none"/>
          <w14:textFill>
            <w14:solidFill>
              <w14:schemeClr w14:val="tx1"/>
            </w14:solidFill>
          </w14:textFill>
        </w:rPr>
        <w:instrText xml:space="preserve"> HYPERLINK \l "_Toc15408" </w:instrText>
      </w:r>
      <w:r>
        <w:rPr>
          <w:rStyle w:val="19"/>
          <w:rFonts w:hint="eastAsia"/>
          <w:color w:val="000000" w:themeColor="text1"/>
          <w:highlight w:val="none"/>
          <w14:textFill>
            <w14:solidFill>
              <w14:schemeClr w14:val="tx1"/>
            </w14:solidFill>
          </w14:textFill>
        </w:rPr>
        <w:fldChar w:fldCharType="separate"/>
      </w:r>
      <w:r>
        <w:rPr>
          <w:rStyle w:val="19"/>
          <w:rFonts w:hint="eastAsia"/>
          <w:color w:val="000000" w:themeColor="text1"/>
          <w:highlight w:val="none"/>
          <w14:textFill>
            <w14:solidFill>
              <w14:schemeClr w14:val="tx1"/>
            </w14:solidFill>
          </w14:textFill>
        </w:rPr>
        <w:t>产业培育发展的需要</w:t>
      </w:r>
      <w:r>
        <w:rPr>
          <w:rStyle w:val="19"/>
          <w:rFonts w:hint="eastAsia"/>
          <w:color w:val="000000" w:themeColor="text1"/>
          <w:highlight w:val="none"/>
          <w14:textFill>
            <w14:solidFill>
              <w14:schemeClr w14:val="tx1"/>
            </w14:solidFill>
          </w14:textFill>
        </w:rPr>
        <w:fldChar w:fldCharType="end"/>
      </w:r>
      <w:r>
        <w:rPr>
          <w:rStyle w:val="19"/>
          <w:rFonts w:hint="eastAsia"/>
          <w:color w:val="000000" w:themeColor="text1"/>
          <w:highlight w:val="none"/>
          <w14:textFill>
            <w14:solidFill>
              <w14:schemeClr w14:val="tx1"/>
            </w14:solidFill>
          </w14:textFill>
        </w:rPr>
        <w:t>。</w:t>
      </w:r>
      <w:bookmarkEnd w:id="90"/>
      <w:bookmarkEnd w:id="91"/>
      <w:bookmarkEnd w:id="92"/>
      <w:bookmarkEnd w:id="93"/>
      <w:bookmarkEnd w:id="94"/>
      <w:bookmarkStart w:id="95" w:name="_Toc13541"/>
      <w:bookmarkStart w:id="96" w:name="_Toc26355"/>
      <w:bookmarkStart w:id="97" w:name="_Toc20964"/>
      <w:bookmarkStart w:id="98" w:name="_Toc7941"/>
      <w:bookmarkStart w:id="99" w:name="_Toc7778"/>
      <w:r>
        <w:rPr>
          <w:rFonts w:hint="eastAsia" w:ascii="宋体" w:hAnsi="宋体" w:cs="宋体"/>
          <w:color w:val="000000" w:themeColor="text1"/>
          <w:highlight w:val="none"/>
          <w:lang w:val="zh-CN"/>
          <w14:textFill>
            <w14:solidFill>
              <w14:schemeClr w14:val="tx1"/>
            </w14:solidFill>
          </w14:textFill>
        </w:rPr>
        <w:t>新能源汽车具有低碳环保等诸多优势，已成为世界汽车产业的发展方向。通过近年来的努力，我国新能源汽车及充电基础设施持续健康发展，新能源汽车产业化进程加快，通过政策引导和市场驱动，新能源汽车行业已经形成了从原材料供应、动力电池、整车控制器等关键零部件研发生产，到整车设计制造，以及充电基础设施的配套建设等完整的产业链。消费结构由乘商并重逐步向乘用车为主转变，消费主体由公共领域逐渐向私人购买转变，私人消费区域由限购城市逐渐向非限购城市转变，私人消费观念逐渐由被动接受向主动选购转变。同时，技术研发投入持续加大，动力电池和充电技术不断提高，充电设施技术发展多样化，大功率充电、无线充电、即插即充、自动插充等技术已广泛的推广与运用。充电服务运营模式多样化以及多领域的应用、产品品质提升、充电设施服务网络趋于完善，借助智慧充电平台，充电服务行业将持续壮大。</w:t>
      </w:r>
    </w:p>
    <w:p>
      <w:pPr>
        <w:pStyle w:val="22"/>
        <w:ind w:firstLine="562"/>
        <w:rPr>
          <w:rFonts w:hint="eastAsia" w:ascii="宋体" w:hAnsi="宋体" w:cs="宋体"/>
          <w:color w:val="000000" w:themeColor="text1"/>
          <w:highlight w:val="none"/>
          <w:lang w:val="zh-CN"/>
          <w14:textFill>
            <w14:solidFill>
              <w14:schemeClr w14:val="tx1"/>
            </w14:solidFill>
          </w14:textFill>
        </w:rPr>
      </w:pPr>
      <w:bookmarkStart w:id="100" w:name="_Toc27419"/>
      <w:r>
        <w:rPr>
          <w:rStyle w:val="19"/>
          <w:rFonts w:hint="eastAsia"/>
          <w:color w:val="000000" w:themeColor="text1"/>
          <w:szCs w:val="22"/>
          <w:highlight w:val="none"/>
          <w:lang w:val="zh-CN"/>
          <w14:textFill>
            <w14:solidFill>
              <w14:schemeClr w14:val="tx1"/>
            </w14:solidFill>
          </w14:textFill>
        </w:rPr>
        <w:t>（三）贯彻各级政策的需要。</w:t>
      </w:r>
      <w:bookmarkEnd w:id="95"/>
      <w:bookmarkEnd w:id="96"/>
      <w:bookmarkEnd w:id="97"/>
      <w:bookmarkEnd w:id="98"/>
      <w:bookmarkEnd w:id="99"/>
      <w:bookmarkEnd w:id="100"/>
      <w:r>
        <w:rPr>
          <w:rFonts w:hint="eastAsia" w:ascii="宋体" w:hAnsi="宋体" w:cs="宋体"/>
          <w:color w:val="000000" w:themeColor="text1"/>
          <w:highlight w:val="none"/>
          <w:lang w:val="zh-CN"/>
          <w14:textFill>
            <w14:solidFill>
              <w14:schemeClr w14:val="tx1"/>
            </w14:solidFill>
          </w14:textFill>
        </w:rPr>
        <w:t>我国是汽车消费大国，汽车产业是国民经济的重要支柱产业，在国民经济和社会发展中发挥着重要作用，新能源汽车是国家重点支持和发展的战略性新兴产业。为推动新能源汽车和充电基础设施建设发展，国家、省上制定出台了一揽子扶持和激励政策，以鼓励新能源汽车产业发展以及充电基础设施建设运营。为贯彻落实国家、省上有关文件精神，统筹对接</w:t>
      </w:r>
      <w:r>
        <w:rPr>
          <w:rFonts w:hint="eastAsia" w:cs="宋体"/>
          <w:b w:val="0"/>
          <w:color w:val="000000" w:themeColor="text1"/>
          <w:kern w:val="2"/>
          <w:sz w:val="24"/>
          <w:szCs w:val="24"/>
          <w:highlight w:val="none"/>
          <w:lang w:val="en-US" w:eastAsia="zh-CN" w:bidi="ar-SA"/>
          <w14:textFill>
            <w14:solidFill>
              <w14:schemeClr w14:val="tx1"/>
            </w14:solidFill>
          </w14:textFill>
        </w:rPr>
        <w:t>国土空间</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规划</w:t>
      </w:r>
      <w:r>
        <w:rPr>
          <w:rFonts w:hint="eastAsia" w:ascii="宋体" w:hAnsi="宋体" w:cs="宋体"/>
          <w:color w:val="000000" w:themeColor="text1"/>
          <w:highlight w:val="none"/>
          <w:lang w:val="zh-CN"/>
          <w14:textFill>
            <w14:solidFill>
              <w14:schemeClr w14:val="tx1"/>
            </w14:solidFill>
          </w14:textFill>
        </w:rPr>
        <w:t>、交通运输规划、</w:t>
      </w:r>
      <w:r>
        <w:rPr>
          <w:rFonts w:hint="eastAsia" w:ascii="宋体" w:hAnsi="宋体" w:cs="宋体"/>
          <w:color w:val="000000" w:themeColor="text1"/>
          <w:highlight w:val="none"/>
          <w:lang w:val="en-US" w:eastAsia="zh-CN"/>
          <w14:textFill>
            <w14:solidFill>
              <w14:schemeClr w14:val="tx1"/>
            </w14:solidFill>
          </w14:textFill>
        </w:rPr>
        <w:t>电力规划</w:t>
      </w:r>
      <w:r>
        <w:rPr>
          <w:rFonts w:hint="eastAsia" w:ascii="宋体" w:hAnsi="宋体" w:cs="宋体"/>
          <w:color w:val="000000" w:themeColor="text1"/>
          <w:highlight w:val="none"/>
          <w:lang w:val="zh-CN"/>
          <w14:textFill>
            <w14:solidFill>
              <w14:schemeClr w14:val="tx1"/>
            </w14:solidFill>
          </w14:textFill>
        </w:rPr>
        <w:t>，充分利用各级政策，规范电动汽车充电基础设施投资、建设、运营管理，建立与我市经济社会发展相匹配的充电基础设施体系。</w:t>
      </w:r>
    </w:p>
    <w:p>
      <w:pPr>
        <w:pStyle w:val="22"/>
        <w:ind w:firstLine="480"/>
        <w:rPr>
          <w:rFonts w:hint="eastAsia" w:ascii="宋体" w:hAnsi="宋体" w:eastAsia="宋体" w:cs="宋体"/>
          <w:i w:val="0"/>
          <w:iCs w:val="0"/>
          <w:caps w:val="0"/>
          <w:color w:val="000000" w:themeColor="text1"/>
          <w:spacing w:val="0"/>
          <w:sz w:val="24"/>
          <w:szCs w:val="24"/>
          <w:highlight w:val="none"/>
          <w:shd w:val="clear" w:fill="auto"/>
          <w:lang w:val="zh-CN" w:eastAsia="zh-CN"/>
          <w14:textFill>
            <w14:solidFill>
              <w14:schemeClr w14:val="tx1"/>
            </w14:solidFill>
          </w14:textFill>
        </w:rPr>
      </w:pPr>
      <w:bookmarkStart w:id="101" w:name="_Toc3776"/>
      <w:bookmarkStart w:id="102" w:name="_Toc21873"/>
      <w:r>
        <w:rPr>
          <w:rStyle w:val="19"/>
          <w:rFonts w:hint="eastAsia" w:ascii="宋体" w:hAnsi="宋体" w:cs="宋体"/>
          <w:color w:val="000000" w:themeColor="text1"/>
          <w:szCs w:val="22"/>
          <w:highlight w:val="none"/>
          <w:lang w:val="zh-CN"/>
          <w14:textFill>
            <w14:solidFill>
              <w14:schemeClr w14:val="tx1"/>
            </w14:solidFill>
          </w14:textFill>
        </w:rPr>
        <w:t>（四）群众交通出行的需要。</w:t>
      </w:r>
      <w:bookmarkEnd w:id="101"/>
      <w:bookmarkEnd w:id="102"/>
      <w:r>
        <w:rPr>
          <w:rFonts w:hint="eastAsia" w:ascii="宋体" w:hAnsi="宋体" w:eastAsia="宋体" w:cs="宋体"/>
          <w:i w:val="0"/>
          <w:iCs w:val="0"/>
          <w:caps w:val="0"/>
          <w:color w:val="000000" w:themeColor="text1"/>
          <w:spacing w:val="0"/>
          <w:sz w:val="24"/>
          <w:szCs w:val="24"/>
          <w:highlight w:val="none"/>
          <w:shd w:val="clear" w:fill="auto"/>
          <w:lang w:val="zh-CN"/>
          <w14:textFill>
            <w14:solidFill>
              <w14:schemeClr w14:val="tx1"/>
            </w14:solidFill>
          </w14:textFill>
        </w:rPr>
        <w:t>我国汽车数量持续增长，</w:t>
      </w:r>
      <w:r>
        <w:rPr>
          <w:rFonts w:hint="eastAsia" w:ascii="宋体" w:hAnsi="宋体" w:eastAsia="宋体" w:cs="宋体"/>
          <w:i w:val="0"/>
          <w:iCs w:val="0"/>
          <w:caps w:val="0"/>
          <w:color w:val="000000" w:themeColor="text1"/>
          <w:spacing w:val="0"/>
          <w:sz w:val="24"/>
          <w:szCs w:val="24"/>
          <w:highlight w:val="none"/>
          <w:shd w:val="clear" w:fill="auto"/>
          <w:lang w:val="zh-CN" w:eastAsia="zh-CN"/>
          <w14:textFill>
            <w14:solidFill>
              <w14:schemeClr w14:val="tx1"/>
            </w14:solidFill>
          </w14:textFill>
        </w:rPr>
        <w:t>截至2024年底，全国汽车保有量达3.53亿辆，较2023年增加1651万辆，同比增长4.91%。新注册登记汽车2690万辆，较2023年增加234万辆，增长9.53%。新能源汽车领域呈现爆发式增长，全年新注册登记1125万辆，占新注册汽车总量的41.83%，较2023年增加382万辆，增长率高达51.49%。优化充电基础设施的布局，</w:t>
      </w:r>
      <w:r>
        <w:rPr>
          <w:rFonts w:hint="eastAsia" w:ascii="宋体" w:hAnsi="宋体" w:eastAsia="宋体" w:cs="宋体"/>
          <w:i w:val="0"/>
          <w:iCs w:val="0"/>
          <w:caps w:val="0"/>
          <w:color w:val="000000" w:themeColor="text1"/>
          <w:spacing w:val="0"/>
          <w:sz w:val="24"/>
          <w:szCs w:val="24"/>
          <w:highlight w:val="none"/>
          <w:shd w:val="clear" w:fill="auto"/>
          <w:lang w:val="zh-CN"/>
          <w14:textFill>
            <w14:solidFill>
              <w14:schemeClr w14:val="tx1"/>
            </w14:solidFill>
          </w14:textFill>
        </w:rPr>
        <w:t>因地制宜，科学布设充电基础设施，</w:t>
      </w:r>
      <w:r>
        <w:rPr>
          <w:rFonts w:hint="eastAsia" w:ascii="宋体" w:hAnsi="宋体" w:eastAsia="宋体" w:cs="宋体"/>
          <w:i w:val="0"/>
          <w:iCs w:val="0"/>
          <w:caps w:val="0"/>
          <w:color w:val="000000" w:themeColor="text1"/>
          <w:spacing w:val="0"/>
          <w:sz w:val="24"/>
          <w:szCs w:val="24"/>
          <w:highlight w:val="none"/>
          <w:shd w:val="clear" w:fill="auto"/>
          <w:lang w:val="zh-CN" w:eastAsia="zh-CN"/>
          <w14:textFill>
            <w14:solidFill>
              <w14:schemeClr w14:val="tx1"/>
            </w14:solidFill>
          </w14:textFill>
        </w:rPr>
        <w:t>能够</w:t>
      </w:r>
      <w:r>
        <w:rPr>
          <w:rFonts w:hint="eastAsia" w:ascii="宋体" w:hAnsi="宋体" w:eastAsia="宋体" w:cs="宋体"/>
          <w:i w:val="0"/>
          <w:iCs w:val="0"/>
          <w:caps w:val="0"/>
          <w:color w:val="000000" w:themeColor="text1"/>
          <w:spacing w:val="0"/>
          <w:sz w:val="24"/>
          <w:szCs w:val="24"/>
          <w:highlight w:val="none"/>
          <w:shd w:val="clear" w:fill="auto"/>
          <w:lang w:val="zh-CN"/>
          <w14:textFill>
            <w14:solidFill>
              <w14:schemeClr w14:val="tx1"/>
            </w14:solidFill>
          </w14:textFill>
        </w:rPr>
        <w:t>更好地满足电动汽车日益增长的充电需求，</w:t>
      </w:r>
      <w:r>
        <w:rPr>
          <w:rFonts w:hint="eastAsia" w:ascii="宋体" w:hAnsi="宋体" w:eastAsia="宋体" w:cs="宋体"/>
          <w:i w:val="0"/>
          <w:iCs w:val="0"/>
          <w:caps w:val="0"/>
          <w:color w:val="000000" w:themeColor="text1"/>
          <w:spacing w:val="0"/>
          <w:sz w:val="24"/>
          <w:szCs w:val="24"/>
          <w:highlight w:val="none"/>
          <w:shd w:val="clear" w:fill="auto"/>
          <w:lang w:val="zh-CN" w:eastAsia="zh-CN"/>
          <w14:textFill>
            <w14:solidFill>
              <w14:schemeClr w14:val="tx1"/>
            </w14:solidFill>
          </w14:textFill>
        </w:rPr>
        <w:t>以及</w:t>
      </w:r>
      <w:r>
        <w:rPr>
          <w:rFonts w:hint="eastAsia" w:ascii="宋体" w:hAnsi="宋体" w:eastAsia="宋体" w:cs="宋体"/>
          <w:i w:val="0"/>
          <w:iCs w:val="0"/>
          <w:caps w:val="0"/>
          <w:color w:val="000000" w:themeColor="text1"/>
          <w:spacing w:val="0"/>
          <w:sz w:val="24"/>
          <w:szCs w:val="24"/>
          <w:highlight w:val="none"/>
          <w:shd w:val="clear" w:fill="auto"/>
          <w:lang w:val="zh-CN"/>
          <w14:textFill>
            <w14:solidFill>
              <w14:schemeClr w14:val="tx1"/>
            </w14:solidFill>
          </w14:textFill>
        </w:rPr>
        <w:t>公众高品质、多样化出行</w:t>
      </w:r>
      <w:r>
        <w:rPr>
          <w:rFonts w:hint="eastAsia" w:ascii="宋体" w:hAnsi="宋体" w:eastAsia="宋体" w:cs="宋体"/>
          <w:i w:val="0"/>
          <w:iCs w:val="0"/>
          <w:caps w:val="0"/>
          <w:color w:val="000000" w:themeColor="text1"/>
          <w:spacing w:val="0"/>
          <w:sz w:val="24"/>
          <w:szCs w:val="24"/>
          <w:highlight w:val="none"/>
          <w:shd w:val="clear" w:fill="auto"/>
          <w:lang w:val="zh-CN" w:eastAsia="zh-CN"/>
          <w14:textFill>
            <w14:solidFill>
              <w14:schemeClr w14:val="tx1"/>
            </w14:solidFill>
          </w14:textFill>
        </w:rPr>
        <w:t>需要</w:t>
      </w:r>
      <w:r>
        <w:rPr>
          <w:rFonts w:hint="eastAsia" w:ascii="宋体" w:hAnsi="宋体" w:eastAsia="宋体" w:cs="宋体"/>
          <w:i w:val="0"/>
          <w:iCs w:val="0"/>
          <w:caps w:val="0"/>
          <w:color w:val="000000" w:themeColor="text1"/>
          <w:spacing w:val="0"/>
          <w:sz w:val="24"/>
          <w:szCs w:val="24"/>
          <w:highlight w:val="none"/>
          <w:shd w:val="clear" w:fill="auto"/>
          <w:lang w:val="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highlight w:val="none"/>
          <w:shd w:val="clear" w:fill="auto"/>
          <w:lang w:val="zh-CN" w:eastAsia="zh-CN"/>
          <w14:textFill>
            <w14:solidFill>
              <w14:schemeClr w14:val="tx1"/>
            </w14:solidFill>
          </w14:textFill>
        </w:rPr>
        <w:t>实现绿色低碳出行。</w:t>
      </w:r>
    </w:p>
    <w:bookmarkEnd w:id="85"/>
    <w:bookmarkEnd w:id="86"/>
    <w:bookmarkEnd w:id="87"/>
    <w:bookmarkEnd w:id="88"/>
    <w:p>
      <w:pPr>
        <w:pStyle w:val="21"/>
        <w:rPr>
          <w:rFonts w:hint="eastAsia" w:eastAsia="黑体"/>
          <w:color w:val="000000" w:themeColor="text1"/>
          <w:highlight w:val="none"/>
          <w:lang w:eastAsia="zh-CN"/>
          <w14:textFill>
            <w14:solidFill>
              <w14:schemeClr w14:val="tx1"/>
            </w14:solidFill>
          </w14:textFill>
        </w:rPr>
      </w:pPr>
      <w:bookmarkStart w:id="103" w:name="_Toc31014"/>
      <w:bookmarkStart w:id="104" w:name="_Toc24417"/>
      <w:r>
        <w:rPr>
          <w:rFonts w:hint="eastAsia"/>
          <w:color w:val="000000" w:themeColor="text1"/>
          <w:highlight w:val="none"/>
          <w14:textFill>
            <w14:solidFill>
              <w14:schemeClr w14:val="tx1"/>
            </w14:solidFill>
          </w14:textFill>
        </w:rPr>
        <w:t xml:space="preserve">第二节 </w:t>
      </w:r>
      <w:r>
        <w:rPr>
          <w:rFonts w:hint="eastAsia"/>
          <w:color w:val="000000" w:themeColor="text1"/>
          <w:highlight w:val="none"/>
          <w:lang w:val="en-US" w:eastAsia="zh-CN"/>
          <w14:textFill>
            <w14:solidFill>
              <w14:schemeClr w14:val="tx1"/>
            </w14:solidFill>
          </w14:textFill>
        </w:rPr>
        <w:t>指导思想</w:t>
      </w:r>
      <w:bookmarkEnd w:id="103"/>
      <w:bookmarkEnd w:id="104"/>
    </w:p>
    <w:p>
      <w:pPr>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bookmarkStart w:id="105" w:name="_Toc6160"/>
      <w:bookmarkStart w:id="106" w:name="_Toc5288"/>
      <w:bookmarkStart w:id="107" w:name="_Toc5004"/>
      <w:bookmarkStart w:id="108" w:name="_Toc31586"/>
      <w:bookmarkStart w:id="109" w:name="_Toc7268"/>
      <w:r>
        <w:rPr>
          <w:rFonts w:hint="eastAsia" w:ascii="宋体" w:hAnsi="宋体" w:cs="宋体"/>
          <w:bCs/>
          <w:color w:val="000000" w:themeColor="text1"/>
          <w:sz w:val="24"/>
          <w:highlight w:val="none"/>
          <w14:textFill>
            <w14:solidFill>
              <w14:schemeClr w14:val="tx1"/>
            </w14:solidFill>
          </w14:textFill>
        </w:rPr>
        <w:t>坚持以习近平新时代中国特色社会主义思想为指导，全面贯彻党的</w:t>
      </w:r>
      <w:r>
        <w:rPr>
          <w:rFonts w:hint="eastAsia" w:ascii="宋体" w:hAnsi="宋体" w:cs="宋体"/>
          <w:bCs/>
          <w:color w:val="000000" w:themeColor="text1"/>
          <w:sz w:val="24"/>
          <w:highlight w:val="none"/>
          <w:lang w:val="en-US" w:eastAsia="zh-CN"/>
          <w14:textFill>
            <w14:solidFill>
              <w14:schemeClr w14:val="tx1"/>
            </w14:solidFill>
          </w14:textFill>
        </w:rPr>
        <w:t>二十</w:t>
      </w:r>
      <w:r>
        <w:rPr>
          <w:rFonts w:hint="eastAsia" w:ascii="宋体" w:hAnsi="宋体" w:cs="宋体"/>
          <w:bCs/>
          <w:color w:val="000000" w:themeColor="text1"/>
          <w:sz w:val="24"/>
          <w:highlight w:val="none"/>
          <w14:textFill>
            <w14:solidFill>
              <w14:schemeClr w14:val="tx1"/>
            </w14:solidFill>
          </w14:textFill>
        </w:rPr>
        <w:t>大和习近平总书记对四川工作系列重要指示精神，深入落实省委、市委重要决策部署，</w:t>
      </w:r>
      <w:r>
        <w:rPr>
          <w:rFonts w:hint="eastAsia" w:ascii="宋体" w:hAnsi="宋体" w:cs="宋体"/>
          <w:bCs/>
          <w:color w:val="000000" w:themeColor="text1"/>
          <w:sz w:val="24"/>
          <w:highlight w:val="none"/>
          <w:lang w:val="en-US" w:eastAsia="zh-CN"/>
          <w14:textFill>
            <w14:solidFill>
              <w14:schemeClr w14:val="tx1"/>
            </w14:solidFill>
          </w14:textFill>
        </w:rPr>
        <w:t>围绕</w:t>
      </w:r>
      <w:r>
        <w:rPr>
          <w:rFonts w:hint="eastAsia" w:ascii="宋体" w:hAnsi="宋体" w:cs="宋体"/>
          <w:bCs/>
          <w:color w:val="000000" w:themeColor="text1"/>
          <w:sz w:val="24"/>
          <w:highlight w:val="none"/>
          <w14:textFill>
            <w14:solidFill>
              <w14:schemeClr w14:val="tx1"/>
            </w14:solidFill>
          </w14:textFill>
        </w:rPr>
        <w:t>省委“四化同步、城乡融合、五区共兴”发展战略和全市“工业强市，文旅兴市”实践定位，全面融入成渝地区双城经济圈建设，完整、准确、全面贯彻新发展理念，加快构建新发展格局，着力推动高质量发展，按照国家新能源汽车发展战略部署和充（换）电基础设施建设要求，结合乐山市新能源汽车推广应用、综合运输体系建设、生态环境保护、能源消费结构调整以及产业发展需要，强化电动汽车充电基础设施规划引领，因地制宜、科学布局、完善</w:t>
      </w:r>
      <w:bookmarkStart w:id="384" w:name="_GoBack"/>
      <w:bookmarkEnd w:id="384"/>
      <w:r>
        <w:rPr>
          <w:rFonts w:hint="eastAsia" w:ascii="宋体" w:hAnsi="宋体" w:cs="宋体"/>
          <w:bCs/>
          <w:color w:val="000000" w:themeColor="text1"/>
          <w:sz w:val="24"/>
          <w:highlight w:val="none"/>
          <w14:textFill>
            <w14:solidFill>
              <w14:schemeClr w14:val="tx1"/>
            </w14:solidFill>
          </w14:textFill>
        </w:rPr>
        <w:t>规范、有序推进充（换）电基础设施建设，为建设全省区域中心城市、“中国绿色硅谷”和世界重要旅游目的地提供支撑，推动乐山社会主义现代化</w:t>
      </w:r>
      <w:r>
        <w:rPr>
          <w:rFonts w:hint="eastAsia" w:ascii="宋体" w:hAnsi="宋体" w:cs="宋体"/>
          <w:bCs/>
          <w:color w:val="000000" w:themeColor="text1"/>
          <w:sz w:val="24"/>
          <w:highlight w:val="none"/>
          <w:lang w:val="en-US" w:eastAsia="zh-CN"/>
          <w14:textFill>
            <w14:solidFill>
              <w14:schemeClr w14:val="tx1"/>
            </w14:solidFill>
          </w14:textFill>
        </w:rPr>
        <w:t>的全面</w:t>
      </w:r>
      <w:r>
        <w:rPr>
          <w:rFonts w:hint="eastAsia" w:ascii="宋体" w:hAnsi="宋体" w:cs="宋体"/>
          <w:bCs/>
          <w:color w:val="000000" w:themeColor="text1"/>
          <w:sz w:val="24"/>
          <w:highlight w:val="none"/>
          <w14:textFill>
            <w14:solidFill>
              <w14:schemeClr w14:val="tx1"/>
            </w14:solidFill>
          </w14:textFill>
        </w:rPr>
        <w:t>建设。</w:t>
      </w:r>
    </w:p>
    <w:p>
      <w:pPr>
        <w:pStyle w:val="21"/>
        <w:rPr>
          <w:color w:val="000000" w:themeColor="text1"/>
          <w:highlight w:val="none"/>
          <w14:textFill>
            <w14:solidFill>
              <w14:schemeClr w14:val="tx1"/>
            </w14:solidFill>
          </w14:textFill>
        </w:rPr>
      </w:pPr>
      <w:bookmarkStart w:id="110" w:name="_Toc2538"/>
      <w:r>
        <w:rPr>
          <w:rFonts w:hint="eastAsia"/>
          <w:color w:val="000000" w:themeColor="text1"/>
          <w:highlight w:val="none"/>
          <w14:textFill>
            <w14:solidFill>
              <w14:schemeClr w14:val="tx1"/>
            </w14:solidFill>
          </w14:textFill>
        </w:rPr>
        <w:t>第三节 规划期限与范围</w:t>
      </w:r>
      <w:bookmarkEnd w:id="105"/>
      <w:bookmarkEnd w:id="106"/>
      <w:bookmarkEnd w:id="107"/>
      <w:bookmarkEnd w:id="108"/>
      <w:bookmarkEnd w:id="109"/>
      <w:bookmarkEnd w:id="110"/>
    </w:p>
    <w:p>
      <w:pPr>
        <w:pStyle w:val="22"/>
        <w:ind w:firstLine="562"/>
        <w:jc w:val="left"/>
        <w:rPr>
          <w:rFonts w:ascii="宋体" w:hAnsi="宋体" w:cs="宋体"/>
          <w:color w:val="000000" w:themeColor="text1"/>
          <w:highlight w:val="none"/>
          <w:lang w:val="zh-CN"/>
          <w14:textFill>
            <w14:solidFill>
              <w14:schemeClr w14:val="tx1"/>
            </w14:solidFill>
          </w14:textFill>
        </w:rPr>
      </w:pPr>
      <w:bookmarkStart w:id="111" w:name="_Toc21877"/>
      <w:bookmarkStart w:id="112" w:name="_Toc14315"/>
      <w:bookmarkStart w:id="113" w:name="_Toc5094"/>
      <w:bookmarkStart w:id="114" w:name="_Toc6715"/>
      <w:bookmarkStart w:id="115" w:name="_Toc12691"/>
      <w:bookmarkStart w:id="116" w:name="_Toc29754"/>
      <w:r>
        <w:rPr>
          <w:rStyle w:val="19"/>
          <w:rFonts w:hint="eastAsia"/>
          <w:color w:val="000000" w:themeColor="text1"/>
          <w:highlight w:val="none"/>
          <w:lang w:val="zh-CN"/>
          <w14:textFill>
            <w14:solidFill>
              <w14:schemeClr w14:val="tx1"/>
            </w14:solidFill>
          </w14:textFill>
        </w:rPr>
        <w:t>（一）规划期限。</w:t>
      </w:r>
      <w:bookmarkEnd w:id="111"/>
      <w:bookmarkEnd w:id="112"/>
      <w:bookmarkEnd w:id="113"/>
      <w:bookmarkEnd w:id="114"/>
      <w:bookmarkEnd w:id="115"/>
      <w:bookmarkEnd w:id="116"/>
      <w:r>
        <w:rPr>
          <w:rFonts w:hint="eastAsia" w:ascii="宋体" w:hAnsi="宋体" w:cs="宋体"/>
          <w:b w:val="0"/>
          <w:color w:val="000000" w:themeColor="text1"/>
          <w:kern w:val="2"/>
          <w:sz w:val="24"/>
          <w:szCs w:val="24"/>
          <w:highlight w:val="none"/>
          <w:lang w:val="en-US" w:eastAsia="zh-CN" w:bidi="ar-SA"/>
          <w14:textFill>
            <w14:solidFill>
              <w14:schemeClr w14:val="tx1"/>
            </w14:solidFill>
          </w14:textFill>
        </w:rPr>
        <w:t>根据</w:t>
      </w:r>
      <w:r>
        <w:rPr>
          <w:rFonts w:hint="eastAsia" w:ascii="宋体" w:hAnsi="宋体" w:eastAsia="宋体" w:cs="宋体"/>
          <w:color w:val="000000" w:themeColor="text1"/>
          <w:sz w:val="24"/>
          <w:szCs w:val="32"/>
          <w:highlight w:val="none"/>
          <w:lang w:val="en-US" w:eastAsia="zh-CN"/>
          <w14:textFill>
            <w14:solidFill>
              <w14:schemeClr w14:val="tx1"/>
            </w14:solidFill>
          </w14:textFill>
        </w:rPr>
        <w:t>《四川省充电基础设施发展规划（2024—2030年）》</w:t>
      </w:r>
      <w:r>
        <w:rPr>
          <w:rFonts w:hint="eastAsia" w:ascii="宋体" w:hAnsi="宋体" w:eastAsia="宋体" w:cs="宋体"/>
          <w:b w:val="0"/>
          <w:color w:val="000000" w:themeColor="text1"/>
          <w:kern w:val="2"/>
          <w:sz w:val="24"/>
          <w:szCs w:val="24"/>
          <w:highlight w:val="none"/>
          <w:lang w:val="zh-CN" w:eastAsia="zh-CN" w:bidi="ar-SA"/>
          <w14:textFill>
            <w14:solidFill>
              <w14:schemeClr w14:val="tx1"/>
            </w14:solidFill>
          </w14:textFill>
        </w:rPr>
        <w:t>要求，</w:t>
      </w:r>
      <w:r>
        <w:rPr>
          <w:rFonts w:hint="eastAsia" w:ascii="宋体" w:hAnsi="宋体" w:cs="宋体"/>
          <w:color w:val="000000" w:themeColor="text1"/>
          <w:highlight w:val="none"/>
          <w:lang w:val="zh-CN"/>
          <w14:textFill>
            <w14:solidFill>
              <w14:schemeClr w14:val="tx1"/>
            </w14:solidFill>
          </w14:textFill>
        </w:rPr>
        <w:t>结合新能源汽车产业发展方向以及国民经济和社会发展规划</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国土空间</w:t>
      </w:r>
      <w:r>
        <w:rPr>
          <w:rFonts w:hint="eastAsia" w:ascii="宋体" w:hAnsi="宋体" w:cs="宋体"/>
          <w:color w:val="000000" w:themeColor="text1"/>
          <w:highlight w:val="none"/>
          <w:lang w:val="zh-CN"/>
          <w14:textFill>
            <w14:solidFill>
              <w14:schemeClr w14:val="tx1"/>
            </w14:solidFill>
          </w14:textFill>
        </w:rPr>
        <w:t>规划等相关规划</w:t>
      </w:r>
      <w:r>
        <w:rPr>
          <w:rFonts w:hint="eastAsia" w:ascii="宋体" w:hAnsi="宋体" w:eastAsia="宋体" w:cs="宋体"/>
          <w:b w:val="0"/>
          <w:color w:val="000000" w:themeColor="text1"/>
          <w:kern w:val="2"/>
          <w:sz w:val="24"/>
          <w:szCs w:val="24"/>
          <w:highlight w:val="none"/>
          <w:lang w:val="zh-CN" w:eastAsia="zh-CN" w:bidi="ar-SA"/>
          <w14:textFill>
            <w14:solidFill>
              <w14:schemeClr w14:val="tx1"/>
            </w14:solidFill>
          </w14:textFill>
        </w:rPr>
        <w:t>，充分考虑电动汽车和充电技术发展趋势，本规划期限确定为202</w:t>
      </w:r>
      <w:r>
        <w:rPr>
          <w:rFonts w:hint="eastAsia" w:ascii="宋体" w:hAnsi="宋体" w:cs="宋体"/>
          <w:b w:val="0"/>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b w:val="0"/>
          <w:color w:val="000000" w:themeColor="text1"/>
          <w:kern w:val="2"/>
          <w:sz w:val="24"/>
          <w:szCs w:val="24"/>
          <w:highlight w:val="none"/>
          <w:lang w:val="zh-CN" w:eastAsia="zh-CN" w:bidi="ar-SA"/>
          <w14:textFill>
            <w14:solidFill>
              <w14:schemeClr w14:val="tx1"/>
            </w14:solidFill>
          </w14:textFill>
        </w:rPr>
        <w:t>至2030年。</w:t>
      </w:r>
    </w:p>
    <w:p>
      <w:pPr>
        <w:pStyle w:val="22"/>
        <w:ind w:firstLine="562"/>
        <w:jc w:val="left"/>
        <w:rPr>
          <w:rFonts w:hint="eastAsia" w:ascii="宋体" w:hAnsi="宋体" w:cs="宋体"/>
          <w:color w:val="000000" w:themeColor="text1"/>
          <w:highlight w:val="none"/>
          <w:lang w:val="zh-CN" w:eastAsia="zh-CN"/>
          <w14:textFill>
            <w14:solidFill>
              <w14:schemeClr w14:val="tx1"/>
            </w14:solidFill>
          </w14:textFill>
        </w:rPr>
      </w:pPr>
      <w:bookmarkStart w:id="117" w:name="_Toc8403"/>
      <w:bookmarkStart w:id="118" w:name="_Toc20715"/>
      <w:bookmarkStart w:id="119" w:name="_Toc137"/>
      <w:bookmarkStart w:id="120" w:name="_Toc23665"/>
      <w:bookmarkStart w:id="121" w:name="_Toc32060"/>
      <w:bookmarkStart w:id="122" w:name="_Toc30562"/>
      <w:r>
        <w:rPr>
          <w:rStyle w:val="19"/>
          <w:rFonts w:hint="eastAsia"/>
          <w:color w:val="000000" w:themeColor="text1"/>
          <w:szCs w:val="22"/>
          <w:highlight w:val="none"/>
          <w:lang w:val="zh-CN"/>
          <w14:textFill>
            <w14:solidFill>
              <w14:schemeClr w14:val="tx1"/>
            </w14:solidFill>
          </w14:textFill>
        </w:rPr>
        <w:t>（二）规划范围。</w:t>
      </w:r>
      <w:bookmarkEnd w:id="117"/>
      <w:bookmarkEnd w:id="118"/>
      <w:bookmarkEnd w:id="119"/>
      <w:bookmarkEnd w:id="120"/>
      <w:bookmarkEnd w:id="121"/>
      <w:bookmarkEnd w:id="122"/>
      <w:r>
        <w:rPr>
          <w:rFonts w:hint="eastAsia" w:ascii="宋体" w:hAnsi="宋体" w:cs="宋体"/>
          <w:color w:val="000000" w:themeColor="text1"/>
          <w:highlight w:val="none"/>
          <w:lang w:val="zh-CN" w:eastAsia="zh-CN"/>
          <w14:textFill>
            <w14:solidFill>
              <w14:schemeClr w14:val="tx1"/>
            </w14:solidFill>
          </w14:textFill>
        </w:rPr>
        <w:t>本规划覆盖乐山市行政辖区全域，其中，规划重点地区为乐山市中心城区，包括</w:t>
      </w:r>
      <w:r>
        <w:rPr>
          <w:rFonts w:hint="eastAsia" w:ascii="宋体" w:hAnsi="宋体" w:cs="宋体"/>
          <w:color w:val="000000" w:themeColor="text1"/>
          <w:highlight w:val="none"/>
          <w:lang w:val="en-US" w:eastAsia="zh-CN"/>
          <w14:textFill>
            <w14:solidFill>
              <w14:schemeClr w14:val="tx1"/>
            </w14:solidFill>
          </w14:textFill>
        </w:rPr>
        <w:t>乐山市本级城区所涵盖的市中区（含高新区）、沙湾区和五通桥区城区城镇开发边界所围合的区域</w:t>
      </w:r>
      <w:r>
        <w:rPr>
          <w:rFonts w:hint="eastAsia" w:ascii="宋体" w:hAnsi="宋体" w:cs="宋体"/>
          <w:color w:val="000000" w:themeColor="text1"/>
          <w:highlight w:val="none"/>
          <w:lang w:val="zh-CN" w:eastAsia="zh-CN"/>
          <w14:textFill>
            <w14:solidFill>
              <w14:schemeClr w14:val="tx1"/>
            </w14:solidFill>
          </w14:textFill>
        </w:rPr>
        <w:t>；规划一般地区为中心城区</w:t>
      </w:r>
      <w:r>
        <w:rPr>
          <w:rFonts w:hint="eastAsia" w:ascii="宋体" w:hAnsi="宋体" w:cs="宋体"/>
          <w:color w:val="000000" w:themeColor="text1"/>
          <w:highlight w:val="none"/>
          <w:lang w:val="en-US" w:eastAsia="zh-CN"/>
          <w14:textFill>
            <w14:solidFill>
              <w14:schemeClr w14:val="tx1"/>
            </w14:solidFill>
          </w14:textFill>
        </w:rPr>
        <w:t>以外的地区，包括市本级城区的外围地区以及</w:t>
      </w:r>
      <w:r>
        <w:rPr>
          <w:rFonts w:hint="eastAsia" w:ascii="宋体" w:hAnsi="宋体" w:cs="宋体"/>
          <w:color w:val="000000" w:themeColor="text1"/>
          <w:highlight w:val="none"/>
          <w:lang w:val="zh-CN" w:eastAsia="zh-CN"/>
          <w14:textFill>
            <w14:solidFill>
              <w14:schemeClr w14:val="tx1"/>
            </w14:solidFill>
          </w14:textFill>
        </w:rPr>
        <w:t>金口河区、峨眉山市、犍为县、井研县、夹江县、沐川县、峨边彝族自治县、马边彝族自治县。</w:t>
      </w:r>
    </w:p>
    <w:p>
      <w:pPr>
        <w:pStyle w:val="21"/>
        <w:rPr>
          <w:color w:val="000000" w:themeColor="text1"/>
          <w:highlight w:val="none"/>
          <w14:textFill>
            <w14:solidFill>
              <w14:schemeClr w14:val="tx1"/>
            </w14:solidFill>
          </w14:textFill>
        </w:rPr>
      </w:pPr>
      <w:bookmarkStart w:id="123" w:name="_Toc3394"/>
      <w:bookmarkStart w:id="124" w:name="_Toc13556"/>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 xml:space="preserve">节 </w:t>
      </w:r>
      <w:r>
        <w:rPr>
          <w:rFonts w:hint="eastAsia"/>
          <w:color w:val="000000" w:themeColor="text1"/>
          <w:highlight w:val="none"/>
          <w:lang w:val="en-US" w:eastAsia="zh-CN"/>
          <w14:textFill>
            <w14:solidFill>
              <w14:schemeClr w14:val="tx1"/>
            </w14:solidFill>
          </w14:textFill>
        </w:rPr>
        <w:t>编制</w:t>
      </w:r>
      <w:r>
        <w:rPr>
          <w:rFonts w:hint="eastAsia"/>
          <w:color w:val="000000" w:themeColor="text1"/>
          <w:highlight w:val="none"/>
          <w14:textFill>
            <w14:solidFill>
              <w14:schemeClr w14:val="tx1"/>
            </w14:solidFill>
          </w14:textFill>
        </w:rPr>
        <w:t>依据</w:t>
      </w:r>
      <w:bookmarkEnd w:id="123"/>
      <w:bookmarkEnd w:id="124"/>
    </w:p>
    <w:p>
      <w:pPr>
        <w:pStyle w:val="23"/>
        <w:ind w:firstLine="480"/>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为</w:t>
      </w:r>
      <w:r>
        <w:rPr>
          <w:rFonts w:hint="eastAsia" w:cs="宋体"/>
          <w:b w:val="0"/>
          <w:color w:val="000000" w:themeColor="text1"/>
          <w:kern w:val="2"/>
          <w:sz w:val="24"/>
          <w:szCs w:val="24"/>
          <w:highlight w:val="none"/>
          <w:lang w:val="en-US" w:eastAsia="zh-CN" w:bidi="ar-SA"/>
          <w14:textFill>
            <w14:solidFill>
              <w14:schemeClr w14:val="tx1"/>
            </w14:solidFill>
          </w14:textFill>
        </w:rPr>
        <w:t>落实</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《四川省充电基础设施发展规划（2024—2030年）》</w:t>
      </w:r>
      <w:r>
        <w:rPr>
          <w:rFonts w:hint="eastAsia" w:cs="宋体"/>
          <w:b w:val="0"/>
          <w:color w:val="000000" w:themeColor="text1"/>
          <w:kern w:val="2"/>
          <w:sz w:val="24"/>
          <w:szCs w:val="24"/>
          <w:highlight w:val="none"/>
          <w:lang w:val="en-US" w:eastAsia="zh-CN" w:bidi="ar-SA"/>
          <w14:textFill>
            <w14:solidFill>
              <w14:schemeClr w14:val="tx1"/>
            </w14:solidFill>
          </w14:textFill>
        </w:rPr>
        <w:t>发展要求</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，助力乐山建设全省区域中心城市、深度融入成渝地区双城经济圈，现立足</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十四五</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攻坚期与</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十五五</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提升期双重发展需求，统筹推进全市电动汽车产业与充电基础设施协同发展。重点围绕科学布局、有序建设充电基础设施网络，加速电动汽车普及应用，破解资源环境约束难题，构建绿色低碳发展新格局，依据四川省发展改革委（能源局）及乐山市政府工作部署，特编制《乐山市电动汽车充电基础设施专项规划（202</w:t>
      </w:r>
      <w:r>
        <w:rPr>
          <w:rFonts w:hint="eastAsia" w:cs="宋体"/>
          <w:b w:val="0"/>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—2030年）》，系统指导</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十四五</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关键期建设任务，前瞻衔接</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十五五</w:t>
      </w:r>
      <w:r>
        <w:rPr>
          <w:rFonts w:hint="eastAsia" w:cs="宋体"/>
          <w:b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高质量发展阶段，为现代化基础设施体系建设提供持续动能。</w:t>
      </w:r>
    </w:p>
    <w:p>
      <w:pPr>
        <w:pStyle w:val="23"/>
        <w:ind w:firstLine="480"/>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本规划主要依据国家、四川省相关</w:t>
      </w:r>
      <w:r>
        <w:rPr>
          <w:rFonts w:hint="eastAsia" w:ascii="宋体" w:hAnsi="宋体" w:eastAsia="宋体" w:cs="宋体"/>
          <w:b w:val="0"/>
          <w:color w:val="000000" w:themeColor="text1"/>
          <w:kern w:val="2"/>
          <w:sz w:val="24"/>
          <w:szCs w:val="24"/>
          <w:highlight w:val="none"/>
          <w:lang w:val="zh-CN" w:eastAsia="zh-CN" w:bidi="ar-SA"/>
          <w14:textFill>
            <w14:solidFill>
              <w14:schemeClr w14:val="tx1"/>
            </w14:solidFill>
          </w14:textFill>
        </w:rPr>
        <w:t>法律、法规、规范、</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标准及</w:t>
      </w:r>
      <w:r>
        <w:rPr>
          <w:rFonts w:hint="eastAsia" w:ascii="宋体" w:hAnsi="宋体" w:eastAsia="宋体" w:cs="宋体"/>
          <w:b w:val="0"/>
          <w:color w:val="000000" w:themeColor="text1"/>
          <w:kern w:val="2"/>
          <w:sz w:val="24"/>
          <w:szCs w:val="24"/>
          <w:highlight w:val="none"/>
          <w:lang w:val="zh-CN" w:eastAsia="zh-CN" w:bidi="ar-SA"/>
          <w14:textFill>
            <w14:solidFill>
              <w14:schemeClr w14:val="tx1"/>
            </w14:solidFill>
          </w14:textFill>
        </w:rPr>
        <w:t>相关政策</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，以及乐山市国民经济和社会发展规划、国土空间规划、交通运输规划、旅游发展规划等相关规划编制。</w:t>
      </w:r>
    </w:p>
    <w:p>
      <w:pPr>
        <w:pStyle w:val="22"/>
        <w:ind w:firstLine="562"/>
        <w:jc w:val="left"/>
        <w:rPr>
          <w:rStyle w:val="19"/>
          <w:rFonts w:hint="eastAsia" w:eastAsia="楷体_GB2312"/>
          <w:color w:val="000000" w:themeColor="text1"/>
          <w:szCs w:val="22"/>
          <w:highlight w:val="none"/>
          <w:lang w:val="en-US" w:eastAsia="zh-CN"/>
          <w14:textFill>
            <w14:solidFill>
              <w14:schemeClr w14:val="tx1"/>
            </w14:solidFill>
          </w14:textFill>
        </w:rPr>
      </w:pPr>
      <w:bookmarkStart w:id="125" w:name="_Toc31081"/>
      <w:bookmarkStart w:id="126" w:name="_Toc9240"/>
      <w:bookmarkStart w:id="127" w:name="_Toc20195"/>
      <w:bookmarkStart w:id="128" w:name="_Toc13696"/>
      <w:bookmarkStart w:id="129" w:name="_Toc30283"/>
      <w:bookmarkStart w:id="130" w:name="_Toc8319"/>
      <w:r>
        <w:rPr>
          <w:rStyle w:val="19"/>
          <w:rFonts w:hint="eastAsia"/>
          <w:color w:val="000000" w:themeColor="text1"/>
          <w:szCs w:val="22"/>
          <w:highlight w:val="none"/>
          <w:lang w:val="zh-CN"/>
          <w14:textFill>
            <w14:solidFill>
              <w14:schemeClr w14:val="tx1"/>
            </w14:solidFill>
          </w14:textFill>
        </w:rPr>
        <w:t>（一）法律、法规、规范、</w:t>
      </w:r>
      <w:r>
        <w:rPr>
          <w:rStyle w:val="19"/>
          <w:rFonts w:hint="eastAsia" w:eastAsia="楷体_GB2312"/>
          <w:color w:val="000000" w:themeColor="text1"/>
          <w:szCs w:val="22"/>
          <w:highlight w:val="none"/>
          <w:lang w:val="en-US" w:eastAsia="zh-CN"/>
          <w14:textFill>
            <w14:solidFill>
              <w14:schemeClr w14:val="tx1"/>
            </w14:solidFill>
          </w14:textFill>
        </w:rPr>
        <w:t>标准</w:t>
      </w:r>
    </w:p>
    <w:bookmarkEnd w:id="125"/>
    <w:bookmarkEnd w:id="126"/>
    <w:bookmarkEnd w:id="127"/>
    <w:bookmarkEnd w:id="128"/>
    <w:bookmarkEnd w:id="129"/>
    <w:bookmarkEnd w:id="130"/>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1、《中华人民共和国城乡规划法》（2019修正）</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baidu.com/link?url=dyiN1wYiM0TfpfxB3dJGgktB2AjDGU4frx_yQTBOs89-vFy3IveE3LCbnKItJ05JupoJDOE81D4i1tixIETJL9MAkgzDzb88btVTkzv40GNdEjy3uUMft-8s0UtkhbHOqY0696z2Dvn9N59e7WS4FBLALGsMZ91PmBUzpcGX2SV09bm2B7UJnY582BV1-XK5mmIVqclZH5hnCFFdedoAXl3kw1zlIzBTxRiy7OrC7yLPU8OmyDAzAEpQ86QEvTl5mBQgc28Arw6hdWIYCzQBTTKycQlmRQc45OQwIrJcfjwU-vA7QLg32jFZjKodK5f1tSCADr6KDq7xELgJiRojWa" \t "https://www.baidu.com/_blank" </w:instrText>
      </w:r>
      <w:r>
        <w:rPr>
          <w:color w:val="000000" w:themeColor="text1"/>
          <w:highlight w:val="none"/>
          <w14:textFill>
            <w14:solidFill>
              <w14:schemeClr w14:val="tx1"/>
            </w14:solidFill>
          </w14:textFill>
        </w:rPr>
        <w:fldChar w:fldCharType="separate"/>
      </w:r>
      <w:r>
        <w:rPr>
          <w:rFonts w:ascii="宋体" w:hAnsi="宋体" w:cs="宋体"/>
          <w:color w:val="000000" w:themeColor="text1"/>
          <w:highlight w:val="none"/>
          <w:lang w:val="zh-CN"/>
          <w14:textFill>
            <w14:solidFill>
              <w14:schemeClr w14:val="tx1"/>
            </w14:solidFill>
          </w14:textFill>
        </w:rPr>
        <w:t>中华人民共和国土地管理法</w:t>
      </w:r>
      <w:r>
        <w:rPr>
          <w:rFonts w:ascii="宋体" w:hAnsi="宋体" w:cs="宋体"/>
          <w:color w:val="000000" w:themeColor="text1"/>
          <w:highlight w:val="none"/>
          <w:lang w:val="zh-CN"/>
          <w14:textFill>
            <w14:solidFill>
              <w14:schemeClr w14:val="tx1"/>
            </w14:solidFill>
          </w14:textFill>
        </w:rPr>
        <w:fldChar w:fldCharType="end"/>
      </w:r>
      <w:r>
        <w:rPr>
          <w:rFonts w:hint="eastAsia" w:ascii="宋体" w:hAnsi="宋体" w:cs="宋体"/>
          <w:color w:val="000000" w:themeColor="text1"/>
          <w:highlight w:val="none"/>
          <w:lang w:val="zh-CN"/>
          <w14:textFill>
            <w14:solidFill>
              <w14:schemeClr w14:val="tx1"/>
            </w14:solidFill>
          </w14:textFill>
        </w:rPr>
        <w:t>》（2019修正）</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lang w:val="zh-CN"/>
          <w14:textFill>
            <w14:solidFill>
              <w14:schemeClr w14:val="tx1"/>
            </w14:solidFill>
          </w14:textFill>
        </w:rPr>
        <w:t>、《电动汽车充换电设施术语》（GB/T 29317-2012）</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lang w:val="zh-CN"/>
          <w14:textFill>
            <w14:solidFill>
              <w14:schemeClr w14:val="tx1"/>
            </w14:solidFill>
          </w14:textFill>
        </w:rPr>
        <w:t>、《电动汽车充电站通用要求》（GB/T 29781-2013）</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lang w:val="zh-CN"/>
          <w14:textFill>
            <w14:solidFill>
              <w14:schemeClr w14:val="tx1"/>
            </w14:solidFill>
          </w14:textFill>
        </w:rPr>
        <w:t>、《电动汽车电池更换站通用技术要求》（GB/T 29772-2013）</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lang w:val="zh-CN"/>
          <w14:textFill>
            <w14:solidFill>
              <w14:schemeClr w14:val="tx1"/>
            </w14:solidFill>
          </w14:textFill>
        </w:rPr>
        <w:t>、</w:t>
      </w:r>
      <w:r>
        <w:rPr>
          <w:rFonts w:hint="eastAsia" w:ascii="宋体" w:hAnsi="宋体"/>
          <w:color w:val="000000" w:themeColor="text1"/>
          <w:szCs w:val="22"/>
          <w:highlight w:val="none"/>
          <w14:textFill>
            <w14:solidFill>
              <w14:schemeClr w14:val="tx1"/>
            </w14:solidFill>
          </w14:textFill>
        </w:rPr>
        <w:t>《电动汽车充换电设施工程施工和竣工验收规范》（NB/T</w:t>
      </w:r>
      <w:r>
        <w:rPr>
          <w:rFonts w:hint="eastAsia" w:ascii="宋体" w:hAnsi="宋体"/>
          <w:color w:val="000000" w:themeColor="text1"/>
          <w:szCs w:val="22"/>
          <w:highlight w:val="none"/>
          <w:lang w:val="en-US" w:eastAsia="zh-CN"/>
          <w14:textFill>
            <w14:solidFill>
              <w14:schemeClr w14:val="tx1"/>
            </w14:solidFill>
          </w14:textFill>
        </w:rPr>
        <w:t xml:space="preserve"> </w:t>
      </w:r>
      <w:r>
        <w:rPr>
          <w:rFonts w:hint="eastAsia" w:ascii="宋体" w:hAnsi="宋体"/>
          <w:color w:val="000000" w:themeColor="text1"/>
          <w:szCs w:val="22"/>
          <w:highlight w:val="none"/>
          <w14:textFill>
            <w14:solidFill>
              <w14:schemeClr w14:val="tx1"/>
            </w14:solidFill>
          </w14:textFill>
        </w:rPr>
        <w:t>33004-2013）</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lang w:val="zh-CN"/>
          <w14:textFill>
            <w14:solidFill>
              <w14:schemeClr w14:val="tx1"/>
            </w14:solidFill>
          </w14:textFill>
        </w:rPr>
        <w:t>、《电动汽车充电站设计规范》（GB 50966-2014）</w:t>
      </w:r>
    </w:p>
    <w:p>
      <w:pPr>
        <w:pStyle w:val="22"/>
        <w:ind w:firstLine="480"/>
        <w:jc w:val="left"/>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lang w:val="en-US" w:eastAsia="zh-CN"/>
          <w14:textFill>
            <w14:solidFill>
              <w14:schemeClr w14:val="tx1"/>
            </w14:solidFill>
          </w14:textFill>
        </w:rPr>
        <w:t>8</w:t>
      </w:r>
      <w:r>
        <w:rPr>
          <w:rFonts w:hint="eastAsia" w:ascii="宋体" w:hAnsi="宋体"/>
          <w:color w:val="000000" w:themeColor="text1"/>
          <w:szCs w:val="22"/>
          <w:highlight w:val="none"/>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《爆炸危险环境电力装置设计规范》（GB 50058-2014）</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lang w:val="zh-CN"/>
          <w14:textFill>
            <w14:solidFill>
              <w14:schemeClr w14:val="tx1"/>
            </w14:solidFill>
          </w14:textFill>
        </w:rPr>
        <w:t>、《电动汽车充换电设施规划导则》（NB/T 33023-2015）</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0</w:t>
      </w:r>
      <w:r>
        <w:rPr>
          <w:rFonts w:hint="eastAsia" w:ascii="宋体" w:hAnsi="宋体" w:cs="宋体"/>
          <w:color w:val="000000" w:themeColor="text1"/>
          <w:highlight w:val="none"/>
          <w:lang w:val="zh-CN"/>
          <w14:textFill>
            <w14:solidFill>
              <w14:schemeClr w14:val="tx1"/>
            </w14:solidFill>
          </w14:textFill>
        </w:rPr>
        <w:t>、《电动汽车电池更换站设计规范》（GB/T 51077-2015）</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cs="宋体"/>
          <w:color w:val="000000" w:themeColor="text1"/>
          <w:highlight w:val="none"/>
          <w:lang w:val="zh-CN"/>
          <w14:textFill>
            <w14:solidFill>
              <w14:schemeClr w14:val="tx1"/>
            </w14:solidFill>
          </w14:textFill>
        </w:rPr>
        <w:t>、《电动汽车交流充电桩技术条件》（NB/T 33002-201</w:t>
      </w:r>
      <w:r>
        <w:rPr>
          <w:rFonts w:hint="eastAsia" w:ascii="宋体" w:hAnsi="宋体" w:cs="宋体"/>
          <w:color w:val="000000" w:themeColor="text1"/>
          <w:highlight w:val="none"/>
          <w14:textFill>
            <w14:solidFill>
              <w14:schemeClr w14:val="tx1"/>
            </w14:solidFill>
          </w14:textFill>
        </w:rPr>
        <w:t>8</w:t>
      </w:r>
      <w:r>
        <w:rPr>
          <w:rFonts w:hint="eastAsia" w:ascii="宋体" w:hAnsi="宋体" w:cs="宋体"/>
          <w:color w:val="000000" w:themeColor="text1"/>
          <w:highlight w:val="none"/>
          <w:lang w:val="zh-CN"/>
          <w14:textFill>
            <w14:solidFill>
              <w14:schemeClr w14:val="tx1"/>
            </w14:solidFill>
          </w14:textFill>
        </w:rPr>
        <w:t>）</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lang w:val="zh-CN"/>
          <w14:textFill>
            <w14:solidFill>
              <w14:schemeClr w14:val="tx1"/>
            </w14:solidFill>
          </w14:textFill>
        </w:rPr>
        <w:t>、《电动汽车充换电设施接入配电网技术规范》（GB/T</w:t>
      </w:r>
      <w:r>
        <w:rPr>
          <w:rFonts w:hint="eastAsia" w:ascii="宋体" w:hAnsi="宋体" w:cs="宋体"/>
          <w:color w:val="000000" w:themeColor="text1"/>
          <w:highlight w:val="none"/>
          <w:lang w:val="en-US" w:eastAsia="zh-CN"/>
          <w14:textFill>
            <w14:solidFill>
              <w14:schemeClr w14:val="tx1"/>
            </w14:solidFill>
          </w14:textFill>
        </w:rPr>
        <w:t xml:space="preserve"> </w:t>
      </w:r>
      <w:r>
        <w:rPr>
          <w:rFonts w:hint="eastAsia" w:ascii="宋体" w:hAnsi="宋体" w:cs="宋体"/>
          <w:color w:val="000000" w:themeColor="text1"/>
          <w:highlight w:val="none"/>
          <w:lang w:val="zh-CN"/>
          <w14:textFill>
            <w14:solidFill>
              <w14:schemeClr w14:val="tx1"/>
            </w14:solidFill>
          </w14:textFill>
        </w:rPr>
        <w:t>36278-2018）</w:t>
      </w:r>
    </w:p>
    <w:p>
      <w:pPr>
        <w:pStyle w:val="22"/>
        <w:ind w:firstLine="480"/>
        <w:jc w:val="left"/>
        <w:rPr>
          <w:rFonts w:ascii="宋体" w:hAnsi="宋体"/>
          <w:color w:val="000000" w:themeColor="text1"/>
          <w:szCs w:val="22"/>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lang w:val="zh-CN"/>
          <w14:textFill>
            <w14:solidFill>
              <w14:schemeClr w14:val="tx1"/>
            </w14:solidFill>
          </w14:textFill>
        </w:rPr>
        <w:t>、</w:t>
      </w:r>
      <w:r>
        <w:rPr>
          <w:rFonts w:hint="eastAsia" w:ascii="宋体" w:hAnsi="宋体"/>
          <w:color w:val="000000" w:themeColor="text1"/>
          <w:szCs w:val="22"/>
          <w:highlight w:val="none"/>
          <w14:textFill>
            <w14:solidFill>
              <w14:schemeClr w14:val="tx1"/>
            </w14:solidFill>
          </w14:textFill>
        </w:rPr>
        <w:t>《电动汽车分散充电基础设施工程技术标准》</w:t>
      </w:r>
      <w:r>
        <w:rPr>
          <w:rFonts w:hint="eastAsia" w:ascii="宋体" w:hAnsi="宋体" w:cs="宋体"/>
          <w:color w:val="000000" w:themeColor="text1"/>
          <w:highlight w:val="none"/>
          <w:lang w:val="zh-CN"/>
          <w14:textFill>
            <w14:solidFill>
              <w14:schemeClr w14:val="tx1"/>
            </w14:solidFill>
          </w14:textFill>
        </w:rPr>
        <w:t>（</w:t>
      </w:r>
      <w:r>
        <w:rPr>
          <w:rFonts w:hint="eastAsia" w:ascii="宋体" w:hAnsi="宋体"/>
          <w:color w:val="000000" w:themeColor="text1"/>
          <w:szCs w:val="22"/>
          <w:highlight w:val="none"/>
          <w14:textFill>
            <w14:solidFill>
              <w14:schemeClr w14:val="tx1"/>
            </w14:solidFill>
          </w14:textFill>
        </w:rPr>
        <w:t>GB/T</w:t>
      </w:r>
      <w:r>
        <w:rPr>
          <w:rFonts w:hint="eastAsia" w:ascii="宋体" w:hAnsi="宋体"/>
          <w:color w:val="000000" w:themeColor="text1"/>
          <w:szCs w:val="22"/>
          <w:highlight w:val="none"/>
          <w:lang w:val="en-US" w:eastAsia="zh-CN"/>
          <w14:textFill>
            <w14:solidFill>
              <w14:schemeClr w14:val="tx1"/>
            </w14:solidFill>
          </w14:textFill>
        </w:rPr>
        <w:t xml:space="preserve"> </w:t>
      </w:r>
      <w:r>
        <w:rPr>
          <w:rFonts w:hint="eastAsia" w:ascii="宋体" w:hAnsi="宋体"/>
          <w:color w:val="000000" w:themeColor="text1"/>
          <w:szCs w:val="22"/>
          <w:highlight w:val="none"/>
          <w14:textFill>
            <w14:solidFill>
              <w14:schemeClr w14:val="tx1"/>
            </w14:solidFill>
          </w14:textFill>
        </w:rPr>
        <w:t>51313-2018）</w:t>
      </w:r>
    </w:p>
    <w:p>
      <w:pPr>
        <w:pStyle w:val="22"/>
        <w:ind w:firstLine="562"/>
        <w:jc w:val="left"/>
        <w:rPr>
          <w:rStyle w:val="19"/>
          <w:color w:val="000000" w:themeColor="text1"/>
          <w:szCs w:val="22"/>
          <w:highlight w:val="none"/>
          <w:lang w:val="zh-CN"/>
          <w14:textFill>
            <w14:solidFill>
              <w14:schemeClr w14:val="tx1"/>
            </w14:solidFill>
          </w14:textFill>
        </w:rPr>
      </w:pPr>
      <w:bookmarkStart w:id="131" w:name="_Toc25736"/>
      <w:bookmarkStart w:id="132" w:name="_Toc21562"/>
      <w:bookmarkStart w:id="133" w:name="_Toc2578"/>
      <w:bookmarkStart w:id="134" w:name="_Toc27010"/>
      <w:bookmarkStart w:id="135" w:name="_Toc19410"/>
      <w:bookmarkStart w:id="136" w:name="_Toc11107"/>
      <w:r>
        <w:rPr>
          <w:rStyle w:val="19"/>
          <w:rFonts w:hint="eastAsia"/>
          <w:color w:val="000000" w:themeColor="text1"/>
          <w:szCs w:val="22"/>
          <w:highlight w:val="none"/>
          <w:lang w:val="zh-CN"/>
          <w14:textFill>
            <w14:solidFill>
              <w14:schemeClr w14:val="tx1"/>
            </w14:solidFill>
          </w14:textFill>
        </w:rPr>
        <w:t>（二）相关政策</w:t>
      </w:r>
    </w:p>
    <w:bookmarkEnd w:id="131"/>
    <w:bookmarkEnd w:id="132"/>
    <w:bookmarkEnd w:id="133"/>
    <w:bookmarkEnd w:id="134"/>
    <w:bookmarkEnd w:id="135"/>
    <w:bookmarkEnd w:id="136"/>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zh-CN"/>
          <w14:textFill>
            <w14:solidFill>
              <w14:schemeClr w14:val="tx1"/>
            </w14:solidFill>
          </w14:textFill>
        </w:rPr>
        <w:t>1、《</w:t>
      </w:r>
      <w:r>
        <w:rPr>
          <w:rFonts w:hint="eastAsia" w:ascii="宋体" w:hAnsi="宋体" w:cs="宋体"/>
          <w:color w:val="000000" w:themeColor="text1"/>
          <w:highlight w:val="none"/>
          <w:shd w:val="clear" w:color="auto" w:fill="FFFFFF"/>
          <w14:textFill>
            <w14:solidFill>
              <w14:schemeClr w14:val="tx1"/>
            </w14:solidFill>
          </w14:textFill>
        </w:rPr>
        <w:t>国务院办公厅</w:t>
      </w:r>
      <w:r>
        <w:rPr>
          <w:rFonts w:hint="eastAsia" w:ascii="宋体" w:hAnsi="宋体" w:cs="宋体"/>
          <w:color w:val="000000" w:themeColor="text1"/>
          <w:highlight w:val="none"/>
          <w:shd w:val="clear" w:color="auto" w:fill="FFFFFF"/>
          <w:lang w:val="zh-CN"/>
          <w14:textFill>
            <w14:solidFill>
              <w14:schemeClr w14:val="tx1"/>
            </w14:solidFill>
          </w14:textFill>
        </w:rPr>
        <w:t>关于加快新能源汽车推广应用的指导意见》（国办发〔2014〕35号）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zh-CN"/>
          <w14:textFill>
            <w14:solidFill>
              <w14:schemeClr w14:val="tx1"/>
            </w14:solidFill>
          </w14:textFill>
        </w:rPr>
        <w:t>2、《国务院办公厅关于加快电动汽车充电基础设施建设的指导意见》（国办发〔2015〕73号）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zh-CN"/>
          <w14:textFill>
            <w14:solidFill>
              <w14:schemeClr w14:val="tx1"/>
            </w14:solidFill>
          </w14:textFill>
        </w:rPr>
        <w:t>3、</w:t>
      </w: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《国务院办公厅关于印发&lt;新能源汽车产业发展规划（2021—2035年）&gt;的通知》（国办发〔2020〕39号）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zh-CN"/>
          <w14:textFill>
            <w14:solidFill>
              <w14:schemeClr w14:val="tx1"/>
            </w14:solidFill>
          </w14:textFill>
        </w:rPr>
        <w:t>4、《国务院办公厅关于进一步构建高质量充电基础设施体系的指导意见》（国办发〔2023〕19号）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5、</w:t>
      </w:r>
      <w:r>
        <w:rPr>
          <w:rFonts w:hint="eastAsia" w:ascii="宋体" w:hAnsi="宋体" w:cs="宋体"/>
          <w:color w:val="000000" w:themeColor="text1"/>
          <w:highlight w:val="none"/>
          <w:shd w:val="clear" w:color="auto" w:fill="FFFFFF"/>
          <w:lang w:val="zh-CN"/>
          <w14:textFill>
            <w14:solidFill>
              <w14:schemeClr w14:val="tx1"/>
            </w14:solidFill>
          </w14:textFill>
        </w:rPr>
        <w:t>《住房城乡建设部关于加强城市电动汽车充电设施规划建设工作的通知》（建规〔2015〕199号）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6</w:t>
      </w:r>
      <w:r>
        <w:rPr>
          <w:rFonts w:hint="eastAsia" w:ascii="宋体" w:hAnsi="宋体" w:cs="宋体"/>
          <w:color w:val="000000" w:themeColor="text1"/>
          <w:highlight w:val="none"/>
          <w:shd w:val="clear" w:color="auto" w:fill="FFFFFF"/>
          <w:lang w:val="zh-CN"/>
          <w14:textFill>
            <w14:solidFill>
              <w14:schemeClr w14:val="tx1"/>
            </w14:solidFill>
          </w14:textFill>
        </w:rPr>
        <w:t>、《电动汽车充电基础设施发展指南（2015-2020年）》（发改能源〔2015〕1454号）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7</w:t>
      </w:r>
      <w:r>
        <w:rPr>
          <w:rFonts w:hint="eastAsia" w:ascii="宋体" w:hAnsi="宋体" w:cs="宋体"/>
          <w:color w:val="000000" w:themeColor="text1"/>
          <w:highlight w:val="none"/>
          <w:shd w:val="clear" w:color="auto" w:fill="FFFFFF"/>
          <w:lang w:val="zh-CN"/>
          <w14:textFill>
            <w14:solidFill>
              <w14:schemeClr w14:val="tx1"/>
            </w14:solidFill>
          </w14:textFill>
        </w:rPr>
        <w:t>、《</w:t>
      </w:r>
      <w:r>
        <w:rPr>
          <w:rFonts w:hint="eastAsia" w:ascii="宋体" w:hAnsi="宋体" w:cs="宋体"/>
          <w:color w:val="000000" w:themeColor="text1"/>
          <w:highlight w:val="none"/>
          <w:shd w:val="clear" w:color="auto" w:fill="FFFFFF"/>
          <w14:textFill>
            <w14:solidFill>
              <w14:schemeClr w14:val="tx1"/>
            </w14:solidFill>
          </w14:textFill>
        </w:rPr>
        <w:t>国家发展和改革委员会 国家能源局 工业和信息化部 住房和城乡建设部</w:t>
      </w:r>
      <w:r>
        <w:rPr>
          <w:rFonts w:hint="eastAsia" w:ascii="宋体" w:hAnsi="宋体" w:cs="宋体"/>
          <w:color w:val="000000" w:themeColor="text1"/>
          <w:highlight w:val="none"/>
          <w:shd w:val="clear" w:color="auto" w:fill="FFFFFF"/>
          <w:lang w:val="zh-CN"/>
          <w14:textFill>
            <w14:solidFill>
              <w14:schemeClr w14:val="tx1"/>
            </w14:solidFill>
          </w14:textFill>
        </w:rPr>
        <w:t>关于加快居民区电动汽车充电基础设施建设的通知》（发改能源〔2016〕1611号）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8</w:t>
      </w:r>
      <w:r>
        <w:rPr>
          <w:rFonts w:hint="eastAsia" w:ascii="宋体" w:hAnsi="宋体" w:cs="宋体"/>
          <w:color w:val="000000" w:themeColor="text1"/>
          <w:highlight w:val="none"/>
          <w:shd w:val="clear" w:color="auto" w:fill="FFFFFF"/>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w:t>
      </w:r>
      <w:r>
        <w:rPr>
          <w:rFonts w:hint="eastAsia" w:ascii="宋体" w:hAnsi="宋体" w:cs="宋体"/>
          <w:color w:val="000000" w:themeColor="text1"/>
          <w:highlight w:val="none"/>
          <w:shd w:val="clear" w:color="auto" w:fill="FFFFFF"/>
          <w14:textFill>
            <w14:solidFill>
              <w14:schemeClr w14:val="tx1"/>
            </w14:solidFill>
          </w14:textFill>
        </w:rPr>
        <w:t>国家能源局国务院国有资产监督管理委员会国家机关事务管理局</w:t>
      </w:r>
      <w:r>
        <w:rPr>
          <w:rFonts w:hint="eastAsia" w:ascii="宋体" w:hAnsi="宋体" w:cs="宋体"/>
          <w:color w:val="000000" w:themeColor="text1"/>
          <w:highlight w:val="none"/>
          <w:shd w:val="clear" w:color="auto" w:fill="FFFFFF"/>
          <w:lang w:val="zh-CN"/>
          <w14:textFill>
            <w14:solidFill>
              <w14:schemeClr w14:val="tx1"/>
            </w14:solidFill>
          </w14:textFill>
        </w:rPr>
        <w:t>关于加快单位内部电动汽车充电基础设施建设的通知》（国能电力〔201</w:t>
      </w:r>
      <w:r>
        <w:rPr>
          <w:rFonts w:hint="eastAsia" w:ascii="宋体" w:hAnsi="宋体" w:cs="宋体"/>
          <w:color w:val="000000" w:themeColor="text1"/>
          <w:highlight w:val="none"/>
          <w:shd w:val="clear" w:color="auto" w:fill="FFFFFF"/>
          <w14:textFill>
            <w14:solidFill>
              <w14:schemeClr w14:val="tx1"/>
            </w14:solidFill>
          </w14:textFill>
        </w:rPr>
        <w:t>7</w:t>
      </w:r>
      <w:r>
        <w:rPr>
          <w:rFonts w:hint="eastAsia" w:ascii="宋体" w:hAnsi="宋体" w:cs="宋体"/>
          <w:color w:val="000000" w:themeColor="text1"/>
          <w:highlight w:val="none"/>
          <w:shd w:val="clear" w:color="auto" w:fill="FFFFFF"/>
          <w:lang w:val="zh-CN"/>
          <w14:textFill>
            <w14:solidFill>
              <w14:schemeClr w14:val="tx1"/>
            </w14:solidFill>
          </w14:textFill>
        </w:rPr>
        <w:t>〕19号）</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9</w:t>
      </w:r>
      <w:r>
        <w:rPr>
          <w:rFonts w:hint="eastAsia" w:ascii="宋体" w:hAnsi="宋体" w:cs="宋体"/>
          <w:color w:val="000000" w:themeColor="text1"/>
          <w:highlight w:val="none"/>
          <w:shd w:val="clear" w:color="auto" w:fill="FFFFFF"/>
          <w:lang w:val="zh-CN"/>
          <w14:textFill>
            <w14:solidFill>
              <w14:schemeClr w14:val="tx1"/>
            </w14:solidFill>
          </w14:textFill>
        </w:rPr>
        <w:t>、《国家发展改革委等部门关于进一步提升电动汽车充电基础设施服务保障能力的实施意见》（发改能源规〔2022〕53号）</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10、</w:t>
      </w:r>
      <w:r>
        <w:rPr>
          <w:rFonts w:hint="eastAsia" w:ascii="宋体" w:hAnsi="宋体" w:cs="宋体"/>
          <w:color w:val="000000" w:themeColor="text1"/>
          <w:highlight w:val="none"/>
          <w:shd w:val="clear" w:color="auto" w:fill="FFFFFF"/>
          <w:lang w:val="zh-CN"/>
          <w14:textFill>
            <w14:solidFill>
              <w14:schemeClr w14:val="tx1"/>
            </w14:solidFill>
          </w14:textFill>
        </w:rPr>
        <w:t>《交通运输部 国家能源局 国家电网有限公司 中国南方电网有限责任公司关于印发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eastAsia" w:ascii="宋体" w:hAnsi="宋体" w:cs="宋体"/>
          <w:color w:val="000000" w:themeColor="text1"/>
          <w:highlight w:val="none"/>
          <w:shd w:val="clear" w:color="auto" w:fill="FFFFFF"/>
          <w:lang w:val="zh-CN"/>
          <w14:textFill>
            <w14:solidFill>
              <w14:schemeClr w14:val="tx1"/>
            </w14:solidFill>
          </w14:textFill>
        </w:rPr>
        <w:t>加快推进公路沿线充电基础设施建设行动方案</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eastAsia" w:ascii="宋体" w:hAnsi="宋体" w:cs="宋体"/>
          <w:color w:val="000000" w:themeColor="text1"/>
          <w:highlight w:val="none"/>
          <w:shd w:val="clear" w:color="auto" w:fill="FFFFFF"/>
          <w:lang w:val="zh-CN"/>
          <w14:textFill>
            <w14:solidFill>
              <w14:schemeClr w14:val="tx1"/>
            </w14:solidFill>
          </w14:textFill>
        </w:rPr>
        <w:t>的通知》</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交公路发〔2022〕80号</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11、</w:t>
      </w:r>
      <w:r>
        <w:rPr>
          <w:rFonts w:hint="eastAsia" w:ascii="宋体" w:hAnsi="宋体" w:cs="宋体"/>
          <w:color w:val="000000" w:themeColor="text1"/>
          <w:highlight w:val="none"/>
          <w:shd w:val="clear" w:color="auto" w:fill="FFFFFF"/>
          <w:lang w:val="zh-CN"/>
          <w14:textFill>
            <w14:solidFill>
              <w14:schemeClr w14:val="tx1"/>
            </w14:solidFill>
          </w14:textFill>
        </w:rPr>
        <w:t>《工业和信息化部等八部门关于组织开展公共领域车辆全面电动化先行区试点工作的通知》(工信部联通装函〔2023〕23号)</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12、《</w:t>
      </w:r>
      <w:r>
        <w:rPr>
          <w:rFonts w:hint="eastAsia" w:ascii="宋体" w:hAnsi="宋体" w:cs="宋体"/>
          <w:color w:val="000000" w:themeColor="text1"/>
          <w:highlight w:val="none"/>
          <w:shd w:val="clear" w:color="auto" w:fill="FFFFFF"/>
          <w:lang w:val="zh-CN"/>
          <w14:textFill>
            <w14:solidFill>
              <w14:schemeClr w14:val="tx1"/>
            </w14:solidFill>
          </w14:textFill>
        </w:rPr>
        <w:t>国家发展改革委办公厅等关于促进大功率充电设施科学规划建设的通知</w:t>
      </w:r>
      <w:r>
        <w:rPr>
          <w:rFonts w:hint="eastAsia" w:ascii="宋体" w:hAnsi="宋体" w:cs="宋体"/>
          <w:color w:val="000000" w:themeColor="text1"/>
          <w:highlight w:val="none"/>
          <w:shd w:val="clear" w:color="auto" w:fill="FFFFFF"/>
          <w:lang w:val="en-US" w:eastAsia="zh-CN"/>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发改办能源〔2025〕632号</w:t>
      </w:r>
      <w:r>
        <w:rPr>
          <w:rFonts w:hint="eastAsia" w:ascii="宋体" w:hAnsi="宋体" w:cs="宋体"/>
          <w:color w:val="000000" w:themeColor="text1"/>
          <w:highlight w:val="none"/>
          <w:shd w:val="clear" w:color="auto" w:fill="FFFFFF"/>
          <w:lang w:val="en-US" w:eastAsia="zh-CN"/>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13、《</w:t>
      </w:r>
      <w:r>
        <w:rPr>
          <w:rFonts w:hint="default" w:ascii="宋体" w:hAnsi="宋体" w:cs="宋体"/>
          <w:color w:val="000000" w:themeColor="text1"/>
          <w:highlight w:val="none"/>
          <w:shd w:val="clear" w:color="auto" w:fill="FFFFFF"/>
          <w:lang w:val="en-US" w:eastAsia="zh-CN"/>
          <w14:textFill>
            <w14:solidFill>
              <w14:schemeClr w14:val="tx1"/>
            </w14:solidFill>
          </w14:textFill>
        </w:rPr>
        <w:t>国家发展改革委等部门关于印发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default" w:ascii="宋体" w:hAnsi="宋体" w:cs="宋体"/>
          <w:color w:val="000000" w:themeColor="text1"/>
          <w:highlight w:val="none"/>
          <w:shd w:val="clear" w:color="auto" w:fill="FFFFFF"/>
          <w:lang w:val="en-US" w:eastAsia="zh-CN"/>
          <w14:textFill>
            <w14:solidFill>
              <w14:schemeClr w14:val="tx1"/>
            </w14:solidFill>
          </w14:textFill>
        </w:rPr>
        <w:t>电动汽车充电设施服务能力“三年倍增”行动方案（2025—2027年）</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default" w:ascii="宋体" w:hAnsi="宋体" w:cs="宋体"/>
          <w:color w:val="000000" w:themeColor="text1"/>
          <w:highlight w:val="none"/>
          <w:shd w:val="clear" w:color="auto" w:fill="FFFFFF"/>
          <w:lang w:val="en-US" w:eastAsia="zh-CN"/>
          <w14:textFill>
            <w14:solidFill>
              <w14:schemeClr w14:val="tx1"/>
            </w14:solidFill>
          </w14:textFill>
        </w:rPr>
        <w:t>的通知</w:t>
      </w:r>
      <w:r>
        <w:rPr>
          <w:rFonts w:hint="eastAsia" w:ascii="宋体" w:hAnsi="宋体" w:cs="宋体"/>
          <w:color w:val="000000" w:themeColor="text1"/>
          <w:highlight w:val="none"/>
          <w:shd w:val="clear" w:color="auto" w:fill="FFFFFF"/>
          <w:lang w:val="en-US" w:eastAsia="zh-CN"/>
          <w14:textFill>
            <w14:solidFill>
              <w14:schemeClr w14:val="tx1"/>
            </w14:solidFill>
          </w14:textFill>
        </w:rPr>
        <w:t>》（发改能源〔2025〕1250号）</w:t>
      </w:r>
    </w:p>
    <w:p>
      <w:pPr>
        <w:pStyle w:val="22"/>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14、</w:t>
      </w:r>
      <w:r>
        <w:rPr>
          <w:rFonts w:hint="eastAsia" w:ascii="宋体" w:hAnsi="宋体" w:cs="宋体"/>
          <w:color w:val="000000" w:themeColor="text1"/>
          <w:highlight w:val="none"/>
          <w:shd w:val="clear" w:color="auto" w:fill="FFFFFF"/>
          <w:lang w:val="zh-CN"/>
          <w14:textFill>
            <w14:solidFill>
              <w14:schemeClr w14:val="tx1"/>
            </w14:solidFill>
          </w14:textFill>
        </w:rPr>
        <w:t>《四川省人民政府办公厅关于加快电动汽车充电基础设施建设的实施意见》（川办发〔2017〕19号）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15、</w:t>
      </w:r>
      <w:r>
        <w:rPr>
          <w:rFonts w:hint="eastAsia" w:ascii="宋体" w:hAnsi="宋体" w:cs="宋体"/>
          <w:color w:val="000000" w:themeColor="text1"/>
          <w:highlight w:val="none"/>
          <w:shd w:val="clear" w:color="auto" w:fill="FFFFFF"/>
          <w:lang w:val="zh-CN"/>
          <w14:textFill>
            <w14:solidFill>
              <w14:schemeClr w14:val="tx1"/>
            </w14:solidFill>
          </w14:textFill>
        </w:rPr>
        <w:t>《四川省发展和改革委员会 四川省能源局关于加强电动汽车充电基础设施规划建设有关问题的通知》（川发改能源〔2018〕</w:t>
      </w:r>
      <w:r>
        <w:rPr>
          <w:rFonts w:hint="eastAsia" w:ascii="宋体" w:hAnsi="宋体" w:cs="宋体"/>
          <w:color w:val="000000" w:themeColor="text1"/>
          <w:highlight w:val="none"/>
          <w:shd w:val="clear" w:color="auto" w:fill="FFFFFF"/>
          <w14:textFill>
            <w14:solidFill>
              <w14:schemeClr w14:val="tx1"/>
            </w14:solidFill>
          </w14:textFill>
        </w:rPr>
        <w:t>125</w:t>
      </w:r>
      <w:r>
        <w:rPr>
          <w:rFonts w:hint="eastAsia" w:ascii="宋体" w:hAnsi="宋体" w:cs="宋体"/>
          <w:color w:val="000000" w:themeColor="text1"/>
          <w:highlight w:val="none"/>
          <w:shd w:val="clear" w:color="auto" w:fill="FFFFFF"/>
          <w:lang w:val="zh-CN"/>
          <w14:textFill>
            <w14:solidFill>
              <w14:schemeClr w14:val="tx1"/>
            </w14:solidFill>
          </w14:textFill>
        </w:rPr>
        <w:t>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16、</w:t>
      </w:r>
      <w:r>
        <w:rPr>
          <w:rFonts w:hint="eastAsia" w:ascii="宋体" w:hAnsi="宋体" w:cs="宋体"/>
          <w:color w:val="000000" w:themeColor="text1"/>
          <w:highlight w:val="none"/>
          <w:shd w:val="clear" w:color="auto" w:fill="FFFFFF"/>
          <w14:textFill>
            <w14:solidFill>
              <w14:schemeClr w14:val="tx1"/>
            </w14:solidFill>
          </w14:textFill>
        </w:rPr>
        <w:t>《四川省能源局</w:t>
      </w:r>
      <w:r>
        <w:rPr>
          <w:rFonts w:hint="eastAsia" w:ascii="宋体" w:hAnsi="宋体" w:cs="宋体"/>
          <w:color w:val="000000" w:themeColor="text1"/>
          <w:highlight w:val="none"/>
          <w:shd w:val="clear" w:color="auto" w:fill="FFFFFF"/>
          <w:lang w:val="zh-CN"/>
          <w14:textFill>
            <w14:solidFill>
              <w14:schemeClr w14:val="tx1"/>
            </w14:solidFill>
          </w14:textFill>
        </w:rPr>
        <w:t>关于开展新能源汽车充电基础设施“十四五”规划编制工作的通知</w:t>
      </w:r>
      <w:r>
        <w:rPr>
          <w:rFonts w:hint="eastAsia" w:ascii="宋体" w:hAnsi="宋体" w:cs="宋体"/>
          <w:color w:val="000000" w:themeColor="text1"/>
          <w:highlight w:val="none"/>
          <w:shd w:val="clear" w:color="auto" w:fill="FFFFFF"/>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（川能源〔20</w:t>
      </w:r>
      <w:r>
        <w:rPr>
          <w:rFonts w:hint="eastAsia" w:ascii="宋体" w:hAnsi="宋体" w:cs="宋体"/>
          <w:color w:val="000000" w:themeColor="text1"/>
          <w:highlight w:val="none"/>
          <w:shd w:val="clear" w:color="auto" w:fill="FFFFFF"/>
          <w14:textFill>
            <w14:solidFill>
              <w14:schemeClr w14:val="tx1"/>
            </w14:solidFill>
          </w14:textFill>
        </w:rPr>
        <w:t>20</w:t>
      </w:r>
      <w:r>
        <w:rPr>
          <w:rFonts w:hint="eastAsia" w:ascii="宋体" w:hAnsi="宋体" w:cs="宋体"/>
          <w:color w:val="000000" w:themeColor="text1"/>
          <w:highlight w:val="none"/>
          <w:shd w:val="clear" w:color="auto" w:fill="FFFFFF"/>
          <w:lang w:val="zh-CN"/>
          <w14:textFill>
            <w14:solidFill>
              <w14:schemeClr w14:val="tx1"/>
            </w14:solidFill>
          </w14:textFill>
        </w:rPr>
        <w:t>〕</w:t>
      </w:r>
      <w:r>
        <w:rPr>
          <w:rFonts w:hint="eastAsia" w:ascii="宋体" w:hAnsi="宋体" w:cs="宋体"/>
          <w:color w:val="000000" w:themeColor="text1"/>
          <w:highlight w:val="none"/>
          <w:shd w:val="clear" w:color="auto" w:fill="FFFFFF"/>
          <w14:textFill>
            <w14:solidFill>
              <w14:schemeClr w14:val="tx1"/>
            </w14:solidFill>
          </w14:textFill>
        </w:rPr>
        <w:t>23</w:t>
      </w:r>
      <w:r>
        <w:rPr>
          <w:rFonts w:hint="eastAsia" w:ascii="宋体" w:hAnsi="宋体" w:cs="宋体"/>
          <w:color w:val="000000" w:themeColor="text1"/>
          <w:highlight w:val="none"/>
          <w:shd w:val="clear" w:color="auto" w:fill="FFFFFF"/>
          <w:lang w:val="zh-CN"/>
          <w14:textFill>
            <w14:solidFill>
              <w14:schemeClr w14:val="tx1"/>
            </w14:solidFill>
          </w14:textFill>
        </w:rPr>
        <w:t>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17、</w:t>
      </w:r>
      <w:r>
        <w:rPr>
          <w:rFonts w:hint="eastAsia" w:ascii="宋体" w:hAnsi="宋体" w:cs="宋体"/>
          <w:color w:val="000000" w:themeColor="text1"/>
          <w:highlight w:val="none"/>
          <w:shd w:val="clear" w:color="auto" w:fill="FFFFFF"/>
          <w:lang w:val="zh-CN"/>
          <w14:textFill>
            <w14:solidFill>
              <w14:schemeClr w14:val="tx1"/>
            </w14:solidFill>
          </w14:textFill>
        </w:rPr>
        <w:t>《四川省发展和改革委员会 四川省能源局关于</w:t>
      </w:r>
      <w:r>
        <w:rPr>
          <w:rFonts w:hint="default" w:ascii="宋体" w:hAnsi="宋体" w:cs="宋体"/>
          <w:color w:val="000000" w:themeColor="text1"/>
          <w:highlight w:val="none"/>
          <w:shd w:val="clear" w:color="auto" w:fill="FFFFFF"/>
          <w:lang w:val="en-US" w:eastAsia="zh-CN"/>
          <w14:textFill>
            <w14:solidFill>
              <w14:schemeClr w14:val="tx1"/>
            </w14:solidFill>
          </w14:textFill>
        </w:rPr>
        <w:t>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eastAsia" w:ascii="宋体" w:hAnsi="宋体" w:cs="宋体"/>
          <w:color w:val="000000" w:themeColor="text1"/>
          <w:highlight w:val="none"/>
          <w:shd w:val="clear" w:color="auto" w:fill="FFFFFF"/>
          <w:lang w:val="zh-CN"/>
          <w14:textFill>
            <w14:solidFill>
              <w14:schemeClr w14:val="tx1"/>
            </w14:solidFill>
          </w14:textFill>
        </w:rPr>
        <w:t>四川省公(专)用充电基础设施建设运营管理暂行办法</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eastAsia" w:ascii="宋体" w:hAnsi="宋体" w:cs="宋体"/>
          <w:color w:val="000000" w:themeColor="text1"/>
          <w:highlight w:val="none"/>
          <w:shd w:val="clear" w:color="auto" w:fill="FFFFFF"/>
          <w:lang w:val="zh-CN"/>
          <w14:textFill>
            <w14:solidFill>
              <w14:schemeClr w14:val="tx1"/>
            </w14:solidFill>
          </w14:textFill>
        </w:rPr>
        <w:t>的通知》（川发改能源规〔2020〕380号）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18、</w:t>
      </w:r>
      <w:r>
        <w:rPr>
          <w:rFonts w:hint="eastAsia" w:ascii="宋体" w:hAnsi="宋体" w:cs="宋体"/>
          <w:color w:val="000000" w:themeColor="text1"/>
          <w:highlight w:val="none"/>
          <w:shd w:val="clear" w:color="auto" w:fill="FFFFFF"/>
          <w:lang w:val="zh-CN"/>
          <w14:textFill>
            <w14:solidFill>
              <w14:schemeClr w14:val="tx1"/>
            </w14:solidFill>
          </w14:textFill>
        </w:rPr>
        <w:t>《四川省人民政府关于印发四川省支持新能源与智能汽车产业发展若干政策措施的通知》（川府发〔2020〕16号）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19、</w:t>
      </w:r>
      <w:r>
        <w:rPr>
          <w:rFonts w:hint="eastAsia" w:ascii="宋体" w:hAnsi="宋体" w:cs="宋体"/>
          <w:color w:val="000000" w:themeColor="text1"/>
          <w:highlight w:val="none"/>
          <w:shd w:val="clear" w:color="auto" w:fill="FFFFFF"/>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四川省交通运输厅</w:t>
      </w:r>
      <w:r>
        <w:rPr>
          <w:rFonts w:hint="eastAsia" w:ascii="宋体" w:hAnsi="宋体" w:cs="宋体"/>
          <w:color w:val="000000" w:themeColor="text1"/>
          <w:highlight w:val="none"/>
          <w:shd w:val="clear" w:color="auto" w:fill="FFFFFF"/>
          <w14:textFill>
            <w14:solidFill>
              <w14:schemeClr w14:val="tx1"/>
            </w14:solidFill>
          </w14:textFill>
        </w:rPr>
        <w:t>关于四川省干线公路公用充电基础设施建设运营管理的实施意见》</w:t>
      </w:r>
      <w:r>
        <w:rPr>
          <w:rFonts w:hint="eastAsia" w:ascii="宋体" w:hAnsi="宋体" w:cs="宋体"/>
          <w:color w:val="000000" w:themeColor="text1"/>
          <w:highlight w:val="none"/>
          <w:shd w:val="clear" w:color="auto" w:fill="FFFFFF"/>
          <w:lang w:val="zh-CN"/>
          <w14:textFill>
            <w14:solidFill>
              <w14:schemeClr w14:val="tx1"/>
            </w14:solidFill>
          </w14:textFill>
        </w:rPr>
        <w:t>（川交函〔202</w:t>
      </w:r>
      <w:r>
        <w:rPr>
          <w:rFonts w:hint="eastAsia" w:ascii="宋体" w:hAnsi="宋体" w:cs="宋体"/>
          <w:color w:val="000000" w:themeColor="text1"/>
          <w:highlight w:val="none"/>
          <w:shd w:val="clear" w:color="auto" w:fill="FFFFFF"/>
          <w14:textFill>
            <w14:solidFill>
              <w14:schemeClr w14:val="tx1"/>
            </w14:solidFill>
          </w14:textFill>
        </w:rPr>
        <w:t>1</w:t>
      </w:r>
      <w:r>
        <w:rPr>
          <w:rFonts w:hint="eastAsia" w:ascii="宋体" w:hAnsi="宋体" w:cs="宋体"/>
          <w:color w:val="000000" w:themeColor="text1"/>
          <w:highlight w:val="none"/>
          <w:shd w:val="clear" w:color="auto" w:fill="FFFFFF"/>
          <w:lang w:val="zh-CN"/>
          <w14:textFill>
            <w14:solidFill>
              <w14:schemeClr w14:val="tx1"/>
            </w14:solidFill>
          </w14:textFill>
        </w:rPr>
        <w:t>〕</w:t>
      </w:r>
      <w:r>
        <w:rPr>
          <w:rFonts w:hint="eastAsia" w:ascii="宋体" w:hAnsi="宋体" w:cs="宋体"/>
          <w:color w:val="000000" w:themeColor="text1"/>
          <w:highlight w:val="none"/>
          <w:shd w:val="clear" w:color="auto" w:fill="FFFFFF"/>
          <w14:textFill>
            <w14:solidFill>
              <w14:schemeClr w14:val="tx1"/>
            </w14:solidFill>
          </w14:textFill>
        </w:rPr>
        <w:t>103</w:t>
      </w:r>
      <w:r>
        <w:rPr>
          <w:rFonts w:hint="eastAsia" w:ascii="宋体" w:hAnsi="宋体" w:cs="宋体"/>
          <w:color w:val="000000" w:themeColor="text1"/>
          <w:highlight w:val="none"/>
          <w:shd w:val="clear" w:color="auto" w:fill="FFFFFF"/>
          <w:lang w:val="zh-CN"/>
          <w14:textFill>
            <w14:solidFill>
              <w14:schemeClr w14:val="tx1"/>
            </w14:solidFill>
          </w14:textFill>
        </w:rPr>
        <w:t>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20</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FFFFFF"/>
          <w:lang w:val="zh-CN"/>
          <w14:textFill>
            <w14:solidFill>
              <w14:schemeClr w14:val="tx1"/>
            </w14:solidFill>
          </w14:textFill>
        </w:rPr>
        <w:t>四川省人民政府办公厅关于印发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eastAsia" w:ascii="宋体" w:hAnsi="宋体" w:cs="宋体"/>
          <w:color w:val="000000" w:themeColor="text1"/>
          <w:highlight w:val="none"/>
          <w:shd w:val="clear" w:color="auto" w:fill="FFFFFF"/>
          <w:lang w:val="zh-CN"/>
          <w14:textFill>
            <w14:solidFill>
              <w14:schemeClr w14:val="tx1"/>
            </w14:solidFill>
          </w14:textFill>
        </w:rPr>
        <w:t>“电动四川”行动计划（2022—2025）</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eastAsia" w:ascii="宋体" w:hAnsi="宋体" w:eastAsia="宋体" w:cs="宋体"/>
          <w:color w:val="000000" w:themeColor="text1"/>
          <w:sz w:val="24"/>
          <w:szCs w:val="24"/>
          <w:highlight w:val="none"/>
          <w:shd w:val="clear" w:color="auto" w:fill="FFFFFF"/>
          <w:lang w:val="zh-CN"/>
          <w14:textFill>
            <w14:solidFill>
              <w14:schemeClr w14:val="tx1"/>
            </w14:solidFill>
          </w14:textFill>
        </w:rPr>
        <w:t>的通知</w:t>
      </w:r>
      <w:r>
        <w:rPr>
          <w:rFonts w:hint="eastAsia" w:ascii="宋体" w:hAnsi="宋体" w:cs="宋体"/>
          <w:color w:val="000000" w:themeColor="text1"/>
          <w:highlight w:val="none"/>
          <w:shd w:val="clear" w:color="auto" w:fill="FFFFFF"/>
          <w:lang w:val="zh-CN"/>
          <w14:textFill>
            <w14:solidFill>
              <w14:schemeClr w14:val="tx1"/>
            </w14:solidFill>
          </w14:textFill>
        </w:rPr>
        <w:t>》（川办发〔2022〕34号）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21、</w:t>
      </w:r>
      <w:r>
        <w:rPr>
          <w:rFonts w:hint="eastAsia" w:ascii="宋体" w:hAnsi="宋体" w:cs="宋体"/>
          <w:color w:val="000000" w:themeColor="text1"/>
          <w:highlight w:val="none"/>
          <w:shd w:val="clear" w:color="auto" w:fill="FFFFFF"/>
          <w:lang w:val="zh-CN"/>
          <w14:textFill>
            <w14:solidFill>
              <w14:schemeClr w14:val="tx1"/>
            </w14:solidFill>
          </w14:textFill>
        </w:rPr>
        <w:t>《四川省发展和改革委员会四川省能源局关于做好高速公路服务区（停车区）充电基础设施有关工作的通知》</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22、</w:t>
      </w:r>
      <w:r>
        <w:rPr>
          <w:rFonts w:hint="eastAsia" w:ascii="宋体" w:hAnsi="宋体" w:cs="宋体"/>
          <w:color w:val="000000" w:themeColor="text1"/>
          <w:highlight w:val="none"/>
          <w:shd w:val="clear" w:color="auto" w:fill="FFFFFF"/>
          <w:lang w:val="zh-CN"/>
          <w14:textFill>
            <w14:solidFill>
              <w14:schemeClr w14:val="tx1"/>
            </w14:solidFill>
          </w14:textFill>
        </w:rPr>
        <w:t>《四川省推进电动汽车充电基础设施建设工作实施方案》（川发改能源〔2022〕626号）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23、</w:t>
      </w:r>
      <w:r>
        <w:rPr>
          <w:rFonts w:hint="eastAsia" w:ascii="宋体" w:hAnsi="宋体" w:cs="宋体"/>
          <w:color w:val="000000" w:themeColor="text1"/>
          <w:highlight w:val="none"/>
          <w:shd w:val="clear" w:color="auto" w:fill="FFFFFF"/>
          <w:lang w:val="zh-CN"/>
          <w14:textFill>
            <w14:solidFill>
              <w14:schemeClr w14:val="tx1"/>
            </w14:solidFill>
          </w14:textFill>
        </w:rPr>
        <w:t>《四川省机关事务管理局 四川省能源局关于推进全省公共机构充电基础设施建设的通知》(川机管函〔2022〕895号)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24、</w:t>
      </w:r>
      <w:r>
        <w:rPr>
          <w:rFonts w:hint="eastAsia" w:ascii="宋体" w:hAnsi="宋体" w:cs="宋体"/>
          <w:color w:val="000000" w:themeColor="text1"/>
          <w:highlight w:val="none"/>
          <w:shd w:val="clear" w:color="auto" w:fill="FFFFFF"/>
          <w:lang w:val="zh-CN"/>
          <w14:textFill>
            <w14:solidFill>
              <w14:schemeClr w14:val="tx1"/>
            </w14:solidFill>
          </w14:textFill>
        </w:rPr>
        <w:t>《四川省发展和改革委员会 四川省能源局关于印发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eastAsia" w:ascii="宋体" w:hAnsi="宋体" w:cs="宋体"/>
          <w:color w:val="000000" w:themeColor="text1"/>
          <w:highlight w:val="none"/>
          <w:shd w:val="clear" w:color="auto" w:fill="FFFFFF"/>
          <w:lang w:val="zh-CN"/>
          <w14:textFill>
            <w14:solidFill>
              <w14:schemeClr w14:val="tx1"/>
            </w14:solidFill>
          </w14:textFill>
        </w:rPr>
        <w:t>四川省充电基础设施建设运营管理办法</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eastAsia" w:ascii="宋体" w:hAnsi="宋体" w:cs="宋体"/>
          <w:color w:val="000000" w:themeColor="text1"/>
          <w:highlight w:val="none"/>
          <w:shd w:val="clear" w:color="auto" w:fill="FFFFFF"/>
          <w:lang w:val="zh-CN"/>
          <w14:textFill>
            <w14:solidFill>
              <w14:schemeClr w14:val="tx1"/>
            </w14:solidFill>
          </w14:textFill>
        </w:rPr>
        <w:t>的通知》（川发改能源规〔2023〕137号）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en-US" w:eastAsia="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25、《四川省发展和改革委员会 四川省能源局关于印发&lt;四川省加快推进充电基础设施建设支持新能源汽车下乡和乡村振兴工作方案&gt;的通知》（川发改办〔2023〕542号）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eastAsia="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26、</w:t>
      </w:r>
      <w:r>
        <w:rPr>
          <w:rFonts w:hint="eastAsia" w:ascii="宋体" w:hAnsi="宋体" w:cs="宋体"/>
          <w:color w:val="000000" w:themeColor="text1"/>
          <w:highlight w:val="none"/>
          <w:shd w:val="clear" w:color="auto" w:fill="FFFFFF"/>
          <w:lang w:val="zh-CN"/>
          <w14:textFill>
            <w14:solidFill>
              <w14:schemeClr w14:val="tx1"/>
            </w14:solidFill>
          </w14:textFill>
        </w:rPr>
        <w:t>《四川省人民政府关于印发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eastAsia" w:ascii="宋体" w:hAnsi="宋体" w:cs="宋体"/>
          <w:color w:val="000000" w:themeColor="text1"/>
          <w:highlight w:val="none"/>
          <w:shd w:val="clear" w:color="auto" w:fill="FFFFFF"/>
          <w:lang w:val="zh-CN"/>
          <w14:textFill>
            <w14:solidFill>
              <w14:schemeClr w14:val="tx1"/>
            </w14:solidFill>
          </w14:textFill>
        </w:rPr>
        <w:t>支持新能源与智能网联汽车产业高质量发展若干政策措施</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eastAsia" w:ascii="宋体" w:hAnsi="宋体" w:cs="宋体"/>
          <w:color w:val="000000" w:themeColor="text1"/>
          <w:highlight w:val="none"/>
          <w:shd w:val="clear" w:color="auto" w:fill="FFFFFF"/>
          <w:lang w:val="zh-CN"/>
          <w14:textFill>
            <w14:solidFill>
              <w14:schemeClr w14:val="tx1"/>
            </w14:solidFill>
          </w14:textFill>
        </w:rPr>
        <w:t>的通知》</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r>
        <w:rPr>
          <w:rFonts w:hint="eastAsia" w:ascii="宋体" w:hAnsi="宋体" w:cs="宋体"/>
          <w:color w:val="000000" w:themeColor="text1"/>
          <w:highlight w:val="none"/>
          <w:shd w:val="clear" w:color="auto" w:fill="FFFFFF"/>
          <w:lang w:val="zh-CN"/>
          <w14:textFill>
            <w14:solidFill>
              <w14:schemeClr w14:val="tx1"/>
            </w14:solidFill>
          </w14:textFill>
        </w:rPr>
        <w:t>川府发〔2024〕7号</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27、</w:t>
      </w:r>
      <w:r>
        <w:rPr>
          <w:rFonts w:hint="eastAsia" w:ascii="宋体" w:hAnsi="宋体" w:cs="宋体"/>
          <w:color w:val="000000" w:themeColor="text1"/>
          <w:highlight w:val="none"/>
          <w:shd w:val="clear" w:color="auto" w:fill="FFFFFF"/>
          <w:lang w:val="zh-CN"/>
          <w14:textFill>
            <w14:solidFill>
              <w14:schemeClr w14:val="tx1"/>
            </w14:solidFill>
          </w14:textFill>
        </w:rPr>
        <w:t>《乐山市贯彻落实“电动四川”行动计划（2022—2025年）责任分工方案》（乐府办发〔2022〕43号）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28、</w:t>
      </w:r>
      <w:r>
        <w:rPr>
          <w:rFonts w:hint="eastAsia" w:ascii="宋体" w:hAnsi="宋体" w:cs="宋体"/>
          <w:color w:val="000000" w:themeColor="text1"/>
          <w:highlight w:val="none"/>
          <w:shd w:val="clear" w:color="auto" w:fill="FFFFFF"/>
          <w:lang w:val="zh-CN"/>
          <w14:textFill>
            <w14:solidFill>
              <w14:schemeClr w14:val="tx1"/>
            </w14:solidFill>
          </w14:textFill>
        </w:rPr>
        <w:t>《乐山市机关事务管理局</w:t>
      </w:r>
      <w:r>
        <w:rPr>
          <w:rFonts w:hint="eastAsia" w:ascii="宋体" w:hAnsi="宋体" w:cs="宋体"/>
          <w:color w:val="000000" w:themeColor="text1"/>
          <w:highlight w:val="none"/>
          <w:shd w:val="clear" w:color="auto" w:fill="FFFFFF"/>
          <w:lang w:val="en-US" w:eastAsia="zh-CN"/>
          <w14:textFill>
            <w14:solidFill>
              <w14:schemeClr w14:val="tx1"/>
            </w14:solidFill>
          </w14:textFill>
        </w:rPr>
        <w:t xml:space="preserve"> </w:t>
      </w:r>
      <w:r>
        <w:rPr>
          <w:rFonts w:hint="eastAsia" w:ascii="宋体" w:hAnsi="宋体" w:cs="宋体"/>
          <w:color w:val="000000" w:themeColor="text1"/>
          <w:highlight w:val="none"/>
          <w:shd w:val="clear" w:color="auto" w:fill="FFFFFF"/>
          <w:lang w:val="zh-CN"/>
          <w14:textFill>
            <w14:solidFill>
              <w14:schemeClr w14:val="tx1"/>
            </w14:solidFill>
          </w14:textFill>
        </w:rPr>
        <w:t>乐山市发展和改革委员会关于推进全市公共机构充电基础设施建设的通知》（乐机管函〔2022〕153号）</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29、</w:t>
      </w:r>
      <w:r>
        <w:rPr>
          <w:rFonts w:hint="default" w:ascii="宋体" w:hAnsi="宋体" w:cs="宋体"/>
          <w:color w:val="000000" w:themeColor="text1"/>
          <w:highlight w:val="none"/>
          <w:shd w:val="clear" w:color="auto" w:fill="FFFFFF"/>
          <w:lang w:val="en-US" w:eastAsia="zh-CN"/>
          <w14:textFill>
            <w14:solidFill>
              <w14:schemeClr w14:val="tx1"/>
            </w14:solidFill>
          </w14:textFill>
        </w:rPr>
        <w:t>《乐山市电动汽车充（换）电基础设施推进工作方案》（乐</w:t>
      </w:r>
      <w:r>
        <w:rPr>
          <w:rFonts w:hint="eastAsia" w:ascii="宋体" w:hAnsi="宋体" w:cs="宋体"/>
          <w:color w:val="000000" w:themeColor="text1"/>
          <w:highlight w:val="none"/>
          <w:shd w:val="clear" w:color="auto" w:fill="FFFFFF"/>
          <w:lang w:val="zh-CN"/>
          <w14:textFill>
            <w14:solidFill>
              <w14:schemeClr w14:val="tx1"/>
            </w14:solidFill>
          </w14:textFill>
        </w:rPr>
        <w:t>府</w:t>
      </w:r>
      <w:r>
        <w:rPr>
          <w:rFonts w:hint="default" w:ascii="宋体" w:hAnsi="宋体" w:cs="宋体"/>
          <w:color w:val="000000" w:themeColor="text1"/>
          <w:highlight w:val="none"/>
          <w:shd w:val="clear" w:color="auto" w:fill="FFFFFF"/>
          <w:lang w:val="en-US" w:eastAsia="zh-CN"/>
          <w14:textFill>
            <w14:solidFill>
              <w14:schemeClr w14:val="tx1"/>
            </w14:solidFill>
          </w14:textFill>
        </w:rPr>
        <w:t>办函〔2023〕19号）</w:t>
      </w:r>
    </w:p>
    <w:p>
      <w:pPr>
        <w:pStyle w:val="22"/>
        <w:ind w:firstLine="562"/>
        <w:jc w:val="left"/>
        <w:rPr>
          <w:rStyle w:val="19"/>
          <w:color w:val="000000" w:themeColor="text1"/>
          <w:szCs w:val="22"/>
          <w:highlight w:val="none"/>
          <w:lang w:val="zh-CN"/>
          <w14:textFill>
            <w14:solidFill>
              <w14:schemeClr w14:val="tx1"/>
            </w14:solidFill>
          </w14:textFill>
        </w:rPr>
      </w:pPr>
      <w:bookmarkStart w:id="137" w:name="_Toc26171"/>
      <w:bookmarkStart w:id="138" w:name="_Toc30788"/>
      <w:bookmarkStart w:id="139" w:name="_Toc6051"/>
      <w:bookmarkStart w:id="140" w:name="_Toc28577"/>
      <w:bookmarkStart w:id="141" w:name="_Toc10492"/>
      <w:bookmarkStart w:id="142" w:name="_Toc9747"/>
      <w:r>
        <w:rPr>
          <w:rStyle w:val="19"/>
          <w:rFonts w:hint="eastAsia"/>
          <w:color w:val="000000" w:themeColor="text1"/>
          <w:szCs w:val="22"/>
          <w:highlight w:val="none"/>
          <w:lang w:val="zh-CN"/>
          <w14:textFill>
            <w14:solidFill>
              <w14:schemeClr w14:val="tx1"/>
            </w14:solidFill>
          </w14:textFill>
        </w:rPr>
        <w:t>（三）相关规划</w:t>
      </w:r>
    </w:p>
    <w:bookmarkEnd w:id="137"/>
    <w:bookmarkEnd w:id="138"/>
    <w:bookmarkEnd w:id="139"/>
    <w:bookmarkEnd w:id="140"/>
    <w:bookmarkEnd w:id="141"/>
    <w:bookmarkEnd w:id="142"/>
    <w:p>
      <w:pPr>
        <w:pStyle w:val="22"/>
        <w:ind w:firstLine="480"/>
        <w:jc w:val="left"/>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cs="宋体"/>
          <w:color w:val="000000" w:themeColor="text1"/>
          <w:highlight w:val="none"/>
          <w:lang w:val="zh-CN"/>
          <w14:textFill>
            <w14:solidFill>
              <w14:schemeClr w14:val="tx1"/>
            </w14:solidFill>
          </w14:textFill>
        </w:rPr>
        <w:t>《四川省充电基础设施发展规划</w:t>
      </w:r>
      <w:r>
        <w:rPr>
          <w:rFonts w:hint="eastAsia" w:ascii="宋体" w:hAnsi="宋体" w:eastAsia="宋体" w:cs="宋体"/>
          <w:color w:val="000000" w:themeColor="text1"/>
          <w:sz w:val="24"/>
          <w:szCs w:val="32"/>
          <w:highlight w:val="none"/>
          <w:lang w:val="zh-CN"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202</w:t>
      </w:r>
      <w:r>
        <w:rPr>
          <w:rFonts w:hint="eastAsia" w:ascii="宋体" w:hAnsi="宋体" w:cs="宋体"/>
          <w:color w:val="000000" w:themeColor="text1"/>
          <w:sz w:val="24"/>
          <w:szCs w:val="32"/>
          <w:highlight w:val="none"/>
          <w:lang w:val="en-US" w:eastAsia="zh-CN"/>
          <w14:textFill>
            <w14:solidFill>
              <w14:schemeClr w14:val="tx1"/>
            </w14:solidFill>
          </w14:textFill>
        </w:rPr>
        <w:t>4</w:t>
      </w:r>
      <w:r>
        <w:rPr>
          <w:rFonts w:hint="eastAsia" w:ascii="宋体" w:hAnsi="宋体" w:eastAsia="宋体" w:cs="宋体"/>
          <w:color w:val="000000" w:themeColor="text1"/>
          <w:sz w:val="24"/>
          <w:szCs w:val="32"/>
          <w:highlight w:val="none"/>
          <w:lang w:val="en-US" w:eastAsia="zh-CN"/>
          <w14:textFill>
            <w14:solidFill>
              <w14:schemeClr w14:val="tx1"/>
            </w14:solidFill>
          </w14:textFill>
        </w:rPr>
        <w:t>—203</w:t>
      </w:r>
      <w:r>
        <w:rPr>
          <w:rFonts w:hint="eastAsia" w:ascii="宋体" w:hAnsi="宋体" w:cs="宋体"/>
          <w:color w:val="000000" w:themeColor="text1"/>
          <w:sz w:val="24"/>
          <w:szCs w:val="32"/>
          <w:highlight w:val="none"/>
          <w:lang w:val="en-US" w:eastAsia="zh-CN"/>
          <w14:textFill>
            <w14:solidFill>
              <w14:schemeClr w14:val="tx1"/>
            </w14:solidFill>
          </w14:textFill>
        </w:rPr>
        <w:t>0</w:t>
      </w:r>
      <w:r>
        <w:rPr>
          <w:rFonts w:hint="eastAsia" w:ascii="宋体" w:hAnsi="宋体" w:eastAsia="宋体" w:cs="宋体"/>
          <w:color w:val="000000" w:themeColor="text1"/>
          <w:sz w:val="24"/>
          <w:szCs w:val="32"/>
          <w:highlight w:val="none"/>
          <w:lang w:val="zh-CN" w:eastAsia="zh-CN"/>
          <w14:textFill>
            <w14:solidFill>
              <w14:schemeClr w14:val="tx1"/>
            </w14:solidFill>
          </w14:textFill>
        </w:rPr>
        <w:t>年</w:t>
      </w:r>
      <w:r>
        <w:rPr>
          <w:rFonts w:hint="eastAsia" w:ascii="宋体" w:hAnsi="宋体" w:cs="宋体"/>
          <w:color w:val="000000" w:themeColor="text1"/>
          <w:highlight w:val="none"/>
          <w:lang w:val="zh-CN"/>
          <w14:textFill>
            <w14:solidFill>
              <w14:schemeClr w14:val="tx1"/>
            </w14:solidFill>
          </w14:textFill>
        </w:rPr>
        <w:t>)》</w:t>
      </w:r>
    </w:p>
    <w:p>
      <w:pPr>
        <w:pStyle w:val="22"/>
        <w:ind w:firstLine="480"/>
        <w:jc w:val="left"/>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《乐山市国土空间总体规划（2021—2035</w:t>
      </w:r>
      <w:r>
        <w:rPr>
          <w:rFonts w:hint="eastAsia" w:ascii="宋体" w:hAnsi="宋体" w:cs="宋体"/>
          <w:color w:val="000000" w:themeColor="text1"/>
          <w:sz w:val="24"/>
          <w:szCs w:val="32"/>
          <w:highlight w:val="none"/>
          <w:lang w:val="en-US" w:eastAsia="zh-CN"/>
          <w14:textFill>
            <w14:solidFill>
              <w14:schemeClr w14:val="tx1"/>
            </w14:solidFill>
          </w14:textFill>
        </w:rPr>
        <w:t>年</w:t>
      </w:r>
      <w:r>
        <w:rPr>
          <w:rFonts w:hint="eastAsia" w:ascii="宋体" w:hAnsi="宋体" w:eastAsia="宋体" w:cs="宋体"/>
          <w:color w:val="000000" w:themeColor="text1"/>
          <w:sz w:val="24"/>
          <w:szCs w:val="32"/>
          <w:highlight w:val="none"/>
          <w:lang w:val="en-US" w:eastAsia="zh-CN"/>
          <w14:textFill>
            <w14:solidFill>
              <w14:schemeClr w14:val="tx1"/>
            </w14:solidFill>
          </w14:textFill>
        </w:rPr>
        <w:t>）》</w:t>
      </w:r>
    </w:p>
    <w:p>
      <w:pPr>
        <w:pStyle w:val="22"/>
        <w:ind w:firstLine="480"/>
        <w:jc w:val="left"/>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lang w:val="zh-CN"/>
          <w14:textFill>
            <w14:solidFill>
              <w14:schemeClr w14:val="tx1"/>
            </w14:solidFill>
          </w14:textFill>
        </w:rPr>
        <w:t>、《乐山市中心城区停车设施专项规划（2017—2030</w:t>
      </w:r>
      <w:r>
        <w:rPr>
          <w:rFonts w:hint="eastAsia" w:ascii="宋体" w:hAnsi="宋体" w:cs="宋体"/>
          <w:color w:val="000000" w:themeColor="text1"/>
          <w:sz w:val="24"/>
          <w:szCs w:val="32"/>
          <w:highlight w:val="none"/>
          <w:lang w:val="en-US" w:eastAsia="zh-CN"/>
          <w14:textFill>
            <w14:solidFill>
              <w14:schemeClr w14:val="tx1"/>
            </w14:solidFill>
          </w14:textFill>
        </w:rPr>
        <w:t>年</w:t>
      </w:r>
      <w:r>
        <w:rPr>
          <w:rFonts w:hint="eastAsia" w:ascii="宋体" w:hAnsi="宋体" w:cs="宋体"/>
          <w:color w:val="000000" w:themeColor="text1"/>
          <w:highlight w:val="none"/>
          <w:lang w:val="zh-CN"/>
          <w14:textFill>
            <w14:solidFill>
              <w14:schemeClr w14:val="tx1"/>
            </w14:solidFill>
          </w14:textFill>
        </w:rPr>
        <w:t>）》</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lang w:val="zh-CN"/>
          <w14:textFill>
            <w14:solidFill>
              <w14:schemeClr w14:val="tx1"/>
            </w14:solidFill>
          </w14:textFill>
        </w:rPr>
        <w:t>、乐山市各县（市、区）</w:t>
      </w:r>
      <w:r>
        <w:rPr>
          <w:rFonts w:hint="eastAsia" w:ascii="宋体" w:hAnsi="宋体" w:eastAsia="宋体" w:cs="宋体"/>
          <w:color w:val="000000" w:themeColor="text1"/>
          <w:sz w:val="24"/>
          <w:szCs w:val="32"/>
          <w:highlight w:val="none"/>
          <w:lang w:val="en-US" w:eastAsia="zh-CN"/>
          <w14:textFill>
            <w14:solidFill>
              <w14:schemeClr w14:val="tx1"/>
            </w14:solidFill>
          </w14:textFill>
        </w:rPr>
        <w:t>国土空间</w:t>
      </w:r>
      <w:r>
        <w:rPr>
          <w:rFonts w:hint="eastAsia" w:ascii="宋体" w:hAnsi="宋体" w:cs="宋体"/>
          <w:color w:val="000000" w:themeColor="text1"/>
          <w:highlight w:val="none"/>
          <w:lang w:val="zh-CN"/>
          <w14:textFill>
            <w14:solidFill>
              <w14:schemeClr w14:val="tx1"/>
            </w14:solidFill>
          </w14:textFill>
        </w:rPr>
        <w:t>总体规划及其它相关专项规划</w:t>
      </w:r>
    </w:p>
    <w:p>
      <w:pPr>
        <w:pStyle w:val="22"/>
        <w:ind w:firstLine="48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lang w:val="zh-CN"/>
          <w14:textFill>
            <w14:solidFill>
              <w14:schemeClr w14:val="tx1"/>
            </w14:solidFill>
          </w14:textFill>
        </w:rPr>
        <w:t>、乐山市国民经济和社会发展、交通、旅游业发展“十</w:t>
      </w:r>
      <w:r>
        <w:rPr>
          <w:rFonts w:hint="eastAsia" w:ascii="宋体" w:hAnsi="宋体" w:cs="宋体"/>
          <w:color w:val="000000" w:themeColor="text1"/>
          <w:highlight w:val="none"/>
          <w:lang w:val="en-US" w:eastAsia="zh-CN"/>
          <w14:textFill>
            <w14:solidFill>
              <w14:schemeClr w14:val="tx1"/>
            </w14:solidFill>
          </w14:textFill>
        </w:rPr>
        <w:t>四</w:t>
      </w:r>
      <w:r>
        <w:rPr>
          <w:rFonts w:hint="eastAsia" w:ascii="宋体" w:hAnsi="宋体" w:cs="宋体"/>
          <w:color w:val="000000" w:themeColor="text1"/>
          <w:highlight w:val="none"/>
          <w:lang w:val="zh-CN"/>
          <w14:textFill>
            <w14:solidFill>
              <w14:schemeClr w14:val="tx1"/>
            </w14:solidFill>
          </w14:textFill>
        </w:rPr>
        <w:t xml:space="preserve">五”规划等 </w:t>
      </w:r>
    </w:p>
    <w:p>
      <w:pPr>
        <w:pStyle w:val="17"/>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br w:type="page"/>
      </w:r>
      <w:bookmarkStart w:id="143" w:name="_Toc21926"/>
      <w:bookmarkStart w:id="144" w:name="_Toc9491"/>
      <w:bookmarkStart w:id="145" w:name="_Toc16653"/>
      <w:bookmarkStart w:id="146" w:name="_Toc12785"/>
      <w:bookmarkStart w:id="147" w:name="_Toc17382"/>
      <w:bookmarkStart w:id="148" w:name="_Toc2308"/>
      <w:r>
        <w:rPr>
          <w:rFonts w:hint="eastAsia" w:ascii="黑体" w:hAnsi="黑体" w:eastAsia="黑体" w:cs="Times New Roman"/>
          <w:b/>
          <w:color w:val="000000" w:themeColor="text1"/>
          <w:kern w:val="0"/>
          <w:sz w:val="44"/>
          <w:szCs w:val="20"/>
          <w:highlight w:val="none"/>
          <w:lang w:val="en-US" w:eastAsia="zh-CN" w:bidi="ar-SA"/>
          <w14:textFill>
            <w14:solidFill>
              <w14:schemeClr w14:val="tx1"/>
            </w14:solidFill>
          </w14:textFill>
        </w:rPr>
        <w:t xml:space="preserve">第二章 </w:t>
      </w:r>
      <w:bookmarkEnd w:id="143"/>
      <w:bookmarkEnd w:id="144"/>
      <w:bookmarkEnd w:id="145"/>
      <w:bookmarkEnd w:id="146"/>
      <w:r>
        <w:rPr>
          <w:rFonts w:hint="eastAsia" w:cs="Times New Roman"/>
          <w:b/>
          <w:color w:val="000000" w:themeColor="text1"/>
          <w:kern w:val="0"/>
          <w:sz w:val="44"/>
          <w:szCs w:val="20"/>
          <w:highlight w:val="none"/>
          <w:lang w:val="en-US" w:eastAsia="zh-CN" w:bidi="ar-SA"/>
          <w14:textFill>
            <w14:solidFill>
              <w14:schemeClr w14:val="tx1"/>
            </w14:solidFill>
          </w14:textFill>
        </w:rPr>
        <w:t>社会经济发展及规划概况</w:t>
      </w:r>
      <w:bookmarkEnd w:id="147"/>
      <w:bookmarkEnd w:id="148"/>
    </w:p>
    <w:p>
      <w:pPr>
        <w:pStyle w:val="21"/>
        <w:rPr>
          <w:rFonts w:hint="default" w:eastAsia="黑体"/>
          <w:color w:val="000000" w:themeColor="text1"/>
          <w:highlight w:val="none"/>
          <w:lang w:val="en-US" w:eastAsia="zh-CN"/>
          <w14:textFill>
            <w14:solidFill>
              <w14:schemeClr w14:val="tx1"/>
            </w14:solidFill>
          </w14:textFill>
        </w:rPr>
      </w:pPr>
      <w:bookmarkStart w:id="149" w:name="_Toc27682"/>
      <w:bookmarkStart w:id="150" w:name="_Toc4830"/>
      <w:bookmarkStart w:id="151" w:name="_Toc30369"/>
      <w:bookmarkStart w:id="152" w:name="_Toc18995"/>
      <w:bookmarkStart w:id="153" w:name="_Toc27712"/>
      <w:bookmarkStart w:id="154" w:name="_Toc17902"/>
      <w:r>
        <w:rPr>
          <w:rFonts w:hint="eastAsia"/>
          <w:color w:val="000000" w:themeColor="text1"/>
          <w:highlight w:val="none"/>
          <w14:textFill>
            <w14:solidFill>
              <w14:schemeClr w14:val="tx1"/>
            </w14:solidFill>
          </w14:textFill>
        </w:rPr>
        <w:t xml:space="preserve">第一节 </w:t>
      </w:r>
      <w:bookmarkEnd w:id="149"/>
      <w:bookmarkEnd w:id="150"/>
      <w:bookmarkEnd w:id="151"/>
      <w:bookmarkEnd w:id="152"/>
      <w:r>
        <w:rPr>
          <w:rFonts w:hint="eastAsia"/>
          <w:color w:val="000000" w:themeColor="text1"/>
          <w:highlight w:val="none"/>
          <w:lang w:val="en-US" w:eastAsia="zh-CN"/>
          <w14:textFill>
            <w14:solidFill>
              <w14:schemeClr w14:val="tx1"/>
            </w14:solidFill>
          </w14:textFill>
        </w:rPr>
        <w:t>社会经济发展概况</w:t>
      </w:r>
      <w:bookmarkEnd w:id="153"/>
      <w:bookmarkEnd w:id="154"/>
    </w:p>
    <w:p>
      <w:pPr>
        <w:pStyle w:val="22"/>
        <w:ind w:firstLine="480"/>
        <w:jc w:val="left"/>
        <w:rPr>
          <w:rFonts w:hint="eastAsia" w:ascii="宋体" w:hAnsi="宋体" w:cs="宋体"/>
          <w:color w:val="000000" w:themeColor="text1"/>
          <w:highlight w:val="none"/>
          <w14:textFill>
            <w14:solidFill>
              <w14:schemeClr w14:val="tx1"/>
            </w14:solidFill>
          </w14:textFill>
        </w:rPr>
      </w:pPr>
      <w:bookmarkStart w:id="155" w:name="_Toc23671"/>
      <w:bookmarkStart w:id="156" w:name="_Toc1672"/>
      <w:bookmarkStart w:id="157" w:name="_Toc2257"/>
      <w:bookmarkStart w:id="158" w:name="_Toc25976"/>
      <w:bookmarkStart w:id="159" w:name="_Toc21667"/>
      <w:bookmarkStart w:id="160" w:name="_Toc28367"/>
      <w:r>
        <w:rPr>
          <w:rFonts w:hint="eastAsia" w:ascii="宋体" w:hAnsi="宋体" w:cs="宋体"/>
          <w:color w:val="000000" w:themeColor="text1"/>
          <w:highlight w:val="none"/>
          <w14:textFill>
            <w14:solidFill>
              <w14:schemeClr w14:val="tx1"/>
            </w14:solidFill>
          </w14:textFill>
        </w:rPr>
        <w:t>乐山位于四川盆地西南部，南方丝绸之路与长江经济带交汇点，是国家历史文化名城、中国优秀旅游城市，是成渝地区双城经济圈和巴蜀文化旅游走廊的重要节点城市，是国家级旅游业改革创新先行区、国家全域旅游示范区创建市、国家服务业综合改革试点市、国家公共文化服务体系示范区、国家文化和旅游消费试点市、国家级夜间文化和旅游消费集聚区。乐山经济基础较好，产业体系完善。202</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年，全市实现地区生产总值2532.53亿元，其中，第一产业实现</w:t>
      </w:r>
      <w:r>
        <w:rPr>
          <w:rFonts w:hint="default" w:ascii="宋体" w:hAnsi="宋体" w:cs="宋体"/>
          <w:color w:val="000000" w:themeColor="text1"/>
          <w:highlight w:val="none"/>
          <w14:textFill>
            <w14:solidFill>
              <w14:schemeClr w14:val="tx1"/>
            </w14:solidFill>
          </w14:textFill>
        </w:rPr>
        <w:t>262.73</w:t>
      </w:r>
      <w:r>
        <w:rPr>
          <w:rFonts w:hint="eastAsia" w:ascii="宋体" w:hAnsi="宋体" w:cs="宋体"/>
          <w:color w:val="000000" w:themeColor="text1"/>
          <w:highlight w:val="none"/>
          <w14:textFill>
            <w14:solidFill>
              <w14:schemeClr w14:val="tx1"/>
            </w14:solidFill>
          </w14:textFill>
        </w:rPr>
        <w:t>亿元，第二产业实现</w:t>
      </w:r>
      <w:r>
        <w:rPr>
          <w:rFonts w:hint="default" w:ascii="宋体" w:hAnsi="宋体" w:cs="宋体"/>
          <w:color w:val="000000" w:themeColor="text1"/>
          <w:highlight w:val="none"/>
          <w14:textFill>
            <w14:solidFill>
              <w14:schemeClr w14:val="tx1"/>
            </w14:solidFill>
          </w14:textFill>
        </w:rPr>
        <w:t>1117.40</w:t>
      </w:r>
      <w:r>
        <w:rPr>
          <w:rFonts w:hint="eastAsia" w:ascii="宋体" w:hAnsi="宋体" w:cs="宋体"/>
          <w:color w:val="000000" w:themeColor="text1"/>
          <w:highlight w:val="none"/>
          <w14:textFill>
            <w14:solidFill>
              <w14:schemeClr w14:val="tx1"/>
            </w14:solidFill>
          </w14:textFill>
        </w:rPr>
        <w:t>亿元，第三产业完成1152.40亿元；城镇居民人均可支配收入47276元，农村居民人均可支配收入21662元；全社会固定资产投资比上年增长</w:t>
      </w:r>
      <w:r>
        <w:rPr>
          <w:rFonts w:hint="eastAsia" w:ascii="宋体" w:hAnsi="宋体" w:cs="宋体"/>
          <w:color w:val="000000" w:themeColor="text1"/>
          <w:highlight w:val="none"/>
          <w:lang w:val="en-US" w:eastAsia="zh-CN"/>
          <w14:textFill>
            <w14:solidFill>
              <w14:schemeClr w14:val="tx1"/>
            </w14:solidFill>
          </w14:textFill>
        </w:rPr>
        <w:t>3.4</w:t>
      </w:r>
      <w:r>
        <w:rPr>
          <w:rFonts w:hint="eastAsia" w:ascii="宋体" w:hAnsi="宋体" w:cs="宋体"/>
          <w:color w:val="000000" w:themeColor="text1"/>
          <w:highlight w:val="none"/>
          <w14:textFill>
            <w14:solidFill>
              <w14:schemeClr w14:val="tx1"/>
            </w14:solidFill>
          </w14:textFill>
        </w:rPr>
        <w:t>%；规模以上工业企业营业收入1566.2亿元，比上年下降1</w:t>
      </w:r>
      <w:r>
        <w:rPr>
          <w:rFonts w:hint="eastAsia" w:ascii="宋体" w:hAnsi="宋体" w:cs="宋体"/>
          <w:color w:val="000000" w:themeColor="text1"/>
          <w:highlight w:val="none"/>
          <w:lang w:val="en-US" w:eastAsia="zh-CN"/>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%；社会消费品零售总额</w:t>
      </w:r>
      <w:r>
        <w:rPr>
          <w:rFonts w:hint="eastAsia" w:ascii="宋体" w:hAnsi="宋体" w:cs="宋体"/>
          <w:color w:val="000000" w:themeColor="text1"/>
          <w:highlight w:val="none"/>
          <w:lang w:val="en-US" w:eastAsia="zh-CN"/>
          <w14:textFill>
            <w14:solidFill>
              <w14:schemeClr w14:val="tx1"/>
            </w14:solidFill>
          </w14:textFill>
        </w:rPr>
        <w:t>1035.10</w:t>
      </w:r>
      <w:r>
        <w:rPr>
          <w:rFonts w:hint="eastAsia" w:ascii="宋体" w:hAnsi="宋体" w:cs="宋体"/>
          <w:color w:val="000000" w:themeColor="text1"/>
          <w:highlight w:val="none"/>
          <w14:textFill>
            <w14:solidFill>
              <w14:schemeClr w14:val="tx1"/>
            </w14:solidFill>
          </w14:textFill>
        </w:rPr>
        <w:t>亿元，比上年增长</w:t>
      </w:r>
      <w:r>
        <w:rPr>
          <w:rFonts w:hint="eastAsia" w:ascii="宋体" w:hAnsi="宋体" w:cs="宋体"/>
          <w:color w:val="000000" w:themeColor="text1"/>
          <w:highlight w:val="none"/>
          <w:lang w:val="en-US" w:eastAsia="zh-CN"/>
          <w14:textFill>
            <w14:solidFill>
              <w14:schemeClr w14:val="tx1"/>
            </w14:solidFill>
          </w14:textFill>
        </w:rPr>
        <w:t>4.1</w:t>
      </w:r>
      <w:r>
        <w:rPr>
          <w:rFonts w:hint="eastAsia" w:ascii="宋体" w:hAnsi="宋体" w:cs="宋体"/>
          <w:color w:val="000000" w:themeColor="text1"/>
          <w:highlight w:val="none"/>
          <w14:textFill>
            <w14:solidFill>
              <w14:schemeClr w14:val="tx1"/>
            </w14:solidFill>
          </w14:textFill>
        </w:rPr>
        <w:t>%；地方一般公共预算收入</w:t>
      </w:r>
      <w:r>
        <w:rPr>
          <w:rFonts w:hint="eastAsia" w:ascii="宋体" w:hAnsi="宋体" w:cs="宋体"/>
          <w:color w:val="000000" w:themeColor="text1"/>
          <w:highlight w:val="none"/>
          <w:lang w:val="en-US" w:eastAsia="zh-CN"/>
          <w14:textFill>
            <w14:solidFill>
              <w14:schemeClr w14:val="tx1"/>
            </w14:solidFill>
          </w14:textFill>
        </w:rPr>
        <w:t>163.06</w:t>
      </w:r>
      <w:r>
        <w:rPr>
          <w:rFonts w:hint="eastAsia" w:ascii="宋体" w:hAnsi="宋体" w:cs="宋体"/>
          <w:color w:val="000000" w:themeColor="text1"/>
          <w:highlight w:val="none"/>
          <w14:textFill>
            <w14:solidFill>
              <w14:schemeClr w14:val="tx1"/>
            </w14:solidFill>
          </w14:textFill>
        </w:rPr>
        <w:t>亿元，增长</w:t>
      </w:r>
      <w:r>
        <w:rPr>
          <w:rFonts w:hint="eastAsia" w:ascii="宋体" w:hAnsi="宋体" w:cs="宋体"/>
          <w:color w:val="000000" w:themeColor="text1"/>
          <w:highlight w:val="none"/>
          <w:lang w:val="en-US" w:eastAsia="zh-CN"/>
          <w14:textFill>
            <w14:solidFill>
              <w14:schemeClr w14:val="tx1"/>
            </w14:solidFill>
          </w14:textFill>
        </w:rPr>
        <w:t>2.2</w:t>
      </w:r>
      <w:r>
        <w:rPr>
          <w:rFonts w:hint="eastAsia" w:ascii="宋体" w:hAnsi="宋体" w:cs="宋体"/>
          <w:color w:val="000000" w:themeColor="text1"/>
          <w:highlight w:val="none"/>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color w:val="000000" w:themeColor="text1"/>
          <w:highlight w:val="none"/>
          <w14:textFill>
            <w14:solidFill>
              <w14:schemeClr w14:val="tx1"/>
            </w14:solidFill>
          </w14:textFill>
        </w:rPr>
      </w:pPr>
      <w:r>
        <w:rPr>
          <w:highlight w:val="none"/>
        </w:rPr>
        <w:drawing>
          <wp:inline distT="0" distB="0" distL="114300" distR="114300">
            <wp:extent cx="5621020" cy="3206750"/>
            <wp:effectExtent l="0" t="0" r="17780" b="12700"/>
            <wp:docPr id="10"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22"/>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从产业体系看，乐山是全国老工业基地、四川重点工业城市，工业门类齐全，已形成光电信息、新型建材、民用核技术、绿色化工、食品饮料五大现代产业发展格局，全市双甘膦、草甘膦产能居世界前茅，多晶硅生产进入全球第一军团，高纯晶硅产能全球单一区域产能第一，被授予“中国绿色硅谷”称号。规模以上工业企业达</w:t>
      </w:r>
      <w:r>
        <w:rPr>
          <w:rFonts w:hint="eastAsia" w:ascii="宋体" w:hAnsi="宋体" w:cs="宋体"/>
          <w:color w:val="000000" w:themeColor="text1"/>
          <w:highlight w:val="none"/>
          <w:lang w:val="en-US" w:eastAsia="zh-CN"/>
          <w14:textFill>
            <w14:solidFill>
              <w14:schemeClr w14:val="tx1"/>
            </w14:solidFill>
          </w14:textFill>
        </w:rPr>
        <w:t>760</w:t>
      </w:r>
      <w:r>
        <w:rPr>
          <w:rFonts w:hint="eastAsia" w:ascii="宋体" w:hAnsi="宋体" w:cs="宋体"/>
          <w:color w:val="000000" w:themeColor="text1"/>
          <w:highlight w:val="none"/>
          <w14:textFill>
            <w14:solidFill>
              <w14:schemeClr w14:val="tx1"/>
            </w14:solidFill>
          </w14:textFill>
        </w:rPr>
        <w:t>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规模以上服务业企业达</w:t>
      </w:r>
      <w:r>
        <w:rPr>
          <w:rFonts w:hint="eastAsia" w:ascii="宋体" w:hAnsi="宋体" w:cs="宋体"/>
          <w:color w:val="000000" w:themeColor="text1"/>
          <w:highlight w:val="none"/>
          <w:lang w:eastAsia="zh-CN"/>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95</w:t>
      </w:r>
      <w:r>
        <w:rPr>
          <w:rFonts w:hint="eastAsia" w:ascii="宋体" w:hAnsi="宋体" w:cs="宋体"/>
          <w:color w:val="000000" w:themeColor="text1"/>
          <w:highlight w:val="none"/>
          <w14:textFill>
            <w14:solidFill>
              <w14:schemeClr w14:val="tx1"/>
            </w14:solidFill>
          </w14:textFill>
        </w:rPr>
        <w:t>家，限额以上批零和住餐业单位及个体户达</w:t>
      </w:r>
      <w:r>
        <w:rPr>
          <w:rFonts w:hint="eastAsia" w:ascii="宋体" w:hAnsi="宋体" w:cs="宋体"/>
          <w:color w:val="000000" w:themeColor="text1"/>
          <w:highlight w:val="none"/>
          <w:lang w:val="en-US" w:eastAsia="zh-CN"/>
          <w14:textFill>
            <w14:solidFill>
              <w14:schemeClr w14:val="tx1"/>
            </w14:solidFill>
          </w14:textFill>
        </w:rPr>
        <w:t>1272</w:t>
      </w:r>
      <w:r>
        <w:rPr>
          <w:rFonts w:hint="eastAsia" w:ascii="宋体" w:hAnsi="宋体" w:cs="宋体"/>
          <w:color w:val="000000" w:themeColor="text1"/>
          <w:highlight w:val="none"/>
          <w14:textFill>
            <w14:solidFill>
              <w14:schemeClr w14:val="tx1"/>
            </w14:solidFill>
          </w14:textFill>
        </w:rPr>
        <w:t>家。</w:t>
      </w:r>
    </w:p>
    <w:p>
      <w:pPr>
        <w:pStyle w:val="22"/>
        <w:ind w:firstLine="48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从旅游文化看，乐山旅游资源丰富、品位一流，拥有三处世界级遗产（峨眉山—乐山大佛是全国四处世界文化与自然双遗产之一，东风堰是世界灌溉工程遗产）。全市现有国家A级景区</w:t>
      </w:r>
      <w:r>
        <w:rPr>
          <w:rFonts w:hint="eastAsia" w:ascii="宋体" w:hAnsi="宋体" w:cs="宋体"/>
          <w:color w:val="000000" w:themeColor="text1"/>
          <w:highlight w:val="none"/>
          <w:lang w:val="en-US" w:eastAsia="zh-CN"/>
          <w14:textFill>
            <w14:solidFill>
              <w14:schemeClr w14:val="tx1"/>
            </w14:solidFill>
          </w14:textFill>
        </w:rPr>
        <w:t>39</w:t>
      </w:r>
      <w:r>
        <w:rPr>
          <w:rFonts w:hint="eastAsia" w:ascii="宋体" w:hAnsi="宋体" w:cs="宋体"/>
          <w:color w:val="000000" w:themeColor="text1"/>
          <w:highlight w:val="none"/>
          <w:lang w:val="zh-CN"/>
          <w14:textFill>
            <w14:solidFill>
              <w14:schemeClr w14:val="tx1"/>
            </w14:solidFill>
          </w14:textFill>
        </w:rPr>
        <w:t>处。202</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lang w:val="zh-CN"/>
          <w14:textFill>
            <w14:solidFill>
              <w14:schemeClr w14:val="tx1"/>
            </w14:solidFill>
          </w14:textFill>
        </w:rPr>
        <w:t>年接待国内外游客10430.77万人次</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国内游客旅游花费1366.24亿元，累计接待入境游客超26万人次，其中入境过夜游客17.9万人次。</w:t>
      </w:r>
    </w:p>
    <w:p>
      <w:pPr>
        <w:pStyle w:val="22"/>
        <w:ind w:firstLine="48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从交通能源看，乐山是全省规划的次级综合交通枢纽城市、成都经济区核心圈层的重要枢纽城市、成渝经济区重要交通节点和港口城市，也是成都南部最大的集公、铁、水于一体的立体交通枢纽。近年来，加快构建外联</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四向五廊</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、内畅</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三维五网</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的立体化综合交通布局体系。已建成成乐、乐宜、乐雅、乐自、仁沐新、峨汉、乐西（乐山至马边段）7条（段）高速公路，全面实现绕城高速闭环、县县通高速。成昆铁路贯穿全境，成贵高铁全线开通，乐山融入全国高铁网，成昆铁路复线、连乐铁路</w:t>
      </w:r>
      <w:r>
        <w:rPr>
          <w:rFonts w:hint="eastAsia" w:ascii="宋体" w:hAnsi="宋体" w:cs="宋体"/>
          <w:color w:val="000000" w:themeColor="text1"/>
          <w:highlight w:val="none"/>
          <w:lang w:val="en-US" w:eastAsia="zh-CN"/>
          <w14:textFill>
            <w14:solidFill>
              <w14:schemeClr w14:val="tx1"/>
            </w14:solidFill>
          </w14:textFill>
        </w:rPr>
        <w:t>建成投运</w:t>
      </w:r>
      <w:r>
        <w:rPr>
          <w:rFonts w:hint="eastAsia" w:ascii="宋体" w:hAnsi="宋体" w:cs="宋体"/>
          <w:color w:val="000000" w:themeColor="text1"/>
          <w:highlight w:val="none"/>
          <w:lang w:val="zh-CN"/>
          <w14:textFill>
            <w14:solidFill>
              <w14:schemeClr w14:val="tx1"/>
            </w14:solidFill>
          </w14:textFill>
        </w:rPr>
        <w:t>。岷江港航电综合开发加快推进，岷江犍为航电枢纽建成投运，岷江老木孔、龙溪口、东风岩航电枢纽建设有序推进。</w:t>
      </w:r>
    </w:p>
    <w:p>
      <w:pPr>
        <w:pStyle w:val="22"/>
        <w:ind w:firstLine="480"/>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从城市建设看，乐山新型城镇化发展格局逐步形成，全市常住人口城镇化率达</w:t>
      </w:r>
      <w:r>
        <w:rPr>
          <w:rFonts w:hint="eastAsia" w:ascii="宋体" w:hAnsi="宋体" w:cs="宋体"/>
          <w:i w:val="0"/>
          <w:iCs w:val="0"/>
          <w:caps w:val="0"/>
          <w:color w:val="000000" w:themeColor="text1"/>
          <w:spacing w:val="0"/>
          <w:sz w:val="24"/>
          <w:szCs w:val="24"/>
          <w:highlight w:val="none"/>
          <w:shd w:val="clear" w:fill="auto"/>
          <w:lang w:val="zh-CN"/>
          <w14:textFill>
            <w14:solidFill>
              <w14:schemeClr w14:val="tx1"/>
            </w14:solidFill>
          </w14:textFill>
        </w:rPr>
        <w:t>5</w:t>
      </w:r>
      <w:r>
        <w:rPr>
          <w:rFonts w:hint="eastAsia" w:ascii="宋体" w:hAnsi="宋体" w:cs="宋体"/>
          <w:i w:val="0"/>
          <w:iCs w:val="0"/>
          <w:caps w:val="0"/>
          <w:color w:val="000000" w:themeColor="text1"/>
          <w:spacing w:val="0"/>
          <w:sz w:val="24"/>
          <w:szCs w:val="24"/>
          <w:highlight w:val="none"/>
          <w:shd w:val="clear" w:fill="auto"/>
          <w:lang w:val="en-US" w:eastAsia="zh-CN"/>
          <w14:textFill>
            <w14:solidFill>
              <w14:schemeClr w14:val="tx1"/>
            </w14:solidFill>
          </w14:textFill>
        </w:rPr>
        <w:t>6.20</w:t>
      </w:r>
      <w:r>
        <w:rPr>
          <w:rFonts w:hint="eastAsia" w:ascii="宋体" w:hAnsi="宋体" w:cs="宋体"/>
          <w:i w:val="0"/>
          <w:iCs w:val="0"/>
          <w:caps w:val="0"/>
          <w:color w:val="000000" w:themeColor="text1"/>
          <w:spacing w:val="0"/>
          <w:sz w:val="24"/>
          <w:szCs w:val="24"/>
          <w:highlight w:val="none"/>
          <w:shd w:val="clear" w:fill="auto"/>
          <w:lang w:val="zh-CN"/>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。“一城两新区”项目有序推进，中心城区坐落在三江（岷江、大渡河、青衣江）交汇处，与乐山大佛隔江相望，融佛、山、水、城于一体，9.4平方公里绿心</w:t>
      </w:r>
      <w:r>
        <w:rPr>
          <w:rFonts w:hint="eastAsia" w:ascii="宋体" w:hAnsi="宋体" w:cs="宋体"/>
          <w:color w:val="000000" w:themeColor="text1"/>
          <w:highlight w:val="none"/>
          <w:lang w:val="zh-CN" w:eastAsia="zh-CN"/>
          <w14:textFill>
            <w14:solidFill>
              <w14:schemeClr w14:val="tx1"/>
            </w14:solidFill>
          </w14:textFill>
        </w:rPr>
        <w:t>公园</w:t>
      </w:r>
      <w:r>
        <w:rPr>
          <w:rFonts w:hint="eastAsia" w:ascii="宋体" w:hAnsi="宋体" w:cs="宋体"/>
          <w:color w:val="000000" w:themeColor="text1"/>
          <w:highlight w:val="none"/>
          <w:lang w:val="zh-CN"/>
          <w14:textFill>
            <w14:solidFill>
              <w14:schemeClr w14:val="tx1"/>
            </w14:solidFill>
          </w14:textFill>
        </w:rPr>
        <w:t>居于城市之中，被联合国教科文组织誉为“森林在城市里，城市在山水中”。中心城区的引领作用不断增强，中小城市特色化发展趋势明显，小城镇建设取得成效。目前，已形成了以乐山中心城区为核心，以峨眉山市为副中心，以其他县城为县域中心，小城镇为基础支撑的城镇体系。</w:t>
      </w:r>
    </w:p>
    <w:p>
      <w:pPr>
        <w:pStyle w:val="21"/>
        <w:rPr>
          <w:rFonts w:hint="default" w:eastAsia="黑体"/>
          <w:color w:val="000000" w:themeColor="text1"/>
          <w:highlight w:val="none"/>
          <w:lang w:val="en-US" w:eastAsia="zh-CN"/>
          <w14:textFill>
            <w14:solidFill>
              <w14:schemeClr w14:val="tx1"/>
            </w14:solidFill>
          </w14:textFill>
        </w:rPr>
      </w:pPr>
      <w:bookmarkStart w:id="161" w:name="_Toc18831"/>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"_Toc7253"</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第二节 </w:t>
      </w:r>
      <w:r>
        <w:rPr>
          <w:rFonts w:hint="eastAsia"/>
          <w:color w:val="000000" w:themeColor="text1"/>
          <w:highlight w:val="none"/>
          <w:lang w:val="en-US" w:eastAsia="zh-CN"/>
          <w14:textFill>
            <w14:solidFill>
              <w14:schemeClr w14:val="tx1"/>
            </w14:solidFill>
          </w14:textFill>
        </w:rPr>
        <w:t>国土空间</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规划情况</w:t>
      </w:r>
      <w:bookmarkEnd w:id="155"/>
      <w:bookmarkEnd w:id="161"/>
    </w:p>
    <w:p>
      <w:pPr>
        <w:pStyle w:val="22"/>
        <w:ind w:firstLine="480"/>
        <w:rPr>
          <w:rFonts w:hint="eastAsia" w:ascii="宋体" w:hAnsi="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根据</w:t>
      </w:r>
      <w:r>
        <w:rPr>
          <w:rFonts w:hint="eastAsia" w:ascii="宋体" w:hAnsi="宋体" w:eastAsia="宋体" w:cs="宋体"/>
          <w:color w:val="000000" w:themeColor="text1"/>
          <w:sz w:val="24"/>
          <w:szCs w:val="32"/>
          <w:highlight w:val="none"/>
          <w:lang w:val="en-US" w:eastAsia="zh-CN"/>
          <w14:textFill>
            <w14:solidFill>
              <w14:schemeClr w14:val="tx1"/>
            </w14:solidFill>
          </w14:textFill>
        </w:rPr>
        <w:t>《乐山市国土空间总体规划（2021—2035</w:t>
      </w:r>
      <w:r>
        <w:rPr>
          <w:rFonts w:hint="eastAsia" w:ascii="宋体" w:hAnsi="宋体" w:cs="宋体"/>
          <w:color w:val="000000" w:themeColor="text1"/>
          <w:sz w:val="24"/>
          <w:szCs w:val="32"/>
          <w:highlight w:val="none"/>
          <w:lang w:val="en-US" w:eastAsia="zh-CN"/>
          <w14:textFill>
            <w14:solidFill>
              <w14:schemeClr w14:val="tx1"/>
            </w14:solidFill>
          </w14:textFill>
        </w:rPr>
        <w:t>年</w:t>
      </w:r>
      <w:r>
        <w:rPr>
          <w:rFonts w:hint="eastAsia"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确定乐山市总体定位为“全省区域中心城市、中国绿色硅谷、中国堆谷、世界重要旅游目的地”。明确乐山市核心功能为“建设中国绿色硅谷和世界重要旅游目的地，建设峨眉山文旅融合发展示范区、水电产业消纳示范区，做大做强光伏产业”</w:t>
      </w:r>
      <w:r>
        <w:rPr>
          <w:rFonts w:hint="eastAsia" w:ascii="宋体" w:hAnsi="宋体" w:cs="宋体"/>
          <w:color w:val="000000" w:themeColor="text1"/>
          <w:highlight w:val="none"/>
          <w:lang w:eastAsia="zh-CN"/>
          <w14:textFill>
            <w14:solidFill>
              <w14:schemeClr w14:val="tx1"/>
            </w14:solidFill>
          </w14:textFill>
        </w:rPr>
        <w:t>。</w:t>
      </w:r>
    </w:p>
    <w:p>
      <w:pPr>
        <w:pStyle w:val="22"/>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乐山市</w:t>
      </w:r>
      <w:r>
        <w:rPr>
          <w:rFonts w:hint="eastAsia" w:ascii="宋体" w:hAnsi="宋体" w:cs="宋体"/>
          <w:color w:val="000000" w:themeColor="text1"/>
          <w:highlight w:val="none"/>
          <w:lang w:val="en-US" w:eastAsia="zh-CN"/>
          <w14:textFill>
            <w14:solidFill>
              <w14:schemeClr w14:val="tx1"/>
            </w14:solidFill>
          </w14:textFill>
        </w:rPr>
        <w:t>市域常住人口规模为</w:t>
      </w:r>
      <w:r>
        <w:rPr>
          <w:rFonts w:hint="eastAsia" w:ascii="宋体" w:hAnsi="宋体" w:cs="宋体"/>
          <w:color w:val="000000" w:themeColor="text1"/>
          <w:highlight w:val="none"/>
          <w14:textFill>
            <w14:solidFill>
              <w14:schemeClr w14:val="tx1"/>
            </w14:solidFill>
          </w14:textFill>
        </w:rPr>
        <w:t>城镇常住人口规模2025年达到216.5万人，2035年达到287.4万人。构建以乐山市中心城区（市中区、沙湾区、五通桥区）为一级中心城市，以峨眉山市、犍为县、夹江县为二级中心城市（其中犍为县为市域副中心），以井研县、沐川县、峨边彝族自治县、马边彝族自治县、金口河区为三级县域中心城镇，34个片区中心镇为四级中心镇，其他镇（乡）为五级一般镇（乡）的城镇等级结构体系。</w:t>
      </w:r>
    </w:p>
    <w:p>
      <w:pPr>
        <w:pStyle w:val="22"/>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规划至2035年，中心城区城镇开发边界145.68平方千米，其中中心城区城镇建设用地规模应控制在144.59平方千米以内，中心城区人口规模预测为128万人，人均城镇建设用地面积控制在113平方米之内。</w:t>
      </w:r>
    </w:p>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drawing>
          <wp:inline distT="0" distB="0" distL="114300" distR="114300">
            <wp:extent cx="5450205" cy="6487795"/>
            <wp:effectExtent l="0" t="0" r="17145" b="8255"/>
            <wp:docPr id="5" name="图片 5" descr="图集_页面_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集_页面_19"/>
                    <pic:cNvPicPr>
                      <a:picLocks noChangeAspect="true"/>
                    </pic:cNvPicPr>
                  </pic:nvPicPr>
                  <pic:blipFill>
                    <a:blip r:embed="rId11"/>
                    <a:srcRect l="2030" t="8670" r="2165" b="10656"/>
                    <a:stretch>
                      <a:fillRect/>
                    </a:stretch>
                  </pic:blipFill>
                  <pic:spPr>
                    <a:xfrm>
                      <a:off x="0" y="0"/>
                      <a:ext cx="5450205" cy="6487795"/>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黑体" w:hAnsi="黑体" w:eastAsia="黑体" w:cs="黑体"/>
          <w:color w:val="000000" w:themeColor="text1"/>
          <w:highlight w:val="none"/>
          <w:lang w:val="en-US" w:eastAsia="zh-CN"/>
          <w14:textFill>
            <w14:solidFill>
              <w14:schemeClr w14:val="tx1"/>
            </w14:solidFill>
          </w14:textFill>
        </w:rPr>
        <w:t>图2-2 市域国土空间总体格局规划图</w:t>
      </w:r>
    </w:p>
    <w:p>
      <w:pPr>
        <w:pStyle w:val="22"/>
        <w:ind w:firstLine="48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城市空间结构规划形成“两核四心，三廊多片”的城市空间结构。两核，指嘉州古城核心和乐山大佛风景名胜区核心。四心，指四个城市综合服务心（高新、苏稽、沙湾、五通桥综合服务心）。三廊，指三条城市景观生态廊道（岷江城市景观生态廊道、大渡河城市景观生态廊道、青衣江城市景观生态廊道）。多片，指17个城市功能片区（沙湾老城片区、嘉农片区、三河九岛片区、水口片区、苏稽片区、棉竹片区、青江片区、大佛片区、通江片区、老城片区、肖坝片区、牟子片区、岷江东岸片区、高新片区、冠英片区、竹根片区、五通桥工业片区）。</w:t>
      </w:r>
    </w:p>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color w:val="000000" w:themeColor="text1"/>
          <w:highlight w:val="none"/>
          <w:lang w:eastAsia="zh-CN"/>
          <w14:textFill>
            <w14:solidFill>
              <w14:schemeClr w14:val="tx1"/>
            </w14:solidFill>
          </w14:textFill>
        </w:rPr>
      </w:pPr>
      <w:r>
        <w:rPr>
          <w:rFonts w:hint="eastAsia" w:eastAsia="黑体"/>
          <w:color w:val="000000" w:themeColor="text1"/>
          <w:highlight w:val="none"/>
          <w:lang w:eastAsia="zh-CN"/>
          <w14:textFill>
            <w14:solidFill>
              <w14:schemeClr w14:val="tx1"/>
            </w14:solidFill>
          </w14:textFill>
        </w:rPr>
        <w:drawing>
          <wp:inline distT="0" distB="0" distL="114300" distR="114300">
            <wp:extent cx="5534660" cy="6570980"/>
            <wp:effectExtent l="0" t="0" r="8890" b="1270"/>
            <wp:docPr id="8" name="图片 8" descr="图集_页面_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集_页面_47"/>
                    <pic:cNvPicPr>
                      <a:picLocks noChangeAspect="true"/>
                    </pic:cNvPicPr>
                  </pic:nvPicPr>
                  <pic:blipFill>
                    <a:blip r:embed="rId12"/>
                    <a:srcRect l="1996" t="8822" r="2165" b="10688"/>
                    <a:stretch>
                      <a:fillRect/>
                    </a:stretch>
                  </pic:blipFill>
                  <pic:spPr>
                    <a:xfrm>
                      <a:off x="0" y="0"/>
                      <a:ext cx="5534660" cy="6570980"/>
                    </a:xfrm>
                    <a:prstGeom prst="rect">
                      <a:avLst/>
                    </a:prstGeom>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color w:val="000000" w:themeColor="text1"/>
          <w:highlight w:val="none"/>
          <w:lang w:val="en-US" w:eastAsia="zh-CN"/>
          <w14:textFill>
            <w14:solidFill>
              <w14:schemeClr w14:val="tx1"/>
            </w14:solidFill>
          </w14:textFill>
        </w:rPr>
      </w:pPr>
      <w:r>
        <w:rPr>
          <w:rFonts w:hint="eastAsia" w:ascii="黑体" w:hAnsi="黑体" w:eastAsia="黑体" w:cs="黑体"/>
          <w:color w:val="000000" w:themeColor="text1"/>
          <w:highlight w:val="none"/>
          <w:lang w:val="en-US" w:eastAsia="zh-CN"/>
          <w14:textFill>
            <w14:solidFill>
              <w14:schemeClr w14:val="tx1"/>
            </w14:solidFill>
          </w14:textFill>
        </w:rPr>
        <w:t>图2-3 中心城区空间结构规划图</w:t>
      </w:r>
    </w:p>
    <w:p>
      <w:pPr>
        <w:pStyle w:val="17"/>
        <w:bidi w:val="0"/>
        <w:rPr>
          <w:rFonts w:hint="eastAsia"/>
          <w:highlight w:val="none"/>
        </w:rPr>
      </w:pPr>
      <w:bookmarkStart w:id="162" w:name="_Toc2052"/>
      <w:bookmarkStart w:id="163" w:name="_Toc1773"/>
      <w:r>
        <w:rPr>
          <w:rFonts w:hint="eastAsia"/>
          <w:highlight w:val="none"/>
          <w:lang w:val="en-US" w:eastAsia="zh-CN"/>
        </w:rPr>
        <w:t>第三章 电动汽车及充电设施现状分析</w:t>
      </w:r>
      <w:bookmarkEnd w:id="162"/>
      <w:bookmarkEnd w:id="163"/>
    </w:p>
    <w:p>
      <w:pPr>
        <w:pStyle w:val="21"/>
        <w:rPr>
          <w:rFonts w:hint="eastAsia" w:eastAsia="黑体"/>
          <w:b w:val="0"/>
          <w:bCs w:val="0"/>
          <w:strike w:val="0"/>
          <w:dstrike w:val="0"/>
          <w:color w:val="000000" w:themeColor="text1"/>
          <w:highlight w:val="none"/>
          <w:lang w:val="en-US" w:eastAsia="zh-CN"/>
          <w14:textFill>
            <w14:solidFill>
              <w14:schemeClr w14:val="tx1"/>
            </w14:solidFill>
          </w14:textFill>
        </w:rPr>
      </w:pPr>
      <w:bookmarkStart w:id="164" w:name="_Toc1475"/>
      <w:bookmarkStart w:id="165" w:name="_Toc29426"/>
      <w:r>
        <w:rPr>
          <w:rFonts w:hint="eastAsia"/>
          <w:b w:val="0"/>
          <w:bCs w:val="0"/>
          <w:strike w:val="0"/>
          <w:dstrike w:val="0"/>
          <w:color w:val="000000" w:themeColor="text1"/>
          <w:highlight w:val="none"/>
          <w14:textFill>
            <w14:solidFill>
              <w14:schemeClr w14:val="tx1"/>
            </w14:solidFill>
          </w14:textFill>
        </w:rPr>
        <w:fldChar w:fldCharType="begin"/>
      </w:r>
      <w:r>
        <w:rPr>
          <w:rFonts w:hint="eastAsia"/>
          <w:b w:val="0"/>
          <w:bCs w:val="0"/>
          <w:strike w:val="0"/>
          <w:dstrike w:val="0"/>
          <w:color w:val="000000" w:themeColor="text1"/>
          <w:highlight w:val="none"/>
          <w14:textFill>
            <w14:solidFill>
              <w14:schemeClr w14:val="tx1"/>
            </w14:solidFill>
          </w14:textFill>
        </w:rPr>
        <w:instrText xml:space="preserve"> HYPERLINK \l "_Toc7253"</w:instrText>
      </w:r>
      <w:r>
        <w:rPr>
          <w:rFonts w:hint="eastAsia"/>
          <w:b w:val="0"/>
          <w:bCs w:val="0"/>
          <w:strike w:val="0"/>
          <w:dstrike w:val="0"/>
          <w:color w:val="000000" w:themeColor="text1"/>
          <w:highlight w:val="none"/>
          <w14:textFill>
            <w14:solidFill>
              <w14:schemeClr w14:val="tx1"/>
            </w14:solidFill>
          </w14:textFill>
        </w:rPr>
        <w:fldChar w:fldCharType="separate"/>
      </w:r>
      <w:r>
        <w:rPr>
          <w:rFonts w:hint="eastAsia"/>
          <w:b w:val="0"/>
          <w:bCs w:val="0"/>
          <w:strike w:val="0"/>
          <w:dstrike w:val="0"/>
          <w:color w:val="000000" w:themeColor="text1"/>
          <w:highlight w:val="none"/>
          <w14:textFill>
            <w14:solidFill>
              <w14:schemeClr w14:val="tx1"/>
            </w14:solidFill>
          </w14:textFill>
        </w:rPr>
        <w:t>第</w:t>
      </w:r>
      <w:r>
        <w:rPr>
          <w:rFonts w:hint="eastAsia"/>
          <w:b w:val="0"/>
          <w:bCs w:val="0"/>
          <w:strike w:val="0"/>
          <w:dstrike w:val="0"/>
          <w:color w:val="000000" w:themeColor="text1"/>
          <w:highlight w:val="none"/>
          <w:lang w:val="en-US" w:eastAsia="zh-CN"/>
          <w14:textFill>
            <w14:solidFill>
              <w14:schemeClr w14:val="tx1"/>
            </w14:solidFill>
          </w14:textFill>
        </w:rPr>
        <w:t>一</w:t>
      </w:r>
      <w:r>
        <w:rPr>
          <w:rFonts w:hint="eastAsia"/>
          <w:b w:val="0"/>
          <w:bCs w:val="0"/>
          <w:strike w:val="0"/>
          <w:dstrike w:val="0"/>
          <w:color w:val="000000" w:themeColor="text1"/>
          <w:highlight w:val="none"/>
          <w14:textFill>
            <w14:solidFill>
              <w14:schemeClr w14:val="tx1"/>
            </w14:solidFill>
          </w14:textFill>
        </w:rPr>
        <w:t xml:space="preserve">节 </w:t>
      </w:r>
      <w:r>
        <w:rPr>
          <w:rFonts w:hint="eastAsia"/>
          <w:b w:val="0"/>
          <w:bCs w:val="0"/>
          <w:strike w:val="0"/>
          <w:dstrike w:val="0"/>
          <w:color w:val="000000" w:themeColor="text1"/>
          <w:highlight w:val="none"/>
          <w:lang w:val="en-US" w:eastAsia="zh-CN"/>
          <w14:textFill>
            <w14:solidFill>
              <w14:schemeClr w14:val="tx1"/>
            </w14:solidFill>
          </w14:textFill>
        </w:rPr>
        <w:t>政策</w:t>
      </w:r>
      <w:r>
        <w:rPr>
          <w:rFonts w:hint="eastAsia"/>
          <w:b w:val="0"/>
          <w:bCs w:val="0"/>
          <w:strike w:val="0"/>
          <w:dstrike w:val="0"/>
          <w:color w:val="000000" w:themeColor="text1"/>
          <w:highlight w:val="none"/>
          <w14:textFill>
            <w14:solidFill>
              <w14:schemeClr w14:val="tx1"/>
            </w14:solidFill>
          </w14:textFill>
        </w:rPr>
        <w:fldChar w:fldCharType="end"/>
      </w:r>
      <w:r>
        <w:rPr>
          <w:rFonts w:hint="eastAsia"/>
          <w:b w:val="0"/>
          <w:bCs w:val="0"/>
          <w:strike w:val="0"/>
          <w:dstrike w:val="0"/>
          <w:color w:val="000000" w:themeColor="text1"/>
          <w:highlight w:val="none"/>
          <w:lang w:val="en-US" w:eastAsia="zh-CN"/>
          <w14:textFill>
            <w14:solidFill>
              <w14:schemeClr w14:val="tx1"/>
            </w14:solidFill>
          </w14:textFill>
        </w:rPr>
        <w:t>环境</w:t>
      </w:r>
      <w:bookmarkEnd w:id="164"/>
      <w:bookmarkEnd w:id="165"/>
    </w:p>
    <w:p>
      <w:pPr>
        <w:pStyle w:val="22"/>
        <w:ind w:firstLine="562"/>
        <w:jc w:val="left"/>
        <w:rPr>
          <w:rStyle w:val="19"/>
          <w:rFonts w:hint="eastAsia"/>
          <w:color w:val="000000" w:themeColor="text1"/>
          <w:szCs w:val="22"/>
          <w:highlight w:val="none"/>
          <w:lang w:val="en-US" w:eastAsia="zh-CN"/>
          <w14:textFill>
            <w14:solidFill>
              <w14:schemeClr w14:val="tx1"/>
            </w14:solidFill>
          </w14:textFill>
        </w:rPr>
      </w:pPr>
      <w:bookmarkStart w:id="166" w:name="_Toc722"/>
      <w:bookmarkStart w:id="167" w:name="_Toc30049"/>
      <w:r>
        <w:rPr>
          <w:rStyle w:val="19"/>
          <w:rFonts w:hint="eastAsia"/>
          <w:color w:val="000000" w:themeColor="text1"/>
          <w:szCs w:val="22"/>
          <w:highlight w:val="none"/>
          <w:lang w:val="en-US" w:eastAsia="zh-CN"/>
          <w14:textFill>
            <w14:solidFill>
              <w14:schemeClr w14:val="tx1"/>
            </w14:solidFill>
          </w14:textFill>
        </w:rPr>
        <w:t>（一）国家级层面政策</w:t>
      </w:r>
    </w:p>
    <w:bookmarkEnd w:id="166"/>
    <w:bookmarkEnd w:id="167"/>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1、2020年10月，《国务院办公厅关于印发&lt;新能源汽车产业发展规划（2021—2035年）&gt;的通知》（国办发〔2020〕39号）提出，到2025年，我国新能源汽车市场竞争力明显增强，动力电池、驱动电机、车用操作系统等关键技术取得重大突破，安全水平全面提升。纯电动乘用车新车平均电耗降至12.0千瓦时/百公里，新能源汽车新车销售量达到汽车新车销售总量的20%左右，高度自动驾驶汽车实现限定区域和特定场景商业化应用，充换电服务便利性显著提高。</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力争经过15年的持续努力，我国新能源汽车核心技术达到国际先进水平，质量品牌具备较强国际竞争力。纯电动汽车成为新销售车辆的主流，公共领域用车全面电动化，燃料电池汽车实现商业化应用，高度自动驾驶汽车实现规模化应用，充换电服务网络便捷高效，氢燃料供给体系建设稳步推进，有效促进节能减排水平和社会运行效率的提升。</w:t>
      </w:r>
    </w:p>
    <w:p>
      <w:pPr>
        <w:pStyle w:val="2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2、2022年1月10日，《国家发展改革委等部门关于进一步提升电动汽车充电基础设施服务保障能力的实施意见》（发改能源规〔2022〕53号）发布。到“十四五”末，我国电动汽车充电保障能力进一步提升，形成适度超前、布局均衡、智能高效的充电基础设施体系，能够满足超过2000万辆电动汽车充电需求。</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意见提出按照全面推进乡村振兴有关要求，结合推进以县城为重要载体的城镇化建设，加快补齐县城、乡镇充电基础设施建设短板，加快实现电动汽车充电站“县县全覆盖”、充电桩“乡乡全覆盖”。力争到2025年，国家生态文明试验区、大气污染防治重点区域的高速公路服务区快充站覆盖率不低于80%，其他地区不低于60%。</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3、2023年6月19日，《国务院办公厅关于进一步构建高质量充电基础设施体系的指导意见》（国办发〔2023〕19号）发布。意见明确建设结构完善的城市充电网络。以城市道路交通网络为依托，以“两区”（居住区、办公区）、“三中心”（商业中心、工业中心、休闲中心）为重点，推动城市充电网络从中心城区向城区边缘、从优先发展区域向其他区域有序延伸。大力推进城市充电基础设施与停车设施一体规划、建设和管理，实现城市各类停车场景全面覆盖。合理利用城市道路邻近空间，建设以快充为主、慢充为辅的公共充电基础设施，鼓励新建具有一定规模的集中式充电基础设施。</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要求建设有效覆盖的农村地区充电网络。推动农村地区充电网络与城市、城际充电网络融合发展，加快实现充电基础设施在适宜使用电动汽车的农村地区有效覆盖。积极推动在县级城市城区建设公共直流快充站。结合乡村级充电网络建设和输配电网发展，加快在大型村镇、易地搬迁集中安置区、乡村旅游重点村镇等规划布局充电网络，大力推动在乡镇机关、企事业单位、商业建筑、交通枢纽场站、公共停车场、物流基地等区域布局建设公共充电基础设施。结合推进以县城为重要载体的城镇化建设，在基础较好的地区根据需要创建充电基础设施建设应用示范县和示范乡镇。</w:t>
      </w:r>
    </w:p>
    <w:p>
      <w:pPr>
        <w:pStyle w:val="22"/>
        <w:ind w:firstLine="562"/>
        <w:jc w:val="left"/>
        <w:rPr>
          <w:rStyle w:val="19"/>
          <w:rFonts w:hint="eastAsia"/>
          <w:color w:val="000000" w:themeColor="text1"/>
          <w:szCs w:val="22"/>
          <w:highlight w:val="none"/>
          <w:lang w:val="en-US" w:eastAsia="zh-CN"/>
          <w14:textFill>
            <w14:solidFill>
              <w14:schemeClr w14:val="tx1"/>
            </w14:solidFill>
          </w14:textFill>
        </w:rPr>
      </w:pPr>
      <w:bookmarkStart w:id="168" w:name="_Toc28499"/>
      <w:bookmarkStart w:id="169" w:name="_Toc21736"/>
      <w:r>
        <w:rPr>
          <w:rStyle w:val="19"/>
          <w:rFonts w:hint="eastAsia"/>
          <w:color w:val="000000" w:themeColor="text1"/>
          <w:szCs w:val="22"/>
          <w:highlight w:val="none"/>
          <w:lang w:val="en-US" w:eastAsia="zh-CN"/>
          <w14:textFill>
            <w14:solidFill>
              <w14:schemeClr w14:val="tx1"/>
            </w14:solidFill>
          </w14:textFill>
        </w:rPr>
        <w:t>（二）省级层面政策</w:t>
      </w:r>
    </w:p>
    <w:bookmarkEnd w:id="168"/>
    <w:bookmarkEnd w:id="169"/>
    <w:p>
      <w:pPr>
        <w:pStyle w:val="22"/>
        <w:ind w:firstLine="482"/>
        <w:rPr>
          <w:rFonts w:hint="default"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1、2022年3月，四川省人民政府办公厅印发《“电动四川”行动计划（2022—2025年）》（川办发〔2022〕34号），提出推动城区公交车电动替代，从2022年起，全省(除特殊地区外)新增和更新车辆原则上全部采用新能源汽车。</w:t>
      </w: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ab/>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推进党政机关、事业单位、国有企业公务用车电动替代，从2022年起，除实物保障岗位工作用车、处置突发事件应急用车、特种专业技术用车等特殊用途车辆(不含固定线路执法执勤、通勤车辆)和特殊地区外，新增和更新车辆原则上全部采用新能源汽车。</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推动中短途客运、物流车辆电动替代，持续推进农村客运“金通工程”，鼓励有条件的地区和线路采用新能源汽车。建立健全绿色物流配送体系。</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推动自动挡驾考车电动替代，从2022年起，新增和更新自动挡驾考车辆使用新能源汽车比例不低于80%。推动A级旅游景区在新增和更新景区用车时尽量使用新能源汽车。</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支持新能源汽车在环卫领域的应用，到2025年新增和更新的环卫专用车使用新能源汽车比例不低于50%，其中“三州一市”比例不低于30%。</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2、2022年11月，四川省发展和改革委员会等13个省级部门联合制定《四川省推进电动汽车充电基础设施建设工作方案》，明确到2025年，全省建成充电设施20万个，基本实现电动汽车充电站“县县全覆盖”、电动汽车充电桩“乡乡全覆盖”。</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方案指出以自贡、泸州、广元、遂宁、乐山、广安、达州为代表的充电基础设施快速发展地区，公（专）用充电设施与电动汽车比例不低于1：12，居住社区充电设施与私人电动汽车比例不低于1：10，城市核心区公共充电设施服务半径不大于2.5公里。</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方案要求全力搭建城际快速充电设施网络。</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（1）优先在成渝双城经济圈、出省通道、成都环线及放射线等已营运高速公路路段布局充电基础设施，2023年底覆盖率达到100%。</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（2）将新建高速公路服务区充电基础设施及配套专用停车位纳入服务区专项规划，与服务区一并设计，同步建设投运，充电设施车位比例不低于10%，其余停车位预留安装条件。</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（3）加快补齐普通国省干线公路、交通枢纽、旅游公路充电基础设施短板，2024年底主要经济干线充电基础设施覆盖率达50%，重要交通枢纽充电基础设施覆盖率达80%。</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方案要求优化布局城乡公共区域充电网络。</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在城市综合体、大型商场、商务楼宇、超市、宾馆、医院、文体场馆、旅游集散中心等人口集聚区的公共停车场充电设施停车位直流桩比例原则上不低于15%。根据公交、环卫、机场通勤、出租、物流等线路运营需求，优先利用存量停车场等土地资源，因地制宜在道路沿途合理规划配建专用充电设施，鼓励在确保安全运行的情况下对外开放。</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方案要求建设完善特殊区域内部充电网络。</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1）国有资产管理部门、机关事务管理部门牵头，推动党政机关、事业单位、国有企业从2022年起新建停车场设置专属新能源充电停车位原则上不低于20%。到2025年，既有停车场设置专属新能源充电停车位原则上不低于20%。</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（2）各类旅游景区、度假区、开发区、物流园区设置专属新能源充电停车位，到2025年，A级旅游景区、度假区、高新技术产业开发区、经济技术开发区、物流园区等公共停车场所直流桩配建率原则上不低于10%。</w:t>
      </w:r>
    </w:p>
    <w:p>
      <w:pPr>
        <w:pStyle w:val="2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3、2023年11月9日，四川省发展和改革委员会和四川省能源局印发《四川省加快推进充电基础设施建设支持新能源汽车下乡和乡村振兴工作方案》的通知（川发改办〔2023〕542号），到2025年，建成单桩功率原则上不小于60千瓦乡村公共充电桩2.2万个以上，其中城乡融合片区不低于1.5万个，农村片区不低于7000个，在适宜使用新能源汽车的地区实现电动汽车充电站“县县全覆盖”、电动汽车充电桩“乡乡全覆盖”、新能源汽车销售体验和维修服务网点“县县全覆盖”。</w:t>
      </w:r>
    </w:p>
    <w:p>
      <w:pPr>
        <w:pStyle w:val="22"/>
        <w:ind w:firstLine="482"/>
        <w:rPr>
          <w:rFonts w:hint="eastAsia"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以自贡、泸州、广元、遂宁、乐山、广安、达州为代表的充电基础设施快速发展地区，以攀枝花、内江、巴中、雅安为代表的充电基础设施积极发展地区，2024年实现县（市、区）快充站全覆盖，2025年所有乡镇公用充电桩全覆盖。城乡融合片区每个乡镇不少于8个，农村片区每个乡镇不少于4个（单桩功率根据当地实际适度调整）。</w:t>
      </w:r>
    </w:p>
    <w:p>
      <w:pPr>
        <w:pStyle w:val="22"/>
        <w:ind w:firstLine="562"/>
        <w:jc w:val="left"/>
        <w:rPr>
          <w:rStyle w:val="19"/>
          <w:rFonts w:hint="default"/>
          <w:color w:val="000000" w:themeColor="text1"/>
          <w:szCs w:val="22"/>
          <w:highlight w:val="none"/>
          <w:lang w:val="en-US" w:eastAsia="zh-CN"/>
          <w14:textFill>
            <w14:solidFill>
              <w14:schemeClr w14:val="tx1"/>
            </w14:solidFill>
          </w14:textFill>
        </w:rPr>
      </w:pPr>
      <w:bookmarkStart w:id="170" w:name="_Toc15993"/>
      <w:bookmarkStart w:id="171" w:name="_Toc16266"/>
      <w:r>
        <w:rPr>
          <w:rStyle w:val="19"/>
          <w:rFonts w:hint="eastAsia"/>
          <w:color w:val="000000" w:themeColor="text1"/>
          <w:szCs w:val="22"/>
          <w:highlight w:val="none"/>
          <w:lang w:val="en-US" w:eastAsia="zh-CN"/>
          <w14:textFill>
            <w14:solidFill>
              <w14:schemeClr w14:val="tx1"/>
            </w14:solidFill>
          </w14:textFill>
        </w:rPr>
        <w:t>（三）市级层面政策</w:t>
      </w:r>
    </w:p>
    <w:bookmarkEnd w:id="170"/>
    <w:bookmarkEnd w:id="171"/>
    <w:p>
      <w:pPr>
        <w:pStyle w:val="22"/>
        <w:ind w:firstLine="482"/>
        <w:rPr>
          <w:rFonts w:hint="default" w:ascii="宋体" w:hAnsi="宋体" w:cs="宋体"/>
          <w:b w:val="0"/>
          <w:bCs w:val="0"/>
          <w:strike w:val="0"/>
          <w:dstrike w:val="0"/>
          <w:color w:val="000000" w:themeColor="text1"/>
          <w:highlight w:val="none"/>
          <w:lang w:val="en-US" w:eastAsia="zh-CN"/>
          <w14:textFill>
            <w14:solidFill>
              <w14:schemeClr w14:val="tx1"/>
            </w14:solidFill>
          </w14:textFill>
        </w:rPr>
      </w:pP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近年来，乐山市先后发布</w:t>
      </w:r>
      <w:r>
        <w:rPr>
          <w:rFonts w:hint="eastAsia" w:ascii="宋体" w:hAnsi="宋体" w:cs="宋体"/>
          <w:b w:val="0"/>
          <w:bCs w:val="0"/>
          <w:strike w:val="0"/>
          <w:dstrike w:val="0"/>
          <w:color w:val="000000" w:themeColor="text1"/>
          <w:highlight w:val="none"/>
          <w:lang w:val="zh-CN" w:eastAsia="zh-CN"/>
          <w14:textFill>
            <w14:solidFill>
              <w14:schemeClr w14:val="tx1"/>
            </w14:solidFill>
          </w14:textFill>
        </w:rPr>
        <w:t>《乐山市贯彻落实“电动四川”行动计划（2022—2025年）责任分工方案》（乐府办发〔2022〕43号）、《乐山市机关事务管理局</w:t>
      </w: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 xml:space="preserve"> </w:t>
      </w:r>
      <w:r>
        <w:rPr>
          <w:rFonts w:hint="eastAsia" w:ascii="宋体" w:hAnsi="宋体" w:cs="宋体"/>
          <w:b w:val="0"/>
          <w:bCs w:val="0"/>
          <w:strike w:val="0"/>
          <w:dstrike w:val="0"/>
          <w:color w:val="000000" w:themeColor="text1"/>
          <w:highlight w:val="none"/>
          <w:lang w:val="zh-CN" w:eastAsia="zh-CN"/>
          <w14:textFill>
            <w14:solidFill>
              <w14:schemeClr w14:val="tx1"/>
            </w14:solidFill>
          </w14:textFill>
        </w:rPr>
        <w:t>乐山市发展和改革委员会关于推进全市公共机构充电基础设施建设的通知》（乐机管函〔2022〕153号）、</w:t>
      </w:r>
      <w:r>
        <w:rPr>
          <w:rFonts w:hint="default" w:ascii="宋体" w:hAnsi="宋体" w:cs="宋体"/>
          <w:b w:val="0"/>
          <w:bCs w:val="0"/>
          <w:strike w:val="0"/>
          <w:dstrike w:val="0"/>
          <w:color w:val="000000" w:themeColor="text1"/>
          <w:highlight w:val="none"/>
          <w:lang w:val="en-US" w:eastAsia="zh-CN"/>
          <w14:textFill>
            <w14:solidFill>
              <w14:schemeClr w14:val="tx1"/>
            </w14:solidFill>
          </w14:textFill>
        </w:rPr>
        <w:t>《乐山市电动汽车充（换）电基础设施推进工作方案》（乐</w:t>
      </w:r>
      <w:r>
        <w:rPr>
          <w:rFonts w:hint="eastAsia" w:ascii="宋体" w:hAnsi="宋体" w:cs="宋体"/>
          <w:b w:val="0"/>
          <w:bCs w:val="0"/>
          <w:strike w:val="0"/>
          <w:dstrike w:val="0"/>
          <w:color w:val="000000" w:themeColor="text1"/>
          <w:highlight w:val="none"/>
          <w:lang w:val="zh-CN" w:eastAsia="zh-CN"/>
          <w14:textFill>
            <w14:solidFill>
              <w14:schemeClr w14:val="tx1"/>
            </w14:solidFill>
          </w14:textFill>
        </w:rPr>
        <w:t>府</w:t>
      </w:r>
      <w:r>
        <w:rPr>
          <w:rFonts w:hint="default" w:ascii="宋体" w:hAnsi="宋体" w:cs="宋体"/>
          <w:b w:val="0"/>
          <w:bCs w:val="0"/>
          <w:strike w:val="0"/>
          <w:dstrike w:val="0"/>
          <w:color w:val="000000" w:themeColor="text1"/>
          <w:highlight w:val="none"/>
          <w:lang w:val="en-US" w:eastAsia="zh-CN"/>
          <w14:textFill>
            <w14:solidFill>
              <w14:schemeClr w14:val="tx1"/>
            </w14:solidFill>
          </w14:textFill>
        </w:rPr>
        <w:t>办函〔2023〕19号）</w:t>
      </w:r>
      <w:r>
        <w:rPr>
          <w:rFonts w:hint="eastAsia" w:ascii="宋体" w:hAnsi="宋体" w:cs="宋体"/>
          <w:b w:val="0"/>
          <w:bCs w:val="0"/>
          <w:strike w:val="0"/>
          <w:dstrike w:val="0"/>
          <w:color w:val="000000" w:themeColor="text1"/>
          <w:highlight w:val="none"/>
          <w:lang w:val="en-US" w:eastAsia="zh-CN"/>
          <w14:textFill>
            <w14:solidFill>
              <w14:schemeClr w14:val="tx1"/>
            </w14:solidFill>
          </w14:textFill>
        </w:rPr>
        <w:t>，归纳要求如下：</w:t>
      </w:r>
    </w:p>
    <w:tbl>
      <w:tblPr>
        <w:tblStyle w:val="10"/>
        <w:tblW w:w="88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84"/>
        <w:gridCol w:w="2622"/>
        <w:gridCol w:w="5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8" w:hRule="atLeast"/>
          <w:jc w:val="center"/>
        </w:trPr>
        <w:tc>
          <w:tcPr>
            <w:tcW w:w="784"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类别</w:t>
            </w: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场所性质</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配置标准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95" w:hRule="atLeast"/>
          <w:jc w:val="center"/>
        </w:trPr>
        <w:tc>
          <w:tcPr>
            <w:tcW w:w="784" w:type="dxa"/>
            <w:vMerge w:val="restart"/>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城际快速充换电设施网络</w:t>
            </w: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高速公路</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配合制定实施高速公路快充网络分阶段覆盖方案，在既有高速公路服务区建设充换电基础设施，在新建高速公路服务区同步建设充换电基础设施。力争到2025年，高速公路服务区快充站（换电站）覆盖率不低于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0" w:hRule="atLeast"/>
          <w:jc w:val="center"/>
        </w:trPr>
        <w:tc>
          <w:tcPr>
            <w:tcW w:w="784" w:type="dxa"/>
            <w:vMerge w:val="continue"/>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普通国省干线</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加快补齐普通国省干线公路服务区充电设施短板，与沿线其他充电基础设施资源互为补充，助力发展普通国省干线公路服务设施充电网络。优先提高全市重要经济干线和旅游公路服务设施充电桩覆盖率。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5" w:hRule="atLeast"/>
          <w:jc w:val="center"/>
        </w:trPr>
        <w:tc>
          <w:tcPr>
            <w:tcW w:w="784" w:type="dxa"/>
            <w:vMerge w:val="restart"/>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城区公共区域充换电设施</w:t>
            </w: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党政机关、事业单位、国有企业停车场</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从2022年起，新建停车场设置专属新能源充电停车位原则上不低于20%。到2025年，既有停车场设置专属新能源充电停车位原则上不低于20%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8" w:hRule="atLeast"/>
          <w:jc w:val="center"/>
        </w:trPr>
        <w:tc>
          <w:tcPr>
            <w:tcW w:w="784" w:type="dxa"/>
            <w:vMerge w:val="continue"/>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大型商场、超市、文体场馆等公共停车场</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专属新能源充电停车位原则上不低于15%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784" w:type="dxa"/>
            <w:vMerge w:val="continue"/>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A级旅游景区、度假区</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新能源充电停车位原则上不低于10%。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784" w:type="dxa"/>
            <w:vMerge w:val="continue"/>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top w:w="72" w:type="dxa"/>
              <w:left w:w="144" w:type="dxa"/>
              <w:bottom w:w="72" w:type="dxa"/>
              <w:right w:w="144" w:type="dxa"/>
            </w:tcMar>
            <w:vAlign w:val="top"/>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公交、出租、环卫、机场通勤、物流等公共服务区域及二级以上客运站</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top w:w="72" w:type="dxa"/>
              <w:left w:w="144" w:type="dxa"/>
              <w:bottom w:w="72" w:type="dxa"/>
              <w:right w:w="144" w:type="dxa"/>
            </w:tcMar>
            <w:vAlign w:val="top"/>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因地制宜在运营线路沿途规划建设快速充</w:t>
            </w:r>
            <w:r>
              <w:rPr>
                <w:rFonts w:hint="eastAsia" w:ascii="楷体_GB2312" w:hAnsi="宋体" w:eastAsia="楷体_GB2312" w:cs="Times New Roman"/>
                <w:color w:val="000000" w:themeColor="text1"/>
                <w:highlight w:val="none"/>
                <w:lang w:eastAsia="zh-CN"/>
                <w14:textFill>
                  <w14:solidFill>
                    <w14:schemeClr w14:val="tx1"/>
                  </w14:solidFill>
                </w14:textFill>
              </w:rPr>
              <w:t>（</w:t>
            </w:r>
            <w:r>
              <w:rPr>
                <w:rFonts w:hint="eastAsia" w:ascii="楷体_GB2312" w:hAnsi="宋体" w:eastAsia="楷体_GB2312" w:cs="Times New Roman"/>
                <w:color w:val="000000" w:themeColor="text1"/>
                <w:highlight w:val="none"/>
                <w14:textFill>
                  <w14:solidFill>
                    <w14:schemeClr w14:val="tx1"/>
                  </w14:solidFill>
                </w14:textFill>
              </w:rPr>
              <w:t>换</w:t>
            </w:r>
            <w:r>
              <w:rPr>
                <w:rFonts w:hint="eastAsia" w:ascii="楷体_GB2312" w:hAnsi="宋体" w:eastAsia="楷体_GB2312" w:cs="Times New Roman"/>
                <w:color w:val="000000" w:themeColor="text1"/>
                <w:highlight w:val="none"/>
                <w:lang w:eastAsia="zh-CN"/>
                <w14:textFill>
                  <w14:solidFill>
                    <w14:schemeClr w14:val="tx1"/>
                  </w14:solidFill>
                </w14:textFill>
              </w:rPr>
              <w:t>）</w:t>
            </w:r>
            <w:r>
              <w:rPr>
                <w:rFonts w:hint="eastAsia" w:ascii="楷体_GB2312" w:hAnsi="宋体" w:eastAsia="楷体_GB2312" w:cs="Times New Roman"/>
                <w:color w:val="000000" w:themeColor="text1"/>
                <w:highlight w:val="none"/>
                <w14:textFill>
                  <w14:solidFill>
                    <w14:schemeClr w14:val="tx1"/>
                  </w14:solidFill>
                </w14:textFill>
              </w:rPr>
              <w:t>电站，构建车辆可持续运行模式。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2" w:hRule="atLeast"/>
          <w:jc w:val="center"/>
        </w:trPr>
        <w:tc>
          <w:tcPr>
            <w:tcW w:w="784" w:type="dxa"/>
            <w:vMerge w:val="restart"/>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居住社区充电基础设施</w:t>
            </w: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居住社区</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推进既有居住社区充电桩建设，将充电桩建设纳入老旧社区改造范围，对居民有改造意愿且有条件的老旧社区进行集中配建，其他社区可采取片区式、相对集中、就近建设等方式配建公共充电设施。</w:t>
            </w:r>
          </w:p>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新建居住社区固定车位充电桩比例原则上不低于15%。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2" w:hRule="atLeast"/>
          <w:jc w:val="center"/>
        </w:trPr>
        <w:tc>
          <w:tcPr>
            <w:tcW w:w="784" w:type="dxa"/>
            <w:vMerge w:val="continue"/>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p>
        </w:tc>
        <w:tc>
          <w:tcPr>
            <w:tcW w:w="2622"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center"/>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居民住宅小区</w:t>
            </w:r>
          </w:p>
        </w:tc>
        <w:tc>
          <w:tcPr>
            <w:tcW w:w="5476" w:type="dxa"/>
            <w:tcBorders>
              <w:top w:val="single" w:color="0C0C0C" w:sz="6" w:space="0"/>
              <w:left w:val="single" w:color="0C0C0C" w:sz="6" w:space="0"/>
              <w:bottom w:val="single" w:color="0C0C0C" w:sz="6" w:space="0"/>
              <w:right w:val="single" w:color="0C0C0C" w:sz="6" w:space="0"/>
            </w:tcBorders>
            <w:shd w:val="clear" w:color="auto" w:fill="auto"/>
            <w:tcMar>
              <w:left w:w="108" w:type="dxa"/>
              <w:right w:w="108" w:type="dxa"/>
            </w:tcMar>
            <w:vAlign w:val="center"/>
          </w:tcPr>
          <w:p>
            <w:pPr>
              <w:spacing w:line="360" w:lineRule="exact"/>
              <w:jc w:val="left"/>
              <w:rPr>
                <w:rFonts w:hint="eastAsia" w:ascii="楷体_GB2312" w:hAnsi="宋体" w:eastAsia="楷体_GB2312" w:cs="Times New Roman"/>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14:textFill>
                  <w14:solidFill>
                    <w14:schemeClr w14:val="tx1"/>
                  </w14:solidFill>
                </w14:textFill>
              </w:rPr>
              <w:t>新建居民住宅小区电动汽车充换电设施配建按总车位数（含产权车位、人防车位）15%直接建设和100%预留。</w:t>
            </w:r>
          </w:p>
        </w:tc>
      </w:tr>
    </w:tbl>
    <w:p>
      <w:pPr>
        <w:widowControl/>
        <w:jc w:val="center"/>
        <w:textAlignment w:val="center"/>
        <w:rPr>
          <w:rFonts w:hint="eastAsia" w:ascii="宋体" w:hAnsi="宋体" w:cs="宋体"/>
          <w:b/>
          <w:bCs/>
          <w:strike/>
          <w:dstrike w:val="0"/>
          <w:color w:val="000000" w:themeColor="text1"/>
          <w:highlight w:val="none"/>
          <w:lang w:val="en-US" w:eastAsia="zh-CN"/>
          <w14:textFill>
            <w14:solidFill>
              <w14:schemeClr w14:val="tx1"/>
            </w14:solidFill>
          </w14:textFill>
        </w:rPr>
      </w:pPr>
    </w:p>
    <w:p>
      <w:pPr>
        <w:pStyle w:val="21"/>
        <w:rPr>
          <w:rFonts w:hint="default" w:eastAsia="黑体"/>
          <w:color w:val="000000" w:themeColor="text1"/>
          <w:highlight w:val="none"/>
          <w:lang w:val="en-US" w:eastAsia="zh-CN"/>
          <w14:textFill>
            <w14:solidFill>
              <w14:schemeClr w14:val="tx1"/>
            </w14:solidFill>
          </w14:textFill>
        </w:rPr>
      </w:pPr>
      <w:bookmarkStart w:id="172" w:name="_Toc2924"/>
      <w:bookmarkStart w:id="173" w:name="_Toc29566"/>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"_Toc7253"</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第二节 </w:t>
      </w:r>
      <w:r>
        <w:rPr>
          <w:rFonts w:hint="eastAsia"/>
          <w:color w:val="000000" w:themeColor="text1"/>
          <w:highlight w:val="none"/>
          <w:lang w:val="en-US" w:eastAsia="zh-CN"/>
          <w14:textFill>
            <w14:solidFill>
              <w14:schemeClr w14:val="tx1"/>
            </w14:solidFill>
          </w14:textFill>
        </w:rPr>
        <w:t>汽车</w:t>
      </w:r>
      <w:r>
        <w:rPr>
          <w:rFonts w:hint="eastAsia"/>
          <w:color w:val="000000" w:themeColor="text1"/>
          <w:highlight w:val="none"/>
          <w14:textFill>
            <w14:solidFill>
              <w14:schemeClr w14:val="tx1"/>
            </w14:solidFill>
          </w14:textFill>
        </w:rPr>
        <w:fldChar w:fldCharType="end"/>
      </w:r>
      <w:bookmarkEnd w:id="156"/>
      <w:bookmarkEnd w:id="157"/>
      <w:bookmarkEnd w:id="158"/>
      <w:bookmarkEnd w:id="159"/>
      <w:bookmarkEnd w:id="160"/>
      <w:r>
        <w:rPr>
          <w:rFonts w:hint="eastAsia"/>
          <w:color w:val="000000" w:themeColor="text1"/>
          <w:highlight w:val="none"/>
          <w:lang w:val="en-US" w:eastAsia="zh-CN"/>
          <w14:textFill>
            <w14:solidFill>
              <w14:schemeClr w14:val="tx1"/>
            </w14:solidFill>
          </w14:textFill>
        </w:rPr>
        <w:t>与电动汽车现状</w:t>
      </w:r>
      <w:bookmarkEnd w:id="172"/>
      <w:bookmarkEnd w:id="173"/>
    </w:p>
    <w:p>
      <w:pPr>
        <w:pStyle w:val="22"/>
        <w:ind w:firstLine="482"/>
        <w:rPr>
          <w:rFonts w:hint="eastAsia" w:ascii="宋体" w:hAnsi="宋体" w:cs="宋体"/>
          <w:b w:val="0"/>
          <w:bCs w:val="0"/>
          <w:color w:val="000000" w:themeColor="text1"/>
          <w:highlight w:val="none"/>
          <w:lang w:val="zh-CN"/>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1、</w:t>
      </w:r>
      <w:r>
        <w:rPr>
          <w:rFonts w:hint="eastAsia" w:ascii="宋体" w:hAnsi="宋体" w:cs="宋体"/>
          <w:b/>
          <w:bCs/>
          <w:color w:val="000000" w:themeColor="text1"/>
          <w:highlight w:val="none"/>
          <w:lang w:val="zh-CN"/>
          <w14:textFill>
            <w14:solidFill>
              <w14:schemeClr w14:val="tx1"/>
            </w14:solidFill>
          </w14:textFill>
        </w:rPr>
        <w:t>汽</w:t>
      </w:r>
      <w:r>
        <w:rPr>
          <w:rFonts w:hint="eastAsia" w:ascii="宋体" w:hAnsi="宋体" w:cs="宋体"/>
          <w:b/>
          <w:bCs/>
          <w:color w:val="000000" w:themeColor="text1"/>
          <w:highlight w:val="none"/>
          <w14:textFill>
            <w14:solidFill>
              <w14:schemeClr w14:val="tx1"/>
            </w14:solidFill>
          </w14:textFill>
        </w:rPr>
        <w:t>车保有量。</w:t>
      </w:r>
      <w:r>
        <w:rPr>
          <w:rFonts w:hint="eastAsia" w:ascii="宋体" w:hAnsi="宋体" w:cs="宋体"/>
          <w:b w:val="0"/>
          <w:bCs w:val="0"/>
          <w:color w:val="000000" w:themeColor="text1"/>
          <w:highlight w:val="none"/>
          <w:lang w:val="zh-CN"/>
          <w14:textFill>
            <w14:solidFill>
              <w14:schemeClr w14:val="tx1"/>
            </w14:solidFill>
          </w14:textFill>
        </w:rPr>
        <w:t>201</w:t>
      </w:r>
      <w:r>
        <w:rPr>
          <w:rFonts w:hint="eastAsia" w:ascii="宋体" w:hAnsi="宋体" w:cs="宋体"/>
          <w:b w:val="0"/>
          <w:bCs w:val="0"/>
          <w:color w:val="000000" w:themeColor="text1"/>
          <w:highlight w:val="none"/>
          <w:lang w:val="zh-CN" w:eastAsia="zh-CN"/>
          <w14:textFill>
            <w14:solidFill>
              <w14:schemeClr w14:val="tx1"/>
            </w14:solidFill>
          </w14:textFill>
        </w:rPr>
        <w:t>6</w:t>
      </w:r>
      <w:r>
        <w:rPr>
          <w:rFonts w:hint="eastAsia" w:ascii="宋体" w:hAnsi="宋体" w:cs="宋体"/>
          <w:b w:val="0"/>
          <w:bCs w:val="0"/>
          <w:color w:val="000000" w:themeColor="text1"/>
          <w:highlight w:val="none"/>
          <w:lang w:val="zh-CN"/>
          <w14:textFill>
            <w14:solidFill>
              <w14:schemeClr w14:val="tx1"/>
            </w14:solidFill>
          </w14:textFill>
        </w:rPr>
        <w:t>—202</w:t>
      </w:r>
      <w:r>
        <w:rPr>
          <w:rFonts w:hint="eastAsia" w:ascii="宋体" w:hAnsi="宋体" w:cs="宋体"/>
          <w:b w:val="0"/>
          <w:bCs w:val="0"/>
          <w:color w:val="000000" w:themeColor="text1"/>
          <w:highlight w:val="none"/>
          <w:lang w:val="en-US" w:eastAsia="zh-CN"/>
          <w14:textFill>
            <w14:solidFill>
              <w14:schemeClr w14:val="tx1"/>
            </w14:solidFill>
          </w14:textFill>
        </w:rPr>
        <w:t>4</w:t>
      </w:r>
      <w:r>
        <w:rPr>
          <w:rFonts w:hint="eastAsia" w:ascii="宋体" w:hAnsi="宋体" w:cs="宋体"/>
          <w:b w:val="0"/>
          <w:bCs w:val="0"/>
          <w:color w:val="000000" w:themeColor="text1"/>
          <w:highlight w:val="none"/>
          <w:lang w:val="zh-CN"/>
          <w14:textFill>
            <w14:solidFill>
              <w14:schemeClr w14:val="tx1"/>
            </w14:solidFill>
          </w14:textFill>
        </w:rPr>
        <w:t>年，乐山市汽车保有量</w:t>
      </w:r>
      <w:r>
        <w:rPr>
          <w:rFonts w:hint="eastAsia" w:ascii="宋体" w:hAnsi="宋体" w:cs="宋体"/>
          <w:b w:val="0"/>
          <w:bCs w:val="0"/>
          <w:color w:val="000000" w:themeColor="text1"/>
          <w:highlight w:val="none"/>
          <w:lang w:val="en-US" w:eastAsia="zh-CN"/>
          <w14:textFill>
            <w14:solidFill>
              <w14:schemeClr w14:val="tx1"/>
            </w14:solidFill>
          </w14:textFill>
        </w:rPr>
        <w:t>年</w:t>
      </w:r>
      <w:r>
        <w:rPr>
          <w:rFonts w:hint="eastAsia" w:ascii="宋体" w:hAnsi="宋体" w:cs="宋体"/>
          <w:b w:val="0"/>
          <w:bCs w:val="0"/>
          <w:color w:val="000000" w:themeColor="text1"/>
          <w:highlight w:val="none"/>
          <w:lang w:val="zh-CN"/>
          <w14:textFill>
            <w14:solidFill>
              <w14:schemeClr w14:val="tx1"/>
            </w14:solidFill>
          </w14:textFill>
        </w:rPr>
        <w:t>平均增速</w:t>
      </w:r>
      <w:r>
        <w:rPr>
          <w:rFonts w:hint="eastAsia" w:ascii="宋体" w:hAnsi="宋体" w:cs="宋体"/>
          <w:b w:val="0"/>
          <w:bCs w:val="0"/>
          <w:color w:val="000000" w:themeColor="text1"/>
          <w:highlight w:val="none"/>
          <w:lang w:val="en-US" w:eastAsia="zh-CN"/>
          <w14:textFill>
            <w14:solidFill>
              <w14:schemeClr w14:val="tx1"/>
            </w14:solidFill>
          </w14:textFill>
        </w:rPr>
        <w:t>为10.51</w:t>
      </w:r>
      <w:r>
        <w:rPr>
          <w:rFonts w:hint="eastAsia" w:ascii="宋体" w:hAnsi="宋体" w:cs="宋体"/>
          <w:b w:val="0"/>
          <w:bCs w:val="0"/>
          <w:color w:val="000000" w:themeColor="text1"/>
          <w:highlight w:val="none"/>
          <w:lang w:val="zh-CN"/>
          <w14:textFill>
            <w14:solidFill>
              <w14:schemeClr w14:val="tx1"/>
            </w14:solidFill>
          </w14:textFill>
        </w:rPr>
        <w:t>%</w:t>
      </w:r>
      <w:r>
        <w:rPr>
          <w:rFonts w:hint="eastAsia" w:ascii="宋体" w:hAnsi="宋体" w:cs="宋体"/>
          <w:b w:val="0"/>
          <w:bCs w:val="0"/>
          <w:color w:val="000000" w:themeColor="text1"/>
          <w:highlight w:val="none"/>
          <w:lang w:val="zh-CN" w:eastAsia="zh-CN"/>
          <w14:textFill>
            <w14:solidFill>
              <w14:schemeClr w14:val="tx1"/>
            </w14:solidFill>
          </w14:textFill>
        </w:rPr>
        <w:t>，</w:t>
      </w:r>
      <w:r>
        <w:rPr>
          <w:rFonts w:hint="eastAsia" w:ascii="宋体" w:hAnsi="宋体" w:cs="宋体"/>
          <w:b w:val="0"/>
          <w:bCs w:val="0"/>
          <w:color w:val="000000" w:themeColor="text1"/>
          <w:highlight w:val="none"/>
          <w:lang w:val="zh-CN"/>
          <w14:textFill>
            <w14:solidFill>
              <w14:schemeClr w14:val="tx1"/>
            </w14:solidFill>
          </w14:textFill>
        </w:rPr>
        <w:t>平均年增长量超过</w:t>
      </w:r>
      <w:r>
        <w:rPr>
          <w:rFonts w:hint="eastAsia" w:ascii="宋体" w:hAnsi="宋体" w:cs="宋体"/>
          <w:b w:val="0"/>
          <w:bCs w:val="0"/>
          <w:color w:val="000000" w:themeColor="text1"/>
          <w:highlight w:val="none"/>
          <w:lang w:val="zh-CN" w:eastAsia="zh-CN"/>
          <w14:textFill>
            <w14:solidFill>
              <w14:schemeClr w14:val="tx1"/>
            </w14:solidFill>
          </w14:textFill>
        </w:rPr>
        <w:t>4</w:t>
      </w:r>
      <w:r>
        <w:rPr>
          <w:rFonts w:hint="eastAsia" w:ascii="宋体" w:hAnsi="宋体" w:cs="宋体"/>
          <w:b w:val="0"/>
          <w:bCs w:val="0"/>
          <w:color w:val="000000" w:themeColor="text1"/>
          <w:highlight w:val="none"/>
          <w:lang w:val="zh-CN"/>
          <w14:textFill>
            <w14:solidFill>
              <w14:schemeClr w14:val="tx1"/>
            </w14:solidFill>
          </w14:textFill>
        </w:rPr>
        <w:t>万辆。</w:t>
      </w:r>
    </w:p>
    <w:p>
      <w:pPr>
        <w:pStyle w:val="22"/>
        <w:ind w:firstLine="482"/>
        <w:rPr>
          <w:rFonts w:hint="eastAsia" w:ascii="宋体" w:hAnsi="宋体" w:cs="宋体"/>
          <w:b w:val="0"/>
          <w:bCs w:val="0"/>
          <w:color w:val="000000" w:themeColor="text1"/>
          <w:highlight w:val="none"/>
          <w:lang w:val="zh-CN"/>
          <w14:textFill>
            <w14:solidFill>
              <w14:schemeClr w14:val="tx1"/>
            </w14:solidFill>
          </w14:textFill>
        </w:rPr>
      </w:pPr>
      <w:r>
        <w:rPr>
          <w:rFonts w:hint="eastAsia" w:ascii="宋体" w:hAnsi="宋体" w:cs="宋体"/>
          <w:b w:val="0"/>
          <w:bCs w:val="0"/>
          <w:color w:val="000000" w:themeColor="text1"/>
          <w:highlight w:val="none"/>
          <w:lang w:val="en-US" w:eastAsia="zh-CN"/>
          <w14:textFill>
            <w14:solidFill>
              <w14:schemeClr w14:val="tx1"/>
            </w14:solidFill>
          </w14:textFill>
        </w:rPr>
        <w:t>近年来，</w:t>
      </w:r>
      <w:r>
        <w:rPr>
          <w:rFonts w:hint="eastAsia" w:ascii="宋体" w:hAnsi="宋体" w:cs="宋体"/>
          <w:b w:val="0"/>
          <w:bCs w:val="0"/>
          <w:color w:val="000000" w:themeColor="text1"/>
          <w:highlight w:val="none"/>
          <w:lang w:val="zh-CN"/>
          <w14:textFill>
            <w14:solidFill>
              <w14:schemeClr w14:val="tx1"/>
            </w14:solidFill>
          </w14:textFill>
        </w:rPr>
        <w:t>汽车保有量增长速度逐步放缓，增长率</w:t>
      </w:r>
      <w:r>
        <w:rPr>
          <w:rFonts w:hint="eastAsia" w:ascii="宋体" w:hAnsi="宋体" w:cs="宋体"/>
          <w:b w:val="0"/>
          <w:bCs w:val="0"/>
          <w:color w:val="000000" w:themeColor="text1"/>
          <w:highlight w:val="none"/>
          <w:lang w:val="en-US" w:eastAsia="zh-CN"/>
          <w14:textFill>
            <w14:solidFill>
              <w14:schemeClr w14:val="tx1"/>
            </w14:solidFill>
          </w14:textFill>
        </w:rPr>
        <w:t>由2016年的18.51%</w:t>
      </w:r>
      <w:r>
        <w:rPr>
          <w:rFonts w:hint="eastAsia" w:ascii="宋体" w:hAnsi="宋体" w:cs="宋体"/>
          <w:b w:val="0"/>
          <w:bCs w:val="0"/>
          <w:color w:val="000000" w:themeColor="text1"/>
          <w:highlight w:val="none"/>
          <w:lang w:val="zh-CN"/>
          <w14:textFill>
            <w14:solidFill>
              <w14:schemeClr w14:val="tx1"/>
            </w14:solidFill>
          </w14:textFill>
        </w:rPr>
        <w:t>降低至202</w:t>
      </w:r>
      <w:r>
        <w:rPr>
          <w:rFonts w:hint="eastAsia" w:ascii="宋体" w:hAnsi="宋体" w:cs="宋体"/>
          <w:b w:val="0"/>
          <w:bCs w:val="0"/>
          <w:color w:val="000000" w:themeColor="text1"/>
          <w:highlight w:val="none"/>
          <w:lang w:val="en-US" w:eastAsia="zh-CN"/>
          <w14:textFill>
            <w14:solidFill>
              <w14:schemeClr w14:val="tx1"/>
            </w14:solidFill>
          </w14:textFill>
        </w:rPr>
        <w:t>4</w:t>
      </w:r>
      <w:r>
        <w:rPr>
          <w:rFonts w:hint="eastAsia" w:ascii="宋体" w:hAnsi="宋体" w:cs="宋体"/>
          <w:b w:val="0"/>
          <w:bCs w:val="0"/>
          <w:color w:val="000000" w:themeColor="text1"/>
          <w:highlight w:val="none"/>
          <w:lang w:val="zh-CN"/>
          <w14:textFill>
            <w14:solidFill>
              <w14:schemeClr w14:val="tx1"/>
            </w14:solidFill>
          </w14:textFill>
        </w:rPr>
        <w:t>年</w:t>
      </w:r>
      <w:r>
        <w:rPr>
          <w:rFonts w:hint="eastAsia" w:ascii="宋体" w:hAnsi="宋体" w:cs="宋体"/>
          <w:b w:val="0"/>
          <w:bCs w:val="0"/>
          <w:color w:val="000000" w:themeColor="text1"/>
          <w:highlight w:val="none"/>
          <w:lang w:val="en-US" w:eastAsia="zh-CN"/>
          <w14:textFill>
            <w14:solidFill>
              <w14:schemeClr w14:val="tx1"/>
            </w14:solidFill>
          </w14:textFill>
        </w:rPr>
        <w:t>的5.72</w:t>
      </w:r>
      <w:r>
        <w:rPr>
          <w:rFonts w:hint="eastAsia" w:ascii="宋体" w:hAnsi="宋体" w:cs="宋体"/>
          <w:b w:val="0"/>
          <w:bCs w:val="0"/>
          <w:color w:val="000000" w:themeColor="text1"/>
          <w:highlight w:val="none"/>
          <w:lang w:val="zh-CN"/>
          <w14:textFill>
            <w14:solidFill>
              <w14:schemeClr w14:val="tx1"/>
            </w14:solidFill>
          </w14:textFill>
        </w:rPr>
        <w:t>%</w:t>
      </w:r>
      <w:r>
        <w:rPr>
          <w:rFonts w:hint="eastAsia" w:ascii="宋体" w:hAnsi="宋体" w:cs="宋体"/>
          <w:b w:val="0"/>
          <w:bCs w:val="0"/>
          <w:color w:val="000000" w:themeColor="text1"/>
          <w:highlight w:val="none"/>
          <w:lang w:val="en-US" w:eastAsia="zh-CN"/>
          <w14:textFill>
            <w14:solidFill>
              <w14:schemeClr w14:val="tx1"/>
            </w14:solidFill>
          </w14:textFill>
        </w:rPr>
        <w:t>。</w:t>
      </w:r>
      <w:r>
        <w:rPr>
          <w:rFonts w:hint="eastAsia" w:ascii="宋体" w:hAnsi="宋体" w:cs="宋体"/>
          <w:b w:val="0"/>
          <w:bCs w:val="0"/>
          <w:color w:val="000000" w:themeColor="text1"/>
          <w:highlight w:val="none"/>
          <w:lang w:val="zh-CN"/>
          <w14:textFill>
            <w14:solidFill>
              <w14:schemeClr w14:val="tx1"/>
            </w14:solidFill>
          </w14:textFill>
        </w:rPr>
        <w:t>截</w:t>
      </w:r>
      <w:r>
        <w:rPr>
          <w:rFonts w:hint="eastAsia" w:ascii="宋体" w:hAnsi="宋体" w:cs="宋体"/>
          <w:b w:val="0"/>
          <w:bCs w:val="0"/>
          <w:color w:val="000000" w:themeColor="text1"/>
          <w:highlight w:val="none"/>
          <w:lang w:val="en-US" w:eastAsia="zh-CN"/>
          <w14:textFill>
            <w14:solidFill>
              <w14:schemeClr w14:val="tx1"/>
            </w14:solidFill>
          </w14:textFill>
        </w:rPr>
        <w:t>至</w:t>
      </w:r>
      <w:r>
        <w:rPr>
          <w:rFonts w:hint="eastAsia" w:ascii="宋体" w:hAnsi="宋体" w:cs="宋体"/>
          <w:b w:val="0"/>
          <w:bCs w:val="0"/>
          <w:color w:val="000000" w:themeColor="text1"/>
          <w:highlight w:val="none"/>
          <w:lang w:val="zh-CN"/>
          <w14:textFill>
            <w14:solidFill>
              <w14:schemeClr w14:val="tx1"/>
            </w14:solidFill>
          </w14:textFill>
        </w:rPr>
        <w:t>202</w:t>
      </w:r>
      <w:r>
        <w:rPr>
          <w:rFonts w:hint="eastAsia" w:ascii="宋体" w:hAnsi="宋体" w:cs="宋体"/>
          <w:b w:val="0"/>
          <w:bCs w:val="0"/>
          <w:color w:val="000000" w:themeColor="text1"/>
          <w:highlight w:val="none"/>
          <w:lang w:val="en-US" w:eastAsia="zh-CN"/>
          <w14:textFill>
            <w14:solidFill>
              <w14:schemeClr w14:val="tx1"/>
            </w14:solidFill>
          </w14:textFill>
        </w:rPr>
        <w:t>4</w:t>
      </w:r>
      <w:r>
        <w:rPr>
          <w:rFonts w:hint="eastAsia" w:ascii="宋体" w:hAnsi="宋体" w:cs="宋体"/>
          <w:b w:val="0"/>
          <w:bCs w:val="0"/>
          <w:color w:val="000000" w:themeColor="text1"/>
          <w:highlight w:val="none"/>
          <w:lang w:val="zh-CN"/>
          <w14:textFill>
            <w14:solidFill>
              <w14:schemeClr w14:val="tx1"/>
            </w14:solidFill>
          </w14:textFill>
        </w:rPr>
        <w:t>年底，乐山市民用汽车保有量为</w:t>
      </w:r>
      <w:r>
        <w:rPr>
          <w:rFonts w:hint="eastAsia" w:ascii="宋体" w:hAnsi="宋体" w:cs="宋体"/>
          <w:b w:val="0"/>
          <w:bCs w:val="0"/>
          <w:color w:val="000000" w:themeColor="text1"/>
          <w:highlight w:val="none"/>
          <w:lang w:val="en-US" w:eastAsia="zh-CN"/>
          <w14:textFill>
            <w14:solidFill>
              <w14:schemeClr w14:val="tx1"/>
            </w14:solidFill>
          </w14:textFill>
        </w:rPr>
        <w:t>62.8</w:t>
      </w:r>
      <w:r>
        <w:rPr>
          <w:rFonts w:hint="eastAsia" w:ascii="宋体" w:hAnsi="宋体" w:cs="宋体"/>
          <w:b w:val="0"/>
          <w:bCs w:val="0"/>
          <w:color w:val="000000" w:themeColor="text1"/>
          <w:highlight w:val="none"/>
          <w:lang w:val="zh-CN"/>
          <w14:textFill>
            <w14:solidFill>
              <w14:schemeClr w14:val="tx1"/>
            </w14:solidFill>
          </w14:textFill>
        </w:rPr>
        <w:t>万辆。</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54040" cy="3796030"/>
            <wp:effectExtent l="0" t="0" r="3810" b="13970"/>
            <wp:docPr id="1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22"/>
        <w:ind w:firstLine="480"/>
        <w:jc w:val="left"/>
        <w:rPr>
          <w:rFonts w:hint="default"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2、电动</w:t>
      </w:r>
      <w:r>
        <w:rPr>
          <w:rFonts w:hint="eastAsia" w:ascii="宋体" w:hAnsi="宋体" w:cs="宋体"/>
          <w:b/>
          <w:bCs/>
          <w:color w:val="000000" w:themeColor="text1"/>
          <w:highlight w:val="none"/>
          <w:lang w:val="zh-CN"/>
          <w14:textFill>
            <w14:solidFill>
              <w14:schemeClr w14:val="tx1"/>
            </w14:solidFill>
          </w14:textFill>
        </w:rPr>
        <w:t>汽</w:t>
      </w:r>
      <w:r>
        <w:rPr>
          <w:rFonts w:hint="eastAsia" w:ascii="宋体" w:hAnsi="宋体" w:cs="宋体"/>
          <w:b/>
          <w:bCs/>
          <w:color w:val="000000" w:themeColor="text1"/>
          <w:highlight w:val="none"/>
          <w14:textFill>
            <w14:solidFill>
              <w14:schemeClr w14:val="tx1"/>
            </w14:solidFill>
          </w14:textFill>
        </w:rPr>
        <w:t>车保有量。</w:t>
      </w:r>
      <w:r>
        <w:rPr>
          <w:rFonts w:hint="eastAsia" w:ascii="宋体" w:hAnsi="宋体" w:cs="宋体"/>
          <w:b w:val="0"/>
          <w:bCs w:val="0"/>
          <w:color w:val="000000" w:themeColor="text1"/>
          <w:highlight w:val="none"/>
          <w:lang w:val="zh-CN"/>
          <w14:textFill>
            <w14:solidFill>
              <w14:schemeClr w14:val="tx1"/>
            </w14:solidFill>
          </w14:textFill>
        </w:rPr>
        <w:t>截</w:t>
      </w:r>
      <w:r>
        <w:rPr>
          <w:rFonts w:hint="eastAsia" w:ascii="宋体" w:hAnsi="宋体" w:cs="宋体"/>
          <w:color w:val="000000" w:themeColor="text1"/>
          <w:highlight w:val="none"/>
          <w:lang w:val="zh-CN"/>
          <w14:textFill>
            <w14:solidFill>
              <w14:schemeClr w14:val="tx1"/>
            </w14:solidFill>
          </w14:textFill>
        </w:rPr>
        <w:t>至2024年底，全市电动汽车总量已达34884辆，占汽车保有量的比例提升至5.56%。</w:t>
      </w:r>
      <w:r>
        <w:rPr>
          <w:rFonts w:hint="eastAsia" w:ascii="宋体" w:hAnsi="宋体" w:eastAsia="宋体" w:cs="宋体"/>
          <w:color w:val="000000" w:themeColor="text1"/>
          <w:sz w:val="24"/>
          <w:szCs w:val="32"/>
          <w:highlight w:val="none"/>
          <w:lang w:val="en-US" w:eastAsia="zh-CN"/>
          <w14:textFill>
            <w14:solidFill>
              <w14:schemeClr w14:val="tx1"/>
            </w14:solidFill>
          </w14:textFill>
        </w:rPr>
        <w:t>油电混动车辆也达到11776辆</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占电动汽车总量的33.</w:t>
      </w:r>
      <w:r>
        <w:rPr>
          <w:rFonts w:hint="eastAsia" w:ascii="宋体" w:hAnsi="宋体" w:cs="宋体"/>
          <w:color w:val="000000" w:themeColor="text1"/>
          <w:sz w:val="24"/>
          <w:szCs w:val="32"/>
          <w:highlight w:val="none"/>
          <w:lang w:val="en-US" w:eastAsia="zh-CN"/>
          <w14:textFill>
            <w14:solidFill>
              <w14:schemeClr w14:val="tx1"/>
            </w14:solidFill>
          </w14:textFill>
        </w:rPr>
        <w:t>76</w:t>
      </w:r>
      <w:r>
        <w:rPr>
          <w:rFonts w:hint="eastAsia" w:ascii="宋体" w:hAnsi="宋体" w:eastAsia="宋体" w:cs="宋体"/>
          <w:color w:val="000000" w:themeColor="text1"/>
          <w:sz w:val="24"/>
          <w:szCs w:val="32"/>
          <w:highlight w:val="none"/>
          <w:lang w:val="en-US" w:eastAsia="zh-CN"/>
          <w14:textFill>
            <w14:solidFill>
              <w14:schemeClr w14:val="tx1"/>
            </w14:solidFill>
          </w14:textFill>
        </w:rPr>
        <w:t>%。</w:t>
      </w:r>
    </w:p>
    <w:p>
      <w:pPr>
        <w:pStyle w:val="22"/>
        <w:ind w:firstLine="480"/>
        <w:jc w:val="left"/>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自2016年以来，电动汽车推广应用整体提速，数量及占比持续提高。尽管电动汽车绝对规模仍远低于燃油车，但其增速显著高于燃油小汽车，尤其在2020年之后，电动汽车保有量呈现快速增长态势，充电需求迎来爆发性增长。</w:t>
      </w:r>
    </w:p>
    <w:p>
      <w:pPr>
        <w:pStyle w:val="22"/>
        <w:keepNext w:val="0"/>
        <w:keepLines w:val="0"/>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674995" cy="3398520"/>
            <wp:effectExtent l="0" t="0" r="1905" b="1143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21"/>
        <w:rPr>
          <w:rFonts w:hint="default" w:eastAsia="黑体"/>
          <w:color w:val="000000" w:themeColor="text1"/>
          <w:highlight w:val="none"/>
          <w:lang w:val="en-US" w:eastAsia="zh-CN"/>
          <w14:textFill>
            <w14:solidFill>
              <w14:schemeClr w14:val="tx1"/>
            </w14:solidFill>
          </w14:textFill>
        </w:rPr>
      </w:pPr>
      <w:bookmarkStart w:id="174" w:name="_Toc3519"/>
      <w:bookmarkStart w:id="175" w:name="_Toc12043"/>
      <w:bookmarkStart w:id="176" w:name="_Toc9585"/>
      <w:bookmarkStart w:id="177" w:name="_Toc14316"/>
      <w:bookmarkStart w:id="178" w:name="_Toc20002"/>
      <w:r>
        <w:rPr>
          <w:rFonts w:hint="eastAsia"/>
          <w:color w:val="000000" w:themeColor="text1"/>
          <w:highlight w:val="none"/>
          <w14:textFill>
            <w14:solidFill>
              <w14:schemeClr w14:val="tx1"/>
            </w14:solidFill>
          </w14:textFill>
        </w:rPr>
        <w:t xml:space="preserve">第三节 </w:t>
      </w:r>
      <w:bookmarkEnd w:id="174"/>
      <w:bookmarkEnd w:id="175"/>
      <w:bookmarkEnd w:id="176"/>
      <w:r>
        <w:rPr>
          <w:rFonts w:hint="eastAsia"/>
          <w:color w:val="000000" w:themeColor="text1"/>
          <w:highlight w:val="none"/>
          <w:lang w:val="en-US" w:eastAsia="zh-CN"/>
          <w14:textFill>
            <w14:solidFill>
              <w14:schemeClr w14:val="tx1"/>
            </w14:solidFill>
          </w14:textFill>
        </w:rPr>
        <w:t>充电设施现状</w:t>
      </w:r>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bookmarkStart w:id="179" w:name="_Toc20474"/>
      <w:bookmarkStart w:id="180" w:name="_Toc28524"/>
      <w:bookmarkStart w:id="181" w:name="_Toc12586"/>
      <w:bookmarkStart w:id="182" w:name="_Toc14560"/>
      <w:r>
        <w:rPr>
          <w:rFonts w:hint="eastAsia" w:ascii="宋体" w:hAnsi="宋体" w:eastAsia="宋体" w:cs="宋体"/>
          <w:color w:val="000000" w:themeColor="text1"/>
          <w:sz w:val="24"/>
          <w:szCs w:val="32"/>
          <w:highlight w:val="none"/>
          <w:lang w:val="en-US" w:eastAsia="zh-CN"/>
          <w14:textFill>
            <w14:solidFill>
              <w14:schemeClr w14:val="tx1"/>
            </w14:solidFill>
          </w14:textFill>
        </w:rPr>
        <w:t>截</w:t>
      </w:r>
      <w:r>
        <w:rPr>
          <w:rFonts w:hint="eastAsia" w:ascii="宋体" w:hAnsi="宋体" w:cs="宋体"/>
          <w:color w:val="000000" w:themeColor="text1"/>
          <w:sz w:val="24"/>
          <w:szCs w:val="32"/>
          <w:highlight w:val="none"/>
          <w:lang w:val="en-US" w:eastAsia="zh-CN"/>
          <w14:textFill>
            <w14:solidFill>
              <w14:schemeClr w14:val="tx1"/>
            </w14:solidFill>
          </w14:textFill>
        </w:rPr>
        <w:t>至</w:t>
      </w:r>
      <w:r>
        <w:rPr>
          <w:rFonts w:hint="eastAsia" w:ascii="宋体" w:hAnsi="宋体" w:eastAsia="宋体" w:cs="宋体"/>
          <w:color w:val="000000" w:themeColor="text1"/>
          <w:sz w:val="24"/>
          <w:szCs w:val="32"/>
          <w:highlight w:val="none"/>
          <w:lang w:val="en-US" w:eastAsia="zh-CN"/>
          <w14:textFill>
            <w14:solidFill>
              <w14:schemeClr w14:val="tx1"/>
            </w14:solidFill>
          </w14:textFill>
        </w:rPr>
        <w:t>202</w:t>
      </w:r>
      <w:r>
        <w:rPr>
          <w:rFonts w:hint="eastAsia" w:ascii="宋体" w:hAnsi="宋体" w:cs="宋体"/>
          <w:color w:val="000000" w:themeColor="text1"/>
          <w:sz w:val="24"/>
          <w:szCs w:val="32"/>
          <w:highlight w:val="none"/>
          <w:lang w:val="en-US" w:eastAsia="zh-CN"/>
          <w14:textFill>
            <w14:solidFill>
              <w14:schemeClr w14:val="tx1"/>
            </w14:solidFill>
          </w14:textFill>
        </w:rPr>
        <w:t>4</w:t>
      </w:r>
      <w:r>
        <w:rPr>
          <w:rFonts w:hint="eastAsia" w:ascii="宋体" w:hAnsi="宋体" w:eastAsia="宋体" w:cs="宋体"/>
          <w:color w:val="000000" w:themeColor="text1"/>
          <w:sz w:val="24"/>
          <w:szCs w:val="32"/>
          <w:highlight w:val="none"/>
          <w:lang w:val="en-US" w:eastAsia="zh-CN"/>
          <w14:textFill>
            <w14:solidFill>
              <w14:schemeClr w14:val="tx1"/>
            </w14:solidFill>
          </w14:textFill>
        </w:rPr>
        <w:t>年底，根据各县（市、区）</w:t>
      </w:r>
      <w:r>
        <w:rPr>
          <w:rFonts w:hint="eastAsia" w:ascii="宋体" w:hAnsi="宋体" w:cs="宋体"/>
          <w:color w:val="000000" w:themeColor="text1"/>
          <w:sz w:val="24"/>
          <w:szCs w:val="32"/>
          <w:highlight w:val="none"/>
          <w:lang w:val="en-US" w:eastAsia="zh-CN"/>
          <w14:textFill>
            <w14:solidFill>
              <w14:schemeClr w14:val="tx1"/>
            </w14:solidFill>
          </w14:textFill>
        </w:rPr>
        <w:t>发改系统</w:t>
      </w:r>
      <w:r>
        <w:rPr>
          <w:rFonts w:hint="eastAsia" w:ascii="宋体" w:hAnsi="宋体" w:eastAsia="宋体" w:cs="宋体"/>
          <w:color w:val="000000" w:themeColor="text1"/>
          <w:sz w:val="24"/>
          <w:szCs w:val="32"/>
          <w:highlight w:val="none"/>
          <w:lang w:val="en-US" w:eastAsia="zh-CN"/>
          <w14:textFill>
            <w14:solidFill>
              <w14:schemeClr w14:val="tx1"/>
            </w14:solidFill>
          </w14:textFill>
        </w:rPr>
        <w:t>反馈的统计数据，全市累计建成</w:t>
      </w:r>
      <w:r>
        <w:rPr>
          <w:rFonts w:hint="eastAsia" w:ascii="宋体" w:hAnsi="宋体" w:cs="宋体"/>
          <w:color w:val="000000" w:themeColor="text1"/>
          <w:sz w:val="24"/>
          <w:szCs w:val="32"/>
          <w:highlight w:val="none"/>
          <w:lang w:val="en-US" w:eastAsia="zh-CN"/>
          <w14:textFill>
            <w14:solidFill>
              <w14:schemeClr w14:val="tx1"/>
            </w14:solidFill>
          </w14:textFill>
        </w:rPr>
        <w:t>充电桩24161个</w:t>
      </w:r>
      <w:r>
        <w:rPr>
          <w:rFonts w:hint="eastAsia" w:ascii="宋体" w:hAnsi="宋体" w:eastAsia="宋体" w:cs="宋体"/>
          <w:color w:val="000000" w:themeColor="text1"/>
          <w:sz w:val="24"/>
          <w:szCs w:val="32"/>
          <w:highlight w:val="none"/>
          <w:lang w:val="en-US" w:eastAsia="zh-CN"/>
          <w14:textFill>
            <w14:solidFill>
              <w14:schemeClr w14:val="tx1"/>
            </w14:solidFill>
          </w14:textFill>
        </w:rPr>
        <w:t>（</w:t>
      </w:r>
      <w:r>
        <w:rPr>
          <w:rFonts w:hint="default" w:ascii="宋体" w:hAnsi="宋体" w:eastAsia="宋体" w:cs="宋体"/>
          <w:color w:val="000000" w:themeColor="text1"/>
          <w:sz w:val="24"/>
          <w:szCs w:val="32"/>
          <w:highlight w:val="none"/>
          <w:lang w:val="en-US" w:eastAsia="zh-CN"/>
          <w14:textFill>
            <w14:solidFill>
              <w14:schemeClr w14:val="tx1"/>
            </w14:solidFill>
          </w14:textFill>
        </w:rPr>
        <w:t>充电枪</w:t>
      </w:r>
      <w:r>
        <w:rPr>
          <w:rFonts w:hint="eastAsia" w:ascii="宋体" w:hAnsi="宋体" w:cs="宋体"/>
          <w:color w:val="000000" w:themeColor="text1"/>
          <w:sz w:val="24"/>
          <w:szCs w:val="32"/>
          <w:highlight w:val="none"/>
          <w:lang w:val="en-US" w:eastAsia="zh-CN"/>
          <w14:textFill>
            <w14:solidFill>
              <w14:schemeClr w14:val="tx1"/>
            </w14:solidFill>
          </w14:textFill>
        </w:rPr>
        <w:t>24793</w:t>
      </w:r>
      <w:r>
        <w:rPr>
          <w:rFonts w:hint="eastAsia" w:ascii="宋体" w:hAnsi="宋体" w:eastAsia="宋体" w:cs="宋体"/>
          <w:color w:val="000000" w:themeColor="text1"/>
          <w:sz w:val="24"/>
          <w:szCs w:val="32"/>
          <w:highlight w:val="none"/>
          <w:lang w:val="en-US" w:eastAsia="zh-CN"/>
          <w14:textFill>
            <w14:solidFill>
              <w14:schemeClr w14:val="tx1"/>
            </w14:solidFill>
          </w14:textFill>
        </w:rPr>
        <w:t>个）</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专用桩4</w:t>
      </w:r>
      <w:r>
        <w:rPr>
          <w:rFonts w:hint="eastAsia" w:ascii="宋体" w:hAnsi="宋体" w:cs="宋体"/>
          <w:color w:val="000000" w:themeColor="text1"/>
          <w:sz w:val="24"/>
          <w:szCs w:val="32"/>
          <w:highlight w:val="none"/>
          <w:lang w:val="en-US" w:eastAsia="zh-CN"/>
          <w14:textFill>
            <w14:solidFill>
              <w14:schemeClr w14:val="tx1"/>
            </w14:solidFill>
          </w14:textFill>
        </w:rPr>
        <w:t>61</w:t>
      </w:r>
      <w:r>
        <w:rPr>
          <w:rFonts w:hint="eastAsia" w:ascii="宋体" w:hAnsi="宋体" w:eastAsia="宋体" w:cs="宋体"/>
          <w:color w:val="000000" w:themeColor="text1"/>
          <w:sz w:val="24"/>
          <w:szCs w:val="32"/>
          <w:highlight w:val="none"/>
          <w:lang w:val="en-US" w:eastAsia="zh-CN"/>
          <w14:textFill>
            <w14:solidFill>
              <w14:schemeClr w14:val="tx1"/>
            </w14:solidFill>
          </w14:textFill>
        </w:rPr>
        <w:t>个（</w:t>
      </w:r>
      <w:r>
        <w:rPr>
          <w:rFonts w:hint="default" w:ascii="宋体" w:hAnsi="宋体" w:eastAsia="宋体" w:cs="宋体"/>
          <w:color w:val="000000" w:themeColor="text1"/>
          <w:sz w:val="24"/>
          <w:szCs w:val="32"/>
          <w:highlight w:val="none"/>
          <w:lang w:val="en-US" w:eastAsia="zh-CN"/>
          <w14:textFill>
            <w14:solidFill>
              <w14:schemeClr w14:val="tx1"/>
            </w14:solidFill>
          </w14:textFill>
        </w:rPr>
        <w:t>充电枪</w:t>
      </w:r>
      <w:r>
        <w:rPr>
          <w:rFonts w:hint="eastAsia" w:ascii="宋体" w:hAnsi="宋体" w:cs="宋体"/>
          <w:color w:val="000000" w:themeColor="text1"/>
          <w:sz w:val="24"/>
          <w:szCs w:val="32"/>
          <w:highlight w:val="none"/>
          <w:lang w:val="en-US" w:eastAsia="zh-CN"/>
          <w14:textFill>
            <w14:solidFill>
              <w14:schemeClr w14:val="tx1"/>
            </w14:solidFill>
          </w14:textFill>
        </w:rPr>
        <w:t>630</w:t>
      </w:r>
      <w:r>
        <w:rPr>
          <w:rFonts w:hint="eastAsia" w:ascii="宋体" w:hAnsi="宋体" w:eastAsia="宋体" w:cs="宋体"/>
          <w:color w:val="000000" w:themeColor="text1"/>
          <w:sz w:val="24"/>
          <w:szCs w:val="32"/>
          <w:highlight w:val="none"/>
          <w:lang w:val="en-US" w:eastAsia="zh-CN"/>
          <w14:textFill>
            <w14:solidFill>
              <w14:schemeClr w14:val="tx1"/>
            </w14:solidFill>
          </w14:textFill>
        </w:rPr>
        <w:t>个）</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公用桩</w:t>
      </w:r>
      <w:r>
        <w:rPr>
          <w:rFonts w:hint="eastAsia" w:ascii="宋体" w:hAnsi="宋体" w:cs="宋体"/>
          <w:color w:val="000000" w:themeColor="text1"/>
          <w:sz w:val="24"/>
          <w:szCs w:val="32"/>
          <w:highlight w:val="none"/>
          <w:lang w:val="en-US" w:eastAsia="zh-CN"/>
          <w14:textFill>
            <w14:solidFill>
              <w14:schemeClr w14:val="tx1"/>
            </w14:solidFill>
          </w14:textFill>
        </w:rPr>
        <w:t>2220</w:t>
      </w:r>
      <w:r>
        <w:rPr>
          <w:rFonts w:hint="eastAsia" w:ascii="宋体" w:hAnsi="宋体" w:eastAsia="宋体" w:cs="宋体"/>
          <w:color w:val="000000" w:themeColor="text1"/>
          <w:sz w:val="24"/>
          <w:szCs w:val="32"/>
          <w:highlight w:val="none"/>
          <w:lang w:val="en-US" w:eastAsia="zh-CN"/>
          <w14:textFill>
            <w14:solidFill>
              <w14:schemeClr w14:val="tx1"/>
            </w14:solidFill>
          </w14:textFill>
        </w:rPr>
        <w:t>个（</w:t>
      </w:r>
      <w:r>
        <w:rPr>
          <w:rFonts w:hint="default" w:ascii="宋体" w:hAnsi="宋体" w:eastAsia="宋体" w:cs="宋体"/>
          <w:color w:val="000000" w:themeColor="text1"/>
          <w:sz w:val="24"/>
          <w:szCs w:val="32"/>
          <w:highlight w:val="none"/>
          <w:lang w:val="en-US" w:eastAsia="zh-CN"/>
          <w14:textFill>
            <w14:solidFill>
              <w14:schemeClr w14:val="tx1"/>
            </w14:solidFill>
          </w14:textFill>
        </w:rPr>
        <w:t>充电枪</w:t>
      </w:r>
      <w:r>
        <w:rPr>
          <w:rFonts w:hint="eastAsia" w:ascii="宋体" w:hAnsi="宋体" w:cs="宋体"/>
          <w:color w:val="000000" w:themeColor="text1"/>
          <w:sz w:val="24"/>
          <w:szCs w:val="32"/>
          <w:highlight w:val="none"/>
          <w:lang w:val="en-US" w:eastAsia="zh-CN"/>
          <w14:textFill>
            <w14:solidFill>
              <w14:schemeClr w14:val="tx1"/>
            </w14:solidFill>
          </w14:textFill>
        </w:rPr>
        <w:t>2683</w:t>
      </w:r>
      <w:r>
        <w:rPr>
          <w:rFonts w:hint="eastAsia" w:ascii="宋体" w:hAnsi="宋体" w:eastAsia="宋体" w:cs="宋体"/>
          <w:color w:val="000000" w:themeColor="text1"/>
          <w:sz w:val="24"/>
          <w:szCs w:val="32"/>
          <w:highlight w:val="none"/>
          <w:lang w:val="en-US" w:eastAsia="zh-CN"/>
          <w14:textFill>
            <w14:solidFill>
              <w14:schemeClr w14:val="tx1"/>
            </w14:solidFill>
          </w14:textFill>
        </w:rPr>
        <w:t>个）</w:t>
      </w:r>
      <w:r>
        <w:rPr>
          <w:rFonts w:hint="eastAsia" w:ascii="宋体" w:hAnsi="宋体" w:cs="宋体"/>
          <w:color w:val="000000" w:themeColor="text1"/>
          <w:sz w:val="24"/>
          <w:szCs w:val="32"/>
          <w:highlight w:val="none"/>
          <w:lang w:val="en-US" w:eastAsia="zh-CN"/>
          <w14:textFill>
            <w14:solidFill>
              <w14:schemeClr w14:val="tx1"/>
            </w14:solidFill>
          </w14:textFill>
        </w:rPr>
        <w:t>，自用桩21480个。全市基本形成自用充电桩、专用充电桩、公用充电桩为分类的充电基础设施体系，充电基础设施基本满足现阶段新能源汽车需求，基本实现充电保障能力适度超前，只有在节假日时段的核心景区附近充电需求才会出现供不应求的紧张局面。</w:t>
      </w:r>
    </w:p>
    <w:p>
      <w:pPr>
        <w:pStyle w:val="21"/>
        <w:rPr>
          <w:rFonts w:hint="default" w:eastAsia="黑体"/>
          <w:color w:val="000000" w:themeColor="text1"/>
          <w:highlight w:val="none"/>
          <w:lang w:val="en-US" w:eastAsia="zh-CN"/>
          <w14:textFill>
            <w14:solidFill>
              <w14:schemeClr w14:val="tx1"/>
            </w14:solidFill>
          </w14:textFill>
        </w:rPr>
      </w:pPr>
      <w:bookmarkStart w:id="183" w:name="_Toc16153"/>
      <w:bookmarkStart w:id="184" w:name="_Toc20744"/>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 xml:space="preserve">节 </w:t>
      </w:r>
      <w:bookmarkEnd w:id="179"/>
      <w:bookmarkEnd w:id="180"/>
      <w:bookmarkEnd w:id="181"/>
      <w:bookmarkEnd w:id="182"/>
      <w:r>
        <w:rPr>
          <w:rFonts w:hint="eastAsia"/>
          <w:color w:val="000000" w:themeColor="text1"/>
          <w:highlight w:val="none"/>
          <w:lang w:val="en-US" w:eastAsia="zh-CN"/>
          <w14:textFill>
            <w14:solidFill>
              <w14:schemeClr w14:val="tx1"/>
            </w14:solidFill>
          </w14:textFill>
        </w:rPr>
        <w:t>现状总结</w:t>
      </w:r>
      <w:bookmarkEnd w:id="183"/>
      <w:bookmarkEnd w:id="184"/>
    </w:p>
    <w:p>
      <w:pPr>
        <w:pStyle w:val="20"/>
        <w:ind w:firstLine="562"/>
        <w:rPr>
          <w:color w:val="000000" w:themeColor="text1"/>
          <w:highlight w:val="none"/>
          <w14:textFill>
            <w14:solidFill>
              <w14:schemeClr w14:val="tx1"/>
            </w14:solidFill>
          </w14:textFill>
        </w:rPr>
      </w:pPr>
      <w:bookmarkStart w:id="185" w:name="_Toc11820"/>
      <w:bookmarkStart w:id="186" w:name="_Toc15447"/>
      <w:bookmarkStart w:id="187" w:name="_Toc5503"/>
      <w:bookmarkStart w:id="188" w:name="_Toc31837"/>
      <w:bookmarkStart w:id="189" w:name="_Toc9306"/>
      <w:bookmarkStart w:id="190" w:name="_Toc7551"/>
      <w:r>
        <w:rPr>
          <w:rFonts w:hint="eastAsia"/>
          <w:color w:val="000000" w:themeColor="text1"/>
          <w:highlight w:val="none"/>
          <w14:textFill>
            <w14:solidFill>
              <w14:schemeClr w14:val="tx1"/>
            </w14:solidFill>
          </w14:textFill>
        </w:rPr>
        <w:t>（一）发展机遇</w:t>
      </w:r>
      <w:bookmarkEnd w:id="185"/>
      <w:bookmarkEnd w:id="186"/>
      <w:bookmarkEnd w:id="187"/>
      <w:bookmarkEnd w:id="188"/>
      <w:bookmarkEnd w:id="189"/>
      <w:bookmarkEnd w:id="190"/>
    </w:p>
    <w:p>
      <w:pPr>
        <w:spacing w:line="360" w:lineRule="auto"/>
        <w:ind w:firstLine="481"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1、市场需求强劲。</w:t>
      </w:r>
      <w:r>
        <w:rPr>
          <w:rFonts w:hint="eastAsia" w:ascii="宋体" w:hAnsi="宋体" w:cs="宋体"/>
          <w:bCs/>
          <w:color w:val="000000" w:themeColor="text1"/>
          <w:sz w:val="24"/>
          <w:highlight w:val="none"/>
          <w14:textFill>
            <w14:solidFill>
              <w14:schemeClr w14:val="tx1"/>
            </w14:solidFill>
          </w14:textFill>
        </w:rPr>
        <w:t>乐山市是成都平原区域性中心城市，区域中心地位明显，伴随燃油汽车的逐步淘汰，电动汽车消费将成为大势所趋，对充电基础设施需求也会与日俱增。根据市场反馈，私人电动汽车</w:t>
      </w:r>
      <w:r>
        <w:rPr>
          <w:rFonts w:hint="eastAsia" w:ascii="宋体" w:hAnsi="宋体" w:cs="宋体"/>
          <w:bCs/>
          <w:color w:val="000000" w:themeColor="text1"/>
          <w:sz w:val="24"/>
          <w:highlight w:val="none"/>
          <w:lang w:val="en-US" w:eastAsia="zh-CN"/>
          <w14:textFill>
            <w14:solidFill>
              <w14:schemeClr w14:val="tx1"/>
            </w14:solidFill>
          </w14:textFill>
        </w:rPr>
        <w:t>消费量持续增长，</w:t>
      </w:r>
      <w:r>
        <w:rPr>
          <w:rFonts w:hint="eastAsia" w:ascii="宋体" w:hAnsi="宋体" w:cs="宋体"/>
          <w:bCs/>
          <w:color w:val="000000" w:themeColor="text1"/>
          <w:sz w:val="24"/>
          <w:highlight w:val="none"/>
          <w14:textFill>
            <w14:solidFill>
              <w14:schemeClr w14:val="tx1"/>
            </w14:solidFill>
          </w14:textFill>
        </w:rPr>
        <w:t>居民安装自用充电桩的意愿增强。同时，乐山市是我省重要旅游城市、交通次枢纽城市，区位优势突出，正在加快打造世界重要旅游目的地</w:t>
      </w:r>
      <w:r>
        <w:rPr>
          <w:rFonts w:hint="eastAsia" w:ascii="宋体" w:hAnsi="宋体" w:cs="宋体"/>
          <w:bCs/>
          <w:color w:val="000000" w:themeColor="text1"/>
          <w:sz w:val="24"/>
          <w:highlight w:val="none"/>
          <w:lang w:val="en-US" w:eastAsia="zh-CN"/>
          <w14:textFill>
            <w14:solidFill>
              <w14:schemeClr w14:val="tx1"/>
            </w14:solidFill>
          </w14:textFill>
        </w:rPr>
        <w:t>，</w:t>
      </w:r>
      <w:r>
        <w:rPr>
          <w:rFonts w:hint="default" w:ascii="宋体" w:hAnsi="宋体" w:cs="宋体"/>
          <w:bCs/>
          <w:color w:val="000000" w:themeColor="text1"/>
          <w:sz w:val="24"/>
          <w:highlight w:val="none"/>
          <w14:textFill>
            <w14:solidFill>
              <w14:schemeClr w14:val="tx1"/>
            </w14:solidFill>
          </w14:textFill>
        </w:rPr>
        <w:t>自驾游增长推动公共充电需求激增</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随着全国电动汽车的持续推广，进入乐山的电动汽车日益增长，相应的充电服务需求将增大。由此预测，充电基础设施建设具有良好的市场前景。</w:t>
      </w:r>
    </w:p>
    <w:p>
      <w:pPr>
        <w:spacing w:line="360" w:lineRule="auto"/>
        <w:ind w:firstLine="481"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2、技术模式创新。</w:t>
      </w:r>
      <w:r>
        <w:rPr>
          <w:rFonts w:hint="eastAsia" w:ascii="宋体" w:hAnsi="宋体" w:cs="宋体"/>
          <w:bCs/>
          <w:color w:val="000000" w:themeColor="text1"/>
          <w:sz w:val="24"/>
          <w:highlight w:val="none"/>
          <w14:textFill>
            <w14:solidFill>
              <w14:schemeClr w14:val="tx1"/>
            </w14:solidFill>
          </w14:textFill>
        </w:rPr>
        <w:t>充电基础设施的潜在价值巨大，在未来智慧城市、智能小区建设中将发挥重要的数据采集与分析、资源优化配置等作用，在涵盖了智能电网入口，车联网入口以及汽车后市场入口后，充电桩业务实际上就是“桩联网”商业模式的不断延伸和扩展，具备广阔的发展前景与商业模式创新空间。引入智能群充系统优化电网负荷，探索“临近车位共享”“社区分时共享”模式。各充电桩投建运营企业积极性较高，全市已有特来电、沿森物流新能源、乐电新能源科技、嘉能佳等10余家企业入驻乐山，对于加快构建我市完善的充电设施网络具有积极作用。</w:t>
      </w:r>
    </w:p>
    <w:p>
      <w:pPr>
        <w:spacing w:line="360" w:lineRule="auto"/>
        <w:ind w:firstLine="481"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3、政策红利释放。</w:t>
      </w:r>
      <w:r>
        <w:rPr>
          <w:rFonts w:hint="eastAsia" w:ascii="宋体" w:hAnsi="宋体" w:cs="宋体"/>
          <w:bCs/>
          <w:color w:val="000000" w:themeColor="text1"/>
          <w:sz w:val="24"/>
          <w:highlight w:val="none"/>
          <w14:textFill>
            <w14:solidFill>
              <w14:schemeClr w14:val="tx1"/>
            </w14:solidFill>
          </w14:textFill>
        </w:rPr>
        <w:t>国家高度重视电动汽车和充电基础设施发展，将发展电动汽车作为国家战略，推出了一系列促进电动汽车车辆和基础设施发展政策，鼓励发展电动汽车和充电基础设施。</w:t>
      </w:r>
      <w:r>
        <w:rPr>
          <w:rFonts w:hint="eastAsia" w:ascii="宋体" w:hAnsi="宋体" w:cs="宋体"/>
          <w:bCs/>
          <w:color w:val="000000" w:themeColor="text1"/>
          <w:sz w:val="24"/>
          <w:highlight w:val="none"/>
          <w:lang w:val="en-US" w:eastAsia="zh-CN"/>
          <w14:textFill>
            <w14:solidFill>
              <w14:schemeClr w14:val="tx1"/>
            </w14:solidFill>
          </w14:textFill>
        </w:rPr>
        <w:t>四川</w:t>
      </w:r>
      <w:r>
        <w:rPr>
          <w:rFonts w:hint="eastAsia" w:ascii="宋体" w:hAnsi="宋体" w:cs="宋体"/>
          <w:bCs/>
          <w:color w:val="000000" w:themeColor="text1"/>
          <w:sz w:val="24"/>
          <w:highlight w:val="none"/>
          <w14:textFill>
            <w14:solidFill>
              <w14:schemeClr w14:val="tx1"/>
            </w14:solidFill>
          </w14:textFill>
        </w:rPr>
        <w:t>省、</w:t>
      </w:r>
      <w:r>
        <w:rPr>
          <w:rFonts w:hint="eastAsia" w:ascii="宋体" w:hAnsi="宋体" w:cs="宋体"/>
          <w:bCs/>
          <w:color w:val="000000" w:themeColor="text1"/>
          <w:sz w:val="24"/>
          <w:highlight w:val="none"/>
          <w:lang w:val="en-US" w:eastAsia="zh-CN"/>
          <w14:textFill>
            <w14:solidFill>
              <w14:schemeClr w14:val="tx1"/>
            </w14:solidFill>
          </w14:textFill>
        </w:rPr>
        <w:t>乐山</w:t>
      </w:r>
      <w:r>
        <w:rPr>
          <w:rFonts w:hint="eastAsia" w:ascii="宋体" w:hAnsi="宋体" w:cs="宋体"/>
          <w:bCs/>
          <w:color w:val="000000" w:themeColor="text1"/>
          <w:sz w:val="24"/>
          <w:highlight w:val="none"/>
          <w14:textFill>
            <w14:solidFill>
              <w14:schemeClr w14:val="tx1"/>
            </w14:solidFill>
          </w14:textFill>
        </w:rPr>
        <w:t>市层面也根据国家政策和地方实际，出台了相应的引导电动汽车和充电基础设施推广的积极政策，为充电基础设施建设与电动汽车发展提供了政策支持，有力推动了居民和社会企业建设充电基础设施。</w:t>
      </w:r>
    </w:p>
    <w:p>
      <w:pPr>
        <w:spacing w:line="360" w:lineRule="auto"/>
        <w:ind w:firstLine="562" w:firstLineChars="200"/>
        <w:rPr>
          <w:rStyle w:val="19"/>
          <w:rFonts w:hint="eastAsia"/>
          <w:color w:val="000000" w:themeColor="text1"/>
          <w:highlight w:val="none"/>
          <w14:textFill>
            <w14:solidFill>
              <w14:schemeClr w14:val="tx1"/>
            </w14:solidFill>
          </w14:textFill>
        </w:rPr>
      </w:pPr>
      <w:bookmarkStart w:id="191" w:name="_Toc8949"/>
      <w:bookmarkStart w:id="192" w:name="_Toc7301"/>
      <w:bookmarkStart w:id="193" w:name="_Toc7585"/>
      <w:bookmarkStart w:id="194" w:name="_Toc32291"/>
      <w:bookmarkStart w:id="195" w:name="_Toc8651"/>
      <w:bookmarkStart w:id="196" w:name="_Toc6359"/>
      <w:r>
        <w:rPr>
          <w:rStyle w:val="19"/>
          <w:rFonts w:hint="eastAsia"/>
          <w:color w:val="000000" w:themeColor="text1"/>
          <w:highlight w:val="none"/>
          <w14:textFill>
            <w14:solidFill>
              <w14:schemeClr w14:val="tx1"/>
            </w14:solidFill>
          </w14:textFill>
        </w:rPr>
        <w:t>（二）发展挑战</w:t>
      </w:r>
      <w:bookmarkEnd w:id="191"/>
      <w:bookmarkEnd w:id="192"/>
      <w:bookmarkEnd w:id="193"/>
      <w:bookmarkEnd w:id="194"/>
    </w:p>
    <w:bookmarkEnd w:id="195"/>
    <w:bookmarkEnd w:id="196"/>
    <w:p>
      <w:pPr>
        <w:spacing w:line="360" w:lineRule="auto"/>
        <w:ind w:firstLine="481"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1</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区域发展失衡</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中心城区及峨眉山市集中全市</w:t>
      </w:r>
      <w:r>
        <w:rPr>
          <w:rFonts w:hint="eastAsia" w:ascii="宋体" w:hAnsi="宋体" w:cs="宋体"/>
          <w:bCs/>
          <w:color w:val="000000" w:themeColor="text1"/>
          <w:sz w:val="24"/>
          <w:highlight w:val="none"/>
          <w:lang w:val="en-US" w:eastAsia="zh-CN"/>
          <w14:textFill>
            <w14:solidFill>
              <w14:schemeClr w14:val="tx1"/>
            </w14:solidFill>
          </w14:textFill>
        </w:rPr>
        <w:t>57.05</w:t>
      </w:r>
      <w:r>
        <w:rPr>
          <w:rFonts w:hint="default" w:ascii="宋体" w:hAnsi="宋体" w:cs="宋体"/>
          <w:bCs/>
          <w:color w:val="000000" w:themeColor="text1"/>
          <w:sz w:val="24"/>
          <w:highlight w:val="none"/>
          <w14:textFill>
            <w14:solidFill>
              <w14:schemeClr w14:val="tx1"/>
            </w14:solidFill>
          </w14:textFill>
        </w:rPr>
        <w:t>%的电动汽车（</w:t>
      </w:r>
      <w:r>
        <w:rPr>
          <w:rFonts w:hint="eastAsia" w:ascii="宋体" w:hAnsi="宋体" w:cs="宋体"/>
          <w:bCs/>
          <w:color w:val="000000" w:themeColor="text1"/>
          <w:sz w:val="24"/>
          <w:highlight w:val="none"/>
          <w:lang w:val="en-US" w:eastAsia="zh-CN"/>
          <w14:textFill>
            <w14:solidFill>
              <w14:schemeClr w14:val="tx1"/>
            </w14:solidFill>
          </w14:textFill>
        </w:rPr>
        <w:t>43.76</w:t>
      </w:r>
      <w:r>
        <w:rPr>
          <w:rFonts w:hint="default" w:ascii="宋体" w:hAnsi="宋体" w:cs="宋体"/>
          <w:bCs/>
          <w:color w:val="000000" w:themeColor="text1"/>
          <w:sz w:val="24"/>
          <w:highlight w:val="none"/>
          <w14:textFill>
            <w14:solidFill>
              <w14:schemeClr w14:val="tx1"/>
            </w14:solidFill>
          </w14:textFill>
        </w:rPr>
        <w:t>%位于市中区），其余区县推广缓慢</w:t>
      </w:r>
      <w:r>
        <w:rPr>
          <w:rFonts w:hint="eastAsia" w:ascii="宋体" w:hAnsi="宋体" w:cs="宋体"/>
          <w:bCs/>
          <w:color w:val="000000" w:themeColor="text1"/>
          <w:sz w:val="24"/>
          <w:highlight w:val="none"/>
          <w:lang w:val="en-US"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在不考虑财政补贴的情况下，电动汽车购置成本较高，对用户缺乏足够的吸引力，消费者尤其是乘用车领域的消费者对纯电动汽车的购买欲望低，推动电动汽车发展的动力不足，也限制了充电基础设施建设的发展。私人乘用电动汽车的推广需要在消费者居住地配套建设相应的充电设施，充电便利与否直接影响着车辆的使用。</w:t>
      </w:r>
    </w:p>
    <w:p>
      <w:pPr>
        <w:spacing w:line="360" w:lineRule="auto"/>
        <w:ind w:firstLine="481"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2、建设阻力突出。</w:t>
      </w:r>
      <w:r>
        <w:rPr>
          <w:rFonts w:hint="eastAsia" w:ascii="宋体" w:hAnsi="宋体" w:cs="宋体"/>
          <w:bCs/>
          <w:color w:val="000000" w:themeColor="text1"/>
          <w:sz w:val="24"/>
          <w:highlight w:val="none"/>
          <w14:textFill>
            <w14:solidFill>
              <w14:schemeClr w14:val="tx1"/>
            </w14:solidFill>
          </w14:textFill>
        </w:rPr>
        <w:t>在公共充电基础设施建设上，</w:t>
      </w:r>
      <w:r>
        <w:rPr>
          <w:rFonts w:hint="eastAsia" w:ascii="宋体" w:hAnsi="宋体" w:cs="宋体"/>
          <w:bCs/>
          <w:color w:val="000000" w:themeColor="text1"/>
          <w:sz w:val="24"/>
          <w:highlight w:val="none"/>
          <w:lang w:eastAsia="zh-CN"/>
          <w14:textFill>
            <w14:solidFill>
              <w14:schemeClr w14:val="tx1"/>
            </w14:solidFill>
          </w14:textFill>
        </w:rPr>
        <w:t>涵盖</w:t>
      </w:r>
      <w:r>
        <w:rPr>
          <w:rFonts w:hint="eastAsia" w:ascii="宋体" w:hAnsi="宋体" w:cs="宋体"/>
          <w:bCs/>
          <w:color w:val="000000" w:themeColor="text1"/>
          <w:sz w:val="24"/>
          <w:highlight w:val="none"/>
          <w14:textFill>
            <w14:solidFill>
              <w14:schemeClr w14:val="tx1"/>
            </w14:solidFill>
          </w14:textFill>
        </w:rPr>
        <w:t>选址用地、电网设施、道路管线等多个方面，涉及多个主管部门和相关企业，协调难度大。老旧小区改造</w:t>
      </w:r>
      <w:r>
        <w:rPr>
          <w:rFonts w:hint="eastAsia" w:ascii="宋体" w:hAnsi="宋体" w:cs="宋体"/>
          <w:bCs/>
          <w:color w:val="000000" w:themeColor="text1"/>
          <w:sz w:val="24"/>
          <w:highlight w:val="none"/>
          <w:lang w:eastAsia="zh-CN"/>
          <w14:textFill>
            <w14:solidFill>
              <w14:schemeClr w14:val="tx1"/>
            </w14:solidFill>
          </w14:textFill>
        </w:rPr>
        <w:t>面临</w:t>
      </w:r>
      <w:r>
        <w:rPr>
          <w:rFonts w:hint="eastAsia" w:ascii="宋体" w:hAnsi="宋体" w:cs="宋体"/>
          <w:bCs/>
          <w:color w:val="000000" w:themeColor="text1"/>
          <w:sz w:val="24"/>
          <w:highlight w:val="none"/>
          <w14:textFill>
            <w14:solidFill>
              <w14:schemeClr w14:val="tx1"/>
            </w14:solidFill>
          </w14:textFill>
        </w:rPr>
        <w:t>停车位短缺、电网容量不足、物业协作度低</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电网负荷压力</w:t>
      </w:r>
      <w:r>
        <w:rPr>
          <w:rFonts w:hint="eastAsia" w:ascii="宋体" w:hAnsi="宋体" w:cs="宋体"/>
          <w:bCs/>
          <w:color w:val="000000" w:themeColor="text1"/>
          <w:sz w:val="24"/>
          <w:highlight w:val="none"/>
          <w:lang w:eastAsia="zh-CN"/>
          <w14:textFill>
            <w14:solidFill>
              <w14:schemeClr w14:val="tx1"/>
            </w14:solidFill>
          </w14:textFill>
        </w:rPr>
        <w:t>大，</w:t>
      </w:r>
      <w:r>
        <w:rPr>
          <w:rFonts w:hint="eastAsia" w:ascii="宋体" w:hAnsi="宋体" w:cs="宋体"/>
          <w:bCs/>
          <w:color w:val="000000" w:themeColor="text1"/>
          <w:sz w:val="24"/>
          <w:highlight w:val="none"/>
          <w:lang w:val="en-US" w:eastAsia="zh-CN"/>
          <w14:textFill>
            <w14:solidFill>
              <w14:schemeClr w14:val="tx1"/>
            </w14:solidFill>
          </w14:textFill>
        </w:rPr>
        <w:t>特别是老城片区</w:t>
      </w:r>
      <w:r>
        <w:rPr>
          <w:rFonts w:hint="eastAsia" w:ascii="宋体" w:hAnsi="宋体" w:cs="宋体"/>
          <w:bCs/>
          <w:color w:val="000000" w:themeColor="text1"/>
          <w:sz w:val="24"/>
          <w:highlight w:val="none"/>
          <w14:textFill>
            <w14:solidFill>
              <w14:schemeClr w14:val="tx1"/>
            </w14:solidFill>
          </w14:textFill>
        </w:rPr>
        <w:t>输变电设施滞后，难以支撑快充桩大规模扩容。</w:t>
      </w:r>
    </w:p>
    <w:p>
      <w:pPr>
        <w:spacing w:line="360" w:lineRule="auto"/>
        <w:ind w:firstLine="481"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3、盈利困境待解。</w:t>
      </w:r>
      <w:r>
        <w:rPr>
          <w:rFonts w:hint="eastAsia" w:ascii="宋体" w:hAnsi="宋体" w:cs="宋体"/>
          <w:bCs/>
          <w:color w:val="000000" w:themeColor="text1"/>
          <w:sz w:val="24"/>
          <w:highlight w:val="none"/>
          <w14:textFill>
            <w14:solidFill>
              <w14:schemeClr w14:val="tx1"/>
            </w14:solidFill>
          </w14:textFill>
        </w:rPr>
        <w:t>当前乐山市电动汽车保有量整体偏低，私人车辆主要依赖自用桩充电，导致公共充电设施利用率不足、投资回报率低。社会资本因运营成本高企（约占桩体成本的40%）、盈利周期长而持谨慎态度，依赖政策补贴的商业模式难以持续。充电服务仍处于商业模式探索初期，尚未形成成熟体系，设施整体利用率偏低，市场缺乏通过运营盈利吸引投资的内生动力。加之建设运营成本高企，进一步加剧投资风险，抑制社会资本参与积极性。</w:t>
      </w:r>
    </w:p>
    <w:p>
      <w:pPr>
        <w:pStyle w:val="17"/>
        <w:rPr>
          <w:rFonts w:hint="eastAsia"/>
          <w:color w:val="000000" w:themeColor="text1"/>
          <w:highlight w:val="none"/>
          <w14:textFill>
            <w14:solidFill>
              <w14:schemeClr w14:val="tx1"/>
            </w14:solidFill>
          </w14:textFill>
        </w:rPr>
      </w:pPr>
      <w:bookmarkStart w:id="197" w:name="_Toc5172"/>
      <w:r>
        <w:rPr>
          <w:rFonts w:hint="eastAsia"/>
          <w:color w:val="000000" w:themeColor="text1"/>
          <w:highlight w:val="none"/>
          <w14:textFill>
            <w14:solidFill>
              <w14:schemeClr w14:val="tx1"/>
            </w14:solidFill>
          </w14:textFill>
        </w:rPr>
        <w:br w:type="page"/>
      </w:r>
      <w:bookmarkEnd w:id="197"/>
      <w:bookmarkStart w:id="198" w:name="_Toc8402"/>
      <w:bookmarkStart w:id="199" w:name="_Toc24341"/>
      <w:bookmarkStart w:id="200" w:name="_Toc22442"/>
      <w:bookmarkStart w:id="201" w:name="_Toc6148"/>
    </w:p>
    <w:p>
      <w:pPr>
        <w:pStyle w:val="17"/>
        <w:rPr>
          <w:rFonts w:hint="default" w:eastAsia="黑体"/>
          <w:color w:val="000000" w:themeColor="text1"/>
          <w:highlight w:val="none"/>
          <w:lang w:val="en-US" w:eastAsia="zh-CN"/>
          <w14:textFill>
            <w14:solidFill>
              <w14:schemeClr w14:val="tx1"/>
            </w14:solidFill>
          </w14:textFill>
        </w:rPr>
      </w:pPr>
      <w:bookmarkStart w:id="202" w:name="_Toc10196"/>
      <w:bookmarkStart w:id="203" w:name="_Toc12485"/>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 xml:space="preserve">章 </w:t>
      </w:r>
      <w:r>
        <w:rPr>
          <w:rFonts w:hint="eastAsia"/>
          <w:color w:val="000000" w:themeColor="text1"/>
          <w:highlight w:val="none"/>
          <w:lang w:val="en-US" w:eastAsia="zh-CN"/>
          <w14:textFill>
            <w14:solidFill>
              <w14:schemeClr w14:val="tx1"/>
            </w14:solidFill>
          </w14:textFill>
        </w:rPr>
        <w:t>需求预测</w:t>
      </w:r>
      <w:bookmarkEnd w:id="202"/>
      <w:bookmarkEnd w:id="203"/>
    </w:p>
    <w:p>
      <w:pPr>
        <w:pStyle w:val="21"/>
        <w:rPr>
          <w:rFonts w:hint="default" w:eastAsia="黑体"/>
          <w:color w:val="000000" w:themeColor="text1"/>
          <w:highlight w:val="none"/>
          <w:lang w:val="en-US" w:eastAsia="zh-CN"/>
          <w14:textFill>
            <w14:solidFill>
              <w14:schemeClr w14:val="tx1"/>
            </w14:solidFill>
          </w14:textFill>
        </w:rPr>
      </w:pPr>
      <w:bookmarkStart w:id="204" w:name="_Toc22246"/>
      <w:bookmarkStart w:id="205" w:name="_Toc310"/>
      <w:r>
        <w:rPr>
          <w:rFonts w:hint="eastAsia"/>
          <w:color w:val="000000" w:themeColor="text1"/>
          <w:highlight w:val="none"/>
          <w14:textFill>
            <w14:solidFill>
              <w14:schemeClr w14:val="tx1"/>
            </w14:solidFill>
          </w14:textFill>
        </w:rPr>
        <w:t xml:space="preserve">第一节 </w:t>
      </w:r>
      <w:r>
        <w:rPr>
          <w:rFonts w:hint="eastAsia"/>
          <w:color w:val="000000" w:themeColor="text1"/>
          <w:highlight w:val="none"/>
          <w:lang w:val="en-US" w:eastAsia="zh-CN"/>
          <w14:textFill>
            <w14:solidFill>
              <w14:schemeClr w14:val="tx1"/>
            </w14:solidFill>
          </w14:textFill>
        </w:rPr>
        <w:t>预测思路</w:t>
      </w:r>
      <w:bookmarkEnd w:id="204"/>
      <w:bookmarkEnd w:id="205"/>
    </w:p>
    <w:p>
      <w:pPr>
        <w:pStyle w:val="22"/>
        <w:ind w:firstLine="480"/>
        <w:rPr>
          <w:rFonts w:hint="eastAsia" w:ascii="宋体" w:hAnsi="宋体" w:cs="宋体"/>
          <w:color w:val="000000" w:themeColor="text1"/>
          <w:highlight w:val="none"/>
          <w14:textFill>
            <w14:solidFill>
              <w14:schemeClr w14:val="tx1"/>
            </w14:solidFill>
          </w14:textFill>
        </w:rPr>
      </w:pPr>
      <w:bookmarkStart w:id="206" w:name="_Toc18718"/>
      <w:r>
        <w:rPr>
          <w:rFonts w:hint="eastAsia" w:ascii="宋体" w:hAnsi="宋体" w:cs="宋体"/>
          <w:color w:val="000000" w:themeColor="text1"/>
          <w:highlight w:val="none"/>
          <w:lang w:val="en-US" w:eastAsia="zh-CN"/>
          <w14:textFill>
            <w14:solidFill>
              <w14:schemeClr w14:val="tx1"/>
            </w14:solidFill>
          </w14:textFill>
        </w:rPr>
        <w:t>本次规划以“汽车保有量预测—电动汽车保有量预测—车桩配置需求—</w:t>
      </w:r>
      <w:r>
        <w:rPr>
          <w:rFonts w:hint="eastAsia" w:ascii="宋体" w:hAnsi="宋体" w:cs="宋体"/>
          <w:color w:val="000000" w:themeColor="text1"/>
          <w:highlight w:val="none"/>
          <w14:textFill>
            <w14:solidFill>
              <w14:schemeClr w14:val="tx1"/>
            </w14:solidFill>
          </w14:textFill>
        </w:rPr>
        <w:t>充电设施规模需求</w:t>
      </w:r>
      <w:r>
        <w:rPr>
          <w:rFonts w:hint="eastAsia" w:ascii="宋体" w:hAnsi="宋体" w:cs="宋体"/>
          <w:color w:val="000000" w:themeColor="text1"/>
          <w:highlight w:val="none"/>
          <w:lang w:val="en-US" w:eastAsia="zh-CN"/>
          <w14:textFill>
            <w14:solidFill>
              <w14:schemeClr w14:val="tx1"/>
            </w14:solidFill>
          </w14:textFill>
        </w:rPr>
        <w:t>”为思路确定我市各类充电设施发展目标。</w:t>
      </w:r>
    </w:p>
    <w:p>
      <w:pPr>
        <w:pStyle w:val="22"/>
        <w:ind w:firstLine="48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首先分析城市车辆的现状和发展</w:t>
      </w:r>
      <w:r>
        <w:rPr>
          <w:rFonts w:hint="eastAsia" w:ascii="宋体" w:hAnsi="宋体" w:cs="宋体"/>
          <w:color w:val="000000" w:themeColor="text1"/>
          <w:highlight w:val="none"/>
          <w:lang w:val="en-US" w:eastAsia="zh-CN"/>
          <w14:textFill>
            <w14:solidFill>
              <w14:schemeClr w14:val="tx1"/>
            </w14:solidFill>
          </w14:textFill>
        </w:rPr>
        <w:t>趋势</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采用</w:t>
      </w:r>
      <w:r>
        <w:rPr>
          <w:rFonts w:hint="eastAsia" w:ascii="宋体" w:hAnsi="宋体" w:cs="宋体"/>
          <w:color w:val="000000" w:themeColor="text1"/>
          <w:highlight w:val="none"/>
          <w14:textFill>
            <w14:solidFill>
              <w14:schemeClr w14:val="tx1"/>
            </w14:solidFill>
          </w14:textFill>
        </w:rPr>
        <w:t>趋势外推法</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相关经济法和</w:t>
      </w:r>
      <w:r>
        <w:rPr>
          <w:rFonts w:hint="eastAsia" w:ascii="宋体" w:hAnsi="宋体" w:cs="宋体"/>
          <w:color w:val="000000" w:themeColor="text1"/>
          <w:highlight w:val="none"/>
          <w:lang w:val="en-US" w:eastAsia="zh-CN"/>
          <w14:textFill>
            <w14:solidFill>
              <w14:schemeClr w14:val="tx1"/>
            </w14:solidFill>
          </w14:textFill>
        </w:rPr>
        <w:t>案例借鉴</w:t>
      </w:r>
      <w:r>
        <w:rPr>
          <w:rFonts w:hint="eastAsia" w:ascii="宋体" w:hAnsi="宋体" w:cs="宋体"/>
          <w:color w:val="000000" w:themeColor="text1"/>
          <w:highlight w:val="none"/>
          <w14:textFill>
            <w14:solidFill>
              <w14:schemeClr w14:val="tx1"/>
            </w14:solidFill>
          </w14:textFill>
        </w:rPr>
        <w:t>法</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科学预测汽车保有量；其次是结合乐山市</w:t>
      </w:r>
      <w:r>
        <w:rPr>
          <w:rFonts w:hint="eastAsia" w:ascii="宋体" w:hAnsi="宋体" w:cs="宋体"/>
          <w:color w:val="000000" w:themeColor="text1"/>
          <w:highlight w:val="none"/>
          <w14:textFill>
            <w14:solidFill>
              <w14:schemeClr w14:val="tx1"/>
            </w14:solidFill>
          </w14:textFill>
        </w:rPr>
        <w:t>电动汽车发展、人口与国民经济等情况</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特别是</w:t>
      </w:r>
      <w:r>
        <w:rPr>
          <w:rFonts w:hint="eastAsia" w:ascii="宋体" w:hAnsi="宋体" w:cs="宋体"/>
          <w:color w:val="000000" w:themeColor="text1"/>
          <w:highlight w:val="none"/>
          <w14:textFill>
            <w14:solidFill>
              <w14:schemeClr w14:val="tx1"/>
            </w14:solidFill>
          </w14:textFill>
        </w:rPr>
        <w:t>目前</w:t>
      </w:r>
      <w:r>
        <w:rPr>
          <w:rFonts w:hint="eastAsia" w:ascii="宋体" w:hAnsi="宋体" w:cs="宋体"/>
          <w:color w:val="000000" w:themeColor="text1"/>
          <w:highlight w:val="none"/>
          <w:lang w:val="en-US" w:eastAsia="zh-CN"/>
          <w14:textFill>
            <w14:solidFill>
              <w14:schemeClr w14:val="tx1"/>
            </w14:solidFill>
          </w14:textFill>
        </w:rPr>
        <w:t>电动</w:t>
      </w:r>
      <w:r>
        <w:rPr>
          <w:rFonts w:hint="eastAsia" w:ascii="宋体" w:hAnsi="宋体" w:cs="宋体"/>
          <w:color w:val="000000" w:themeColor="text1"/>
          <w:highlight w:val="none"/>
          <w14:textFill>
            <w14:solidFill>
              <w14:schemeClr w14:val="tx1"/>
            </w14:solidFill>
          </w14:textFill>
        </w:rPr>
        <w:t>汽车处在推广示范阶段，</w:t>
      </w:r>
      <w:r>
        <w:rPr>
          <w:rFonts w:hint="eastAsia" w:ascii="宋体" w:hAnsi="宋体" w:cs="宋体"/>
          <w:color w:val="000000" w:themeColor="text1"/>
          <w:highlight w:val="none"/>
          <w:lang w:val="en-US" w:eastAsia="zh-CN"/>
          <w14:textFill>
            <w14:solidFill>
              <w14:schemeClr w14:val="tx1"/>
            </w14:solidFill>
          </w14:textFill>
        </w:rPr>
        <w:t>充分考虑</w:t>
      </w:r>
      <w:r>
        <w:rPr>
          <w:rFonts w:hint="eastAsia" w:ascii="宋体" w:hAnsi="宋体" w:cs="宋体"/>
          <w:color w:val="000000" w:themeColor="text1"/>
          <w:highlight w:val="none"/>
          <w14:textFill>
            <w14:solidFill>
              <w14:schemeClr w14:val="tx1"/>
            </w14:solidFill>
          </w14:textFill>
        </w:rPr>
        <w:t>政府的电动汽车推广及应用相关政策</w:t>
      </w:r>
      <w:r>
        <w:rPr>
          <w:rFonts w:hint="eastAsia" w:ascii="宋体" w:hAnsi="宋体" w:cs="宋体"/>
          <w:color w:val="000000" w:themeColor="text1"/>
          <w:highlight w:val="none"/>
          <w:lang w:val="en-US" w:eastAsia="zh-CN"/>
          <w14:textFill>
            <w14:solidFill>
              <w14:schemeClr w14:val="tx1"/>
            </w14:solidFill>
          </w14:textFill>
        </w:rPr>
        <w:t>，合理考虑</w:t>
      </w:r>
      <w:r>
        <w:rPr>
          <w:rFonts w:hint="eastAsia" w:ascii="宋体" w:hAnsi="宋体" w:cs="宋体"/>
          <w:color w:val="000000" w:themeColor="text1"/>
          <w:highlight w:val="none"/>
          <w14:textFill>
            <w14:solidFill>
              <w14:schemeClr w14:val="tx1"/>
            </w14:solidFill>
          </w14:textFill>
        </w:rPr>
        <w:t>电动汽车渗透率</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进而确定</w:t>
      </w:r>
      <w:r>
        <w:rPr>
          <w:rFonts w:hint="eastAsia" w:ascii="宋体" w:hAnsi="宋体" w:cs="宋体"/>
          <w:color w:val="000000" w:themeColor="text1"/>
          <w:highlight w:val="none"/>
          <w14:textFill>
            <w14:solidFill>
              <w14:schemeClr w14:val="tx1"/>
            </w14:solidFill>
          </w14:textFill>
        </w:rPr>
        <w:t>电动车辆</w:t>
      </w:r>
      <w:r>
        <w:rPr>
          <w:rFonts w:hint="eastAsia" w:ascii="宋体" w:hAnsi="宋体" w:cs="宋体"/>
          <w:color w:val="000000" w:themeColor="text1"/>
          <w:highlight w:val="none"/>
          <w:lang w:val="en-US" w:eastAsia="zh-CN"/>
          <w14:textFill>
            <w14:solidFill>
              <w14:schemeClr w14:val="tx1"/>
            </w14:solidFill>
          </w14:textFill>
        </w:rPr>
        <w:t>保有</w:t>
      </w:r>
      <w:r>
        <w:rPr>
          <w:rFonts w:hint="eastAsia" w:ascii="宋体" w:hAnsi="宋体" w:cs="宋体"/>
          <w:color w:val="000000" w:themeColor="text1"/>
          <w:highlight w:val="none"/>
          <w14:textFill>
            <w14:solidFill>
              <w14:schemeClr w14:val="tx1"/>
            </w14:solidFill>
          </w14:textFill>
        </w:rPr>
        <w:t>量</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最后是结合</w:t>
      </w:r>
      <w:r>
        <w:rPr>
          <w:rFonts w:hint="eastAsia" w:ascii="宋体" w:hAnsi="宋体" w:cs="宋体"/>
          <w:color w:val="000000" w:themeColor="text1"/>
          <w:highlight w:val="none"/>
          <w14:textFill>
            <w14:solidFill>
              <w14:schemeClr w14:val="tx1"/>
            </w14:solidFill>
          </w14:textFill>
        </w:rPr>
        <w:t>电动汽车应用场景和行驶特性等因素</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按照</w:t>
      </w:r>
      <w:r>
        <w:rPr>
          <w:rFonts w:hint="eastAsia" w:ascii="宋体" w:hAnsi="宋体" w:cs="宋体"/>
          <w:color w:val="000000" w:themeColor="text1"/>
          <w:highlight w:val="none"/>
          <w14:textFill>
            <w14:solidFill>
              <w14:schemeClr w14:val="tx1"/>
            </w14:solidFill>
          </w14:textFill>
        </w:rPr>
        <w:t>科学布局、适度超前</w:t>
      </w:r>
      <w:r>
        <w:rPr>
          <w:rFonts w:hint="eastAsia" w:ascii="宋体" w:hAnsi="宋体" w:cs="宋体"/>
          <w:color w:val="000000" w:themeColor="text1"/>
          <w:highlight w:val="none"/>
          <w:lang w:val="en-US" w:eastAsia="zh-CN"/>
          <w14:textFill>
            <w14:solidFill>
              <w14:schemeClr w14:val="tx1"/>
            </w14:solidFill>
          </w14:textFill>
        </w:rPr>
        <w:t>的原则</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得出</w:t>
      </w:r>
      <w:r>
        <w:rPr>
          <w:rFonts w:hint="eastAsia" w:ascii="宋体" w:hAnsi="宋体" w:cs="宋体"/>
          <w:color w:val="000000" w:themeColor="text1"/>
          <w:highlight w:val="none"/>
          <w14:textFill>
            <w14:solidFill>
              <w14:schemeClr w14:val="tx1"/>
            </w14:solidFill>
          </w14:textFill>
        </w:rPr>
        <w:t>充电设施的合理规模</w:t>
      </w:r>
      <w:r>
        <w:rPr>
          <w:rFonts w:hint="eastAsia" w:ascii="宋体" w:hAnsi="宋体" w:cs="宋体"/>
          <w:color w:val="000000" w:themeColor="text1"/>
          <w:highlight w:val="none"/>
          <w:lang w:eastAsia="zh-CN"/>
          <w14:textFill>
            <w14:solidFill>
              <w14:schemeClr w14:val="tx1"/>
            </w14:solidFill>
          </w14:textFill>
        </w:rPr>
        <w:t>。</w:t>
      </w:r>
    </w:p>
    <w:p>
      <w:pPr>
        <w:pStyle w:val="22"/>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对比来看，</w:t>
      </w:r>
      <w:r>
        <w:rPr>
          <w:rFonts w:hint="eastAsia" w:ascii="宋体" w:hAnsi="宋体" w:cs="宋体"/>
          <w:color w:val="000000" w:themeColor="text1"/>
          <w:highlight w:val="none"/>
          <w14:textFill>
            <w14:solidFill>
              <w14:schemeClr w14:val="tx1"/>
            </w14:solidFill>
          </w14:textFill>
        </w:rPr>
        <w:t>传统的</w:t>
      </w:r>
      <w:r>
        <w:rPr>
          <w:rFonts w:hint="eastAsia" w:ascii="宋体" w:hAnsi="宋体" w:cs="宋体"/>
          <w:color w:val="000000" w:themeColor="text1"/>
          <w:highlight w:val="none"/>
          <w:lang w:val="en-US" w:eastAsia="zh-CN"/>
          <w14:textFill>
            <w14:solidFill>
              <w14:schemeClr w14:val="tx1"/>
            </w14:solidFill>
          </w14:textFill>
        </w:rPr>
        <w:t>车辆</w:t>
      </w:r>
      <w:r>
        <w:rPr>
          <w:rFonts w:hint="eastAsia" w:ascii="宋体" w:hAnsi="宋体" w:cs="宋体"/>
          <w:color w:val="000000" w:themeColor="text1"/>
          <w:highlight w:val="none"/>
          <w14:textFill>
            <w14:solidFill>
              <w14:schemeClr w14:val="tx1"/>
            </w14:solidFill>
          </w14:textFill>
        </w:rPr>
        <w:t>预测方法并不适用于现阶段我国城市</w:t>
      </w:r>
      <w:r>
        <w:rPr>
          <w:rFonts w:hint="eastAsia" w:ascii="宋体" w:hAnsi="宋体" w:cs="宋体"/>
          <w:color w:val="000000" w:themeColor="text1"/>
          <w:highlight w:val="none"/>
          <w:lang w:val="en-US" w:eastAsia="zh-CN"/>
          <w14:textFill>
            <w14:solidFill>
              <w14:schemeClr w14:val="tx1"/>
            </w14:solidFill>
          </w14:textFill>
        </w:rPr>
        <w:t>电动</w:t>
      </w:r>
      <w:r>
        <w:rPr>
          <w:rFonts w:hint="eastAsia" w:ascii="宋体" w:hAnsi="宋体" w:cs="宋体"/>
          <w:color w:val="000000" w:themeColor="text1"/>
          <w:highlight w:val="none"/>
          <w14:textFill>
            <w14:solidFill>
              <w14:schemeClr w14:val="tx1"/>
            </w14:solidFill>
          </w14:textFill>
        </w:rPr>
        <w:t>汽车保有量的预测，</w:t>
      </w:r>
      <w:r>
        <w:rPr>
          <w:rFonts w:hint="eastAsia" w:ascii="宋体" w:hAnsi="宋体" w:cs="宋体"/>
          <w:color w:val="000000" w:themeColor="text1"/>
          <w:highlight w:val="none"/>
          <w:lang w:val="en-US" w:eastAsia="zh-CN"/>
          <w14:textFill>
            <w14:solidFill>
              <w14:schemeClr w14:val="tx1"/>
            </w14:solidFill>
          </w14:textFill>
        </w:rPr>
        <w:t>主要受政策影响较大</w:t>
      </w:r>
      <w:r>
        <w:rPr>
          <w:rFonts w:hint="eastAsia" w:ascii="宋体" w:hAnsi="宋体" w:cs="宋体"/>
          <w:color w:val="000000" w:themeColor="text1"/>
          <w:highlight w:val="none"/>
          <w14:textFill>
            <w14:solidFill>
              <w14:schemeClr w14:val="tx1"/>
            </w14:solidFill>
          </w14:textFill>
        </w:rPr>
        <w:t>。</w:t>
      </w:r>
    </w:p>
    <w:p>
      <w:pPr>
        <w:pStyle w:val="21"/>
        <w:rPr>
          <w:rFonts w:hint="default" w:eastAsia="黑体"/>
          <w:color w:val="000000" w:themeColor="text1"/>
          <w:highlight w:val="none"/>
          <w:lang w:val="en-US" w:eastAsia="zh-CN"/>
          <w14:textFill>
            <w14:solidFill>
              <w14:schemeClr w14:val="tx1"/>
            </w14:solidFill>
          </w14:textFill>
        </w:rPr>
      </w:pPr>
      <w:bookmarkStart w:id="207" w:name="_Toc26162"/>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 xml:space="preserve">节 </w:t>
      </w:r>
      <w:r>
        <w:rPr>
          <w:rFonts w:hint="eastAsia"/>
          <w:color w:val="000000" w:themeColor="text1"/>
          <w:highlight w:val="none"/>
          <w:lang w:val="en-US" w:eastAsia="zh-CN"/>
          <w14:textFill>
            <w14:solidFill>
              <w14:schemeClr w14:val="tx1"/>
            </w14:solidFill>
          </w14:textFill>
        </w:rPr>
        <w:t>电动汽车保有量预测</w:t>
      </w:r>
      <w:bookmarkEnd w:id="206"/>
      <w:bookmarkEnd w:id="207"/>
    </w:p>
    <w:p>
      <w:pPr>
        <w:pStyle w:val="22"/>
        <w:ind w:firstLine="482"/>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1、汽车保有量预测。</w:t>
      </w:r>
      <w:r>
        <w:rPr>
          <w:rFonts w:hint="eastAsia" w:ascii="宋体" w:hAnsi="宋体" w:cs="宋体"/>
          <w:color w:val="000000" w:themeColor="text1"/>
          <w:highlight w:val="none"/>
          <w14:textFill>
            <w14:solidFill>
              <w14:schemeClr w14:val="tx1"/>
            </w14:solidFill>
          </w14:textFill>
        </w:rPr>
        <w:t>汽车保有量的预测具有一定程度的不确定性，受地区经济发展水平、政策走向、汽车产业变化的影响较大，随着经济社会平稳发展，市民生活水平稳步提高，消费需求提档升级，全市汽车保有量将持续增长。</w:t>
      </w:r>
    </w:p>
    <w:p>
      <w:pPr>
        <w:pStyle w:val="22"/>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本规划采用以下三种方法分别对汽车保有量进行预测。</w:t>
      </w:r>
    </w:p>
    <w:p>
      <w:pPr>
        <w:pStyle w:val="22"/>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趋势外推法，分析乐山市历年汽车保有量增长率和年新增汽车增长量情况；采用相关经济法，分析全国汽车保有量与单位人均国内生产总值的变化关系；采用案例借鉴法，分析东部发达地区汽车保有量与人均国内生产总值的关系。</w:t>
      </w:r>
    </w:p>
    <w:p>
      <w:pPr>
        <w:pStyle w:val="22"/>
        <w:ind w:firstLine="480"/>
        <w:rPr>
          <w:rFonts w:hint="eastAsia" w:ascii="宋体" w:hAnsi="宋体" w:cs="宋体"/>
          <w:strike w:val="0"/>
          <w:dstrike w:val="0"/>
          <w:color w:val="000000" w:themeColor="text1"/>
          <w:highlight w:val="none"/>
          <w14:textFill>
            <w14:solidFill>
              <w14:schemeClr w14:val="tx1"/>
            </w14:solidFill>
          </w14:textFill>
        </w:rPr>
      </w:pPr>
      <w:r>
        <w:rPr>
          <w:rFonts w:hint="eastAsia" w:ascii="宋体" w:hAnsi="宋体" w:cs="宋体"/>
          <w:strike w:val="0"/>
          <w:dstrike w:val="0"/>
          <w:color w:val="000000" w:themeColor="text1"/>
          <w:highlight w:val="none"/>
          <w14:textFill>
            <w14:solidFill>
              <w14:schemeClr w14:val="tx1"/>
            </w14:solidFill>
          </w14:textFill>
        </w:rPr>
        <w:t>（</w:t>
      </w:r>
      <w:r>
        <w:rPr>
          <w:rFonts w:hint="eastAsia" w:ascii="宋体" w:hAnsi="宋体" w:cs="宋体"/>
          <w:strike w:val="0"/>
          <w:dstrike w:val="0"/>
          <w:color w:val="000000" w:themeColor="text1"/>
          <w:highlight w:val="none"/>
          <w:lang w:val="en-US" w:eastAsia="zh-CN"/>
          <w14:textFill>
            <w14:solidFill>
              <w14:schemeClr w14:val="tx1"/>
            </w14:solidFill>
          </w14:textFill>
        </w:rPr>
        <w:t>1</w:t>
      </w:r>
      <w:r>
        <w:rPr>
          <w:rFonts w:hint="eastAsia" w:ascii="宋体" w:hAnsi="宋体" w:cs="宋体"/>
          <w:strike w:val="0"/>
          <w:dstrike w:val="0"/>
          <w:color w:val="000000" w:themeColor="text1"/>
          <w:highlight w:val="none"/>
          <w14:textFill>
            <w14:solidFill>
              <w14:schemeClr w14:val="tx1"/>
            </w14:solidFill>
          </w14:textFill>
        </w:rPr>
        <w:t>）趋势外推法。</w:t>
      </w:r>
    </w:p>
    <w:p>
      <w:pPr>
        <w:pStyle w:val="22"/>
        <w:ind w:firstLine="480"/>
        <w:rPr>
          <w:rFonts w:hint="default" w:ascii="宋体" w:hAnsi="宋体" w:cs="宋体"/>
          <w:strike w:val="0"/>
          <w:dstrike w:val="0"/>
          <w:color w:val="000000" w:themeColor="text1"/>
          <w:highlight w:val="none"/>
          <w:lang w:val="en-US" w:eastAsia="zh-CN"/>
          <w14:textFill>
            <w14:solidFill>
              <w14:schemeClr w14:val="tx1"/>
            </w14:solidFill>
          </w14:textFill>
        </w:rPr>
      </w:pPr>
      <w:r>
        <w:rPr>
          <w:rFonts w:hint="eastAsia" w:ascii="宋体" w:hAnsi="宋体" w:cs="宋体"/>
          <w:strike w:val="0"/>
          <w:dstrike w:val="0"/>
          <w:color w:val="000000" w:themeColor="text1"/>
          <w:highlight w:val="none"/>
          <w:lang w:val="en-US" w:eastAsia="zh-CN"/>
          <w14:textFill>
            <w14:solidFill>
              <w14:schemeClr w14:val="tx1"/>
            </w14:solidFill>
          </w14:textFill>
        </w:rPr>
        <w:t>到2030年，</w:t>
      </w:r>
      <w:r>
        <w:rPr>
          <w:rFonts w:hint="eastAsia" w:ascii="宋体" w:hAnsi="宋体" w:cs="宋体"/>
          <w:strike w:val="0"/>
          <w:dstrike w:val="0"/>
          <w:color w:val="000000" w:themeColor="text1"/>
          <w:highlight w:val="none"/>
          <w14:textFill>
            <w14:solidFill>
              <w14:schemeClr w14:val="tx1"/>
            </w14:solidFill>
          </w14:textFill>
        </w:rPr>
        <w:t>以增长率</w:t>
      </w:r>
      <w:r>
        <w:rPr>
          <w:rFonts w:hint="eastAsia" w:ascii="宋体" w:hAnsi="宋体" w:cs="宋体"/>
          <w:strike w:val="0"/>
          <w:dstrike w:val="0"/>
          <w:color w:val="000000" w:themeColor="text1"/>
          <w:highlight w:val="none"/>
          <w:lang w:val="en-US" w:eastAsia="zh-CN"/>
          <w14:textFill>
            <w14:solidFill>
              <w14:schemeClr w14:val="tx1"/>
            </w14:solidFill>
          </w14:textFill>
        </w:rPr>
        <w:t>预测</w:t>
      </w:r>
      <w:r>
        <w:rPr>
          <w:rFonts w:hint="eastAsia" w:ascii="宋体" w:hAnsi="宋体" w:cs="宋体"/>
          <w:strike w:val="0"/>
          <w:dstrike w:val="0"/>
          <w:color w:val="000000" w:themeColor="text1"/>
          <w:highlight w:val="none"/>
          <w14:textFill>
            <w14:solidFill>
              <w14:schemeClr w14:val="tx1"/>
            </w14:solidFill>
          </w14:textFill>
        </w:rPr>
        <w:t>汽车保有量</w:t>
      </w:r>
      <w:r>
        <w:rPr>
          <w:rFonts w:hint="eastAsia" w:ascii="宋体" w:hAnsi="宋体" w:cs="宋体"/>
          <w:strike w:val="0"/>
          <w:dstrike w:val="0"/>
          <w:color w:val="000000" w:themeColor="text1"/>
          <w:highlight w:val="none"/>
          <w:lang w:val="en-US" w:eastAsia="zh-CN"/>
          <w14:textFill>
            <w14:solidFill>
              <w14:schemeClr w14:val="tx1"/>
            </w14:solidFill>
          </w14:textFill>
        </w:rPr>
        <w:t>为92.1万辆，</w:t>
      </w:r>
      <w:r>
        <w:rPr>
          <w:rFonts w:hint="eastAsia" w:ascii="宋体" w:hAnsi="宋体" w:cs="宋体"/>
          <w:strike w:val="0"/>
          <w:dstrike w:val="0"/>
          <w:color w:val="000000" w:themeColor="text1"/>
          <w:highlight w:val="none"/>
          <w14:textFill>
            <w14:solidFill>
              <w14:schemeClr w14:val="tx1"/>
            </w14:solidFill>
          </w14:textFill>
        </w:rPr>
        <w:t>以增长量</w:t>
      </w:r>
      <w:r>
        <w:rPr>
          <w:rFonts w:hint="eastAsia" w:ascii="宋体" w:hAnsi="宋体" w:cs="宋体"/>
          <w:strike w:val="0"/>
          <w:dstrike w:val="0"/>
          <w:color w:val="000000" w:themeColor="text1"/>
          <w:highlight w:val="none"/>
          <w:lang w:val="en-US" w:eastAsia="zh-CN"/>
          <w14:textFill>
            <w14:solidFill>
              <w14:schemeClr w14:val="tx1"/>
            </w14:solidFill>
          </w14:textFill>
        </w:rPr>
        <w:t>预测</w:t>
      </w:r>
      <w:r>
        <w:rPr>
          <w:rFonts w:hint="eastAsia" w:ascii="宋体" w:hAnsi="宋体" w:cs="宋体"/>
          <w:strike w:val="0"/>
          <w:dstrike w:val="0"/>
          <w:color w:val="000000" w:themeColor="text1"/>
          <w:highlight w:val="none"/>
          <w14:textFill>
            <w14:solidFill>
              <w14:schemeClr w14:val="tx1"/>
            </w14:solidFill>
          </w14:textFill>
        </w:rPr>
        <w:t>汽车保有量</w:t>
      </w:r>
      <w:r>
        <w:rPr>
          <w:rFonts w:hint="eastAsia" w:ascii="宋体" w:hAnsi="宋体" w:cs="宋体"/>
          <w:strike w:val="0"/>
          <w:dstrike w:val="0"/>
          <w:color w:val="000000" w:themeColor="text1"/>
          <w:highlight w:val="none"/>
          <w:lang w:val="en-US" w:eastAsia="zh-CN"/>
          <w14:textFill>
            <w14:solidFill>
              <w14:schemeClr w14:val="tx1"/>
            </w14:solidFill>
          </w14:textFill>
        </w:rPr>
        <w:t>为86.8万辆</w:t>
      </w:r>
    </w:p>
    <w:p>
      <w:pPr>
        <w:pStyle w:val="22"/>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（2）相关经济法。</w:t>
      </w:r>
    </w:p>
    <w:p>
      <w:pPr>
        <w:pStyle w:val="22"/>
        <w:ind w:firstLine="480"/>
        <w:rPr>
          <w:rFonts w:hint="default" w:ascii="宋体" w:hAnsi="宋体" w:cs="宋体"/>
          <w:strike w:val="0"/>
          <w:dstrike w:val="0"/>
          <w:color w:val="000000" w:themeColor="text1"/>
          <w:highlight w:val="none"/>
          <w:lang w:val="en-US"/>
          <w14:textFill>
            <w14:solidFill>
              <w14:schemeClr w14:val="tx1"/>
            </w14:solidFill>
          </w14:textFill>
        </w:rPr>
      </w:pPr>
      <w:r>
        <w:rPr>
          <w:rFonts w:hint="eastAsia" w:ascii="宋体" w:hAnsi="宋体" w:cs="宋体"/>
          <w:strike w:val="0"/>
          <w:dstrike w:val="0"/>
          <w:color w:val="000000" w:themeColor="text1"/>
          <w:highlight w:val="none"/>
          <w:lang w:val="en-US" w:eastAsia="zh-CN"/>
          <w14:textFill>
            <w14:solidFill>
              <w14:schemeClr w14:val="tx1"/>
            </w14:solidFill>
          </w14:textFill>
        </w:rPr>
        <w:t>到2030年，以单位</w:t>
      </w:r>
      <w:r>
        <w:rPr>
          <w:rFonts w:hint="eastAsia" w:ascii="宋体" w:hAnsi="宋体" w:cs="宋体"/>
          <w:strike w:val="0"/>
          <w:dstrike w:val="0"/>
          <w:color w:val="000000" w:themeColor="text1"/>
          <w:highlight w:val="none"/>
          <w14:textFill>
            <w14:solidFill>
              <w14:schemeClr w14:val="tx1"/>
            </w14:solidFill>
          </w14:textFill>
        </w:rPr>
        <w:t>人均地区生产总值保有量</w:t>
      </w:r>
      <w:r>
        <w:rPr>
          <w:rFonts w:hint="eastAsia" w:ascii="宋体" w:hAnsi="宋体" w:cs="宋体"/>
          <w:strike w:val="0"/>
          <w:dstrike w:val="0"/>
          <w:color w:val="000000" w:themeColor="text1"/>
          <w:highlight w:val="none"/>
          <w:lang w:val="en-US" w:eastAsia="zh-CN"/>
          <w14:textFill>
            <w14:solidFill>
              <w14:schemeClr w14:val="tx1"/>
            </w14:solidFill>
          </w14:textFill>
        </w:rPr>
        <w:t>预测</w:t>
      </w:r>
      <w:r>
        <w:rPr>
          <w:rFonts w:hint="eastAsia" w:ascii="宋体" w:hAnsi="宋体" w:cs="宋体"/>
          <w:strike w:val="0"/>
          <w:dstrike w:val="0"/>
          <w:color w:val="000000" w:themeColor="text1"/>
          <w:highlight w:val="none"/>
          <w14:textFill>
            <w14:solidFill>
              <w14:schemeClr w14:val="tx1"/>
            </w14:solidFill>
          </w14:textFill>
        </w:rPr>
        <w:t>汽车保有量</w:t>
      </w:r>
      <w:r>
        <w:rPr>
          <w:rFonts w:hint="eastAsia" w:ascii="宋体" w:hAnsi="宋体" w:cs="宋体"/>
          <w:strike w:val="0"/>
          <w:dstrike w:val="0"/>
          <w:color w:val="000000" w:themeColor="text1"/>
          <w:highlight w:val="none"/>
          <w:lang w:val="en-US" w:eastAsia="zh-CN"/>
          <w14:textFill>
            <w14:solidFill>
              <w14:schemeClr w14:val="tx1"/>
            </w14:solidFill>
          </w14:textFill>
        </w:rPr>
        <w:t>为90.4万辆，以千人汽车保有量年递增量预测</w:t>
      </w:r>
      <w:r>
        <w:rPr>
          <w:rFonts w:hint="eastAsia" w:ascii="宋体" w:hAnsi="宋体" w:cs="宋体"/>
          <w:strike w:val="0"/>
          <w:dstrike w:val="0"/>
          <w:color w:val="000000" w:themeColor="text1"/>
          <w:highlight w:val="none"/>
          <w14:textFill>
            <w14:solidFill>
              <w14:schemeClr w14:val="tx1"/>
            </w14:solidFill>
          </w14:textFill>
        </w:rPr>
        <w:t>汽车保有量</w:t>
      </w:r>
      <w:r>
        <w:rPr>
          <w:rFonts w:hint="eastAsia" w:ascii="宋体" w:hAnsi="宋体" w:cs="宋体"/>
          <w:strike w:val="0"/>
          <w:dstrike w:val="0"/>
          <w:color w:val="000000" w:themeColor="text1"/>
          <w:highlight w:val="none"/>
          <w:lang w:val="en-US" w:eastAsia="zh-CN"/>
          <w14:textFill>
            <w14:solidFill>
              <w14:schemeClr w14:val="tx1"/>
            </w14:solidFill>
          </w14:textFill>
        </w:rPr>
        <w:t>为87.6万辆。</w:t>
      </w:r>
    </w:p>
    <w:p>
      <w:pPr>
        <w:pStyle w:val="22"/>
        <w:ind w:firstLine="480"/>
        <w:rPr>
          <w:rFonts w:hint="eastAsia" w:ascii="宋体" w:hAnsi="宋体" w:cs="宋体"/>
          <w:strike w:val="0"/>
          <w:dstrike w:val="0"/>
          <w:color w:val="000000" w:themeColor="text1"/>
          <w:highlight w:val="none"/>
          <w14:textFill>
            <w14:solidFill>
              <w14:schemeClr w14:val="tx1"/>
            </w14:solidFill>
          </w14:textFill>
        </w:rPr>
      </w:pPr>
      <w:r>
        <w:rPr>
          <w:rFonts w:hint="eastAsia" w:ascii="宋体" w:hAnsi="宋体" w:cs="宋体"/>
          <w:strike w:val="0"/>
          <w:dstrike w:val="0"/>
          <w:color w:val="000000" w:themeColor="text1"/>
          <w:highlight w:val="none"/>
          <w14:textFill>
            <w14:solidFill>
              <w14:schemeClr w14:val="tx1"/>
            </w14:solidFill>
          </w14:textFill>
        </w:rPr>
        <w:t>（3）案例借鉴法。</w:t>
      </w:r>
    </w:p>
    <w:p>
      <w:pPr>
        <w:pStyle w:val="22"/>
        <w:ind w:firstLine="480"/>
        <w:rPr>
          <w:rFonts w:hint="default" w:ascii="宋体" w:hAnsi="宋体" w:cs="宋体"/>
          <w:strike w:val="0"/>
          <w:dstrike w:val="0"/>
          <w:color w:val="000000" w:themeColor="text1"/>
          <w:highlight w:val="none"/>
          <w:lang w:val="en-US"/>
          <w14:textFill>
            <w14:solidFill>
              <w14:schemeClr w14:val="tx1"/>
            </w14:solidFill>
          </w14:textFill>
        </w:rPr>
      </w:pPr>
      <w:r>
        <w:rPr>
          <w:rFonts w:hint="eastAsia" w:ascii="宋体" w:hAnsi="宋体" w:cs="宋体"/>
          <w:strike w:val="0"/>
          <w:dstrike w:val="0"/>
          <w:color w:val="000000" w:themeColor="text1"/>
          <w:highlight w:val="none"/>
          <w:lang w:val="en-US" w:eastAsia="zh-CN"/>
          <w14:textFill>
            <w14:solidFill>
              <w14:schemeClr w14:val="tx1"/>
            </w14:solidFill>
          </w14:textFill>
        </w:rPr>
        <w:t>到2030年，预测</w:t>
      </w:r>
      <w:r>
        <w:rPr>
          <w:rFonts w:hint="eastAsia" w:ascii="宋体" w:hAnsi="宋体" w:cs="宋体"/>
          <w:strike w:val="0"/>
          <w:dstrike w:val="0"/>
          <w:color w:val="000000" w:themeColor="text1"/>
          <w:highlight w:val="none"/>
          <w14:textFill>
            <w14:solidFill>
              <w14:schemeClr w14:val="tx1"/>
            </w14:solidFill>
          </w14:textFill>
        </w:rPr>
        <w:t>汽车保有量</w:t>
      </w:r>
      <w:r>
        <w:rPr>
          <w:rFonts w:hint="eastAsia" w:ascii="宋体" w:hAnsi="宋体" w:cs="宋体"/>
          <w:strike w:val="0"/>
          <w:dstrike w:val="0"/>
          <w:color w:val="000000" w:themeColor="text1"/>
          <w:highlight w:val="none"/>
          <w:lang w:val="en-US" w:eastAsia="zh-CN"/>
          <w14:textFill>
            <w14:solidFill>
              <w14:schemeClr w14:val="tx1"/>
            </w14:solidFill>
          </w14:textFill>
        </w:rPr>
        <w:t>为91.1万辆。</w:t>
      </w:r>
    </w:p>
    <w:p>
      <w:pPr>
        <w:pStyle w:val="22"/>
        <w:ind w:firstLine="480"/>
        <w:rPr>
          <w:rFonts w:ascii="宋体" w:hAnsi="宋体" w:cs="宋体"/>
          <w:strike w:val="0"/>
          <w:dstrike w:val="0"/>
          <w:color w:val="000000" w:themeColor="text1"/>
          <w:highlight w:val="none"/>
          <w:lang w:val="zh-CN"/>
          <w14:textFill>
            <w14:solidFill>
              <w14:schemeClr w14:val="tx1"/>
            </w14:solidFill>
          </w14:textFill>
        </w:rPr>
      </w:pPr>
      <w:r>
        <w:rPr>
          <w:rFonts w:hint="eastAsia" w:ascii="宋体" w:hAnsi="宋体" w:cs="宋体"/>
          <w:strike w:val="0"/>
          <w:dstrike w:val="0"/>
          <w:color w:val="000000" w:themeColor="text1"/>
          <w:highlight w:val="none"/>
          <w:lang w:val="zh-CN"/>
          <w14:textFill>
            <w14:solidFill>
              <w14:schemeClr w14:val="tx1"/>
            </w14:solidFill>
          </w14:textFill>
        </w:rPr>
        <w:t>综合以上方法分析，预测全市汽车保有量，到2030年为</w:t>
      </w:r>
      <w:r>
        <w:rPr>
          <w:rFonts w:hint="eastAsia" w:ascii="宋体" w:hAnsi="宋体" w:cs="宋体"/>
          <w:strike w:val="0"/>
          <w:dstrike w:val="0"/>
          <w:color w:val="000000" w:themeColor="text1"/>
          <w:highlight w:val="none"/>
          <w:lang w:val="en-US" w:eastAsia="zh-CN"/>
          <w14:textFill>
            <w14:solidFill>
              <w14:schemeClr w14:val="tx1"/>
            </w14:solidFill>
          </w14:textFill>
        </w:rPr>
        <w:t>89</w:t>
      </w:r>
      <w:r>
        <w:rPr>
          <w:rFonts w:hint="eastAsia" w:ascii="宋体" w:hAnsi="宋体" w:cs="宋体"/>
          <w:strike w:val="0"/>
          <w:dstrike w:val="0"/>
          <w:color w:val="000000" w:themeColor="text1"/>
          <w:highlight w:val="none"/>
          <w:lang w:val="zh-CN"/>
          <w14:textFill>
            <w14:solidFill>
              <w14:schemeClr w14:val="tx1"/>
            </w14:solidFill>
          </w14:textFill>
        </w:rPr>
        <w:t>万辆。</w:t>
      </w:r>
    </w:p>
    <w:p>
      <w:pPr>
        <w:pStyle w:val="22"/>
        <w:ind w:firstLine="482"/>
        <w:rPr>
          <w:rFonts w:ascii="宋体" w:hAnsi="宋体" w:cs="宋体"/>
          <w:color w:val="000000" w:themeColor="text1"/>
          <w:highlight w:val="none"/>
          <w14:textFill>
            <w14:solidFill>
              <w14:schemeClr w14:val="tx1"/>
            </w14:solidFill>
          </w14:textFill>
        </w:rPr>
      </w:pPr>
      <w:bookmarkStart w:id="208" w:name="_Toc13980"/>
      <w:r>
        <w:rPr>
          <w:rFonts w:hint="eastAsia" w:ascii="宋体" w:hAnsi="宋体" w:cs="宋体"/>
          <w:b/>
          <w:bCs/>
          <w:color w:val="000000" w:themeColor="text1"/>
          <w:highlight w:val="none"/>
          <w14:textFill>
            <w14:solidFill>
              <w14:schemeClr w14:val="tx1"/>
            </w14:solidFill>
          </w14:textFill>
        </w:rPr>
        <w:t>2、电动汽车推广预测。</w:t>
      </w:r>
      <w:r>
        <w:rPr>
          <w:rFonts w:hint="eastAsia" w:ascii="宋体" w:hAnsi="宋体" w:cs="宋体"/>
          <w:color w:val="000000" w:themeColor="text1"/>
          <w:highlight w:val="none"/>
          <w14:textFill>
            <w14:solidFill>
              <w14:schemeClr w14:val="tx1"/>
            </w14:solidFill>
          </w14:textFill>
        </w:rPr>
        <w:t>电动汽车在乐山市的推广时间较短，车辆的统计数据少，</w:t>
      </w:r>
      <w:r>
        <w:rPr>
          <w:rFonts w:hint="eastAsia" w:ascii="宋体" w:hAnsi="宋体" w:cs="宋体"/>
          <w:color w:val="000000" w:themeColor="text1"/>
          <w:highlight w:val="none"/>
          <w:lang w:val="en-US" w:eastAsia="zh-CN"/>
          <w14:textFill>
            <w14:solidFill>
              <w14:schemeClr w14:val="tx1"/>
            </w14:solidFill>
          </w14:textFill>
        </w:rPr>
        <w:t>电动汽车增长受政策驱动因素明显，而</w:t>
      </w:r>
      <w:r>
        <w:rPr>
          <w:rFonts w:hint="eastAsia" w:ascii="宋体" w:hAnsi="宋体" w:cs="宋体"/>
          <w:color w:val="000000" w:themeColor="text1"/>
          <w:highlight w:val="none"/>
          <w14:textFill>
            <w14:solidFill>
              <w14:schemeClr w14:val="tx1"/>
            </w14:solidFill>
          </w14:textFill>
        </w:rPr>
        <w:t>历年</w:t>
      </w:r>
      <w:r>
        <w:rPr>
          <w:rFonts w:hint="eastAsia" w:ascii="宋体" w:hAnsi="宋体" w:cs="宋体"/>
          <w:color w:val="000000" w:themeColor="text1"/>
          <w:highlight w:val="none"/>
          <w:lang w:val="en-US" w:eastAsia="zh-CN"/>
          <w14:textFill>
            <w14:solidFill>
              <w14:schemeClr w14:val="tx1"/>
            </w14:solidFill>
          </w14:textFill>
        </w:rPr>
        <w:t>电动汽车</w:t>
      </w:r>
      <w:r>
        <w:rPr>
          <w:rFonts w:hint="eastAsia" w:ascii="宋体" w:hAnsi="宋体" w:cs="宋体"/>
          <w:color w:val="000000" w:themeColor="text1"/>
          <w:highlight w:val="none"/>
          <w14:textFill>
            <w14:solidFill>
              <w14:schemeClr w14:val="tx1"/>
            </w14:solidFill>
          </w14:textFill>
        </w:rPr>
        <w:t>增长率情况缺乏参照性，与国民经济相关性不大，无法借鉴机动车相关预测方法。</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zh-CN"/>
          <w14:textFill>
            <w14:solidFill>
              <w14:schemeClr w14:val="tx1"/>
            </w14:solidFill>
          </w14:textFill>
        </w:rPr>
        <w:t>《四川省推进电动汽车充电基础设施建设工作实施方案》（川发改能源〔2022〕626号）</w:t>
      </w:r>
      <w:r>
        <w:rPr>
          <w:rFonts w:hint="eastAsia" w:ascii="宋体" w:hAnsi="宋体" w:cs="宋体"/>
          <w:color w:val="000000" w:themeColor="text1"/>
          <w:highlight w:val="none"/>
          <w:shd w:val="clear" w:color="auto" w:fill="FFFFFF"/>
          <w:lang w:val="en-US" w:eastAsia="zh-CN"/>
          <w14:textFill>
            <w14:solidFill>
              <w14:schemeClr w14:val="tx1"/>
            </w14:solidFill>
          </w14:textFill>
        </w:rPr>
        <w:t>明确</w:t>
      </w:r>
      <w:r>
        <w:rPr>
          <w:rFonts w:hint="eastAsia" w:ascii="宋体" w:hAnsi="宋体" w:cs="宋体"/>
          <w:color w:val="000000" w:themeColor="text1"/>
          <w:highlight w:val="none"/>
          <w:lang w:val="en-US" w:eastAsia="zh-CN"/>
          <w14:textFill>
            <w14:solidFill>
              <w14:schemeClr w14:val="tx1"/>
            </w14:solidFill>
          </w14:textFill>
        </w:rPr>
        <w:t>乐山市为</w:t>
      </w:r>
      <w:r>
        <w:rPr>
          <w:rFonts w:hint="eastAsia" w:ascii="宋体" w:hAnsi="宋体" w:cs="宋体"/>
          <w:color w:val="000000" w:themeColor="text1"/>
          <w:highlight w:val="none"/>
          <w:lang w:val="zh-CN"/>
          <w14:textFill>
            <w14:solidFill>
              <w14:schemeClr w14:val="tx1"/>
            </w14:solidFill>
          </w14:textFill>
        </w:rPr>
        <w:t>充</w:t>
      </w:r>
      <w:r>
        <w:rPr>
          <w:rFonts w:hint="eastAsia" w:ascii="宋体" w:hAnsi="宋体" w:cs="宋体"/>
          <w:color w:val="000000" w:themeColor="text1"/>
          <w:highlight w:val="none"/>
          <w:lang w:val="en-US" w:eastAsia="zh-CN"/>
          <w14:textFill>
            <w14:solidFill>
              <w14:schemeClr w14:val="tx1"/>
            </w14:solidFill>
          </w14:textFill>
        </w:rPr>
        <w:t>电基础设施快速发展地区，全市</w:t>
      </w:r>
      <w:r>
        <w:rPr>
          <w:rFonts w:hint="eastAsia" w:ascii="宋体" w:hAnsi="宋体" w:cs="宋体"/>
          <w:color w:val="000000" w:themeColor="text1"/>
          <w:highlight w:val="none"/>
          <w:lang w:val="zh-CN"/>
          <w14:textFill>
            <w14:solidFill>
              <w14:schemeClr w14:val="tx1"/>
            </w14:solidFill>
          </w14:textFill>
        </w:rPr>
        <w:t>电动汽车处于起步阶段，</w:t>
      </w:r>
      <w:r>
        <w:rPr>
          <w:rFonts w:hint="eastAsia" w:ascii="宋体" w:hAnsi="宋体"/>
          <w:color w:val="000000" w:themeColor="text1"/>
          <w:highlight w:val="none"/>
          <w14:textFill>
            <w14:solidFill>
              <w14:schemeClr w14:val="tx1"/>
            </w14:solidFill>
          </w14:textFill>
        </w:rPr>
        <w:t>随着社会经济发展，</w:t>
      </w:r>
      <w:r>
        <w:rPr>
          <w:rFonts w:hint="eastAsia" w:ascii="宋体" w:hAnsi="宋体" w:cs="宋体"/>
          <w:color w:val="000000" w:themeColor="text1"/>
          <w:highlight w:val="none"/>
          <w14:textFill>
            <w14:solidFill>
              <w14:schemeClr w14:val="tx1"/>
            </w14:solidFill>
          </w14:textFill>
        </w:rPr>
        <w:t>充电基础设施的不断完善，</w:t>
      </w:r>
      <w:r>
        <w:rPr>
          <w:rFonts w:hint="eastAsia" w:ascii="宋体" w:hAnsi="宋体"/>
          <w:color w:val="000000" w:themeColor="text1"/>
          <w:highlight w:val="none"/>
          <w14:textFill>
            <w14:solidFill>
              <w14:schemeClr w14:val="tx1"/>
            </w14:solidFill>
          </w14:textFill>
        </w:rPr>
        <w:t>电动汽车示范效应的显现，电动汽车的保有量会进一步增长</w:t>
      </w:r>
      <w:r>
        <w:rPr>
          <w:rFonts w:hint="eastAsia" w:ascii="宋体" w:hAnsi="宋体" w:cs="宋体"/>
          <w:color w:val="000000" w:themeColor="text1"/>
          <w:highlight w:val="none"/>
          <w14:textFill>
            <w14:solidFill>
              <w14:schemeClr w14:val="tx1"/>
            </w14:solidFill>
          </w14:textFill>
        </w:rPr>
        <w:t>。分别采用电动汽车推广比例法和</w:t>
      </w:r>
      <w:r>
        <w:rPr>
          <w:rFonts w:hint="eastAsia" w:ascii="宋体" w:hAnsi="宋体" w:cs="宋体"/>
          <w:color w:val="000000" w:themeColor="text1"/>
          <w:highlight w:val="none"/>
          <w:lang w:val="zh-CN"/>
          <w14:textFill>
            <w14:solidFill>
              <w14:schemeClr w14:val="tx1"/>
            </w14:solidFill>
          </w14:textFill>
        </w:rPr>
        <w:t>比例替代法对乐山市电动汽车</w:t>
      </w:r>
      <w:r>
        <w:rPr>
          <w:rFonts w:hint="eastAsia" w:ascii="宋体" w:hAnsi="宋体" w:cs="宋体"/>
          <w:color w:val="000000" w:themeColor="text1"/>
          <w:highlight w:val="none"/>
          <w:shd w:val="clear" w:color="auto" w:fill="FFFFFF"/>
          <w:lang w:val="zh-CN"/>
          <w14:textFill>
            <w14:solidFill>
              <w14:schemeClr w14:val="tx1"/>
            </w14:solidFill>
          </w14:textFill>
        </w:rPr>
        <w:t>保有量进行预测。</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宋体" w:hAnsi="宋体" w:cs="宋体"/>
          <w:color w:val="000000" w:themeColor="text1"/>
          <w:highlight w:val="none"/>
          <w:shd w:val="clear" w:color="auto" w:fill="FFFFFF"/>
          <w:lang w:val="zh-CN"/>
          <w14:textFill>
            <w14:solidFill>
              <w14:schemeClr w14:val="tx1"/>
            </w14:solidFill>
          </w14:textFill>
        </w:rPr>
      </w:pPr>
      <w:r>
        <w:rPr>
          <w:rFonts w:hint="eastAsia" w:ascii="宋体" w:hAnsi="宋体" w:cs="宋体"/>
          <w:color w:val="000000" w:themeColor="text1"/>
          <w:highlight w:val="none"/>
          <w:shd w:val="clear" w:color="auto" w:fill="FFFFFF"/>
          <w:lang w:val="zh-CN"/>
          <w14:textFill>
            <w14:solidFill>
              <w14:schemeClr w14:val="tx1"/>
            </w14:solidFill>
          </w14:textFill>
        </w:rPr>
        <w:t>（1）电动汽车推广比例法。</w:t>
      </w:r>
    </w:p>
    <w:p>
      <w:pPr>
        <w:pStyle w:val="22"/>
        <w:keepNext w:val="0"/>
        <w:keepLines w:val="0"/>
        <w:pageBreakBefore w:val="0"/>
        <w:widowControl w:val="0"/>
        <w:kinsoku/>
        <w:wordWrap/>
        <w:overflowPunct/>
        <w:topLinePunct w:val="0"/>
        <w:autoSpaceDE/>
        <w:autoSpaceDN/>
        <w:bidi w:val="0"/>
        <w:adjustRightInd/>
        <w:snapToGrid/>
        <w:ind w:firstLine="480"/>
        <w:jc w:val="left"/>
        <w:textAlignment w:val="auto"/>
        <w:rPr>
          <w:rFonts w:hint="eastAsia" w:ascii="楷体_GB2312" w:hAnsi="宋体" w:eastAsia="楷体_GB2312"/>
          <w:b/>
          <w:bCs/>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到2030年，</w:t>
      </w:r>
      <w:r>
        <w:rPr>
          <w:rFonts w:hint="eastAsia" w:ascii="宋体" w:hAnsi="宋体" w:cs="宋体"/>
          <w:strike w:val="0"/>
          <w:dstrike w:val="0"/>
          <w:color w:val="000000" w:themeColor="text1"/>
          <w:highlight w:val="none"/>
          <w:lang w:val="en-US" w:eastAsia="zh-CN"/>
          <w14:textFill>
            <w14:solidFill>
              <w14:schemeClr w14:val="tx1"/>
            </w14:solidFill>
          </w14:textFill>
        </w:rPr>
        <w:t>预测</w:t>
      </w:r>
      <w:r>
        <w:rPr>
          <w:rFonts w:hint="eastAsia" w:ascii="宋体" w:hAnsi="宋体" w:cs="宋体"/>
          <w:color w:val="000000" w:themeColor="text1"/>
          <w:highlight w:val="none"/>
          <w:shd w:val="clear" w:color="auto" w:fill="FFFFFF"/>
          <w:lang w:val="zh-CN"/>
          <w14:textFill>
            <w14:solidFill>
              <w14:schemeClr w14:val="tx1"/>
            </w14:solidFill>
          </w14:textFill>
        </w:rPr>
        <w:t>电动汽车保有量</w:t>
      </w:r>
      <w:r>
        <w:rPr>
          <w:rFonts w:hint="eastAsia" w:ascii="宋体" w:hAnsi="宋体" w:cs="宋体"/>
          <w:color w:val="000000" w:themeColor="text1"/>
          <w:highlight w:val="none"/>
          <w:shd w:val="clear" w:color="auto" w:fill="FFFFFF"/>
          <w:lang w:val="en-US" w:eastAsia="zh-CN"/>
          <w14:textFill>
            <w14:solidFill>
              <w14:schemeClr w14:val="tx1"/>
            </w14:solidFill>
          </w14:textFill>
        </w:rPr>
        <w:t>为22.25</w:t>
      </w:r>
      <w:r>
        <w:rPr>
          <w:rFonts w:hint="eastAsia" w:ascii="宋体" w:hAnsi="宋体" w:cs="宋体"/>
          <w:color w:val="000000" w:themeColor="text1"/>
          <w:highlight w:val="none"/>
          <w:shd w:val="clear" w:color="auto" w:fill="FFFFFF"/>
          <w:lang w:val="zh-CN"/>
          <w14:textFill>
            <w14:solidFill>
              <w14:schemeClr w14:val="tx1"/>
            </w14:solidFill>
          </w14:textFill>
        </w:rPr>
        <w:t>万辆</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p>
    <w:p>
      <w:pPr>
        <w:bidi w:val="0"/>
        <w:rPr>
          <w:rFonts w:hint="eastAsia"/>
          <w:lang w:val="zh-CN"/>
        </w:rPr>
      </w:pPr>
      <w:r>
        <w:drawing>
          <wp:inline distT="0" distB="0" distL="114300" distR="114300">
            <wp:extent cx="5711825" cy="3449320"/>
            <wp:effectExtent l="0" t="0" r="3175" b="17780"/>
            <wp:docPr id="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22"/>
        <w:ind w:firstLine="48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（2）比例替代法。</w:t>
      </w:r>
    </w:p>
    <w:p>
      <w:pPr>
        <w:pStyle w:val="22"/>
        <w:ind w:firstLine="480"/>
        <w:rPr>
          <w:rFonts w:hint="eastAsia" w:ascii="宋体" w:hAnsi="宋体" w:cs="宋体"/>
          <w:color w:val="000000" w:themeColor="text1"/>
          <w:highlight w:val="none"/>
          <w:shd w:val="clear" w:color="auto" w:fill="FFFFFF"/>
          <w:lang w:val="zh-CN" w:eastAsia="zh-CN"/>
          <w14:textFill>
            <w14:solidFill>
              <w14:schemeClr w14:val="tx1"/>
            </w14:solidFill>
          </w14:textFill>
        </w:rPr>
      </w:pPr>
      <w:r>
        <w:rPr>
          <w:rFonts w:hint="eastAsia" w:ascii="宋体" w:hAnsi="宋体" w:cs="宋体"/>
          <w:color w:val="000000" w:themeColor="text1"/>
          <w:highlight w:val="none"/>
          <w:shd w:val="clear" w:color="auto" w:fill="FFFFFF"/>
          <w:lang w:val="en-US" w:eastAsia="zh-CN"/>
          <w14:textFill>
            <w14:solidFill>
              <w14:schemeClr w14:val="tx1"/>
            </w14:solidFill>
          </w14:textFill>
        </w:rPr>
        <w:t>到2030年，</w:t>
      </w:r>
      <w:r>
        <w:rPr>
          <w:rFonts w:hint="eastAsia" w:ascii="宋体" w:hAnsi="宋体" w:cs="宋体"/>
          <w:strike w:val="0"/>
          <w:dstrike w:val="0"/>
          <w:color w:val="000000" w:themeColor="text1"/>
          <w:highlight w:val="none"/>
          <w:lang w:val="en-US" w:eastAsia="zh-CN"/>
          <w14:textFill>
            <w14:solidFill>
              <w14:schemeClr w14:val="tx1"/>
            </w14:solidFill>
          </w14:textFill>
        </w:rPr>
        <w:t>预测</w:t>
      </w:r>
      <w:r>
        <w:rPr>
          <w:rFonts w:hint="eastAsia" w:ascii="宋体" w:hAnsi="宋体" w:cs="宋体"/>
          <w:color w:val="000000" w:themeColor="text1"/>
          <w:highlight w:val="none"/>
          <w:shd w:val="clear" w:color="auto" w:fill="FFFFFF"/>
          <w:lang w:val="zh-CN"/>
          <w14:textFill>
            <w14:solidFill>
              <w14:schemeClr w14:val="tx1"/>
            </w14:solidFill>
          </w14:textFill>
        </w:rPr>
        <w:t>电动汽车保有量</w:t>
      </w:r>
      <w:r>
        <w:rPr>
          <w:rFonts w:hint="eastAsia" w:ascii="宋体" w:hAnsi="宋体" w:cs="宋体"/>
          <w:color w:val="000000" w:themeColor="text1"/>
          <w:highlight w:val="none"/>
          <w:shd w:val="clear" w:color="auto" w:fill="FFFFFF"/>
          <w:lang w:val="en-US" w:eastAsia="zh-CN"/>
          <w14:textFill>
            <w14:solidFill>
              <w14:schemeClr w14:val="tx1"/>
            </w14:solidFill>
          </w14:textFill>
        </w:rPr>
        <w:t>为15.49</w:t>
      </w:r>
      <w:r>
        <w:rPr>
          <w:rFonts w:hint="eastAsia" w:ascii="宋体" w:hAnsi="宋体" w:cs="宋体"/>
          <w:color w:val="000000" w:themeColor="text1"/>
          <w:highlight w:val="none"/>
          <w:shd w:val="clear" w:color="auto" w:fill="FFFFFF"/>
          <w:lang w:val="zh-CN"/>
          <w14:textFill>
            <w14:solidFill>
              <w14:schemeClr w14:val="tx1"/>
            </w14:solidFill>
          </w14:textFill>
        </w:rPr>
        <w:t>万辆</w:t>
      </w:r>
      <w:r>
        <w:rPr>
          <w:rFonts w:hint="eastAsia" w:ascii="宋体" w:hAnsi="宋体" w:cs="宋体"/>
          <w:color w:val="000000" w:themeColor="text1"/>
          <w:highlight w:val="none"/>
          <w:shd w:val="clear" w:color="auto" w:fill="FFFFFF"/>
          <w:lang w:val="zh-CN" w:eastAsia="zh-CN"/>
          <w14:textFill>
            <w14:solidFill>
              <w14:schemeClr w14:val="tx1"/>
            </w14:solidFill>
          </w14:textFill>
        </w:rPr>
        <w:t>。</w:t>
      </w:r>
    </w:p>
    <w:p>
      <w:pPr>
        <w:pStyle w:val="22"/>
        <w:ind w:firstLine="48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综合以上方法分析，预测全市电动汽车保有量，到2030年为</w:t>
      </w:r>
      <w:r>
        <w:rPr>
          <w:rFonts w:hint="eastAsia" w:ascii="宋体" w:hAnsi="宋体" w:cs="宋体"/>
          <w:color w:val="000000" w:themeColor="text1"/>
          <w:highlight w:val="none"/>
          <w:lang w:val="en-US" w:eastAsia="zh-CN"/>
          <w14:textFill>
            <w14:solidFill>
              <w14:schemeClr w14:val="tx1"/>
            </w14:solidFill>
          </w14:textFill>
        </w:rPr>
        <w:t>175000</w:t>
      </w:r>
      <w:r>
        <w:rPr>
          <w:rFonts w:hint="eastAsia" w:ascii="宋体" w:hAnsi="宋体" w:cs="宋体"/>
          <w:color w:val="000000" w:themeColor="text1"/>
          <w:highlight w:val="none"/>
          <w14:textFill>
            <w14:solidFill>
              <w14:schemeClr w14:val="tx1"/>
            </w14:solidFill>
          </w14:textFill>
        </w:rPr>
        <w:t>辆。</w:t>
      </w:r>
    </w:p>
    <w:p>
      <w:pPr>
        <w:pStyle w:val="21"/>
        <w:rPr>
          <w:rFonts w:hint="default" w:eastAsia="黑体"/>
          <w:color w:val="000000" w:themeColor="text1"/>
          <w:highlight w:val="none"/>
          <w:lang w:val="en-US" w:eastAsia="zh-CN"/>
          <w14:textFill>
            <w14:solidFill>
              <w14:schemeClr w14:val="tx1"/>
            </w14:solidFill>
          </w14:textFill>
        </w:rPr>
      </w:pPr>
      <w:bookmarkStart w:id="209" w:name="_Toc2310"/>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 xml:space="preserve">节 </w:t>
      </w:r>
      <w:r>
        <w:rPr>
          <w:rFonts w:hint="eastAsia"/>
          <w:color w:val="000000" w:themeColor="text1"/>
          <w:highlight w:val="none"/>
          <w:lang w:val="en-US" w:eastAsia="zh-CN"/>
          <w14:textFill>
            <w14:solidFill>
              <w14:schemeClr w14:val="tx1"/>
            </w14:solidFill>
          </w14:textFill>
        </w:rPr>
        <w:t>充电设施需求预测</w:t>
      </w:r>
      <w:bookmarkEnd w:id="208"/>
      <w:bookmarkEnd w:id="209"/>
    </w:p>
    <w:p>
      <w:pPr>
        <w:pStyle w:val="22"/>
        <w:ind w:firstLine="482"/>
        <w:rPr>
          <w:rFonts w:hint="eastAsia" w:ascii="宋体" w:hAnsi="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1、充电基础设施配置标准。</w:t>
      </w:r>
      <w:r>
        <w:rPr>
          <w:rFonts w:hint="eastAsia" w:ascii="宋体" w:hAnsi="宋体"/>
          <w:color w:val="000000" w:themeColor="text1"/>
          <w:highlight w:val="none"/>
          <w14:textFill>
            <w14:solidFill>
              <w14:schemeClr w14:val="tx1"/>
            </w14:solidFill>
          </w14:textFill>
        </w:rPr>
        <w:t>目前，全市电动汽车充电基础设施分为自用、专用、公共三大类。</w:t>
      </w:r>
    </w:p>
    <w:p>
      <w:pPr>
        <w:pStyle w:val="22"/>
        <w:ind w:firstLine="482"/>
        <w:rPr>
          <w:rFonts w:hint="eastAsia" w:ascii="宋体" w:hAnsi="宋体" w:eastAsia="宋体" w:cs="Times New Roman"/>
          <w:color w:val="000000" w:themeColor="text1"/>
          <w:highlight w:val="none"/>
          <w14:textFill>
            <w14:solidFill>
              <w14:schemeClr w14:val="tx1"/>
            </w14:solidFill>
          </w14:textFill>
        </w:rPr>
      </w:pPr>
      <w:bookmarkStart w:id="210" w:name="_Toc6751"/>
      <w:r>
        <w:rPr>
          <w:rFonts w:hint="eastAsia" w:ascii="宋体" w:hAnsi="宋体" w:eastAsia="宋体" w:cs="Times New Roman"/>
          <w:color w:val="000000" w:themeColor="text1"/>
          <w:highlight w:val="none"/>
          <w:lang w:val="en-US" w:eastAsia="zh-CN"/>
          <w14:textFill>
            <w14:solidFill>
              <w14:schemeClr w14:val="tx1"/>
            </w14:solidFill>
          </w14:textFill>
        </w:rPr>
        <w:t>根据</w:t>
      </w:r>
      <w:r>
        <w:rPr>
          <w:rFonts w:hint="eastAsia" w:ascii="宋体" w:hAnsi="宋体" w:cs="宋体"/>
          <w:color w:val="000000" w:themeColor="text1"/>
          <w:highlight w:val="none"/>
          <w:shd w:val="clear" w:color="auto" w:fill="FFFFFF"/>
          <w:lang w:val="zh-CN"/>
          <w14:textFill>
            <w14:solidFill>
              <w14:schemeClr w14:val="tx1"/>
            </w14:solidFill>
          </w14:textFill>
        </w:rPr>
        <w:t>《四川省发展和改革委员会 四川省能源局关于印发</w:t>
      </w:r>
      <w:r>
        <w:rPr>
          <w:rFonts w:hint="eastAsia" w:ascii="宋体" w:hAnsi="宋体" w:cs="宋体"/>
          <w:color w:val="000000" w:themeColor="text1"/>
          <w:highlight w:val="none"/>
          <w:shd w:val="clear" w:color="auto" w:fill="FFFFFF"/>
          <w:lang w:val="en-US" w:eastAsia="zh-CN"/>
          <w14:textFill>
            <w14:solidFill>
              <w14:schemeClr w14:val="tx1"/>
            </w14:solidFill>
          </w14:textFill>
        </w:rPr>
        <w:t>&lt;</w:t>
      </w:r>
      <w:r>
        <w:rPr>
          <w:rFonts w:hint="eastAsia" w:ascii="宋体" w:hAnsi="宋体" w:cs="宋体"/>
          <w:color w:val="000000" w:themeColor="text1"/>
          <w:highlight w:val="none"/>
          <w:shd w:val="clear" w:color="auto" w:fill="FFFFFF"/>
          <w:lang w:val="zh-CN"/>
          <w14:textFill>
            <w14:solidFill>
              <w14:schemeClr w14:val="tx1"/>
            </w14:solidFill>
          </w14:textFill>
        </w:rPr>
        <w:t>四川省充电基础设施建设运营管理办法</w:t>
      </w:r>
      <w:r>
        <w:rPr>
          <w:rFonts w:hint="eastAsia" w:ascii="宋体" w:hAnsi="宋体" w:cs="宋体"/>
          <w:color w:val="000000" w:themeColor="text1"/>
          <w:highlight w:val="none"/>
          <w:shd w:val="clear" w:color="auto" w:fill="FFFFFF"/>
          <w:lang w:val="en-US" w:eastAsia="zh-CN"/>
          <w14:textFill>
            <w14:solidFill>
              <w14:schemeClr w14:val="tx1"/>
            </w14:solidFill>
          </w14:textFill>
        </w:rPr>
        <w:t>&gt;</w:t>
      </w:r>
      <w:r>
        <w:rPr>
          <w:rFonts w:hint="eastAsia" w:ascii="宋体" w:hAnsi="宋体" w:cs="宋体"/>
          <w:color w:val="000000" w:themeColor="text1"/>
          <w:highlight w:val="none"/>
          <w:shd w:val="clear" w:color="auto" w:fill="FFFFFF"/>
          <w:lang w:val="zh-CN"/>
          <w14:textFill>
            <w14:solidFill>
              <w14:schemeClr w14:val="tx1"/>
            </w14:solidFill>
          </w14:textFill>
        </w:rPr>
        <w:t>的通知》（川发改能源规〔2023〕137号）</w:t>
      </w:r>
      <w:r>
        <w:rPr>
          <w:rFonts w:hint="eastAsia" w:ascii="宋体" w:hAnsi="宋体" w:eastAsia="宋体" w:cs="Times New Roman"/>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充电基础设施是指为电动汽车提供充（换）电服务的自用充电桩、公（专）用充电桩、集中式充（换）电站及其接入电网的相关设施，主要包括：</w:t>
      </w:r>
    </w:p>
    <w:p>
      <w:pPr>
        <w:pStyle w:val="22"/>
        <w:ind w:firstLine="482"/>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自用充电桩，指在个人用户所有或长期租赁（一年及以上）的固定停车位安装，专门为其停放的电动汽车充电的充电基础设施。</w:t>
      </w:r>
    </w:p>
    <w:p>
      <w:pPr>
        <w:pStyle w:val="22"/>
        <w:ind w:firstLine="482"/>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公用充电桩，指在独立地块、社会公共停车场、住宅小区公共停车场、商业建筑物及酒店配建停车场、加油（气）站、公路服务区、医院、园区景区等区域规划建设，面向社会车辆提供充电服务的充电基础设施。</w:t>
      </w:r>
    </w:p>
    <w:p>
      <w:pPr>
        <w:pStyle w:val="22"/>
        <w:ind w:firstLine="482"/>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专用充电桩，指在党政机关、企（事）业单位、社会团体、园区等专属停车位，为公务车辆、员工车辆等提供专属充电服务的充电基础设施，以及在公交车、客运汽车、</w:t>
      </w:r>
      <w:r>
        <w:rPr>
          <w:rFonts w:hint="eastAsia" w:ascii="宋体" w:hAnsi="宋体" w:eastAsia="宋体" w:cs="Times New Roman"/>
          <w:color w:val="000000" w:themeColor="text1"/>
          <w:highlight w:val="none"/>
          <w:lang w:val="zh-CN" w:eastAsia="zh-CN"/>
          <w14:textFill>
            <w14:solidFill>
              <w14:schemeClr w14:val="tx1"/>
            </w14:solidFill>
          </w14:textFill>
        </w:rPr>
        <w:t>出租车</w:t>
      </w:r>
      <w:r>
        <w:rPr>
          <w:rFonts w:hint="eastAsia" w:ascii="宋体" w:hAnsi="宋体" w:eastAsia="宋体" w:cs="Times New Roman"/>
          <w:color w:val="000000" w:themeColor="text1"/>
          <w:highlight w:val="none"/>
          <w14:textFill>
            <w14:solidFill>
              <w14:schemeClr w14:val="tx1"/>
            </w14:solidFill>
          </w14:textFill>
        </w:rPr>
        <w:t>、环卫、物流等专用车站场所建设，为专用车辆等提供专属充电服务的充电基础设施。</w:t>
      </w:r>
    </w:p>
    <w:p>
      <w:pPr>
        <w:pStyle w:val="22"/>
        <w:ind w:firstLine="482"/>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集中式充（换）电站，指独立占地且符合用地规划，为特定型号或几种型号、特定领域或几个领域的车辆提供充（换）电服务的充电基础设施。</w:t>
      </w:r>
    </w:p>
    <w:p>
      <w:pPr>
        <w:pStyle w:val="22"/>
        <w:ind w:firstLine="482"/>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2、充电基础设施需求预测。</w:t>
      </w:r>
      <w:r>
        <w:rPr>
          <w:rFonts w:hint="eastAsia" w:ascii="宋体" w:hAnsi="宋体" w:eastAsia="宋体" w:cs="Times New Roman"/>
          <w:color w:val="000000" w:themeColor="text1"/>
          <w:highlight w:val="none"/>
          <w14:textFill>
            <w14:solidFill>
              <w14:schemeClr w14:val="tx1"/>
            </w14:solidFill>
          </w14:textFill>
        </w:rPr>
        <w:t>依据电动汽车保有量规模预测结果，按照各类型充电基础设施配置</w:t>
      </w:r>
      <w:r>
        <w:rPr>
          <w:rFonts w:hint="eastAsia" w:ascii="宋体" w:hAnsi="宋体" w:eastAsia="宋体" w:cs="Times New Roman"/>
          <w:color w:val="000000" w:themeColor="text1"/>
          <w:highlight w:val="none"/>
          <w:lang w:val="en-US" w:eastAsia="zh-CN"/>
          <w14:textFill>
            <w14:solidFill>
              <w14:schemeClr w14:val="tx1"/>
            </w14:solidFill>
          </w14:textFill>
        </w:rPr>
        <w:t>需求</w:t>
      </w:r>
      <w:r>
        <w:rPr>
          <w:rFonts w:hint="eastAsia" w:ascii="宋体" w:hAnsi="宋体" w:eastAsia="宋体" w:cs="Times New Roman"/>
          <w:color w:val="000000" w:themeColor="text1"/>
          <w:highlight w:val="none"/>
          <w14:textFill>
            <w14:solidFill>
              <w14:schemeClr w14:val="tx1"/>
            </w14:solidFill>
          </w14:textFill>
        </w:rPr>
        <w:t>，预测全市充电基础设施</w:t>
      </w:r>
      <w:r>
        <w:rPr>
          <w:rFonts w:hint="eastAsia" w:ascii="宋体" w:hAnsi="宋体" w:eastAsia="宋体" w:cs="Times New Roman"/>
          <w:color w:val="000000" w:themeColor="text1"/>
          <w:highlight w:val="none"/>
          <w:lang w:eastAsia="zh-CN"/>
          <w14:textFill>
            <w14:solidFill>
              <w14:schemeClr w14:val="tx1"/>
            </w14:solidFill>
          </w14:textFill>
        </w:rPr>
        <w:t>最大</w:t>
      </w:r>
      <w:r>
        <w:rPr>
          <w:rFonts w:hint="eastAsia" w:ascii="宋体" w:hAnsi="宋体" w:eastAsia="宋体" w:cs="Times New Roman"/>
          <w:color w:val="000000" w:themeColor="text1"/>
          <w:highlight w:val="none"/>
          <w14:textFill>
            <w14:solidFill>
              <w14:schemeClr w14:val="tx1"/>
            </w14:solidFill>
          </w14:textFill>
        </w:rPr>
        <w:t>需求量。</w:t>
      </w:r>
      <w:r>
        <w:rPr>
          <w:rFonts w:hint="eastAsia" w:ascii="宋体" w:hAnsi="宋体" w:cs="Times New Roman"/>
          <w:color w:val="000000" w:themeColor="text1"/>
          <w:highlight w:val="none"/>
          <w:lang w:eastAsia="zh-CN"/>
          <w14:textFill>
            <w14:solidFill>
              <w14:schemeClr w14:val="tx1"/>
            </w14:solidFill>
          </w14:textFill>
        </w:rPr>
        <w:t>预计</w:t>
      </w:r>
      <w:r>
        <w:rPr>
          <w:rFonts w:hint="eastAsia" w:ascii="宋体" w:hAnsi="宋体" w:eastAsia="宋体" w:cs="Times New Roman"/>
          <w:color w:val="000000" w:themeColor="text1"/>
          <w:highlight w:val="none"/>
          <w14:textFill>
            <w14:solidFill>
              <w14:schemeClr w14:val="tx1"/>
            </w14:solidFill>
          </w14:textFill>
        </w:rPr>
        <w:t>2030年需充电桩</w:t>
      </w:r>
      <w:r>
        <w:rPr>
          <w:rFonts w:hint="eastAsia" w:ascii="宋体" w:hAnsi="宋体" w:eastAsia="宋体" w:cs="宋体"/>
          <w:i w:val="0"/>
          <w:iCs w:val="0"/>
          <w:color w:val="000000"/>
          <w:kern w:val="0"/>
          <w:sz w:val="24"/>
          <w:szCs w:val="24"/>
          <w:u w:val="none"/>
          <w:lang w:val="en-US" w:eastAsia="zh-CN" w:bidi="ar"/>
        </w:rPr>
        <w:t>11</w:t>
      </w:r>
      <w:r>
        <w:rPr>
          <w:rFonts w:hint="eastAsia" w:ascii="宋体" w:hAnsi="宋体" w:cs="宋体"/>
          <w:i w:val="0"/>
          <w:iCs w:val="0"/>
          <w:color w:val="000000"/>
          <w:kern w:val="0"/>
          <w:sz w:val="24"/>
          <w:szCs w:val="24"/>
          <w:u w:val="none"/>
          <w:lang w:val="en-US" w:eastAsia="zh-CN" w:bidi="ar"/>
        </w:rPr>
        <w:t>6590</w:t>
      </w:r>
      <w:r>
        <w:rPr>
          <w:rFonts w:hint="eastAsia" w:ascii="宋体" w:hAnsi="宋体" w:eastAsia="宋体" w:cs="Times New Roman"/>
          <w:color w:val="000000" w:themeColor="text1"/>
          <w:highlight w:val="none"/>
          <w14:textFill>
            <w14:solidFill>
              <w14:schemeClr w14:val="tx1"/>
            </w14:solidFill>
          </w14:textFill>
        </w:rPr>
        <w:t>个。</w:t>
      </w:r>
    </w:p>
    <w:p>
      <w:pPr>
        <w:pStyle w:val="17"/>
        <w:rPr>
          <w:rFonts w:hint="eastAsia"/>
          <w:color w:val="000000" w:themeColor="text1"/>
          <w:highlight w:val="none"/>
          <w14:textFill>
            <w14:solidFill>
              <w14:schemeClr w14:val="tx1"/>
            </w14:solidFill>
          </w14:textFill>
        </w:rPr>
      </w:pPr>
      <w:bookmarkStart w:id="211" w:name="_Toc27939"/>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五</w:t>
      </w:r>
      <w:r>
        <w:rPr>
          <w:rFonts w:hint="eastAsia"/>
          <w:color w:val="000000" w:themeColor="text1"/>
          <w:highlight w:val="none"/>
          <w14:textFill>
            <w14:solidFill>
              <w14:schemeClr w14:val="tx1"/>
            </w14:solidFill>
          </w14:textFill>
        </w:rPr>
        <w:t xml:space="preserve">章 </w:t>
      </w:r>
      <w:bookmarkEnd w:id="198"/>
      <w:bookmarkEnd w:id="199"/>
      <w:bookmarkEnd w:id="200"/>
      <w:bookmarkEnd w:id="201"/>
      <w:r>
        <w:rPr>
          <w:rFonts w:hint="eastAsia"/>
          <w:color w:val="000000" w:themeColor="text1"/>
          <w:highlight w:val="none"/>
          <w14:textFill>
            <w14:solidFill>
              <w14:schemeClr w14:val="tx1"/>
            </w14:solidFill>
          </w14:textFill>
        </w:rPr>
        <w:t>发展策略与规划目标</w:t>
      </w:r>
      <w:bookmarkEnd w:id="210"/>
      <w:bookmarkEnd w:id="211"/>
    </w:p>
    <w:p>
      <w:pPr>
        <w:pStyle w:val="21"/>
        <w:rPr>
          <w:color w:val="000000" w:themeColor="text1"/>
          <w:highlight w:val="none"/>
          <w14:textFill>
            <w14:solidFill>
              <w14:schemeClr w14:val="tx1"/>
            </w14:solidFill>
          </w14:textFill>
        </w:rPr>
      </w:pPr>
      <w:bookmarkStart w:id="212" w:name="_Toc24664"/>
      <w:bookmarkStart w:id="213" w:name="_Toc8187"/>
      <w:bookmarkStart w:id="214" w:name="_Toc2860"/>
      <w:bookmarkStart w:id="215" w:name="_Toc25082"/>
      <w:bookmarkStart w:id="216" w:name="_Toc21809"/>
      <w:bookmarkStart w:id="217" w:name="_Toc16465"/>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 xml:space="preserve">节 </w:t>
      </w:r>
      <w:bookmarkEnd w:id="212"/>
      <w:bookmarkEnd w:id="213"/>
      <w:bookmarkEnd w:id="214"/>
      <w:bookmarkEnd w:id="215"/>
      <w:r>
        <w:rPr>
          <w:rFonts w:hint="eastAsia"/>
          <w:color w:val="000000" w:themeColor="text1"/>
          <w:highlight w:val="none"/>
          <w14:textFill>
            <w14:solidFill>
              <w14:schemeClr w14:val="tx1"/>
            </w14:solidFill>
          </w14:textFill>
        </w:rPr>
        <w:t>发展策略</w:t>
      </w:r>
      <w:bookmarkEnd w:id="216"/>
      <w:bookmarkEnd w:id="217"/>
    </w:p>
    <w:p>
      <w:pPr>
        <w:spacing w:line="360" w:lineRule="auto"/>
        <w:ind w:firstLine="562" w:firstLineChars="200"/>
        <w:rPr>
          <w:rFonts w:hint="eastAsia" w:ascii="宋体" w:hAnsi="宋体" w:cs="宋体"/>
          <w:bCs/>
          <w:color w:val="000000" w:themeColor="text1"/>
          <w:sz w:val="24"/>
          <w:highlight w:val="none"/>
          <w14:textFill>
            <w14:solidFill>
              <w14:schemeClr w14:val="tx1"/>
            </w14:solidFill>
          </w14:textFill>
        </w:rPr>
      </w:pPr>
      <w:bookmarkStart w:id="218" w:name="_Toc12615"/>
      <w:bookmarkStart w:id="219" w:name="_Toc27515"/>
      <w:bookmarkStart w:id="220" w:name="_Toc8860"/>
      <w:bookmarkStart w:id="221" w:name="_Toc6397"/>
      <w:bookmarkStart w:id="222" w:name="_Toc11092"/>
      <w:r>
        <w:rPr>
          <w:rStyle w:val="19"/>
          <w:rFonts w:hint="eastAsia"/>
          <w:color w:val="000000" w:themeColor="text1"/>
          <w:highlight w:val="none"/>
          <w14:textFill>
            <w14:solidFill>
              <w14:schemeClr w14:val="tx1"/>
            </w14:solidFill>
          </w14:textFill>
        </w:rPr>
        <w:t>（一）</w:t>
      </w:r>
      <w:r>
        <w:rPr>
          <w:rStyle w:val="19"/>
          <w:rFonts w:hint="eastAsia" w:cstheme="minorBidi"/>
          <w:color w:val="000000" w:themeColor="text1"/>
          <w:highlight w:val="none"/>
          <w14:textFill>
            <w14:solidFill>
              <w14:schemeClr w14:val="tx1"/>
            </w14:solidFill>
          </w14:textFill>
        </w:rPr>
        <w:t>科学布局、适度超前</w:t>
      </w:r>
      <w:r>
        <w:rPr>
          <w:rStyle w:val="19"/>
          <w:rFonts w:hint="eastAsia"/>
          <w:color w:val="000000" w:themeColor="text1"/>
          <w:highlight w:val="none"/>
          <w14:textFill>
            <w14:solidFill>
              <w14:schemeClr w14:val="tx1"/>
            </w14:solidFill>
          </w14:textFill>
        </w:rPr>
        <w:t>。</w:t>
      </w:r>
      <w:bookmarkEnd w:id="218"/>
      <w:bookmarkEnd w:id="219"/>
      <w:bookmarkEnd w:id="220"/>
      <w:bookmarkEnd w:id="221"/>
      <w:bookmarkEnd w:id="222"/>
      <w:r>
        <w:rPr>
          <w:rFonts w:hint="eastAsia" w:ascii="宋体" w:hAnsi="宋体" w:cs="宋体"/>
          <w:bCs/>
          <w:color w:val="000000" w:themeColor="text1"/>
          <w:sz w:val="24"/>
          <w:highlight w:val="none"/>
          <w14:textFill>
            <w14:solidFill>
              <w14:schemeClr w14:val="tx1"/>
            </w14:solidFill>
          </w14:textFill>
        </w:rPr>
        <w:t>科学分析我市电动汽车发展趋势，依据国土空间规划，加强充电基础设施规划与电力、交通等相关规划的对接，有效整合市政、交通、电力等公共资源，将充电基础设施建设放在更重要的位置，加强全市充（换）电基础设施发展的顶层设计，坚持“适度超前”，在总量规模、结构功能、建设空间等方面留有裕度，科学合理布局充（换）电站、充电桩等各类设施，促进充电基础设施有序健康发展，为大力推广电动汽车打下坚实基础。</w:t>
      </w:r>
    </w:p>
    <w:p>
      <w:pPr>
        <w:spacing w:line="360" w:lineRule="auto"/>
        <w:ind w:firstLine="562" w:firstLineChars="200"/>
        <w:rPr>
          <w:rFonts w:hint="eastAsia" w:ascii="宋体" w:hAnsi="宋体" w:cs="宋体"/>
          <w:bCs/>
          <w:color w:val="000000" w:themeColor="text1"/>
          <w:sz w:val="24"/>
          <w:highlight w:val="none"/>
          <w14:textFill>
            <w14:solidFill>
              <w14:schemeClr w14:val="tx1"/>
            </w14:solidFill>
          </w14:textFill>
        </w:rPr>
      </w:pPr>
      <w:bookmarkStart w:id="223" w:name="_Toc22565"/>
      <w:bookmarkStart w:id="224" w:name="_Toc13537"/>
      <w:bookmarkStart w:id="225" w:name="_Toc11256"/>
      <w:bookmarkStart w:id="226" w:name="_Toc8738"/>
      <w:bookmarkStart w:id="227" w:name="_Toc10136"/>
      <w:r>
        <w:rPr>
          <w:rStyle w:val="19"/>
          <w:rFonts w:hint="eastAsia"/>
          <w:color w:val="000000" w:themeColor="text1"/>
          <w:highlight w:val="none"/>
          <w14:textFill>
            <w14:solidFill>
              <w14:schemeClr w14:val="tx1"/>
            </w14:solidFill>
          </w14:textFill>
        </w:rPr>
        <w:t>（二）重点突出、分类实施。</w:t>
      </w:r>
      <w:bookmarkEnd w:id="223"/>
      <w:bookmarkEnd w:id="224"/>
      <w:bookmarkEnd w:id="225"/>
      <w:bookmarkEnd w:id="226"/>
      <w:bookmarkEnd w:id="227"/>
      <w:r>
        <w:rPr>
          <w:rFonts w:hint="eastAsia" w:ascii="宋体" w:hAnsi="宋体" w:cs="宋体"/>
          <w:bCs/>
          <w:color w:val="000000" w:themeColor="text1"/>
          <w:sz w:val="24"/>
          <w:highlight w:val="none"/>
          <w14:textFill>
            <w14:solidFill>
              <w14:schemeClr w14:val="tx1"/>
            </w14:solidFill>
          </w14:textFill>
        </w:rPr>
        <w:t>结合乐山市电动汽车推广需要，科学把握发展节奏，分领域、分类别、分地区、分阶段推进充电基础设施建设</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更好满足不同领域、不同场景充电需求。按照“自(专)用充电为主、公用补电为辅”的思路</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合理规划空间布局、建设规模、发展时序</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居住区积极推广智能有序慢充为主、应急快充为辅的充电基础设施。办公区和“三中心”等城市专用和公用区域因地制宜布局建设快慢结合的公共充电基础设施。</w:t>
      </w:r>
    </w:p>
    <w:p>
      <w:pPr>
        <w:spacing w:line="360" w:lineRule="auto"/>
        <w:ind w:firstLine="562" w:firstLineChars="200"/>
        <w:rPr>
          <w:rFonts w:hint="eastAsia" w:ascii="宋体" w:hAnsi="宋体" w:cs="宋体"/>
          <w:bCs/>
          <w:color w:val="000000" w:themeColor="text1"/>
          <w:sz w:val="24"/>
          <w:highlight w:val="none"/>
          <w14:textFill>
            <w14:solidFill>
              <w14:schemeClr w14:val="tx1"/>
            </w14:solidFill>
          </w14:textFill>
        </w:rPr>
      </w:pPr>
      <w:bookmarkStart w:id="228" w:name="_Toc15787"/>
      <w:bookmarkStart w:id="229" w:name="_Toc27645"/>
      <w:bookmarkStart w:id="230" w:name="_Toc7981"/>
      <w:bookmarkStart w:id="231" w:name="_Toc18134"/>
      <w:bookmarkStart w:id="232" w:name="_Toc14576"/>
      <w:r>
        <w:rPr>
          <w:rStyle w:val="19"/>
          <w:rFonts w:hint="eastAsia"/>
          <w:color w:val="000000" w:themeColor="text1"/>
          <w:highlight w:val="none"/>
          <w14:textFill>
            <w14:solidFill>
              <w14:schemeClr w14:val="tx1"/>
            </w14:solidFill>
          </w14:textFill>
        </w:rPr>
        <w:t>（三）因地制宜、集约高效。</w:t>
      </w:r>
      <w:bookmarkEnd w:id="228"/>
      <w:bookmarkEnd w:id="229"/>
      <w:bookmarkEnd w:id="230"/>
      <w:bookmarkEnd w:id="231"/>
      <w:bookmarkEnd w:id="232"/>
      <w:r>
        <w:rPr>
          <w:rFonts w:hint="eastAsia" w:ascii="宋体" w:hAnsi="宋体" w:cs="宋体"/>
          <w:bCs/>
          <w:color w:val="000000" w:themeColor="text1"/>
          <w:sz w:val="24"/>
          <w:highlight w:val="none"/>
          <w14:textFill>
            <w14:solidFill>
              <w14:schemeClr w14:val="tx1"/>
            </w14:solidFill>
          </w14:textFill>
        </w:rPr>
        <w:t>充分利用现有资源，以现有和规划公共停车场、公共服务设施等为依托，形成以合建、配建为主，独立占地建站为补充的建设思路，充分利用自用、专用停车位及公共停车场建设充电基础设施，</w:t>
      </w:r>
      <w:r>
        <w:rPr>
          <w:rFonts w:hint="eastAsia" w:ascii="宋体" w:hAnsi="宋体" w:cs="宋体"/>
          <w:bCs/>
          <w:color w:val="000000" w:themeColor="text1"/>
          <w:sz w:val="24"/>
          <w:highlight w:val="none"/>
          <w:lang w:val="en-US" w:eastAsia="zh-CN"/>
          <w14:textFill>
            <w14:solidFill>
              <w14:schemeClr w14:val="tx1"/>
            </w14:solidFill>
          </w14:textFill>
        </w:rPr>
        <w:t>科学布局</w:t>
      </w:r>
      <w:r>
        <w:rPr>
          <w:rFonts w:hint="eastAsia" w:ascii="宋体" w:hAnsi="宋体" w:cs="宋体"/>
          <w:bCs/>
          <w:color w:val="000000" w:themeColor="text1"/>
          <w:sz w:val="24"/>
          <w:highlight w:val="none"/>
          <w14:textFill>
            <w14:solidFill>
              <w14:schemeClr w14:val="tx1"/>
            </w14:solidFill>
          </w14:textFill>
        </w:rPr>
        <w:t>大功率充电设施</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鼓励开展换电模式应用示范，探索车网互动设施应用</w:t>
      </w:r>
      <w:r>
        <w:rPr>
          <w:rFonts w:hint="eastAsia" w:ascii="宋体" w:hAnsi="宋体" w:cs="宋体"/>
          <w:bCs/>
          <w:color w:val="000000" w:themeColor="text1"/>
          <w:sz w:val="24"/>
          <w:highlight w:val="none"/>
          <w:lang w:val="en-US"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支持开展油气氢电综合服务，集约高效利用土地资源。鼓励支持行政、企事业单位建设运营充电基础设施，对外提供充电服务。</w:t>
      </w:r>
    </w:p>
    <w:p>
      <w:pPr>
        <w:spacing w:line="360" w:lineRule="auto"/>
        <w:ind w:firstLine="562" w:firstLineChars="200"/>
        <w:rPr>
          <w:rFonts w:hint="eastAsia" w:ascii="宋体" w:hAnsi="宋体" w:cs="宋体"/>
          <w:bCs/>
          <w:color w:val="000000" w:themeColor="text1"/>
          <w:sz w:val="24"/>
          <w:highlight w:val="none"/>
          <w14:textFill>
            <w14:solidFill>
              <w14:schemeClr w14:val="tx1"/>
            </w14:solidFill>
          </w14:textFill>
        </w:rPr>
      </w:pPr>
      <w:bookmarkStart w:id="233" w:name="_Toc19396"/>
      <w:bookmarkStart w:id="234" w:name="_Toc27116"/>
      <w:bookmarkStart w:id="235" w:name="_Toc29579"/>
      <w:bookmarkStart w:id="236" w:name="_Toc22354"/>
      <w:bookmarkStart w:id="237" w:name="_Toc17620"/>
      <w:r>
        <w:rPr>
          <w:rStyle w:val="19"/>
          <w:rFonts w:hint="eastAsia"/>
          <w:color w:val="000000" w:themeColor="text1"/>
          <w:highlight w:val="none"/>
          <w14:textFill>
            <w14:solidFill>
              <w14:schemeClr w14:val="tx1"/>
            </w14:solidFill>
          </w14:textFill>
        </w:rPr>
        <w:t>（四）市场主导、创新机制。</w:t>
      </w:r>
      <w:bookmarkEnd w:id="233"/>
      <w:bookmarkEnd w:id="234"/>
      <w:bookmarkEnd w:id="235"/>
      <w:bookmarkEnd w:id="236"/>
      <w:bookmarkEnd w:id="237"/>
      <w:r>
        <w:rPr>
          <w:rFonts w:hint="eastAsia" w:ascii="宋体" w:hAnsi="宋体" w:cs="宋体"/>
          <w:bCs/>
          <w:color w:val="000000" w:themeColor="text1"/>
          <w:sz w:val="24"/>
          <w:highlight w:val="none"/>
          <w14:textFill>
            <w14:solidFill>
              <w14:schemeClr w14:val="tx1"/>
            </w14:solidFill>
          </w14:textFill>
        </w:rPr>
        <w:t>充分发挥市场主导作用，创新第一动力作用，持续开展充电基础设施建设与运营模式创新，激发市场活力，着力引导社会资本参与充电基础设施建设运营。加强商业合作和服务模式创新，鼓励发展新技术、新业态、新模式，结合物联网、“互联网+”等新业态，提升充电基础设施数字化、智能化、融合化发展水平，打造高效便捷的充电服务体系。</w:t>
      </w:r>
    </w:p>
    <w:p>
      <w:pPr>
        <w:spacing w:line="360" w:lineRule="auto"/>
        <w:ind w:firstLine="562" w:firstLineChars="200"/>
        <w:rPr>
          <w:rFonts w:hint="eastAsia" w:ascii="宋体" w:hAnsi="宋体" w:cs="宋体"/>
          <w:bCs/>
          <w:color w:val="000000" w:themeColor="text1"/>
          <w:sz w:val="24"/>
          <w:highlight w:val="none"/>
          <w14:textFill>
            <w14:solidFill>
              <w14:schemeClr w14:val="tx1"/>
            </w14:solidFill>
          </w14:textFill>
        </w:rPr>
      </w:pPr>
      <w:bookmarkStart w:id="238" w:name="_Toc13323"/>
      <w:bookmarkStart w:id="239" w:name="_Toc18740"/>
      <w:bookmarkStart w:id="240" w:name="_Toc30455"/>
      <w:bookmarkStart w:id="241" w:name="_Toc1895"/>
      <w:bookmarkStart w:id="242" w:name="_Toc25032"/>
      <w:r>
        <w:rPr>
          <w:rStyle w:val="19"/>
          <w:rFonts w:hint="eastAsia"/>
          <w:color w:val="000000" w:themeColor="text1"/>
          <w:highlight w:val="none"/>
          <w14:textFill>
            <w14:solidFill>
              <w14:schemeClr w14:val="tx1"/>
            </w14:solidFill>
          </w14:textFill>
        </w:rPr>
        <w:t>（五）</w:t>
      </w:r>
      <w:r>
        <w:rPr>
          <w:rStyle w:val="19"/>
          <w:rFonts w:hint="eastAsia" w:eastAsia="楷体_GB2312"/>
          <w:color w:val="000000" w:themeColor="text1"/>
          <w:highlight w:val="none"/>
          <w:lang w:val="en-US" w:eastAsia="zh-CN"/>
          <w14:textFill>
            <w14:solidFill>
              <w14:schemeClr w14:val="tx1"/>
            </w14:solidFill>
          </w14:textFill>
        </w:rPr>
        <w:t>服</w:t>
      </w:r>
      <w:r>
        <w:rPr>
          <w:rStyle w:val="19"/>
          <w:rFonts w:hint="eastAsia" w:cstheme="minorBidi"/>
          <w:color w:val="000000" w:themeColor="text1"/>
          <w:highlight w:val="none"/>
          <w:lang w:val="en-US" w:eastAsia="zh-CN"/>
          <w14:textFill>
            <w14:solidFill>
              <w14:schemeClr w14:val="tx1"/>
            </w14:solidFill>
          </w14:textFill>
        </w:rPr>
        <w:t>务为本</w:t>
      </w:r>
      <w:r>
        <w:rPr>
          <w:rStyle w:val="19"/>
          <w:rFonts w:hint="eastAsia" w:cstheme="minorBidi"/>
          <w:color w:val="000000" w:themeColor="text1"/>
          <w:highlight w:val="none"/>
          <w14:textFill>
            <w14:solidFill>
              <w14:schemeClr w14:val="tx1"/>
            </w14:solidFill>
          </w14:textFill>
        </w:rPr>
        <w:t>、安全便捷。</w:t>
      </w:r>
      <w:bookmarkEnd w:id="238"/>
      <w:bookmarkEnd w:id="239"/>
      <w:bookmarkEnd w:id="240"/>
      <w:bookmarkEnd w:id="241"/>
      <w:bookmarkEnd w:id="242"/>
      <w:r>
        <w:rPr>
          <w:rFonts w:hint="eastAsia" w:ascii="宋体" w:hAnsi="宋体" w:cs="宋体"/>
          <w:bCs/>
          <w:color w:val="000000" w:themeColor="text1"/>
          <w:sz w:val="24"/>
          <w:highlight w:val="none"/>
          <w14:textFill>
            <w14:solidFill>
              <w14:schemeClr w14:val="tx1"/>
            </w14:solidFill>
          </w14:textFill>
        </w:rPr>
        <w:t>坚持安全第一，严格按照国家标准建设充电基础设施，适应电动汽车出行特征规律，不断提高充电服务经济性和便捷性，满足覆盖全域的充电服务需求，全面提升服务质量效率。加强充电基础设施全生命周期安全管理，规范充电基础设施建设运营，明确建管流程，健全管理机制，完善工程建设、运营服务、维护管理等标准体系，提高设施</w:t>
      </w:r>
      <w:r>
        <w:rPr>
          <w:rFonts w:hint="eastAsia" w:ascii="宋体" w:hAnsi="宋体" w:cs="宋体"/>
          <w:bCs/>
          <w:color w:val="000000" w:themeColor="text1"/>
          <w:sz w:val="24"/>
          <w:highlight w:val="none"/>
          <w:lang w:val="en-US" w:eastAsia="zh-CN"/>
          <w14:textFill>
            <w14:solidFill>
              <w14:schemeClr w14:val="tx1"/>
            </w14:solidFill>
          </w14:textFill>
        </w:rPr>
        <w:t>安全性</w:t>
      </w:r>
      <w:r>
        <w:rPr>
          <w:rFonts w:hint="eastAsia" w:ascii="宋体" w:hAnsi="宋体" w:cs="宋体"/>
          <w:bCs/>
          <w:color w:val="000000" w:themeColor="text1"/>
          <w:sz w:val="24"/>
          <w:highlight w:val="none"/>
          <w14:textFill>
            <w14:solidFill>
              <w14:schemeClr w14:val="tx1"/>
            </w14:solidFill>
          </w14:textFill>
        </w:rPr>
        <w:t>和开放性。</w:t>
      </w:r>
    </w:p>
    <w:p>
      <w:pPr>
        <w:pStyle w:val="21"/>
        <w:rPr>
          <w:color w:val="000000" w:themeColor="text1"/>
          <w:highlight w:val="none"/>
          <w14:textFill>
            <w14:solidFill>
              <w14:schemeClr w14:val="tx1"/>
            </w14:solidFill>
          </w14:textFill>
        </w:rPr>
      </w:pPr>
      <w:bookmarkStart w:id="243" w:name="_Toc8825"/>
      <w:bookmarkStart w:id="244" w:name="_Toc16172"/>
      <w:bookmarkStart w:id="245" w:name="_Toc30535"/>
      <w:bookmarkStart w:id="246" w:name="_Toc30594"/>
      <w:bookmarkStart w:id="247" w:name="_Toc30782"/>
      <w:bookmarkStart w:id="248" w:name="_Toc27617"/>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 xml:space="preserve">节 </w:t>
      </w:r>
      <w:bookmarkEnd w:id="243"/>
      <w:bookmarkEnd w:id="244"/>
      <w:bookmarkEnd w:id="245"/>
      <w:bookmarkEnd w:id="246"/>
      <w:r>
        <w:rPr>
          <w:rFonts w:hint="eastAsia"/>
          <w:color w:val="000000" w:themeColor="text1"/>
          <w:highlight w:val="none"/>
          <w14:textFill>
            <w14:solidFill>
              <w14:schemeClr w14:val="tx1"/>
            </w14:solidFill>
          </w14:textFill>
        </w:rPr>
        <w:t>规划目标</w:t>
      </w:r>
      <w:bookmarkEnd w:id="247"/>
      <w:bookmarkEnd w:id="248"/>
    </w:p>
    <w:p>
      <w:pPr>
        <w:spacing w:line="360" w:lineRule="auto"/>
        <w:ind w:firstLine="480" w:firstLineChars="200"/>
        <w:rPr>
          <w:rFonts w:hint="eastAsia"/>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认真贯彻落实各级电动汽车充电基础设施发展政策，以完善城市基础设施、优化能源消费结构、改善生态环境为导向，充分结合电动汽车发展前沿技术，构建覆盖全市、规模适度、结构合理、功能完善、使用便捷的高质量充电基础设施体系，有力支撑全市电动汽车发展，实现电动汽车充（换）电服务能力与电动汽车协调发展，</w:t>
      </w:r>
      <w:r>
        <w:rPr>
          <w:rFonts w:ascii="宋体" w:hAnsi="宋体" w:eastAsia="宋体" w:cs="宋体"/>
          <w:color w:val="000000" w:themeColor="text1"/>
          <w:sz w:val="24"/>
          <w:szCs w:val="24"/>
          <w:highlight w:val="none"/>
          <w14:textFill>
            <w14:solidFill>
              <w14:schemeClr w14:val="tx1"/>
            </w14:solidFill>
          </w14:textFill>
        </w:rPr>
        <w:t>更好方便群众、惠及民生</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b w:val="0"/>
          <w:bCs/>
          <w:color w:val="000000" w:themeColor="text1"/>
          <w:sz w:val="24"/>
          <w:szCs w:val="24"/>
          <w:highlight w:val="none"/>
          <w:lang w:val="en-US" w:eastAsia="zh-CN"/>
          <w14:textFill>
            <w14:solidFill>
              <w14:schemeClr w14:val="tx1"/>
            </w14:solidFill>
          </w14:textFill>
        </w:rPr>
        <w:t>满足人民群众出行充电需求，为乐山市电动汽车发展和推广应用提供有力支撑，有效降低尾气排放，推动绿色低碳发展。</w:t>
      </w:r>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到20</w:t>
      </w:r>
      <w:r>
        <w:rPr>
          <w:rFonts w:hint="eastAsia" w:ascii="宋体" w:hAnsi="宋体" w:cs="宋体"/>
          <w:bCs/>
          <w:color w:val="000000" w:themeColor="text1"/>
          <w:sz w:val="24"/>
          <w:highlight w:val="none"/>
          <w:lang w:val="en-US" w:eastAsia="zh-CN"/>
          <w14:textFill>
            <w14:solidFill>
              <w14:schemeClr w14:val="tx1"/>
            </w14:solidFill>
          </w14:textFill>
        </w:rPr>
        <w:t>30</w:t>
      </w:r>
      <w:r>
        <w:rPr>
          <w:rFonts w:hint="eastAsia" w:ascii="宋体" w:hAnsi="宋体" w:cs="宋体"/>
          <w:bCs/>
          <w:color w:val="000000" w:themeColor="text1"/>
          <w:sz w:val="24"/>
          <w:highlight w:val="none"/>
          <w14:textFill>
            <w14:solidFill>
              <w14:schemeClr w14:val="tx1"/>
            </w14:solidFill>
          </w14:textFill>
        </w:rPr>
        <w:t>年，全市建成各类充电桩达到</w:t>
      </w:r>
      <w:r>
        <w:rPr>
          <w:rFonts w:hint="eastAsia" w:ascii="宋体" w:hAnsi="宋体" w:cs="宋体"/>
          <w:bCs/>
          <w:color w:val="000000" w:themeColor="text1"/>
          <w:sz w:val="24"/>
          <w:highlight w:val="none"/>
          <w:lang w:val="en-US" w:eastAsia="zh-CN"/>
          <w14:textFill>
            <w14:solidFill>
              <w14:schemeClr w14:val="tx1"/>
            </w14:solidFill>
          </w14:textFill>
        </w:rPr>
        <w:t>11750</w:t>
      </w:r>
      <w:r>
        <w:rPr>
          <w:rFonts w:hint="eastAsia" w:ascii="宋体" w:hAnsi="宋体" w:cs="宋体"/>
          <w:bCs/>
          <w:color w:val="000000" w:themeColor="text1"/>
          <w:sz w:val="24"/>
          <w:highlight w:val="none"/>
          <w14:textFill>
            <w14:solidFill>
              <w14:schemeClr w14:val="tx1"/>
            </w14:solidFill>
          </w14:textFill>
        </w:rPr>
        <w:t>0个</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lang w:val="zh-CN" w:eastAsia="zh-CN"/>
          <w14:textFill>
            <w14:solidFill>
              <w14:schemeClr w14:val="tx1"/>
            </w14:solidFill>
          </w14:textFill>
        </w:rPr>
        <w:t>其中，自用充电桩达</w:t>
      </w:r>
      <w:r>
        <w:rPr>
          <w:rFonts w:hint="eastAsia" w:ascii="宋体" w:hAnsi="宋体" w:cs="宋体"/>
          <w:bCs/>
          <w:color w:val="000000" w:themeColor="text1"/>
          <w:sz w:val="24"/>
          <w:highlight w:val="none"/>
          <w:lang w:val="en-US" w:eastAsia="zh-CN"/>
          <w14:textFill>
            <w14:solidFill>
              <w14:schemeClr w14:val="tx1"/>
            </w14:solidFill>
          </w14:textFill>
        </w:rPr>
        <w:t>110000</w:t>
      </w:r>
      <w:r>
        <w:rPr>
          <w:rFonts w:hint="eastAsia" w:ascii="宋体" w:hAnsi="宋体" w:cs="宋体"/>
          <w:bCs/>
          <w:color w:val="000000" w:themeColor="text1"/>
          <w:sz w:val="24"/>
          <w:highlight w:val="none"/>
          <w:lang w:val="zh-CN" w:eastAsia="zh-CN"/>
          <w14:textFill>
            <w14:solidFill>
              <w14:schemeClr w14:val="tx1"/>
            </w14:solidFill>
          </w14:textFill>
        </w:rPr>
        <w:t>个，专用充电桩达</w:t>
      </w:r>
      <w:r>
        <w:rPr>
          <w:rFonts w:hint="eastAsia" w:ascii="宋体" w:hAnsi="宋体" w:cs="宋体"/>
          <w:bCs/>
          <w:color w:val="000000" w:themeColor="text1"/>
          <w:sz w:val="24"/>
          <w:highlight w:val="none"/>
          <w:lang w:val="en-US" w:eastAsia="zh-CN"/>
          <w14:textFill>
            <w14:solidFill>
              <w14:schemeClr w14:val="tx1"/>
            </w14:solidFill>
          </w14:textFill>
        </w:rPr>
        <w:t>2000</w:t>
      </w:r>
      <w:r>
        <w:rPr>
          <w:rFonts w:hint="eastAsia" w:ascii="宋体" w:hAnsi="宋体" w:cs="宋体"/>
          <w:bCs/>
          <w:color w:val="000000" w:themeColor="text1"/>
          <w:sz w:val="24"/>
          <w:highlight w:val="none"/>
          <w:lang w:val="zh-CN" w:eastAsia="zh-CN"/>
          <w14:textFill>
            <w14:solidFill>
              <w14:schemeClr w14:val="tx1"/>
            </w14:solidFill>
          </w14:textFill>
        </w:rPr>
        <w:t>个，公共充电桩达</w:t>
      </w:r>
      <w:r>
        <w:rPr>
          <w:rFonts w:hint="eastAsia" w:ascii="宋体" w:hAnsi="宋体" w:cs="宋体"/>
          <w:bCs/>
          <w:color w:val="000000" w:themeColor="text1"/>
          <w:sz w:val="24"/>
          <w:highlight w:val="none"/>
          <w:lang w:val="en-US" w:eastAsia="zh-CN"/>
          <w14:textFill>
            <w14:solidFill>
              <w14:schemeClr w14:val="tx1"/>
            </w14:solidFill>
          </w14:textFill>
        </w:rPr>
        <w:t>5500</w:t>
      </w:r>
      <w:r>
        <w:rPr>
          <w:rFonts w:hint="eastAsia" w:ascii="宋体" w:hAnsi="宋体" w:cs="宋体"/>
          <w:bCs/>
          <w:color w:val="000000" w:themeColor="text1"/>
          <w:sz w:val="24"/>
          <w:highlight w:val="none"/>
          <w:lang w:val="zh-CN" w:eastAsia="zh-CN"/>
          <w14:textFill>
            <w14:solidFill>
              <w14:schemeClr w14:val="tx1"/>
            </w14:solidFill>
          </w14:textFill>
        </w:rPr>
        <w:t>个。</w:t>
      </w:r>
      <w:r>
        <w:rPr>
          <w:rFonts w:hint="eastAsia" w:ascii="宋体" w:hAnsi="宋体" w:cs="宋体"/>
          <w:bCs/>
          <w:color w:val="000000" w:themeColor="text1"/>
          <w:sz w:val="24"/>
          <w:highlight w:val="none"/>
          <w:lang w:val="en-US" w:eastAsia="zh-CN"/>
          <w14:textFill>
            <w14:solidFill>
              <w14:schemeClr w14:val="tx1"/>
            </w14:solidFill>
          </w14:textFill>
        </w:rPr>
        <w:t>实现充电基础设施“</w:t>
      </w:r>
      <w:r>
        <w:rPr>
          <w:rFonts w:hint="eastAsia" w:ascii="宋体" w:hAnsi="宋体" w:cs="宋体"/>
          <w:bCs/>
          <w:color w:val="000000" w:themeColor="text1"/>
          <w:sz w:val="24"/>
          <w:highlight w:val="none"/>
          <w14:textFill>
            <w14:solidFill>
              <w14:schemeClr w14:val="tx1"/>
            </w14:solidFill>
          </w14:textFill>
        </w:rPr>
        <w:t>城市各类停车场景全面覆盖</w:t>
      </w:r>
      <w:r>
        <w:rPr>
          <w:rFonts w:hint="eastAsia" w:ascii="宋体" w:hAnsi="宋体" w:cs="宋体"/>
          <w:bCs/>
          <w:color w:val="000000" w:themeColor="text1"/>
          <w:sz w:val="24"/>
          <w:highlight w:val="none"/>
          <w:lang w:val="en-US" w:eastAsia="zh-CN"/>
          <w14:textFill>
            <w14:solidFill>
              <w14:schemeClr w14:val="tx1"/>
            </w14:solidFill>
          </w14:textFill>
        </w:rPr>
        <w:t>”</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lang w:val="en-US" w:eastAsia="zh-CN"/>
          <w14:textFill>
            <w14:solidFill>
              <w14:schemeClr w14:val="tx1"/>
            </w14:solidFill>
          </w14:textFill>
        </w:rPr>
        <w:t>电动汽车充电站“交通干线全覆盖”，</w:t>
      </w:r>
      <w:r>
        <w:rPr>
          <w:rFonts w:hint="eastAsia" w:ascii="宋体" w:hAnsi="宋体" w:cs="宋体"/>
          <w:bCs/>
          <w:color w:val="000000" w:themeColor="text1"/>
          <w:sz w:val="24"/>
          <w:highlight w:val="none"/>
          <w14:textFill>
            <w14:solidFill>
              <w14:schemeClr w14:val="tx1"/>
            </w14:solidFill>
          </w14:textFill>
        </w:rPr>
        <w:t>电动汽车充电站“县县全覆盖”、电动汽车充电桩“乡乡全覆盖”</w:t>
      </w:r>
      <w:r>
        <w:rPr>
          <w:rFonts w:hint="eastAsia" w:ascii="宋体" w:hAnsi="宋体" w:cs="宋体"/>
          <w:bCs/>
          <w:color w:val="000000" w:themeColor="text1"/>
          <w:sz w:val="24"/>
          <w:highlight w:val="none"/>
          <w:lang w:val="en-US" w:eastAsia="zh-CN"/>
          <w14:textFill>
            <w14:solidFill>
              <w14:schemeClr w14:val="tx1"/>
            </w14:solidFill>
          </w14:textFill>
        </w:rPr>
        <w:t>，基本满足17.5万辆电动汽车充电需求的能力。中心城区核心区建成公共充电设施服务半径小于1.0公里的充电服务网络，其他县（市、区）基本形成与之匹配的充电网络体系，主要旅游景区、重点村镇、高速公路出入口、国省干道沿线、快速路沿线公共充电设施服务网络体系不断完善。</w:t>
      </w:r>
    </w:p>
    <w:p>
      <w:pPr>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p>
    <w:p>
      <w:pPr>
        <w:pStyle w:val="1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bookmarkStart w:id="249" w:name="_Toc18591"/>
      <w:bookmarkStart w:id="250" w:name="_Toc23333"/>
      <w:bookmarkStart w:id="251" w:name="_Toc32664"/>
      <w:bookmarkStart w:id="252" w:name="_Toc20631"/>
      <w:bookmarkStart w:id="253" w:name="_Toc6665"/>
      <w:r>
        <w:rPr>
          <w:rFonts w:hint="eastAsia" w:ascii="黑体" w:hAnsi="黑体" w:eastAsia="黑体" w:cs="Times New Roman"/>
          <w:b/>
          <w:color w:val="000000" w:themeColor="text1"/>
          <w:kern w:val="0"/>
          <w:sz w:val="44"/>
          <w:szCs w:val="20"/>
          <w:highlight w:val="none"/>
          <w:lang w:val="en-US" w:eastAsia="zh-CN" w:bidi="ar-SA"/>
          <w14:textFill>
            <w14:solidFill>
              <w14:schemeClr w14:val="tx1"/>
            </w14:solidFill>
          </w14:textFill>
        </w:rPr>
        <w:t>第</w:t>
      </w:r>
      <w:r>
        <w:rPr>
          <w:rFonts w:hint="eastAsia" w:cs="Times New Roman"/>
          <w:b/>
          <w:color w:val="000000" w:themeColor="text1"/>
          <w:kern w:val="0"/>
          <w:sz w:val="44"/>
          <w:szCs w:val="20"/>
          <w:highlight w:val="none"/>
          <w:lang w:val="en-US" w:eastAsia="zh-CN" w:bidi="ar-SA"/>
          <w14:textFill>
            <w14:solidFill>
              <w14:schemeClr w14:val="tx1"/>
            </w14:solidFill>
          </w14:textFill>
        </w:rPr>
        <w:t>六</w:t>
      </w:r>
      <w:r>
        <w:rPr>
          <w:rFonts w:hint="eastAsia" w:ascii="黑体" w:hAnsi="黑体" w:eastAsia="黑体" w:cs="Times New Roman"/>
          <w:b/>
          <w:color w:val="000000" w:themeColor="text1"/>
          <w:kern w:val="0"/>
          <w:sz w:val="44"/>
          <w:szCs w:val="20"/>
          <w:highlight w:val="none"/>
          <w:lang w:val="en-US" w:eastAsia="zh-CN" w:bidi="ar-SA"/>
          <w14:textFill>
            <w14:solidFill>
              <w14:schemeClr w14:val="tx1"/>
            </w14:solidFill>
          </w14:textFill>
        </w:rPr>
        <w:t xml:space="preserve">章 </w:t>
      </w:r>
      <w:r>
        <w:rPr>
          <w:rFonts w:hint="eastAsia" w:cs="Times New Roman"/>
          <w:b/>
          <w:color w:val="000000" w:themeColor="text1"/>
          <w:kern w:val="0"/>
          <w:sz w:val="44"/>
          <w:szCs w:val="20"/>
          <w:highlight w:val="none"/>
          <w:lang w:val="en-US" w:eastAsia="zh-CN" w:bidi="ar-SA"/>
          <w14:textFill>
            <w14:solidFill>
              <w14:schemeClr w14:val="tx1"/>
            </w14:solidFill>
          </w14:textFill>
        </w:rPr>
        <w:t>选址</w:t>
      </w:r>
      <w:r>
        <w:rPr>
          <w:rFonts w:hint="eastAsia" w:ascii="黑体" w:hAnsi="黑体" w:eastAsia="黑体" w:cs="Times New Roman"/>
          <w:b/>
          <w:color w:val="000000" w:themeColor="text1"/>
          <w:kern w:val="0"/>
          <w:sz w:val="44"/>
          <w:szCs w:val="20"/>
          <w:highlight w:val="none"/>
          <w:lang w:val="en-US" w:eastAsia="zh-CN" w:bidi="ar-SA"/>
          <w14:textFill>
            <w14:solidFill>
              <w14:schemeClr w14:val="tx1"/>
            </w14:solidFill>
          </w14:textFill>
        </w:rPr>
        <w:t>布局方案</w:t>
      </w:r>
      <w:bookmarkEnd w:id="249"/>
      <w:bookmarkEnd w:id="250"/>
      <w:bookmarkEnd w:id="251"/>
      <w:bookmarkEnd w:id="252"/>
      <w:bookmarkEnd w:id="253"/>
    </w:p>
    <w:p>
      <w:pPr>
        <w:pStyle w:val="21"/>
        <w:ind w:left="0" w:leftChars="0" w:firstLine="600" w:firstLineChars="200"/>
        <w:rPr>
          <w:rFonts w:hint="eastAsia" w:cs="Times New Roman"/>
          <w:color w:val="000000" w:themeColor="text1"/>
          <w:highlight w:val="none"/>
          <w14:textFill>
            <w14:solidFill>
              <w14:schemeClr w14:val="tx1"/>
            </w14:solidFill>
          </w14:textFill>
        </w:rPr>
      </w:pPr>
      <w:bookmarkStart w:id="254" w:name="_Toc8526"/>
      <w:bookmarkStart w:id="255" w:name="_Toc21596"/>
      <w:r>
        <w:rPr>
          <w:rFonts w:hint="eastAsia" w:cs="Times New Roman"/>
          <w:color w:val="000000" w:themeColor="text1"/>
          <w:highlight w:val="none"/>
          <w14:textFill>
            <w14:solidFill>
              <w14:schemeClr w14:val="tx1"/>
            </w14:solidFill>
          </w14:textFill>
        </w:rPr>
        <w:t>第一节 充电设施配建要求</w:t>
      </w:r>
      <w:bookmarkEnd w:id="254"/>
      <w:bookmarkEnd w:id="255"/>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按照《国家发展改革委等部门关于进一步提升电动汽车充电基础设施服务保障能力的实施意见》（发改能源规〔2022〕53号）</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《四川省推进电动汽车充电基础设施建设工作实施方案》（川发改能源〔2022〕626号）</w:t>
      </w:r>
      <w:r>
        <w:rPr>
          <w:rFonts w:hint="eastAsia" w:ascii="宋体" w:hAnsi="宋体" w:cs="宋体"/>
          <w:bCs/>
          <w:color w:val="000000" w:themeColor="text1"/>
          <w:sz w:val="24"/>
          <w:highlight w:val="none"/>
          <w:lang w:val="en-US" w:eastAsia="zh-CN"/>
          <w14:textFill>
            <w14:solidFill>
              <w14:schemeClr w14:val="tx1"/>
            </w14:solidFill>
          </w14:textFill>
        </w:rPr>
        <w:t>以及《乐山市贯彻落实“电动四川”行动计划（2022—2025年）责任分工方案》（乐府办发〔2022〕43号）、</w:t>
      </w:r>
      <w:r>
        <w:rPr>
          <w:rFonts w:hint="default" w:ascii="宋体" w:hAnsi="宋体" w:cs="宋体"/>
          <w:bCs/>
          <w:color w:val="000000" w:themeColor="text1"/>
          <w:sz w:val="24"/>
          <w:highlight w:val="none"/>
          <w:lang w:val="en-US" w:eastAsia="zh-CN"/>
          <w14:textFill>
            <w14:solidFill>
              <w14:schemeClr w14:val="tx1"/>
            </w14:solidFill>
          </w14:textFill>
        </w:rPr>
        <w:t>《关于推进全市公共机构充电基础设施建设的通知》</w:t>
      </w:r>
      <w:r>
        <w:rPr>
          <w:rFonts w:hint="eastAsia" w:ascii="宋体" w:hAnsi="宋体" w:cs="宋体"/>
          <w:bCs/>
          <w:color w:val="000000" w:themeColor="text1"/>
          <w:sz w:val="24"/>
          <w:highlight w:val="none"/>
          <w:lang w:val="en-US" w:eastAsia="zh-CN"/>
          <w14:textFill>
            <w14:solidFill>
              <w14:schemeClr w14:val="tx1"/>
            </w14:solidFill>
          </w14:textFill>
        </w:rPr>
        <w:t>（乐机管函〔2022〕153号）</w:t>
      </w:r>
      <w:r>
        <w:rPr>
          <w:rFonts w:hint="eastAsia" w:ascii="宋体" w:hAnsi="宋体" w:cs="宋体"/>
          <w:bCs/>
          <w:color w:val="000000" w:themeColor="text1"/>
          <w:sz w:val="24"/>
          <w:highlight w:val="none"/>
          <w14:textFill>
            <w14:solidFill>
              <w14:schemeClr w14:val="tx1"/>
            </w14:solidFill>
          </w14:textFill>
        </w:rPr>
        <w:t>的要求，确定自用充电设施、专用充（换）电设施、公共充（换）电设施规划布局标准。其中，对</w:t>
      </w:r>
      <w:r>
        <w:rPr>
          <w:rFonts w:hint="eastAsia" w:ascii="宋体" w:hAnsi="宋体" w:cs="宋体"/>
          <w:bCs/>
          <w:color w:val="000000" w:themeColor="text1"/>
          <w:sz w:val="24"/>
          <w:highlight w:val="none"/>
          <w:lang w:val="zh-CN"/>
          <w14:textFill>
            <w14:solidFill>
              <w14:schemeClr w14:val="tx1"/>
            </w14:solidFill>
          </w14:textFill>
        </w:rPr>
        <w:t>重点地区</w:t>
      </w:r>
      <w:r>
        <w:rPr>
          <w:rFonts w:hint="eastAsia" w:ascii="宋体" w:hAnsi="宋体" w:cs="宋体"/>
          <w:bCs/>
          <w:color w:val="000000" w:themeColor="text1"/>
          <w:sz w:val="24"/>
          <w:highlight w:val="none"/>
          <w14:textFill>
            <w14:solidFill>
              <w14:schemeClr w14:val="tx1"/>
            </w14:solidFill>
          </w14:textFill>
        </w:rPr>
        <w:t>专用和公共充（换）电设施明确具体点位，并提出每个点位建设充电桩的最低</w:t>
      </w:r>
      <w:r>
        <w:rPr>
          <w:rFonts w:hint="eastAsia" w:ascii="宋体" w:hAnsi="宋体" w:cs="宋体"/>
          <w:bCs/>
          <w:color w:val="000000" w:themeColor="text1"/>
          <w:sz w:val="24"/>
          <w:highlight w:val="none"/>
          <w:lang w:val="en-US" w:eastAsia="zh-CN"/>
          <w14:textFill>
            <w14:solidFill>
              <w14:schemeClr w14:val="tx1"/>
            </w14:solidFill>
          </w14:textFill>
        </w:rPr>
        <w:t>数量</w:t>
      </w:r>
      <w:r>
        <w:rPr>
          <w:rFonts w:hint="eastAsia" w:ascii="宋体" w:hAnsi="宋体" w:cs="宋体"/>
          <w:bCs/>
          <w:color w:val="000000" w:themeColor="text1"/>
          <w:sz w:val="24"/>
          <w:highlight w:val="none"/>
          <w14:textFill>
            <w14:solidFill>
              <w14:schemeClr w14:val="tx1"/>
            </w14:solidFill>
          </w14:textFill>
        </w:rPr>
        <w:t>要求。</w:t>
      </w:r>
    </w:p>
    <w:p>
      <w:pP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为落实规划要求，明确各类建设项目电动汽车充电基础设施建设标准，进一步为规划管理提供操作指引。</w:t>
      </w:r>
    </w:p>
    <w:p>
      <w:pPr>
        <w:spacing w:line="360" w:lineRule="auto"/>
        <w:jc w:val="center"/>
        <w:rPr>
          <w:rFonts w:ascii="黑体" w:hAnsi="黑体" w:eastAsia="黑体" w:cs="宋体"/>
          <w:color w:val="000000" w:themeColor="text1"/>
          <w:sz w:val="24"/>
          <w:highlight w:val="none"/>
          <w14:textFill>
            <w14:solidFill>
              <w14:schemeClr w14:val="tx1"/>
            </w14:solidFill>
          </w14:textFill>
        </w:rPr>
      </w:pPr>
      <w:r>
        <w:rPr>
          <w:rFonts w:hint="eastAsia" w:ascii="黑体" w:hAnsi="黑体" w:eastAsia="黑体" w:cs="宋体"/>
          <w:color w:val="000000" w:themeColor="text1"/>
          <w:sz w:val="24"/>
          <w:highlight w:val="none"/>
          <w14:textFill>
            <w14:solidFill>
              <w14:schemeClr w14:val="tx1"/>
            </w14:solidFill>
          </w14:textFill>
        </w:rPr>
        <w:t>表</w:t>
      </w:r>
      <w:r>
        <w:rPr>
          <w:rFonts w:hint="eastAsia" w:ascii="黑体" w:hAnsi="黑体" w:eastAsia="黑体" w:cs="宋体"/>
          <w:color w:val="000000" w:themeColor="text1"/>
          <w:sz w:val="24"/>
          <w:highlight w:val="none"/>
          <w:lang w:val="en-US" w:eastAsia="zh-CN"/>
          <w14:textFill>
            <w14:solidFill>
              <w14:schemeClr w14:val="tx1"/>
            </w14:solidFill>
          </w14:textFill>
        </w:rPr>
        <w:t>6</w:t>
      </w:r>
      <w:r>
        <w:rPr>
          <w:rFonts w:hint="eastAsia" w:ascii="黑体" w:hAnsi="黑体" w:eastAsia="黑体" w:cs="宋体"/>
          <w:color w:val="000000" w:themeColor="text1"/>
          <w:sz w:val="24"/>
          <w:highlight w:val="none"/>
          <w14:textFill>
            <w14:solidFill>
              <w14:schemeClr w14:val="tx1"/>
            </w14:solidFill>
          </w14:textFill>
        </w:rPr>
        <w:t xml:space="preserve">-1 </w:t>
      </w:r>
      <w:r>
        <w:rPr>
          <w:rFonts w:hint="eastAsia" w:ascii="黑体" w:hAnsi="黑体" w:eastAsia="黑体" w:cs="宋体"/>
          <w:color w:val="000000" w:themeColor="text1"/>
          <w:sz w:val="24"/>
          <w:highlight w:val="none"/>
          <w:lang w:val="en-US" w:eastAsia="zh-CN"/>
          <w14:textFill>
            <w14:solidFill>
              <w14:schemeClr w14:val="tx1"/>
            </w14:solidFill>
          </w14:textFill>
        </w:rPr>
        <w:t>全市各类场所</w:t>
      </w:r>
      <w:r>
        <w:rPr>
          <w:rFonts w:hint="eastAsia" w:ascii="黑体" w:hAnsi="黑体" w:eastAsia="黑体" w:cs="宋体"/>
          <w:color w:val="000000" w:themeColor="text1"/>
          <w:sz w:val="24"/>
          <w:highlight w:val="none"/>
          <w14:textFill>
            <w14:solidFill>
              <w14:schemeClr w14:val="tx1"/>
            </w14:solidFill>
          </w14:textFill>
        </w:rPr>
        <w:t>电动汽车充电基础设施配建标准一览表</w:t>
      </w:r>
    </w:p>
    <w:tbl>
      <w:tblPr>
        <w:tblStyle w:val="10"/>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917"/>
        <w:gridCol w:w="3263"/>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1" w:type="dxa"/>
            <w:gridSpan w:val="2"/>
            <w:noWrap/>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_GB2312" w:hAnsi="宋体" w:eastAsia="楷体_GB2312"/>
                <w:b/>
                <w:bCs/>
                <w:color w:val="000000" w:themeColor="text1"/>
                <w:highlight w:val="none"/>
                <w:lang w:val="en-US" w:eastAsia="zh-CN"/>
                <w14:textFill>
                  <w14:solidFill>
                    <w14:schemeClr w14:val="tx1"/>
                  </w14:solidFill>
                </w14:textFill>
              </w:rPr>
            </w:pPr>
            <w:r>
              <w:rPr>
                <w:rFonts w:hint="eastAsia" w:ascii="楷体_GB2312" w:hAnsi="宋体" w:eastAsia="楷体_GB2312"/>
                <w:b/>
                <w:bCs/>
                <w:color w:val="000000" w:themeColor="text1"/>
                <w:highlight w:val="none"/>
                <w:lang w:val="en-US" w:eastAsia="zh-CN"/>
                <w14:textFill>
                  <w14:solidFill>
                    <w14:schemeClr w14:val="tx1"/>
                  </w14:solidFill>
                </w14:textFill>
              </w:rPr>
              <w:t>场所性质</w:t>
            </w:r>
          </w:p>
        </w:tc>
        <w:tc>
          <w:tcPr>
            <w:tcW w:w="3263"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_GB2312" w:hAnsi="宋体" w:eastAsia="楷体_GB2312"/>
                <w:b/>
                <w:bCs/>
                <w:color w:val="000000" w:themeColor="text1"/>
                <w:highlight w:val="none"/>
                <w:lang w:val="en-US" w:eastAsia="zh-CN"/>
                <w14:textFill>
                  <w14:solidFill>
                    <w14:schemeClr w14:val="tx1"/>
                  </w14:solidFill>
                </w14:textFill>
              </w:rPr>
            </w:pPr>
            <w:r>
              <w:rPr>
                <w:rFonts w:hint="eastAsia" w:ascii="楷体_GB2312" w:hAnsi="宋体" w:eastAsia="楷体_GB2312"/>
                <w:b/>
                <w:bCs/>
                <w:color w:val="000000" w:themeColor="text1"/>
                <w:highlight w:val="none"/>
                <w:lang w:val="en-US" w:eastAsia="zh-CN"/>
                <w14:textFill>
                  <w14:solidFill>
                    <w14:schemeClr w14:val="tx1"/>
                  </w14:solidFill>
                </w14:textFill>
              </w:rPr>
              <w:t>配置标准</w:t>
            </w:r>
          </w:p>
        </w:tc>
        <w:tc>
          <w:tcPr>
            <w:tcW w:w="2385"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_GB2312" w:hAnsi="宋体" w:eastAsia="楷体_GB2312"/>
                <w:b/>
                <w:bCs/>
                <w:color w:val="000000" w:themeColor="text1"/>
                <w:highlight w:val="none"/>
                <w:lang w:val="en-US" w:eastAsia="zh-CN"/>
                <w14:textFill>
                  <w14:solidFill>
                    <w14:schemeClr w14:val="tx1"/>
                  </w14:solidFill>
                </w14:textFill>
              </w:rPr>
            </w:pPr>
            <w:r>
              <w:rPr>
                <w:rFonts w:hint="eastAsia" w:ascii="楷体_GB2312" w:hAnsi="宋体" w:eastAsia="楷体_GB2312"/>
                <w:b/>
                <w:bCs/>
                <w:color w:val="000000" w:themeColor="text1"/>
                <w:highlight w:val="none"/>
                <w:lang w:val="en-US" w:eastAsia="zh-CN"/>
                <w14:textFill>
                  <w14:solidFill>
                    <w14:schemeClr w14:val="tx1"/>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高速公路、普通国省干线公路服务区</w:t>
            </w: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新建</w:t>
            </w:r>
          </w:p>
        </w:tc>
        <w:tc>
          <w:tcPr>
            <w:tcW w:w="3263" w:type="dxa"/>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按照不低于10%比例配建充电设施车位，其余停车位预留安装条件</w:t>
            </w:r>
          </w:p>
        </w:tc>
        <w:tc>
          <w:tcPr>
            <w:tcW w:w="2385"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市交通运输局、市发展改革委，相关县（市、区）人民政府（第一个逗号前为牵头单位，下同。）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已建</w:t>
            </w:r>
          </w:p>
        </w:tc>
        <w:tc>
          <w:tcPr>
            <w:tcW w:w="3263" w:type="dxa"/>
            <w:noWrap/>
            <w:vAlign w:val="center"/>
          </w:tcPr>
          <w:p>
            <w:pPr>
              <w:spacing w:beforeLines="0" w:afterLines="0"/>
              <w:jc w:val="left"/>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根据实际情况进行升级改造</w:t>
            </w: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党政机关、事业单位、国有企业</w:t>
            </w:r>
            <w:r>
              <w:rPr>
                <w:rFonts w:hint="eastAsia" w:ascii="楷体_GB2312" w:hAnsi="宋体" w:eastAsia="楷体_GB2312"/>
                <w:color w:val="000000" w:themeColor="text1"/>
                <w:highlight w:val="none"/>
                <w:lang w:eastAsia="zh-CN"/>
                <w14:textFill>
                  <w14:solidFill>
                    <w14:schemeClr w14:val="tx1"/>
                  </w14:solidFill>
                </w14:textFill>
              </w:rPr>
              <w:t>、</w:t>
            </w:r>
            <w:r>
              <w:rPr>
                <w:rFonts w:hint="eastAsia" w:ascii="楷体_GB2312" w:hAnsi="宋体" w:eastAsia="楷体_GB2312"/>
                <w:color w:val="000000" w:themeColor="text1"/>
                <w:highlight w:val="none"/>
                <w:lang w:val="en-US" w:eastAsia="zh-CN"/>
                <w14:textFill>
                  <w14:solidFill>
                    <w14:schemeClr w14:val="tx1"/>
                  </w14:solidFill>
                </w14:textFill>
              </w:rPr>
              <w:t>医院、学校</w:t>
            </w:r>
            <w:r>
              <w:rPr>
                <w:rFonts w:hint="eastAsia" w:ascii="楷体_GB2312" w:hAnsi="宋体" w:eastAsia="楷体_GB2312"/>
                <w:color w:val="000000" w:themeColor="text1"/>
                <w:highlight w:val="none"/>
                <w14:textFill>
                  <w14:solidFill>
                    <w14:schemeClr w14:val="tx1"/>
                  </w14:solidFill>
                </w14:textFill>
              </w:rPr>
              <w:t>停车场</w:t>
            </w: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新建</w:t>
            </w:r>
          </w:p>
        </w:tc>
        <w:tc>
          <w:tcPr>
            <w:tcW w:w="3263"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充电停车位原则上不低于20%</w:t>
            </w:r>
          </w:p>
        </w:tc>
        <w:tc>
          <w:tcPr>
            <w:tcW w:w="2385"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市自然资源局、市住房城乡建设局、市商务局、市文化广电旅游局、市国资委、市机关事务局、乐山大佛景区管委会、峨眉山景区管委会，各县（市、区）人民政府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continue"/>
            <w:noWrap/>
            <w:vAlign w:val="center"/>
          </w:tcPr>
          <w:p>
            <w:pPr>
              <w:spacing w:line="240" w:lineRule="auto"/>
              <w:jc w:val="center"/>
              <w:rPr>
                <w:rFonts w:hint="eastAsia" w:ascii="楷体_GB2312" w:hAnsi="宋体" w:eastAsia="楷体_GB2312"/>
                <w:color w:val="000000" w:themeColor="text1"/>
                <w:highlight w:val="yellow"/>
                <w14:textFill>
                  <w14:solidFill>
                    <w14:schemeClr w14:val="tx1"/>
                  </w14:solidFill>
                </w14:textFill>
              </w:rPr>
            </w:pP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已建</w:t>
            </w:r>
          </w:p>
        </w:tc>
        <w:tc>
          <w:tcPr>
            <w:tcW w:w="3263"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344"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城市综合体大型商场、商务楼宇、超市、宾馆、文体场馆、旅游集散中心等人口集聚区的公共停车场</w:t>
            </w: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新建</w:t>
            </w:r>
          </w:p>
        </w:tc>
        <w:tc>
          <w:tcPr>
            <w:tcW w:w="3263"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充电停车位原则上不低于15%</w:t>
            </w:r>
            <w:r>
              <w:rPr>
                <w:rFonts w:hint="eastAsia" w:ascii="楷体_GB2312" w:hAnsi="宋体" w:eastAsia="楷体_GB2312"/>
                <w:color w:val="000000" w:themeColor="text1"/>
                <w:highlight w:val="none"/>
                <w:lang w:eastAsia="zh-CN"/>
                <w14:textFill>
                  <w14:solidFill>
                    <w14:schemeClr w14:val="tx1"/>
                  </w14:solidFill>
                </w14:textFill>
              </w:rPr>
              <w:t>，</w:t>
            </w:r>
            <w:r>
              <w:rPr>
                <w:rFonts w:hint="eastAsia" w:ascii="楷体_GB2312" w:hAnsi="宋体" w:eastAsia="楷体_GB2312"/>
                <w:color w:val="000000" w:themeColor="text1"/>
                <w:highlight w:val="none"/>
                <w:lang w:val="en-US" w:eastAsia="zh-CN"/>
                <w14:textFill>
                  <w14:solidFill>
                    <w14:schemeClr w14:val="tx1"/>
                  </w14:solidFill>
                </w14:textFill>
              </w:rPr>
              <w:t>其中直流桩比例原则上不低于15%。</w:t>
            </w: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已建</w:t>
            </w:r>
          </w:p>
        </w:tc>
        <w:tc>
          <w:tcPr>
            <w:tcW w:w="3263"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344"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A级旅游景区、度假区、高新技术产业开发区、经济技术开发区、物流园区等公共停车场</w:t>
            </w: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新建</w:t>
            </w:r>
          </w:p>
        </w:tc>
        <w:tc>
          <w:tcPr>
            <w:tcW w:w="3263"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直流桩配建率原则上不低于10%。</w:t>
            </w: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344"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已建</w:t>
            </w:r>
          </w:p>
        </w:tc>
        <w:tc>
          <w:tcPr>
            <w:tcW w:w="3263"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居住社区</w:t>
            </w: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新建</w:t>
            </w:r>
          </w:p>
        </w:tc>
        <w:tc>
          <w:tcPr>
            <w:tcW w:w="3263" w:type="dxa"/>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固定车位充电停车位比例原则上不低于15%</w:t>
            </w:r>
          </w:p>
        </w:tc>
        <w:tc>
          <w:tcPr>
            <w:tcW w:w="2385" w:type="dxa"/>
            <w:vMerge w:val="restart"/>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市自然资源局、市住房城乡建设局，国网乐山供电公司、乐山电力股份有限公司，各县（市、区）人民政府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restart"/>
            <w:noWrap/>
            <w:vAlign w:val="center"/>
          </w:tcPr>
          <w:p>
            <w:pPr>
              <w:spacing w:line="240" w:lineRule="auto"/>
              <w:jc w:val="center"/>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住宅小区</w:t>
            </w: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新建</w:t>
            </w:r>
          </w:p>
        </w:tc>
        <w:tc>
          <w:tcPr>
            <w:tcW w:w="3263" w:type="dxa"/>
            <w:noWrap/>
            <w:vAlign w:val="center"/>
          </w:tcPr>
          <w:p>
            <w:pPr>
              <w:spacing w:line="240" w:lineRule="auto"/>
              <w:jc w:val="center"/>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15%直接建设和100%预留充电基础设施安装条件和配变电设施增容空间</w:t>
            </w: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4" w:type="dxa"/>
            <w:vMerge w:val="continue"/>
            <w:noWrap/>
            <w:vAlign w:val="center"/>
          </w:tcPr>
          <w:p>
            <w:pPr>
              <w:spacing w:line="360" w:lineRule="exact"/>
              <w:jc w:val="center"/>
              <w:rPr>
                <w:rFonts w:ascii="楷体_GB2312" w:hAnsi="宋体" w:eastAsia="楷体_GB2312"/>
                <w:color w:val="000000" w:themeColor="text1"/>
                <w:highlight w:val="none"/>
                <w14:textFill>
                  <w14:solidFill>
                    <w14:schemeClr w14:val="tx1"/>
                  </w14:solidFill>
                </w14:textFill>
              </w:rPr>
            </w:pPr>
          </w:p>
        </w:tc>
        <w:tc>
          <w:tcPr>
            <w:tcW w:w="917"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已建</w:t>
            </w:r>
          </w:p>
        </w:tc>
        <w:tc>
          <w:tcPr>
            <w:tcW w:w="3263" w:type="dxa"/>
            <w:noWrap/>
            <w:vAlign w:val="center"/>
          </w:tcPr>
          <w:p>
            <w:pPr>
              <w:spacing w:line="240" w:lineRule="auto"/>
              <w:jc w:val="center"/>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olor w:val="000000" w:themeColor="text1"/>
                <w:highlight w:val="none"/>
                <w14:textFill>
                  <w14:solidFill>
                    <w14:schemeClr w14:val="tx1"/>
                  </w14:solidFill>
                </w14:textFill>
              </w:rPr>
              <w:t>按照不低于 10%比例配建公共充电车位</w:t>
            </w:r>
          </w:p>
        </w:tc>
        <w:tc>
          <w:tcPr>
            <w:tcW w:w="2385" w:type="dxa"/>
            <w:vMerge w:val="continue"/>
            <w:noWrap/>
            <w:vAlign w:val="center"/>
          </w:tcPr>
          <w:p>
            <w:pPr>
              <w:spacing w:line="240" w:lineRule="auto"/>
              <w:jc w:val="center"/>
              <w:rPr>
                <w:rFonts w:hint="eastAsia" w:ascii="楷体_GB2312" w:hAnsi="宋体" w:eastAsia="楷体_GB2312"/>
                <w:color w:val="000000" w:themeColor="text1"/>
                <w:highlight w:val="none"/>
                <w14:textFill>
                  <w14:solidFill>
                    <w14:schemeClr w14:val="tx1"/>
                  </w14:solidFill>
                </w14:textFill>
              </w:rPr>
            </w:pPr>
          </w:p>
        </w:tc>
      </w:tr>
    </w:tbl>
    <w:p>
      <w:pPr>
        <w:spacing w:line="300" w:lineRule="exact"/>
        <w:ind w:left="422" w:hanging="421" w:hangingChars="200"/>
        <w:jc w:val="left"/>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b/>
          <w:bCs/>
          <w:color w:val="000000" w:themeColor="text1"/>
          <w:highlight w:val="none"/>
          <w14:textFill>
            <w14:solidFill>
              <w14:schemeClr w14:val="tx1"/>
            </w14:solidFill>
          </w14:textFill>
        </w:rPr>
        <w:t>注：</w:t>
      </w:r>
      <w:r>
        <w:rPr>
          <w:rFonts w:hint="eastAsia" w:ascii="楷体_GB2312" w:hAnsi="宋体" w:eastAsia="楷体_GB2312"/>
          <w:color w:val="000000" w:themeColor="text1"/>
          <w:highlight w:val="none"/>
          <w14:textFill>
            <w14:solidFill>
              <w14:schemeClr w14:val="tx1"/>
            </w14:solidFill>
          </w14:textFill>
        </w:rPr>
        <w:t>充电桩结合停车位配建，配建比例指配建充电桩的停车位占总体停车位比例，预留比例为预留充电桩建设安装条件的停车位占总体停车位比例。</w:t>
      </w:r>
    </w:p>
    <w:p>
      <w:pPr>
        <w:pStyle w:val="21"/>
        <w:rPr>
          <w:rFonts w:hint="eastAsia" w:cs="Times New Roman"/>
          <w:color w:val="000000" w:themeColor="text1"/>
          <w:highlight w:val="none"/>
          <w14:textFill>
            <w14:solidFill>
              <w14:schemeClr w14:val="tx1"/>
            </w14:solidFill>
          </w14:textFill>
        </w:rPr>
      </w:pPr>
      <w:bookmarkStart w:id="256" w:name="_Toc30716"/>
      <w:bookmarkStart w:id="257" w:name="_Toc20587"/>
      <w:bookmarkStart w:id="258" w:name="_Toc9554"/>
      <w:bookmarkStart w:id="259" w:name="_Toc4494"/>
      <w:bookmarkStart w:id="260" w:name="_Toc3214"/>
      <w:r>
        <w:rPr>
          <w:rFonts w:hint="eastAsia" w:cs="Times New Roman"/>
          <w:color w:val="000000" w:themeColor="text1"/>
          <w:highlight w:val="none"/>
          <w14:textFill>
            <w14:solidFill>
              <w14:schemeClr w14:val="tx1"/>
            </w14:solidFill>
          </w14:textFill>
        </w:rPr>
        <w:t>第</w:t>
      </w:r>
      <w:r>
        <w:rPr>
          <w:rFonts w:hint="eastAsia" w:cs="Times New Roman"/>
          <w:color w:val="000000" w:themeColor="text1"/>
          <w:highlight w:val="none"/>
          <w:lang w:val="en-US" w:eastAsia="zh-CN"/>
          <w14:textFill>
            <w14:solidFill>
              <w14:schemeClr w14:val="tx1"/>
            </w14:solidFill>
          </w14:textFill>
        </w:rPr>
        <w:t>二</w:t>
      </w:r>
      <w:r>
        <w:rPr>
          <w:rFonts w:hint="eastAsia" w:cs="Times New Roman"/>
          <w:color w:val="000000" w:themeColor="text1"/>
          <w:highlight w:val="none"/>
          <w14:textFill>
            <w14:solidFill>
              <w14:schemeClr w14:val="tx1"/>
            </w14:solidFill>
          </w14:textFill>
        </w:rPr>
        <w:t>节 自用充电设施</w:t>
      </w:r>
      <w:bookmarkEnd w:id="256"/>
      <w:bookmarkEnd w:id="257"/>
      <w:bookmarkEnd w:id="258"/>
      <w:bookmarkEnd w:id="259"/>
      <w:bookmarkEnd w:id="260"/>
    </w:p>
    <w:p>
      <w:pPr>
        <w:spacing w:line="360" w:lineRule="auto"/>
        <w:ind w:firstLine="480" w:firstLineChars="200"/>
        <w:rPr>
          <w:rFonts w:hint="eastAsia" w:ascii="宋体" w:hAnsi="宋体" w:eastAsia="宋体" w:cs="宋体"/>
          <w:bCs/>
          <w:color w:val="000000" w:themeColor="text1"/>
          <w:sz w:val="24"/>
          <w:highlight w:val="none"/>
          <w:lang w:val="en-US" w:eastAsia="zh-CN"/>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居住区积极推广智能有序慢充为主、应急快充为辅的充电基础设施。</w:t>
      </w:r>
    </w:p>
    <w:p>
      <w:pPr>
        <w:spacing w:line="360" w:lineRule="auto"/>
        <w:ind w:firstLine="481"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w:t>
      </w:r>
      <w:r>
        <w:rPr>
          <w:rFonts w:hint="eastAsia" w:ascii="宋体" w:hAnsi="宋体" w:cs="宋体"/>
          <w:b/>
          <w:bCs/>
          <w:color w:val="000000" w:themeColor="text1"/>
          <w:sz w:val="24"/>
          <w:highlight w:val="none"/>
          <w:lang w:val="en-US" w:eastAsia="zh-CN"/>
          <w14:textFill>
            <w14:solidFill>
              <w14:schemeClr w14:val="tx1"/>
            </w14:solidFill>
          </w14:textFill>
        </w:rPr>
        <w:t>、</w:t>
      </w:r>
      <w:r>
        <w:rPr>
          <w:rFonts w:hint="eastAsia" w:ascii="宋体" w:hAnsi="宋体" w:eastAsia="宋体" w:cs="宋体"/>
          <w:b/>
          <w:bCs/>
          <w:color w:val="000000" w:themeColor="text1"/>
          <w:sz w:val="24"/>
          <w:highlight w:val="none"/>
          <w:lang w:val="en-US" w:eastAsia="zh-CN"/>
          <w14:textFill>
            <w14:solidFill>
              <w14:schemeClr w14:val="tx1"/>
            </w14:solidFill>
          </w14:textFill>
        </w:rPr>
        <w:t>新建小区</w:t>
      </w:r>
    </w:p>
    <w:p>
      <w:pPr>
        <w:spacing w:line="360" w:lineRule="auto"/>
        <w:ind w:firstLine="480" w:firstLineChars="200"/>
        <w:rPr>
          <w:rFonts w:hint="eastAsia" w:ascii="宋体" w:hAnsi="宋体" w:eastAsia="宋体" w:cs="宋体"/>
          <w:bCs/>
          <w:color w:val="000000" w:themeColor="text1"/>
          <w:sz w:val="24"/>
          <w:highlight w:val="none"/>
          <w:lang w:val="en-US" w:eastAsia="zh-CN"/>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新建居住社区固定车位充电桩比例原则上不低于15%。新建居民住宅小区电动汽车充换电设施配建按总车位数（含产权车位、人防车位）15%直接建设和100%预留安装条件，满足直接装表接电要求。</w:t>
      </w:r>
    </w:p>
    <w:p>
      <w:pPr>
        <w:spacing w:line="360" w:lineRule="auto"/>
        <w:ind w:firstLine="481"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lang w:val="en-US" w:eastAsia="zh-CN"/>
          <w14:textFill>
            <w14:solidFill>
              <w14:schemeClr w14:val="tx1"/>
            </w14:solidFill>
          </w14:textFill>
        </w:rPr>
        <w:t>、</w:t>
      </w:r>
      <w:r>
        <w:rPr>
          <w:rFonts w:hint="eastAsia" w:ascii="宋体" w:hAnsi="宋体" w:eastAsia="宋体" w:cs="宋体"/>
          <w:b/>
          <w:bCs/>
          <w:color w:val="000000" w:themeColor="text1"/>
          <w:sz w:val="24"/>
          <w:highlight w:val="none"/>
          <w:lang w:val="en-US" w:eastAsia="zh-CN"/>
          <w14:textFill>
            <w14:solidFill>
              <w14:schemeClr w14:val="tx1"/>
            </w14:solidFill>
          </w14:textFill>
        </w:rPr>
        <w:t>既有小区</w:t>
      </w:r>
    </w:p>
    <w:p>
      <w:pPr>
        <w:spacing w:line="360" w:lineRule="auto"/>
        <w:ind w:firstLine="480" w:firstLineChars="200"/>
        <w:rPr>
          <w:rFonts w:hint="eastAsia" w:ascii="宋体" w:hAnsi="宋体" w:eastAsia="宋体" w:cs="宋体"/>
          <w:bCs/>
          <w:color w:val="000000" w:themeColor="text1"/>
          <w:sz w:val="24"/>
          <w:highlight w:val="none"/>
          <w:lang w:val="en-US" w:eastAsia="zh-CN"/>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在既有居住区加快推进固定车位充电基础设施应装尽装，优化布局公共充电基础设施。对居民有改造意愿且有条件的老旧小区进行集中配建，其他小区可根据实际情况采取片区式、相对集中、就近建设等方式，按照不低于10%比例配建公共充电车位。</w:t>
      </w:r>
    </w:p>
    <w:p>
      <w:pPr>
        <w:spacing w:line="360" w:lineRule="auto"/>
        <w:ind w:firstLine="480" w:firstLineChars="200"/>
        <w:rPr>
          <w:rFonts w:hint="eastAsia" w:ascii="宋体" w:hAnsi="宋体" w:eastAsia="宋体" w:cs="宋体"/>
          <w:bCs/>
          <w:color w:val="000000" w:themeColor="text1"/>
          <w:sz w:val="24"/>
          <w:highlight w:val="none"/>
          <w:lang w:val="en-US" w:eastAsia="zh-CN"/>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鼓励有资质的充电建设、运营企业与居住区管理单位合作，接受业主委员会委托，开展居住区充电设施“统建统服”，统一提供充电设施建设、运营与维护等有偿服务，提高充电设施安全管理水平和绿电消费比例，实现居住区充电桩“有人建、有人管、可持续”。支持居住区自用充电设施共享，鼓励“临近车位共享”“多车一桩”等新模式，鼓励有条件的充电设施对外开放，提供公共充电服务。</w:t>
      </w:r>
    </w:p>
    <w:p>
      <w:pPr>
        <w:pStyle w:val="21"/>
        <w:rPr>
          <w:rFonts w:hint="eastAsia" w:cs="Times New Roman"/>
          <w:color w:val="000000" w:themeColor="text1"/>
          <w:highlight w:val="none"/>
          <w:lang w:val="en-US" w:eastAsia="zh-CN"/>
          <w14:textFill>
            <w14:solidFill>
              <w14:schemeClr w14:val="tx1"/>
            </w14:solidFill>
          </w14:textFill>
        </w:rPr>
      </w:pPr>
      <w:bookmarkStart w:id="261" w:name="_Toc9009"/>
      <w:bookmarkStart w:id="262" w:name="_Toc5069"/>
      <w:bookmarkStart w:id="263" w:name="_Toc8348"/>
      <w:bookmarkStart w:id="264" w:name="_Toc30495"/>
      <w:bookmarkStart w:id="265" w:name="_Toc30128"/>
      <w:r>
        <w:rPr>
          <w:rFonts w:hint="eastAsia" w:cs="Times New Roman"/>
          <w:color w:val="000000" w:themeColor="text1"/>
          <w:highlight w:val="none"/>
          <w14:textFill>
            <w14:solidFill>
              <w14:schemeClr w14:val="tx1"/>
            </w14:solidFill>
          </w14:textFill>
        </w:rPr>
        <w:t>第</w:t>
      </w:r>
      <w:r>
        <w:rPr>
          <w:rFonts w:hint="eastAsia" w:cs="Times New Roman"/>
          <w:color w:val="000000" w:themeColor="text1"/>
          <w:highlight w:val="none"/>
          <w:lang w:val="en-US" w:eastAsia="zh-CN"/>
          <w14:textFill>
            <w14:solidFill>
              <w14:schemeClr w14:val="tx1"/>
            </w14:solidFill>
          </w14:textFill>
        </w:rPr>
        <w:t>三</w:t>
      </w:r>
      <w:r>
        <w:rPr>
          <w:rFonts w:hint="eastAsia" w:cs="Times New Roman"/>
          <w:color w:val="000000" w:themeColor="text1"/>
          <w:highlight w:val="none"/>
          <w14:textFill>
            <w14:solidFill>
              <w14:schemeClr w14:val="tx1"/>
            </w14:solidFill>
          </w14:textFill>
        </w:rPr>
        <w:t xml:space="preserve">节 </w:t>
      </w:r>
      <w:r>
        <w:rPr>
          <w:rFonts w:hint="default" w:cs="Times New Roman"/>
          <w:color w:val="000000" w:themeColor="text1"/>
          <w:highlight w:val="none"/>
          <w14:textFill>
            <w14:solidFill>
              <w14:schemeClr w14:val="tx1"/>
            </w14:solidFill>
          </w14:textFill>
        </w:rPr>
        <w:t>专用</w:t>
      </w:r>
      <w:r>
        <w:rPr>
          <w:rFonts w:hint="eastAsia" w:cs="Times New Roman"/>
          <w:color w:val="000000" w:themeColor="text1"/>
          <w:highlight w:val="none"/>
          <w14:textFill>
            <w14:solidFill>
              <w14:schemeClr w14:val="tx1"/>
            </w14:solidFill>
          </w14:textFill>
        </w:rPr>
        <w:t>充</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电</w:t>
      </w:r>
      <w:r>
        <w:rPr>
          <w:rFonts w:hint="default" w:cs="Times New Roman"/>
          <w:color w:val="000000" w:themeColor="text1"/>
          <w:highlight w:val="none"/>
          <w14:textFill>
            <w14:solidFill>
              <w14:schemeClr w14:val="tx1"/>
            </w14:solidFill>
          </w14:textFill>
        </w:rPr>
        <w:t>设施</w:t>
      </w:r>
      <w:bookmarkEnd w:id="261"/>
      <w:bookmarkEnd w:id="262"/>
      <w:bookmarkEnd w:id="263"/>
      <w:bookmarkEnd w:id="264"/>
      <w:bookmarkEnd w:id="265"/>
    </w:p>
    <w:p>
      <w:pPr>
        <w:spacing w:line="360" w:lineRule="auto"/>
        <w:ind w:firstLine="562" w:firstLineChars="200"/>
        <w:rPr>
          <w:rStyle w:val="19"/>
          <w:color w:val="000000" w:themeColor="text1"/>
          <w:kern w:val="0"/>
          <w:szCs w:val="22"/>
          <w:highlight w:val="none"/>
          <w14:textFill>
            <w14:solidFill>
              <w14:schemeClr w14:val="tx1"/>
            </w14:solidFill>
          </w14:textFill>
        </w:rPr>
      </w:pPr>
      <w:bookmarkStart w:id="266" w:name="_Toc22428"/>
      <w:bookmarkStart w:id="267" w:name="_Toc2910"/>
      <w:bookmarkStart w:id="268" w:name="_Toc7864"/>
      <w:bookmarkStart w:id="269" w:name="_Toc7954"/>
      <w:bookmarkStart w:id="270" w:name="_Toc29134"/>
      <w:r>
        <w:rPr>
          <w:rStyle w:val="19"/>
          <w:rFonts w:hint="eastAsia"/>
          <w:color w:val="000000" w:themeColor="text1"/>
          <w:kern w:val="0"/>
          <w:szCs w:val="22"/>
          <w:highlight w:val="none"/>
          <w14:textFill>
            <w14:solidFill>
              <w14:schemeClr w14:val="tx1"/>
            </w14:solidFill>
          </w14:textFill>
        </w:rPr>
        <w:t>（一）规划建设要求</w:t>
      </w:r>
    </w:p>
    <w:bookmarkEnd w:id="266"/>
    <w:bookmarkEnd w:id="267"/>
    <w:bookmarkEnd w:id="268"/>
    <w:bookmarkEnd w:id="269"/>
    <w:bookmarkEnd w:id="270"/>
    <w:p>
      <w:pPr>
        <w:spacing w:line="360" w:lineRule="auto"/>
        <w:ind w:firstLine="480" w:firstLineChars="200"/>
        <w:rPr>
          <w:rFonts w:hint="eastAsia" w:ascii="宋体" w:hAnsi="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根据专用电动汽车的运行特征，按照专车专用、桩随车走、便捷使用的原则，重点对电动公交（客运）车、</w:t>
      </w:r>
      <w:r>
        <w:rPr>
          <w:rFonts w:hint="eastAsia" w:ascii="宋体" w:hAnsi="宋体" w:cs="宋体"/>
          <w:bCs/>
          <w:color w:val="000000" w:themeColor="text1"/>
          <w:sz w:val="24"/>
          <w:highlight w:val="none"/>
          <w:lang w:val="en-US" w:eastAsia="zh-CN"/>
          <w14:textFill>
            <w14:solidFill>
              <w14:schemeClr w14:val="tx1"/>
            </w14:solidFill>
          </w14:textFill>
        </w:rPr>
        <w:t>货运</w:t>
      </w:r>
      <w:r>
        <w:rPr>
          <w:rFonts w:hint="eastAsia" w:ascii="宋体" w:hAnsi="宋体" w:cs="宋体"/>
          <w:bCs/>
          <w:color w:val="000000" w:themeColor="text1"/>
          <w:sz w:val="24"/>
          <w:highlight w:val="none"/>
          <w14:textFill>
            <w14:solidFill>
              <w14:schemeClr w14:val="tx1"/>
            </w14:solidFill>
          </w14:textFill>
        </w:rPr>
        <w:t>车、</w:t>
      </w:r>
      <w:r>
        <w:rPr>
          <w:rFonts w:hint="eastAsia" w:ascii="宋体" w:hAnsi="宋体" w:cs="宋体"/>
          <w:bCs/>
          <w:color w:val="000000" w:themeColor="text1"/>
          <w:sz w:val="24"/>
          <w:highlight w:val="none"/>
          <w:lang w:val="en-US" w:eastAsia="zh-CN"/>
          <w14:textFill>
            <w14:solidFill>
              <w14:schemeClr w14:val="tx1"/>
            </w14:solidFill>
          </w14:textFill>
        </w:rPr>
        <w:t>市政</w:t>
      </w:r>
      <w:r>
        <w:rPr>
          <w:rFonts w:hint="eastAsia" w:ascii="宋体" w:hAnsi="宋体" w:cs="宋体"/>
          <w:bCs/>
          <w:color w:val="000000" w:themeColor="text1"/>
          <w:sz w:val="24"/>
          <w:highlight w:val="none"/>
          <w14:textFill>
            <w14:solidFill>
              <w14:schemeClr w14:val="tx1"/>
            </w14:solidFill>
          </w14:textFill>
        </w:rPr>
        <w:t>车专用充（换）电基础设施进行规划布局，结合实际条件合理布局专用大功率充电设施，并将专用换电站纳入充电站整体布局统筹安排；党政机关、企（事）业单位、社会团体、园区等其他专用充电基础设施根据需求利用专属停车位，按照有关要求自行布局。鼓励专用场站有序对外开放</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推动“专用设施闲时共享”机制</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提升充电基础设施利用效率</w:t>
      </w:r>
      <w:r>
        <w:rPr>
          <w:rFonts w:hint="eastAsia" w:ascii="宋体" w:hAnsi="宋体" w:cs="宋体"/>
          <w:bCs/>
          <w:color w:val="000000" w:themeColor="text1"/>
          <w:sz w:val="24"/>
          <w:highlight w:val="none"/>
          <w:lang w:eastAsia="zh-CN"/>
          <w14:textFill>
            <w14:solidFill>
              <w14:schemeClr w14:val="tx1"/>
            </w14:solidFill>
          </w14:textFill>
        </w:rPr>
        <w:t>。</w:t>
      </w:r>
    </w:p>
    <w:p>
      <w:pPr>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各县（市、区）要充分对接</w:t>
      </w:r>
      <w:r>
        <w:rPr>
          <w:rFonts w:hint="eastAsia" w:ascii="宋体" w:hAnsi="宋体" w:cs="宋体"/>
          <w:bCs/>
          <w:color w:val="000000" w:themeColor="text1"/>
          <w:sz w:val="24"/>
          <w:highlight w:val="none"/>
          <w:lang w:val="en-US" w:eastAsia="zh-CN"/>
          <w14:textFill>
            <w14:solidFill>
              <w14:schemeClr w14:val="tx1"/>
            </w14:solidFill>
          </w14:textFill>
        </w:rPr>
        <w:t>国土空间规划</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lang w:val="en-US" w:eastAsia="zh-CN"/>
          <w14:textFill>
            <w14:solidFill>
              <w14:schemeClr w14:val="tx1"/>
            </w14:solidFill>
          </w14:textFill>
        </w:rPr>
        <w:t>交通规划</w:t>
      </w:r>
      <w:r>
        <w:rPr>
          <w:rFonts w:hint="eastAsia" w:ascii="宋体" w:hAnsi="宋体" w:cs="宋体"/>
          <w:bCs/>
          <w:color w:val="000000" w:themeColor="text1"/>
          <w:sz w:val="24"/>
          <w:highlight w:val="none"/>
          <w14:textFill>
            <w14:solidFill>
              <w14:schemeClr w14:val="tx1"/>
            </w14:solidFill>
          </w14:textFill>
        </w:rPr>
        <w:t>、电力规划等专项规划，依据相关需求细化布局境内专用充（换）电基础设施。</w:t>
      </w:r>
    </w:p>
    <w:p>
      <w:pPr>
        <w:spacing w:line="360" w:lineRule="auto"/>
        <w:ind w:firstLine="562" w:firstLineChars="200"/>
        <w:rPr>
          <w:rStyle w:val="19"/>
          <w:color w:val="000000" w:themeColor="text1"/>
          <w:kern w:val="0"/>
          <w:szCs w:val="22"/>
          <w:highlight w:val="none"/>
          <w14:textFill>
            <w14:solidFill>
              <w14:schemeClr w14:val="tx1"/>
            </w14:solidFill>
          </w14:textFill>
        </w:rPr>
      </w:pPr>
      <w:bookmarkStart w:id="271" w:name="_Toc23446"/>
      <w:bookmarkStart w:id="272" w:name="_Toc18576"/>
      <w:bookmarkStart w:id="273" w:name="_Toc10696"/>
      <w:bookmarkStart w:id="274" w:name="_Toc2070"/>
      <w:bookmarkStart w:id="275" w:name="_Toc19346"/>
      <w:r>
        <w:rPr>
          <w:rStyle w:val="19"/>
          <w:rFonts w:hint="eastAsia"/>
          <w:color w:val="000000" w:themeColor="text1"/>
          <w:kern w:val="0"/>
          <w:szCs w:val="22"/>
          <w:highlight w:val="none"/>
          <w14:textFill>
            <w14:solidFill>
              <w14:schemeClr w14:val="tx1"/>
            </w14:solidFill>
          </w14:textFill>
        </w:rPr>
        <w:t>（二）中心城区布局</w:t>
      </w:r>
    </w:p>
    <w:bookmarkEnd w:id="271"/>
    <w:bookmarkEnd w:id="272"/>
    <w:bookmarkEnd w:id="273"/>
    <w:bookmarkEnd w:id="274"/>
    <w:bookmarkEnd w:id="275"/>
    <w:p>
      <w:pPr>
        <w:keepNext w:val="0"/>
        <w:keepLines w:val="0"/>
        <w:pageBreakBefore w:val="0"/>
        <w:widowControl/>
        <w:kinsoku/>
        <w:wordWrap/>
        <w:overflowPunct/>
        <w:topLinePunct w:val="0"/>
        <w:autoSpaceDE/>
        <w:autoSpaceDN/>
        <w:bidi w:val="0"/>
        <w:adjustRightInd/>
        <w:snapToGrid/>
        <w:spacing w:line="360" w:lineRule="auto"/>
        <w:ind w:firstLine="481" w:firstLineChars="200"/>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1、公交（客运）车领域 </w:t>
      </w:r>
    </w:p>
    <w:p>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就近结合各类公交（客运）场站（综合枢纽站、交通枢纽站、首末站、保养场、保修场）布局专用站，构建</w:t>
      </w:r>
      <w:r>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充电</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为主，换电试点为补充</w:t>
      </w:r>
      <w:r>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的布局模式，规划扩建专用站7座，新建专用充电站7座，建设专用桩不少于</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 xml:space="preserve">50个。 </w:t>
      </w:r>
    </w:p>
    <w:p>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包括扩建乐山公交檀木家园停车场、乐山公交总公司、乐山联运站停车场、乐山肖坝停车场、乐山公交嘉州长卷停车场、乐山公交五通桥停车场、乐水小镇公交停车场充电站等7座公交（客运）专用充（换）电站；新建乐山市客运中心站、杨湾公交站、马儿山公交首末场站、乐山大佛游客中心站、乐山机场公交枢纽站、五通客运枢纽站、沙湾站公交总站等7座公交（客运）专用充（换）电站，同时因地制宜在运营线路沿途规划建设快速充电站，构建车辆可持续运行模式。</w:t>
      </w:r>
    </w:p>
    <w:p>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公共交通运输管理部门可结合公交（客运）车辆行驶路径，因地制宜设置专用分散式点位为公交（客运）车辆提供补电服务，公交（客运）专用充电设施有余力可为社会车辆提供服务。</w:t>
      </w:r>
    </w:p>
    <w:p>
      <w:pPr>
        <w:keepNext w:val="0"/>
        <w:keepLines w:val="0"/>
        <w:pageBreakBefore w:val="0"/>
        <w:widowControl/>
        <w:kinsoku/>
        <w:wordWrap/>
        <w:overflowPunct/>
        <w:topLinePunct w:val="0"/>
        <w:autoSpaceDE/>
        <w:autoSpaceDN/>
        <w:bidi w:val="0"/>
        <w:adjustRightInd/>
        <w:snapToGrid/>
        <w:spacing w:line="360" w:lineRule="auto"/>
        <w:ind w:firstLine="481" w:firstLineChars="200"/>
        <w:textAlignment w:val="auto"/>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2、出租车</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领域 </w:t>
      </w:r>
    </w:p>
    <w:p>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基于</w:t>
      </w:r>
      <w:r>
        <w:rPr>
          <w:rFonts w:hint="eastAsia" w:ascii="宋体" w:hAnsi="宋体" w:eastAsia="宋体" w:cs="宋体"/>
          <w:bCs/>
          <w:color w:val="000000" w:themeColor="text1"/>
          <w:kern w:val="2"/>
          <w:sz w:val="24"/>
          <w:szCs w:val="24"/>
          <w:highlight w:val="none"/>
          <w:lang w:val="zh-CN" w:eastAsia="zh-CN" w:bidi="ar-SA"/>
          <w14:textFill>
            <w14:solidFill>
              <w14:schemeClr w14:val="tx1"/>
            </w14:solidFill>
          </w14:textFill>
        </w:rPr>
        <w:t>出租车</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流动性强、补电需求分散的特点，引导</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其</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共享公共充电网络资源。鼓励企业</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利用</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商业、停车设施</w:t>
      </w:r>
      <w:r>
        <w:rPr>
          <w:rFonts w:ascii="Segoe UI" w:hAnsi="Segoe UI" w:eastAsia="Segoe UI" w:cs="Segoe UI"/>
          <w:i w:val="0"/>
          <w:iCs w:val="0"/>
          <w:caps w:val="0"/>
          <w:color w:val="0F1115"/>
          <w:spacing w:val="0"/>
          <w:sz w:val="24"/>
          <w:szCs w:val="24"/>
          <w:shd w:val="clear" w:fill="FFFFFF"/>
        </w:rPr>
        <w:t>等</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用地集约化布局专用充换电综合体，</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有效</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降低</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用</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地成本，</w:t>
      </w:r>
      <w:r>
        <w:rPr>
          <w:rFonts w:ascii="Segoe UI" w:hAnsi="Segoe UI" w:eastAsia="Segoe UI" w:cs="Segoe UI"/>
          <w:i w:val="0"/>
          <w:iCs w:val="0"/>
          <w:caps w:val="0"/>
          <w:color w:val="0F1115"/>
          <w:spacing w:val="0"/>
          <w:sz w:val="24"/>
          <w:szCs w:val="24"/>
          <w:shd w:val="clear" w:fill="FFFFFF"/>
        </w:rPr>
        <w:t>实现高效便捷的补电服务覆盖。</w:t>
      </w:r>
    </w:p>
    <w:p>
      <w:pPr>
        <w:keepNext w:val="0"/>
        <w:keepLines w:val="0"/>
        <w:pageBreakBefore w:val="0"/>
        <w:widowControl/>
        <w:kinsoku/>
        <w:wordWrap/>
        <w:overflowPunct/>
        <w:topLinePunct w:val="0"/>
        <w:autoSpaceDE/>
        <w:autoSpaceDN/>
        <w:bidi w:val="0"/>
        <w:adjustRightInd/>
        <w:snapToGrid/>
        <w:spacing w:line="360" w:lineRule="auto"/>
        <w:ind w:firstLine="481" w:firstLineChars="200"/>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3、货运车领域 </w:t>
      </w:r>
    </w:p>
    <w:p>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drawing>
          <wp:anchor distT="0" distB="0" distL="114300" distR="114300" simplePos="0" relativeHeight="251661312" behindDoc="0" locked="0" layoutInCell="1" allowOverlap="1">
            <wp:simplePos x="0" y="0"/>
            <wp:positionH relativeFrom="column">
              <wp:posOffset>-7332345</wp:posOffset>
            </wp:positionH>
            <wp:positionV relativeFrom="paragraph">
              <wp:posOffset>9986645</wp:posOffset>
            </wp:positionV>
            <wp:extent cx="5255895" cy="5582920"/>
            <wp:effectExtent l="0" t="0" r="1905" b="17780"/>
            <wp:wrapNone/>
            <wp:docPr id="4" name="图片 12"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2" descr="1"/>
                    <pic:cNvPicPr>
                      <a:picLocks noChangeAspect="true" noChangeArrowheads="true"/>
                    </pic:cNvPicPr>
                  </pic:nvPicPr>
                  <pic:blipFill>
                    <a:blip r:embed="rId16" cstate="print"/>
                    <a:srcRect/>
                    <a:stretch>
                      <a:fillRect/>
                    </a:stretch>
                  </pic:blipFill>
                  <pic:spPr>
                    <a:xfrm>
                      <a:off x="0" y="0"/>
                      <a:ext cx="5255895" cy="5582920"/>
                    </a:xfrm>
                    <a:prstGeom prst="rect">
                      <a:avLst/>
                    </a:prstGeom>
                    <a:noFill/>
                    <a:ln w="9525">
                      <a:noFill/>
                      <a:miter lim="800000"/>
                      <a:headEnd/>
                      <a:tailEnd/>
                    </a:ln>
                  </pic:spPr>
                </pic:pic>
              </a:graphicData>
            </a:graphic>
          </wp:anchor>
        </w:drawing>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结合货运场站、物流园区、工业园区等区域，以</w:t>
      </w:r>
      <w:r>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换电为主、充电为辅</w:t>
      </w:r>
      <w:r>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模式规划新建专用站</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点</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，规划新建专用站</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点10处</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，建设专用桩不少于</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150</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个。</w:t>
      </w:r>
    </w:p>
    <w:p>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建议结合苏稽工业、水口工业、嘉农工业、沙湾工业、高新区工业、牛华工业、五通桥工业、棉竹物流、沙湾物流片区</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进行布置，</w:t>
      </w:r>
      <w:r>
        <w:rPr>
          <w:rFonts w:hint="eastAsia" w:ascii="宋体" w:hAnsi="宋体" w:cs="宋体"/>
          <w:color w:val="000000" w:themeColor="text1"/>
          <w:sz w:val="24"/>
          <w:szCs w:val="32"/>
          <w:highlight w:val="none"/>
          <w:lang w:val="en-US" w:eastAsia="zh-CN"/>
          <w14:textFill>
            <w14:solidFill>
              <w14:schemeClr w14:val="tx1"/>
            </w14:solidFill>
          </w14:textFill>
        </w:rPr>
        <w:t>货运物流</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专用充电站</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点</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应结合实际使用需求因地制宜配建换电设施。</w:t>
      </w:r>
    </w:p>
    <w:p>
      <w:pPr>
        <w:keepNext w:val="0"/>
        <w:keepLines w:val="0"/>
        <w:pageBreakBefore w:val="0"/>
        <w:widowControl/>
        <w:kinsoku/>
        <w:wordWrap/>
        <w:overflowPunct/>
        <w:topLinePunct w:val="0"/>
        <w:autoSpaceDE/>
        <w:autoSpaceDN/>
        <w:bidi w:val="0"/>
        <w:adjustRightInd/>
        <w:snapToGrid/>
        <w:spacing w:line="360" w:lineRule="auto"/>
        <w:ind w:firstLine="481" w:firstLineChars="200"/>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4、市政车领域 </w:t>
      </w:r>
    </w:p>
    <w:p>
      <w:pPr>
        <w:spacing w:line="360" w:lineRule="auto"/>
        <w:ind w:firstLine="480" w:firstLineChars="200"/>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重点围绕现状及近期规划建设</w:t>
      </w:r>
      <w:r>
        <w:rPr>
          <w:rFonts w:hint="eastAsia" w:ascii="宋体" w:hAnsi="宋体" w:cs="宋体"/>
          <w:color w:val="000000" w:themeColor="text1"/>
          <w:sz w:val="24"/>
          <w:szCs w:val="32"/>
          <w:highlight w:val="none"/>
          <w:lang w:val="en-US" w:eastAsia="zh-CN"/>
          <w14:textFill>
            <w14:solidFill>
              <w14:schemeClr w14:val="tx1"/>
            </w14:solidFill>
          </w14:textFill>
        </w:rPr>
        <w:t>的市政</w:t>
      </w:r>
      <w:r>
        <w:rPr>
          <w:rFonts w:hint="eastAsia" w:ascii="宋体" w:hAnsi="宋体" w:eastAsia="宋体" w:cs="宋体"/>
          <w:color w:val="000000" w:themeColor="text1"/>
          <w:sz w:val="24"/>
          <w:szCs w:val="32"/>
          <w:highlight w:val="none"/>
          <w:lang w:val="en-US" w:eastAsia="zh-CN"/>
          <w14:textFill>
            <w14:solidFill>
              <w14:schemeClr w14:val="tx1"/>
            </w14:solidFill>
          </w14:textFill>
        </w:rPr>
        <w:t>场所，以</w:t>
      </w:r>
      <w:r>
        <w:rPr>
          <w:rFonts w:hint="default"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换电为主、充电为辅</w:t>
      </w:r>
      <w:r>
        <w:rPr>
          <w:rFonts w:hint="default" w:ascii="宋体" w:hAnsi="宋体" w:eastAsia="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模式规划新建专用站4座，引导建设充换一体站，建设专用桩不少于</w:t>
      </w:r>
      <w:r>
        <w:rPr>
          <w:rFonts w:hint="eastAsia" w:ascii="宋体" w:hAnsi="宋体" w:cs="宋体"/>
          <w:color w:val="000000" w:themeColor="text1"/>
          <w:sz w:val="24"/>
          <w:szCs w:val="32"/>
          <w:highlight w:val="none"/>
          <w:lang w:val="en-US" w:eastAsia="zh-CN"/>
          <w14:textFill>
            <w14:solidFill>
              <w14:schemeClr w14:val="tx1"/>
            </w14:solidFill>
          </w14:textFill>
        </w:rPr>
        <w:t>50</w:t>
      </w:r>
      <w:r>
        <w:rPr>
          <w:rFonts w:hint="eastAsia" w:ascii="宋体" w:hAnsi="宋体" w:eastAsia="宋体" w:cs="宋体"/>
          <w:color w:val="000000" w:themeColor="text1"/>
          <w:sz w:val="24"/>
          <w:szCs w:val="32"/>
          <w:highlight w:val="none"/>
          <w:lang w:val="en-US" w:eastAsia="zh-CN"/>
          <w14:textFill>
            <w14:solidFill>
              <w14:schemeClr w14:val="tx1"/>
            </w14:solidFill>
          </w14:textFill>
        </w:rPr>
        <w:t>个</w:t>
      </w:r>
      <w:r>
        <w:rPr>
          <w:rFonts w:hint="eastAsia" w:ascii="宋体" w:hAnsi="宋体" w:cs="宋体"/>
          <w:color w:val="000000" w:themeColor="text1"/>
          <w:sz w:val="24"/>
          <w:szCs w:val="32"/>
          <w:highlight w:val="none"/>
          <w:lang w:val="en-US" w:eastAsia="zh-CN"/>
          <w14:textFill>
            <w14:solidFill>
              <w14:schemeClr w14:val="tx1"/>
            </w14:solidFill>
          </w14:textFill>
        </w:rPr>
        <w:t>，具体位置根据市政部门实际需要进行布置。</w:t>
      </w:r>
    </w:p>
    <w:p>
      <w:pPr>
        <w:keepNext w:val="0"/>
        <w:keepLines w:val="0"/>
        <w:pageBreakBefore w:val="0"/>
        <w:widowControl/>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其他领域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结合各类型其他专用车辆特征，针对性地在客运站、驾培驾考场地等专用场站，规划建设专用桩不少于</w:t>
      </w:r>
      <w:r>
        <w:rPr>
          <w:rFonts w:hint="eastAsia" w:ascii="宋体" w:hAnsi="宋体" w:cs="宋体"/>
          <w:color w:val="000000" w:themeColor="text1"/>
          <w:sz w:val="24"/>
          <w:szCs w:val="32"/>
          <w:highlight w:val="none"/>
          <w:lang w:val="en-US" w:eastAsia="zh-CN"/>
          <w14:textFill>
            <w14:solidFill>
              <w14:schemeClr w14:val="tx1"/>
            </w14:solidFill>
          </w14:textFill>
        </w:rPr>
        <w:t>5</w:t>
      </w:r>
      <w:r>
        <w:rPr>
          <w:rFonts w:hint="eastAsia" w:ascii="宋体" w:hAnsi="宋体" w:eastAsia="宋体" w:cs="宋体"/>
          <w:color w:val="000000" w:themeColor="text1"/>
          <w:sz w:val="24"/>
          <w:szCs w:val="32"/>
          <w:highlight w:val="none"/>
          <w:lang w:val="en-US" w:eastAsia="zh-CN"/>
          <w14:textFill>
            <w14:solidFill>
              <w14:schemeClr w14:val="tx1"/>
            </w14:solidFill>
          </w14:textFill>
        </w:rPr>
        <w:t xml:space="preserve">0个。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在党政机关、事业单位、国有企业等内部停车场配建充电设施，为公务车辆、员工车辆等提供专属充电服务的充电基础设施，专属新能源充电停车位原则上不低于20%，并鼓励对公众开放</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eastAsia="宋体" w:cs="宋体"/>
          <w:color w:val="000000" w:themeColor="text1"/>
          <w:sz w:val="24"/>
          <w:szCs w:val="32"/>
          <w:highlight w:val="none"/>
          <w:lang w:val="en-US" w:eastAsia="zh-CN"/>
          <w14:textFill>
            <w14:solidFill>
              <w14:schemeClr w14:val="tx1"/>
            </w14:solidFill>
          </w14:textFill>
        </w:rPr>
        <w:t>建设专用桩不少于</w:t>
      </w:r>
      <w:r>
        <w:rPr>
          <w:rFonts w:hint="eastAsia" w:ascii="宋体" w:hAnsi="宋体" w:cs="宋体"/>
          <w:color w:val="000000" w:themeColor="text1"/>
          <w:sz w:val="24"/>
          <w:szCs w:val="32"/>
          <w:highlight w:val="none"/>
          <w:lang w:val="en-US" w:eastAsia="zh-CN"/>
          <w14:textFill>
            <w14:solidFill>
              <w14:schemeClr w14:val="tx1"/>
            </w14:solidFill>
          </w14:textFill>
        </w:rPr>
        <w:t>2</w:t>
      </w:r>
      <w:r>
        <w:rPr>
          <w:rFonts w:hint="eastAsia" w:ascii="宋体" w:hAnsi="宋体" w:eastAsia="宋体" w:cs="宋体"/>
          <w:color w:val="000000" w:themeColor="text1"/>
          <w:sz w:val="24"/>
          <w:szCs w:val="32"/>
          <w:highlight w:val="none"/>
          <w:lang w:val="en-US" w:eastAsia="zh-CN"/>
          <w14:textFill>
            <w14:solidFill>
              <w14:schemeClr w14:val="tx1"/>
            </w14:solidFill>
          </w14:textFill>
        </w:rPr>
        <w:t xml:space="preserve">00个。 </w:t>
      </w:r>
    </w:p>
    <w:p>
      <w:pPr>
        <w:pStyle w:val="21"/>
        <w:rPr>
          <w:rFonts w:hint="default" w:cs="Times New Roman"/>
          <w:color w:val="000000" w:themeColor="text1"/>
          <w:highlight w:val="none"/>
          <w14:textFill>
            <w14:solidFill>
              <w14:schemeClr w14:val="tx1"/>
            </w14:solidFill>
          </w14:textFill>
        </w:rPr>
      </w:pPr>
      <w:bookmarkStart w:id="276" w:name="_Toc15813"/>
      <w:bookmarkStart w:id="277" w:name="_Toc15573"/>
      <w:bookmarkStart w:id="278" w:name="_Toc10787"/>
      <w:bookmarkStart w:id="279" w:name="_Toc9610"/>
      <w:bookmarkStart w:id="280" w:name="_Toc23102"/>
      <w:bookmarkStart w:id="281" w:name="_Toc23390"/>
      <w:bookmarkStart w:id="282" w:name="_Toc12186"/>
      <w:bookmarkStart w:id="283" w:name="_Toc13401"/>
      <w:bookmarkStart w:id="284" w:name="_Toc21531"/>
      <w:r>
        <w:rPr>
          <w:rFonts w:hint="eastAsia" w:cs="Times New Roman"/>
          <w:color w:val="000000" w:themeColor="text1"/>
          <w:highlight w:val="none"/>
          <w14:textFill>
            <w14:solidFill>
              <w14:schemeClr w14:val="tx1"/>
            </w14:solidFill>
          </w14:textFill>
        </w:rPr>
        <w:t>第</w:t>
      </w:r>
      <w:r>
        <w:rPr>
          <w:rFonts w:hint="eastAsia" w:cs="Times New Roman"/>
          <w:color w:val="000000" w:themeColor="text1"/>
          <w:highlight w:val="none"/>
          <w:lang w:val="en-US" w:eastAsia="zh-CN"/>
          <w14:textFill>
            <w14:solidFill>
              <w14:schemeClr w14:val="tx1"/>
            </w14:solidFill>
          </w14:textFill>
        </w:rPr>
        <w:t>四</w:t>
      </w:r>
      <w:r>
        <w:rPr>
          <w:rFonts w:hint="eastAsia" w:cs="Times New Roman"/>
          <w:color w:val="000000" w:themeColor="text1"/>
          <w:highlight w:val="none"/>
          <w14:textFill>
            <w14:solidFill>
              <w14:schemeClr w14:val="tx1"/>
            </w14:solidFill>
          </w14:textFill>
        </w:rPr>
        <w:t xml:space="preserve">节 </w:t>
      </w:r>
      <w:r>
        <w:rPr>
          <w:rFonts w:hint="eastAsia" w:cs="Times New Roman"/>
          <w:color w:val="000000" w:themeColor="text1"/>
          <w:highlight w:val="none"/>
          <w:lang w:val="en-US" w:eastAsia="zh-CN"/>
          <w14:textFill>
            <w14:solidFill>
              <w14:schemeClr w14:val="tx1"/>
            </w14:solidFill>
          </w14:textFill>
        </w:rPr>
        <w:t>公共</w:t>
      </w:r>
      <w:r>
        <w:rPr>
          <w:rFonts w:hint="eastAsia" w:cs="Times New Roman"/>
          <w:color w:val="000000" w:themeColor="text1"/>
          <w:highlight w:val="none"/>
          <w14:textFill>
            <w14:solidFill>
              <w14:schemeClr w14:val="tx1"/>
            </w14:solidFill>
          </w14:textFill>
        </w:rPr>
        <w:t>充</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电</w:t>
      </w:r>
      <w:r>
        <w:rPr>
          <w:rFonts w:hint="default" w:cs="Times New Roman"/>
          <w:color w:val="000000" w:themeColor="text1"/>
          <w:highlight w:val="none"/>
          <w14:textFill>
            <w14:solidFill>
              <w14:schemeClr w14:val="tx1"/>
            </w14:solidFill>
          </w14:textFill>
        </w:rPr>
        <w:t>设施</w:t>
      </w:r>
      <w:bookmarkEnd w:id="276"/>
      <w:bookmarkEnd w:id="277"/>
      <w:bookmarkEnd w:id="278"/>
      <w:bookmarkEnd w:id="279"/>
      <w:bookmarkEnd w:id="280"/>
    </w:p>
    <w:p>
      <w:pPr>
        <w:spacing w:line="360" w:lineRule="auto"/>
        <w:ind w:firstLine="562" w:firstLineChars="200"/>
        <w:rPr>
          <w:rStyle w:val="19"/>
          <w:rFonts w:hint="eastAsia" w:cs="Times New Roman"/>
          <w:color w:val="000000" w:themeColor="text1"/>
          <w:kern w:val="0"/>
          <w:szCs w:val="22"/>
          <w:highlight w:val="none"/>
          <w14:textFill>
            <w14:solidFill>
              <w14:schemeClr w14:val="tx1"/>
            </w14:solidFill>
          </w14:textFill>
        </w:rPr>
      </w:pPr>
      <w:bookmarkStart w:id="285" w:name="_Toc27848"/>
      <w:bookmarkStart w:id="286" w:name="_Toc13633"/>
      <w:bookmarkStart w:id="287" w:name="_Toc12237"/>
      <w:bookmarkStart w:id="288" w:name="_Toc22854"/>
      <w:bookmarkStart w:id="289" w:name="_Toc19293"/>
      <w:r>
        <w:rPr>
          <w:rStyle w:val="19"/>
          <w:rFonts w:hint="eastAsia" w:cs="Times New Roman"/>
          <w:color w:val="000000" w:themeColor="text1"/>
          <w:kern w:val="0"/>
          <w:szCs w:val="22"/>
          <w:highlight w:val="none"/>
          <w14:textFill>
            <w14:solidFill>
              <w14:schemeClr w14:val="tx1"/>
            </w14:solidFill>
          </w14:textFill>
        </w:rPr>
        <w:t>（一）规划建设要求</w:t>
      </w:r>
    </w:p>
    <w:bookmarkEnd w:id="285"/>
    <w:bookmarkEnd w:id="286"/>
    <w:bookmarkEnd w:id="287"/>
    <w:bookmarkEnd w:id="288"/>
    <w:bookmarkEnd w:id="289"/>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到20</w:t>
      </w:r>
      <w:r>
        <w:rPr>
          <w:rFonts w:hint="eastAsia" w:ascii="宋体" w:hAnsi="宋体" w:cs="宋体"/>
          <w:bCs/>
          <w:color w:val="000000" w:themeColor="text1"/>
          <w:sz w:val="24"/>
          <w:highlight w:val="none"/>
          <w:lang w:val="en-US" w:eastAsia="zh-CN"/>
          <w14:textFill>
            <w14:solidFill>
              <w14:schemeClr w14:val="tx1"/>
            </w14:solidFill>
          </w14:textFill>
        </w:rPr>
        <w:t>30</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lang w:val="en-US" w:eastAsia="zh-CN"/>
          <w14:textFill>
            <w14:solidFill>
              <w14:schemeClr w14:val="tx1"/>
            </w14:solidFill>
          </w14:textFill>
        </w:rPr>
        <w:t>全市累计建成</w:t>
      </w:r>
      <w:r>
        <w:rPr>
          <w:rFonts w:hint="eastAsia" w:ascii="宋体" w:hAnsi="宋体" w:cs="宋体"/>
          <w:bCs/>
          <w:color w:val="000000" w:themeColor="text1"/>
          <w:sz w:val="24"/>
          <w:highlight w:val="none"/>
          <w14:textFill>
            <w14:solidFill>
              <w14:schemeClr w14:val="tx1"/>
            </w14:solidFill>
          </w14:textFill>
        </w:rPr>
        <w:t>公共充（换）电站</w:t>
      </w:r>
      <w:r>
        <w:rPr>
          <w:rFonts w:hint="eastAsia" w:ascii="宋体" w:hAnsi="宋体" w:cs="宋体"/>
          <w:bCs/>
          <w:color w:val="000000" w:themeColor="text1"/>
          <w:sz w:val="24"/>
          <w:highlight w:val="none"/>
          <w:lang w:val="en-US" w:eastAsia="zh-CN"/>
          <w14:textFill>
            <w14:solidFill>
              <w14:schemeClr w14:val="tx1"/>
            </w14:solidFill>
          </w14:textFill>
        </w:rPr>
        <w:t>30</w:t>
      </w:r>
      <w:r>
        <w:rPr>
          <w:rFonts w:hint="eastAsia" w:ascii="宋体" w:hAnsi="宋体" w:cs="宋体"/>
          <w:bCs/>
          <w:color w:val="000000" w:themeColor="text1"/>
          <w:sz w:val="24"/>
          <w:highlight w:val="none"/>
          <w14:textFill>
            <w14:solidFill>
              <w14:schemeClr w14:val="tx1"/>
            </w14:solidFill>
          </w14:textFill>
        </w:rPr>
        <w:t>0座</w:t>
      </w:r>
      <w:r>
        <w:rPr>
          <w:rFonts w:hint="eastAsia" w:ascii="宋体" w:hAnsi="宋体" w:cs="宋体"/>
          <w:bCs/>
          <w:color w:val="000000" w:themeColor="text1"/>
          <w:sz w:val="24"/>
          <w:highlight w:val="none"/>
          <w:lang w:val="en-US" w:eastAsia="zh-CN"/>
          <w14:textFill>
            <w14:solidFill>
              <w14:schemeClr w14:val="tx1"/>
            </w14:solidFill>
          </w14:textFill>
        </w:rPr>
        <w:t>，建设</w:t>
      </w:r>
      <w:r>
        <w:rPr>
          <w:rFonts w:hint="eastAsia" w:ascii="宋体" w:hAnsi="宋体" w:cs="宋体"/>
          <w:bCs/>
          <w:color w:val="000000" w:themeColor="text1"/>
          <w:sz w:val="24"/>
          <w:highlight w:val="none"/>
          <w14:textFill>
            <w14:solidFill>
              <w14:schemeClr w14:val="tx1"/>
            </w14:solidFill>
          </w14:textFill>
        </w:rPr>
        <w:t>公共充电桩</w:t>
      </w:r>
      <w:r>
        <w:rPr>
          <w:rFonts w:hint="eastAsia" w:ascii="宋体" w:hAnsi="宋体" w:cs="宋体"/>
          <w:bCs/>
          <w:color w:val="000000" w:themeColor="text1"/>
          <w:sz w:val="24"/>
          <w:highlight w:val="none"/>
          <w:lang w:val="en-US" w:eastAsia="zh-CN"/>
          <w14:textFill>
            <w14:solidFill>
              <w14:schemeClr w14:val="tx1"/>
            </w14:solidFill>
          </w14:textFill>
        </w:rPr>
        <w:t>不少于5500个，按照所在区域分为城际充电设施、城市充电设施、农村充电设施、旅游景区充电设施。规划</w:t>
      </w:r>
      <w:r>
        <w:rPr>
          <w:rFonts w:hint="eastAsia" w:ascii="宋体" w:hAnsi="宋体" w:cs="宋体"/>
          <w:bCs/>
          <w:color w:val="000000" w:themeColor="text1"/>
          <w:sz w:val="24"/>
          <w:highlight w:val="none"/>
          <w14:textFill>
            <w14:solidFill>
              <w14:schemeClr w14:val="tx1"/>
            </w14:solidFill>
          </w14:textFill>
        </w:rPr>
        <w:t>明确</w:t>
      </w:r>
      <w:r>
        <w:rPr>
          <w:rFonts w:hint="eastAsia" w:ascii="宋体" w:hAnsi="宋体" w:cs="宋体"/>
          <w:bCs/>
          <w:color w:val="000000" w:themeColor="text1"/>
          <w:sz w:val="24"/>
          <w:highlight w:val="none"/>
          <w:lang w:eastAsia="zh-CN"/>
          <w14:textFill>
            <w14:solidFill>
              <w14:schemeClr w14:val="tx1"/>
            </w14:solidFill>
          </w14:textFill>
        </w:rPr>
        <w:t>中心城区</w:t>
      </w:r>
      <w:r>
        <w:rPr>
          <w:rFonts w:hint="eastAsia" w:ascii="宋体" w:hAnsi="宋体" w:cs="宋体"/>
          <w:bCs/>
          <w:color w:val="000000" w:themeColor="text1"/>
          <w:sz w:val="24"/>
          <w:highlight w:val="none"/>
          <w14:textFill>
            <w14:solidFill>
              <w14:schemeClr w14:val="tx1"/>
            </w14:solidFill>
          </w14:textFill>
        </w:rPr>
        <w:t>公共充（换）电设施选址布局，各县（市、区）根据</w:t>
      </w:r>
      <w:r>
        <w:rPr>
          <w:rFonts w:hint="eastAsia" w:ascii="宋体" w:hAnsi="宋体" w:cs="宋体"/>
          <w:bCs/>
          <w:color w:val="000000" w:themeColor="text1"/>
          <w:sz w:val="24"/>
          <w:highlight w:val="none"/>
          <w:lang w:eastAsia="zh-CN"/>
          <w14:textFill>
            <w14:solidFill>
              <w14:schemeClr w14:val="tx1"/>
            </w14:solidFill>
          </w14:textFill>
        </w:rPr>
        <w:t>发展需求</w:t>
      </w:r>
      <w:r>
        <w:rPr>
          <w:rFonts w:hint="eastAsia" w:ascii="宋体" w:hAnsi="宋体" w:cs="宋体"/>
          <w:bCs/>
          <w:color w:val="000000" w:themeColor="text1"/>
          <w:sz w:val="24"/>
          <w:highlight w:val="none"/>
          <w14:textFill>
            <w14:solidFill>
              <w14:schemeClr w14:val="tx1"/>
            </w14:solidFill>
          </w14:textFill>
        </w:rPr>
        <w:t>，在其</w:t>
      </w:r>
      <w:r>
        <w:rPr>
          <w:rFonts w:hint="eastAsia" w:ascii="宋体" w:hAnsi="宋体"/>
          <w:color w:val="000000" w:themeColor="text1"/>
          <w:sz w:val="24"/>
          <w:szCs w:val="22"/>
          <w:highlight w:val="none"/>
          <w14:textFill>
            <w14:solidFill>
              <w14:schemeClr w14:val="tx1"/>
            </w14:solidFill>
          </w14:textFill>
        </w:rPr>
        <w:t>专项规划</w:t>
      </w:r>
      <w:r>
        <w:rPr>
          <w:rFonts w:hint="eastAsia" w:ascii="宋体" w:hAnsi="宋体" w:cs="宋体"/>
          <w:bCs/>
          <w:color w:val="000000" w:themeColor="text1"/>
          <w:sz w:val="24"/>
          <w:highlight w:val="none"/>
          <w14:textFill>
            <w14:solidFill>
              <w14:schemeClr w14:val="tx1"/>
            </w14:solidFill>
          </w14:textFill>
        </w:rPr>
        <w:t>（建设方案）中落实选址布局。</w:t>
      </w:r>
    </w:p>
    <w:p>
      <w:pPr>
        <w:spacing w:line="360" w:lineRule="auto"/>
        <w:ind w:firstLine="481" w:firstLineChars="200"/>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1、城际充电设施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新建高速公路服务区应同步建设充电基础设施，高速公路服务区按照不低于10%比例配建充电设施车位，其余停车位预留安装条件；既有高速公路服务区根据实际情况进行升级改造，鼓励利用移动充电基础设施等方式提升高速公路在节假日等特殊时段的充电服务保障能力，以即充即走场景为重点，围绕高速公路服务区适度超前布局大功率充电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32"/>
          <w:highlight w:val="none"/>
          <w:lang w:val="en-US" w:eastAsia="zh-CN"/>
          <w14:textFill>
            <w14:solidFill>
              <w14:schemeClr w14:val="tx1"/>
            </w14:solidFill>
          </w14:textFill>
        </w:rPr>
        <w:t>加快补齐普通国省干线公路、交通枢纽、旅游公路充电基础设施短板，优先提高全市重要经济干线和旅游公路服务设施充电桩覆盖率，新建公路服务区按照不低于10%比例配建充电设施车位，其余停车位预留安装条件；</w:t>
      </w:r>
      <w:r>
        <w:rPr>
          <w:rFonts w:hint="eastAsia" w:ascii="宋体" w:hAnsi="宋体" w:cs="宋体"/>
          <w:color w:val="000000" w:themeColor="text1"/>
          <w:sz w:val="24"/>
          <w:szCs w:val="32"/>
          <w:highlight w:val="none"/>
          <w:lang w:val="en-US" w:eastAsia="zh-CN"/>
          <w14:textFill>
            <w14:solidFill>
              <w14:schemeClr w14:val="tx1"/>
            </w14:solidFill>
          </w14:textFill>
        </w:rPr>
        <w:t>已建</w:t>
      </w:r>
      <w:r>
        <w:rPr>
          <w:rFonts w:hint="eastAsia" w:ascii="宋体" w:hAnsi="宋体" w:eastAsia="宋体" w:cs="宋体"/>
          <w:color w:val="000000" w:themeColor="text1"/>
          <w:sz w:val="24"/>
          <w:szCs w:val="32"/>
          <w:highlight w:val="none"/>
          <w:lang w:val="en-US" w:eastAsia="zh-CN"/>
          <w14:textFill>
            <w14:solidFill>
              <w14:schemeClr w14:val="tx1"/>
            </w14:solidFill>
          </w14:textFill>
        </w:rPr>
        <w:t>公路服务区根据实际情况进行升级改造</w:t>
      </w:r>
      <w:r>
        <w:rPr>
          <w:rFonts w:hint="eastAsia" w:ascii="宋体" w:hAnsi="宋体" w:cs="宋体"/>
          <w:color w:val="000000" w:themeColor="text1"/>
          <w:sz w:val="24"/>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32"/>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在符合安全要求的前提下</w:t>
      </w:r>
      <w:r>
        <w:rPr>
          <w:rFonts w:hint="eastAsia" w:ascii="宋体" w:hAnsi="宋体" w:eastAsia="宋体" w:cs="宋体"/>
          <w:color w:val="000000" w:themeColor="text1"/>
          <w:sz w:val="24"/>
          <w:szCs w:val="32"/>
          <w:highlight w:val="none"/>
          <w:lang w:val="en-US" w:eastAsia="zh-CN"/>
          <w14:textFill>
            <w14:solidFill>
              <w14:schemeClr w14:val="tx1"/>
            </w14:solidFill>
          </w14:textFill>
        </w:rPr>
        <w:t>，在具备条件的干线公路沿线加油（气）站配建公共快充和换电设施，积极推进建设加油（气）、充换电等业务一体的综合供能服务站。</w:t>
      </w:r>
    </w:p>
    <w:p>
      <w:pPr>
        <w:spacing w:line="360" w:lineRule="auto"/>
        <w:jc w:val="center"/>
        <w:rPr>
          <w:rFonts w:hint="eastAsia"/>
          <w:color w:val="000000" w:themeColor="text1"/>
          <w:highlight w:val="none"/>
          <w:lang w:val="en-US" w:eastAsia="zh-CN"/>
          <w14:textFill>
            <w14:solidFill>
              <w14:schemeClr w14:val="tx1"/>
            </w14:solidFill>
          </w14:textFill>
        </w:rPr>
      </w:pPr>
      <w:r>
        <w:rPr>
          <w:rFonts w:hint="eastAsia" w:ascii="黑体" w:hAnsi="黑体" w:eastAsia="黑体" w:cs="宋体"/>
          <w:color w:val="000000" w:themeColor="text1"/>
          <w:sz w:val="24"/>
          <w:highlight w:val="none"/>
          <w14:textFill>
            <w14:solidFill>
              <w14:schemeClr w14:val="tx1"/>
            </w14:solidFill>
          </w14:textFill>
        </w:rPr>
        <w:t>表</w:t>
      </w:r>
      <w:r>
        <w:rPr>
          <w:rFonts w:hint="eastAsia" w:ascii="黑体" w:hAnsi="黑体" w:eastAsia="黑体" w:cs="宋体"/>
          <w:color w:val="000000" w:themeColor="text1"/>
          <w:sz w:val="24"/>
          <w:highlight w:val="none"/>
          <w:lang w:val="en-US" w:eastAsia="zh-CN"/>
          <w14:textFill>
            <w14:solidFill>
              <w14:schemeClr w14:val="tx1"/>
            </w14:solidFill>
          </w14:textFill>
        </w:rPr>
        <w:t>6</w:t>
      </w:r>
      <w:r>
        <w:rPr>
          <w:rFonts w:hint="eastAsia" w:ascii="黑体" w:hAnsi="黑体" w:eastAsia="黑体" w:cs="宋体"/>
          <w:color w:val="000000" w:themeColor="text1"/>
          <w:sz w:val="24"/>
          <w:highlight w:val="none"/>
          <w14:textFill>
            <w14:solidFill>
              <w14:schemeClr w14:val="tx1"/>
            </w14:solidFill>
          </w14:textFill>
        </w:rPr>
        <w:t>-</w:t>
      </w:r>
      <w:r>
        <w:rPr>
          <w:rFonts w:hint="eastAsia" w:ascii="黑体" w:hAnsi="黑体" w:eastAsia="黑体" w:cs="宋体"/>
          <w:color w:val="000000" w:themeColor="text1"/>
          <w:sz w:val="24"/>
          <w:highlight w:val="none"/>
          <w:lang w:val="en-US" w:eastAsia="zh-CN"/>
          <w14:textFill>
            <w14:solidFill>
              <w14:schemeClr w14:val="tx1"/>
            </w14:solidFill>
          </w14:textFill>
        </w:rPr>
        <w:t>2</w:t>
      </w:r>
      <w:r>
        <w:rPr>
          <w:rFonts w:hint="eastAsia" w:ascii="黑体" w:hAnsi="黑体" w:eastAsia="黑体" w:cs="宋体"/>
          <w:color w:val="000000" w:themeColor="text1"/>
          <w:sz w:val="24"/>
          <w:highlight w:val="none"/>
          <w14:textFill>
            <w14:solidFill>
              <w14:schemeClr w14:val="tx1"/>
            </w14:solidFill>
          </w14:textFill>
        </w:rPr>
        <w:t xml:space="preserve"> </w:t>
      </w:r>
      <w:r>
        <w:rPr>
          <w:rFonts w:hint="eastAsia" w:ascii="黑体" w:hAnsi="黑体" w:eastAsia="黑体" w:cs="宋体"/>
          <w:color w:val="000000" w:themeColor="text1"/>
          <w:sz w:val="24"/>
          <w:highlight w:val="none"/>
          <w:lang w:val="en-US" w:eastAsia="zh-CN"/>
          <w14:textFill>
            <w14:solidFill>
              <w14:schemeClr w14:val="tx1"/>
            </w14:solidFill>
          </w14:textFill>
        </w:rPr>
        <w:t>城际</w:t>
      </w:r>
      <w:r>
        <w:rPr>
          <w:rFonts w:hint="eastAsia" w:ascii="黑体" w:hAnsi="黑体" w:eastAsia="黑体" w:cs="宋体"/>
          <w:color w:val="000000" w:themeColor="text1"/>
          <w:sz w:val="24"/>
          <w:highlight w:val="none"/>
          <w14:textFill>
            <w14:solidFill>
              <w14:schemeClr w14:val="tx1"/>
            </w14:solidFill>
          </w14:textFill>
        </w:rPr>
        <w:t>公共</w:t>
      </w:r>
      <w:r>
        <w:rPr>
          <w:rFonts w:hint="eastAsia" w:ascii="黑体" w:hAnsi="黑体" w:eastAsia="黑体" w:cs="宋体"/>
          <w:color w:val="000000" w:themeColor="text1"/>
          <w:sz w:val="24"/>
          <w:highlight w:val="none"/>
          <w:lang w:val="en-US" w:eastAsia="zh-CN"/>
          <w14:textFill>
            <w14:solidFill>
              <w14:schemeClr w14:val="tx1"/>
            </w14:solidFill>
          </w14:textFill>
        </w:rPr>
        <w:t>充（换）电设施建设项目</w:t>
      </w:r>
      <w:r>
        <w:rPr>
          <w:rFonts w:hint="eastAsia" w:ascii="黑体" w:hAnsi="黑体" w:eastAsia="黑体" w:cs="宋体"/>
          <w:color w:val="000000" w:themeColor="text1"/>
          <w:sz w:val="24"/>
          <w:highlight w:val="none"/>
          <w14:textFill>
            <w14:solidFill>
              <w14:schemeClr w14:val="tx1"/>
            </w14:solidFill>
          </w14:textFill>
        </w:rPr>
        <w:t xml:space="preserve">一览表  </w:t>
      </w:r>
    </w:p>
    <w:tbl>
      <w:tblPr>
        <w:tblStyle w:val="11"/>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2499"/>
        <w:gridCol w:w="2396"/>
        <w:gridCol w:w="723"/>
        <w:gridCol w:w="1083"/>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序号</w:t>
            </w:r>
          </w:p>
        </w:tc>
        <w:tc>
          <w:tcPr>
            <w:tcW w:w="2499" w:type="dxa"/>
            <w:vAlign w:val="top"/>
          </w:tcPr>
          <w:p>
            <w:pPr>
              <w:spacing w:line="360" w:lineRule="exact"/>
              <w:jc w:val="center"/>
              <w:rPr>
                <w:rFonts w:hint="eastAsia"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高速公路</w:t>
            </w:r>
          </w:p>
        </w:tc>
        <w:tc>
          <w:tcPr>
            <w:tcW w:w="2396" w:type="dxa"/>
            <w:vAlign w:val="top"/>
          </w:tcPr>
          <w:p>
            <w:pPr>
              <w:spacing w:line="360" w:lineRule="exact"/>
              <w:jc w:val="center"/>
              <w:rPr>
                <w:rFonts w:hint="eastAsia"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服务区</w:t>
            </w:r>
          </w:p>
        </w:tc>
        <w:tc>
          <w:tcPr>
            <w:tcW w:w="723" w:type="dxa"/>
            <w:vAlign w:val="top"/>
          </w:tcPr>
          <w:p>
            <w:pPr>
              <w:spacing w:line="360" w:lineRule="exact"/>
              <w:jc w:val="center"/>
              <w:rPr>
                <w:rFonts w:hint="eastAsia"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性质</w:t>
            </w:r>
          </w:p>
        </w:tc>
        <w:tc>
          <w:tcPr>
            <w:tcW w:w="1083" w:type="dxa"/>
            <w:vAlign w:val="top"/>
          </w:tcPr>
          <w:p>
            <w:pPr>
              <w:spacing w:line="360" w:lineRule="exact"/>
              <w:jc w:val="center"/>
              <w:rPr>
                <w:rFonts w:hint="eastAsia"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安装数量</w:t>
            </w:r>
          </w:p>
        </w:tc>
        <w:tc>
          <w:tcPr>
            <w:tcW w:w="1522" w:type="dxa"/>
            <w:vAlign w:val="top"/>
          </w:tcPr>
          <w:p>
            <w:pPr>
              <w:spacing w:line="360" w:lineRule="exact"/>
              <w:jc w:val="center"/>
              <w:rPr>
                <w:rFonts w:hint="default"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计划实施时间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G0512成乐高速</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夹江天福服务区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G93成渝环线高速乐宜段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五通桥服务区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3</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G93成渝环线高速乐宜段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犍为东服务区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4</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G93成渝环线高速乐雅段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夹江服务区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5</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G4216蓉丽高速仁沐新段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井研服务区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6</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G4216蓉丽高速仁沐新段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罗城服务区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7</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G4216蓉丽高速仁沐新段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犍为停车区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新建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8</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G4216蓉丽高速仁沐新段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沐川服务区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9</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G4216蓉丽高速仁沐新段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马边服务区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10</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S66隆汉高速乐自段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井研服务区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11</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S66隆汉高速乐自段</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大佛停车区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新建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12</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S66峨眉至汉源高速公路</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龙池服务区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已建</w:t>
            </w: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13</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S66峨眉至汉源高速公路</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金口河服务区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新建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14</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S7乐山至西昌高速公路</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苏坝停车区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新建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15</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S7乐山至西昌高速公路</w:t>
            </w: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沙湾服务区</w:t>
            </w:r>
          </w:p>
        </w:tc>
        <w:tc>
          <w:tcPr>
            <w:tcW w:w="72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新建</w:t>
            </w:r>
          </w:p>
        </w:tc>
        <w:tc>
          <w:tcPr>
            <w:tcW w:w="1083"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16</w:t>
            </w:r>
          </w:p>
        </w:tc>
        <w:tc>
          <w:tcPr>
            <w:tcW w:w="1522" w:type="dxa"/>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合计</w:t>
            </w:r>
          </w:p>
        </w:tc>
        <w:tc>
          <w:tcPr>
            <w:tcW w:w="2499"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p>
        </w:tc>
        <w:tc>
          <w:tcPr>
            <w:tcW w:w="2396"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p>
        </w:tc>
        <w:tc>
          <w:tcPr>
            <w:tcW w:w="72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p>
        </w:tc>
        <w:tc>
          <w:tcPr>
            <w:tcW w:w="1083" w:type="dxa"/>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240</w:t>
            </w:r>
          </w:p>
        </w:tc>
        <w:tc>
          <w:tcPr>
            <w:tcW w:w="1522" w:type="dxa"/>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p>
        </w:tc>
      </w:tr>
    </w:tbl>
    <w:p>
      <w:pPr>
        <w:spacing w:line="300" w:lineRule="exact"/>
        <w:ind w:left="422" w:hanging="421" w:hangingChars="200"/>
        <w:jc w:val="left"/>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b/>
          <w:bCs/>
          <w:color w:val="000000" w:themeColor="text1"/>
          <w:highlight w:val="none"/>
          <w14:textFill>
            <w14:solidFill>
              <w14:schemeClr w14:val="tx1"/>
            </w14:solidFill>
          </w14:textFill>
        </w:rPr>
        <w:t>注：</w:t>
      </w:r>
      <w:r>
        <w:rPr>
          <w:rFonts w:hint="eastAsia" w:ascii="楷体_GB2312" w:hAnsi="宋体" w:eastAsia="楷体_GB2312"/>
          <w:color w:val="000000" w:themeColor="text1"/>
          <w:highlight w:val="none"/>
          <w14:textFill>
            <w14:solidFill>
              <w14:schemeClr w14:val="tx1"/>
            </w14:solidFill>
          </w14:textFill>
        </w:rPr>
        <w:t>规划公共充</w:t>
      </w:r>
      <w:r>
        <w:rPr>
          <w:rFonts w:hint="eastAsia" w:ascii="楷体_GB2312" w:hAnsi="宋体" w:eastAsia="楷体_GB2312"/>
          <w:color w:val="000000" w:themeColor="text1"/>
          <w:highlight w:val="none"/>
          <w:lang w:eastAsia="zh-CN"/>
          <w14:textFill>
            <w14:solidFill>
              <w14:schemeClr w14:val="tx1"/>
            </w14:solidFill>
          </w14:textFill>
        </w:rPr>
        <w:t>（</w:t>
      </w:r>
      <w:r>
        <w:rPr>
          <w:rFonts w:hint="eastAsia" w:ascii="楷体_GB2312" w:hAnsi="宋体" w:eastAsia="楷体_GB2312"/>
          <w:color w:val="000000" w:themeColor="text1"/>
          <w:highlight w:val="none"/>
          <w:lang w:val="en-US" w:eastAsia="zh-CN"/>
          <w14:textFill>
            <w14:solidFill>
              <w14:schemeClr w14:val="tx1"/>
            </w14:solidFill>
          </w14:textFill>
        </w:rPr>
        <w:t>换</w:t>
      </w:r>
      <w:r>
        <w:rPr>
          <w:rFonts w:hint="eastAsia" w:ascii="楷体_GB2312" w:hAnsi="宋体" w:eastAsia="楷体_GB2312"/>
          <w:color w:val="000000" w:themeColor="text1"/>
          <w:highlight w:val="none"/>
          <w:lang w:eastAsia="zh-CN"/>
          <w14:textFill>
            <w14:solidFill>
              <w14:schemeClr w14:val="tx1"/>
            </w14:solidFill>
          </w14:textFill>
        </w:rPr>
        <w:t>）</w:t>
      </w:r>
      <w:r>
        <w:rPr>
          <w:rFonts w:hint="eastAsia" w:ascii="楷体_GB2312" w:hAnsi="宋体" w:eastAsia="楷体_GB2312"/>
          <w:color w:val="000000" w:themeColor="text1"/>
          <w:highlight w:val="none"/>
          <w14:textFill>
            <w14:solidFill>
              <w14:schemeClr w14:val="tx1"/>
            </w14:solidFill>
          </w14:textFill>
        </w:rPr>
        <w:t>电站可结合实际使用需求</w:t>
      </w:r>
      <w:r>
        <w:rPr>
          <w:rFonts w:hint="eastAsia" w:ascii="楷体_GB2312" w:hAnsi="宋体" w:eastAsia="楷体_GB2312"/>
          <w:color w:val="000000" w:themeColor="text1"/>
          <w:highlight w:val="none"/>
          <w:lang w:eastAsia="zh-CN"/>
          <w14:textFill>
            <w14:solidFill>
              <w14:schemeClr w14:val="tx1"/>
            </w14:solidFill>
          </w14:textFill>
        </w:rPr>
        <w:t>增设充电设施规模或</w:t>
      </w:r>
      <w:r>
        <w:rPr>
          <w:rFonts w:hint="eastAsia" w:ascii="楷体_GB2312" w:hAnsi="宋体" w:eastAsia="楷体_GB2312"/>
          <w:color w:val="000000" w:themeColor="text1"/>
          <w:highlight w:val="none"/>
          <w14:textFill>
            <w14:solidFill>
              <w14:schemeClr w14:val="tx1"/>
            </w14:solidFill>
          </w14:textFill>
        </w:rPr>
        <w:t>配建换电设施。</w:t>
      </w:r>
    </w:p>
    <w:p>
      <w:pPr>
        <w:spacing w:line="300" w:lineRule="exact"/>
        <w:ind w:left="420" w:leftChars="200"/>
        <w:jc w:val="left"/>
        <w:rPr>
          <w:rFonts w:hint="eastAsia" w:ascii="楷体_GB2312" w:hAnsi="宋体" w:eastAsia="楷体_GB2312"/>
          <w:color w:val="000000" w:themeColor="text1"/>
          <w:highlight w:val="none"/>
          <w14:textFill>
            <w14:solidFill>
              <w14:schemeClr w14:val="tx1"/>
            </w14:solidFill>
          </w14:textFill>
        </w:rPr>
      </w:pPr>
    </w:p>
    <w:p>
      <w:pPr>
        <w:spacing w:line="360" w:lineRule="auto"/>
        <w:jc w:val="center"/>
        <w:rPr>
          <w:rFonts w:hint="eastAsia" w:ascii="黑体" w:hAnsi="黑体" w:eastAsia="黑体" w:cs="宋体"/>
          <w:color w:val="000000" w:themeColor="text1"/>
          <w:sz w:val="24"/>
          <w:highlight w:val="none"/>
          <w:lang w:val="en-US" w:eastAsia="zh-CN"/>
          <w14:textFill>
            <w14:solidFill>
              <w14:schemeClr w14:val="tx1"/>
            </w14:solidFill>
          </w14:textFill>
        </w:rPr>
      </w:pPr>
      <w:r>
        <w:rPr>
          <w:rFonts w:hint="eastAsia" w:ascii="黑体" w:hAnsi="黑体" w:eastAsia="黑体" w:cs="宋体"/>
          <w:color w:val="000000" w:themeColor="text1"/>
          <w:sz w:val="24"/>
          <w:highlight w:val="none"/>
          <w:lang w:val="en-US" w:eastAsia="zh-CN"/>
          <w14:textFill>
            <w14:solidFill>
              <w14:schemeClr w14:val="tx1"/>
            </w14:solidFill>
          </w14:textFill>
        </w:rPr>
        <w:t>表6-3 主要干线公路</w:t>
      </w:r>
      <w:r>
        <w:rPr>
          <w:rFonts w:hint="eastAsia" w:ascii="黑体" w:hAnsi="黑体" w:eastAsia="黑体" w:cs="宋体"/>
          <w:color w:val="000000" w:themeColor="text1"/>
          <w:sz w:val="24"/>
          <w:highlight w:val="none"/>
          <w14:textFill>
            <w14:solidFill>
              <w14:schemeClr w14:val="tx1"/>
            </w14:solidFill>
          </w14:textFill>
        </w:rPr>
        <w:t>公共</w:t>
      </w:r>
      <w:r>
        <w:rPr>
          <w:rFonts w:hint="eastAsia" w:ascii="黑体" w:hAnsi="黑体" w:eastAsia="黑体" w:cs="宋体"/>
          <w:color w:val="000000" w:themeColor="text1"/>
          <w:sz w:val="24"/>
          <w:highlight w:val="none"/>
          <w:lang w:val="en-US" w:eastAsia="zh-CN"/>
          <w14:textFill>
            <w14:solidFill>
              <w14:schemeClr w14:val="tx1"/>
            </w14:solidFill>
          </w14:textFill>
        </w:rPr>
        <w:t>充（换）电设施建设项目</w:t>
      </w:r>
      <w:r>
        <w:rPr>
          <w:rFonts w:hint="eastAsia" w:ascii="黑体" w:hAnsi="黑体" w:eastAsia="黑体" w:cs="宋体"/>
          <w:color w:val="000000" w:themeColor="text1"/>
          <w:sz w:val="24"/>
          <w:highlight w:val="none"/>
          <w14:textFill>
            <w14:solidFill>
              <w14:schemeClr w14:val="tx1"/>
            </w14:solidFill>
          </w14:textFill>
        </w:rPr>
        <w:t xml:space="preserve">一览表 </w:t>
      </w:r>
    </w:p>
    <w:tbl>
      <w:tblPr>
        <w:tblStyle w:val="10"/>
        <w:tblW w:w="895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690"/>
        <w:gridCol w:w="2020"/>
        <w:gridCol w:w="2904"/>
        <w:gridCol w:w="710"/>
        <w:gridCol w:w="1105"/>
        <w:gridCol w:w="152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bottom w:val="single" w:color="000000" w:sz="4" w:space="0"/>
              <w:right w:val="single" w:color="000000" w:sz="4" w:space="0"/>
            </w:tcBorders>
            <w:shd w:val="clear" w:color="auto" w:fill="auto"/>
            <w:vAlign w:val="center"/>
          </w:tcPr>
          <w:p>
            <w:pPr>
              <w:spacing w:line="360" w:lineRule="exact"/>
              <w:jc w:val="center"/>
              <w:rPr>
                <w:rFonts w:ascii="楷体_GB2312" w:hAnsi="宋体" w:eastAsia="楷体_GB2312"/>
                <w:b/>
                <w:bCs/>
                <w:color w:val="000000" w:themeColor="text1"/>
                <w:highlight w:val="none"/>
                <w14:textFill>
                  <w14:solidFill>
                    <w14:schemeClr w14:val="tx1"/>
                  </w14:solidFill>
                </w14:textFill>
              </w:rPr>
            </w:pPr>
            <w:r>
              <w:rPr>
                <w:rFonts w:hint="eastAsia" w:ascii="楷体_GB2312" w:hAnsi="宋体" w:eastAsia="楷体_GB2312"/>
                <w:b/>
                <w:bCs/>
                <w:color w:val="000000" w:themeColor="text1"/>
                <w:highlight w:val="none"/>
                <w14:textFill>
                  <w14:solidFill>
                    <w14:schemeClr w14:val="tx1"/>
                  </w14:solidFill>
                </w14:textFill>
              </w:rPr>
              <w:t>序号</w:t>
            </w:r>
          </w:p>
        </w:tc>
        <w:tc>
          <w:tcPr>
            <w:tcW w:w="2020" w:type="dxa"/>
            <w:tcBorders>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default" w:ascii="楷体_GB2312" w:hAnsi="宋体" w:eastAsia="楷体_GB2312"/>
                <w:b/>
                <w:bCs/>
                <w:color w:val="000000" w:themeColor="text1"/>
                <w:highlight w:val="none"/>
                <w:lang w:val="en-US" w:eastAsia="zh-CN"/>
                <w14:textFill>
                  <w14:solidFill>
                    <w14:schemeClr w14:val="tx1"/>
                  </w14:solidFill>
                </w14:textFill>
              </w:rPr>
            </w:pPr>
            <w:r>
              <w:rPr>
                <w:rFonts w:hint="eastAsia" w:ascii="楷体_GB2312" w:hAnsi="宋体" w:eastAsia="楷体_GB2312"/>
                <w:b/>
                <w:bCs/>
                <w:color w:val="000000" w:themeColor="text1"/>
                <w:highlight w:val="none"/>
                <w:lang w:val="en-US" w:eastAsia="zh-CN"/>
                <w14:textFill>
                  <w14:solidFill>
                    <w14:schemeClr w14:val="tx1"/>
                  </w14:solidFill>
                </w14:textFill>
              </w:rPr>
              <w:t>干线公路名称</w:t>
            </w:r>
          </w:p>
        </w:tc>
        <w:tc>
          <w:tcPr>
            <w:tcW w:w="2904" w:type="dxa"/>
            <w:tcBorders>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楷体_GB2312" w:hAnsi="宋体" w:eastAsia="楷体_GB2312"/>
                <w:b/>
                <w:bCs/>
                <w:color w:val="000000" w:themeColor="text1"/>
                <w:highlight w:val="none"/>
                <w14:textFill>
                  <w14:solidFill>
                    <w14:schemeClr w14:val="tx1"/>
                  </w14:solidFill>
                </w14:textFill>
              </w:rPr>
            </w:pPr>
            <w:r>
              <w:rPr>
                <w:rFonts w:ascii="楷体_GB2312" w:hAnsi="宋体" w:eastAsia="楷体_GB2312"/>
                <w:b/>
                <w:bCs/>
                <w:color w:val="000000" w:themeColor="text1"/>
                <w:highlight w:val="none"/>
                <w14:textFill>
                  <w14:solidFill>
                    <w14:schemeClr w14:val="tx1"/>
                  </w14:solidFill>
                </w14:textFill>
              </w:rPr>
              <w:t>位置</w:t>
            </w:r>
          </w:p>
        </w:tc>
        <w:tc>
          <w:tcPr>
            <w:tcW w:w="710" w:type="dxa"/>
            <w:tcBorders>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楷体_GB2312" w:hAnsi="宋体" w:eastAsia="楷体_GB2312"/>
                <w:b/>
                <w:bCs/>
                <w:color w:val="000000" w:themeColor="text1"/>
                <w:highlight w:val="none"/>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性质</w:t>
            </w:r>
          </w:p>
        </w:tc>
        <w:tc>
          <w:tcPr>
            <w:tcW w:w="1105" w:type="dxa"/>
            <w:tcBorders>
              <w:left w:val="single" w:color="000000" w:sz="4" w:space="0"/>
              <w:bottom w:val="single" w:color="000000" w:sz="4" w:space="0"/>
              <w:right w:val="single" w:color="000000" w:sz="4" w:space="0"/>
            </w:tcBorders>
            <w:shd w:val="clear" w:color="auto" w:fill="auto"/>
            <w:vAlign w:val="top"/>
          </w:tcPr>
          <w:p>
            <w:pPr>
              <w:spacing w:line="360" w:lineRule="exact"/>
              <w:jc w:val="center"/>
              <w:rPr>
                <w:rFonts w:ascii="楷体_GB2312" w:hAnsi="宋体" w:eastAsia="楷体_GB2312"/>
                <w:b/>
                <w:bCs/>
                <w:color w:val="000000" w:themeColor="text1"/>
                <w:highlight w:val="none"/>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安装数量</w:t>
            </w:r>
          </w:p>
        </w:tc>
        <w:tc>
          <w:tcPr>
            <w:tcW w:w="1525" w:type="dxa"/>
            <w:tcBorders>
              <w:left w:val="single" w:color="000000" w:sz="4" w:space="0"/>
              <w:bottom w:val="single" w:color="000000" w:sz="4" w:space="0"/>
              <w:right w:val="single" w:color="000000" w:sz="4" w:space="0"/>
            </w:tcBorders>
            <w:shd w:val="clear" w:color="auto" w:fill="auto"/>
            <w:vAlign w:val="top"/>
          </w:tcPr>
          <w:p>
            <w:pPr>
              <w:spacing w:line="360" w:lineRule="exact"/>
              <w:jc w:val="center"/>
              <w:rPr>
                <w:rFonts w:hint="eastAsia" w:ascii="楷体_GB2312" w:hAnsi="宋体" w:eastAsia="楷体_GB2312" w:cs="Times New Roman"/>
                <w:b/>
                <w:bCs/>
                <w:color w:val="000000" w:themeColor="text1"/>
                <w:highlight w:val="none"/>
                <w:lang w:val="en-US" w:eastAsia="zh-CN"/>
                <w14:textFill>
                  <w14:solidFill>
                    <w14:schemeClr w14:val="tx1"/>
                  </w14:solidFill>
                </w14:textFill>
              </w:rPr>
            </w:pPr>
            <w:r>
              <w:rPr>
                <w:rFonts w:hint="eastAsia" w:ascii="楷体_GB2312" w:hAnsi="宋体" w:eastAsia="楷体_GB2312" w:cs="Times New Roman"/>
                <w:b/>
                <w:bCs/>
                <w:color w:val="000000" w:themeColor="text1"/>
                <w:highlight w:val="none"/>
                <w:lang w:val="en-US" w:eastAsia="zh-CN"/>
                <w14:textFill>
                  <w14:solidFill>
                    <w14:schemeClr w14:val="tx1"/>
                  </w14:solidFill>
                </w14:textFill>
              </w:rPr>
              <w:t>计划实施时间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1</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乐沙大道（G348线）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沙湾区太平停车区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新建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2</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S308线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峨眉山市</w:t>
            </w:r>
            <w:r>
              <w:rPr>
                <w:rFonts w:hint="default" w:ascii="楷体_GB2312" w:hAnsi="宋体" w:eastAsia="楷体_GB2312"/>
                <w:color w:val="000000" w:themeColor="text1"/>
                <w:highlight w:val="none"/>
                <w:lang w:val="en-US" w:eastAsia="zh-CN"/>
                <w14:textFill>
                  <w14:solidFill>
                    <w14:schemeClr w14:val="tx1"/>
                  </w14:solidFill>
                </w14:textFill>
              </w:rPr>
              <w:t>乐峨大道服务区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已建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3</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S308线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峨眉山市荷叶湾服务区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新建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2025年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4</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default" w:ascii="楷体_GB2312" w:hAnsi="宋体" w:eastAsia="楷体_GB2312"/>
                <w:color w:val="000000" w:themeColor="text1"/>
                <w:highlight w:val="none"/>
                <w:lang w:val="en-US" w:eastAsia="zh-CN"/>
                <w14:textFill>
                  <w14:solidFill>
                    <w14:schemeClr w14:val="tx1"/>
                  </w14:solidFill>
                </w14:textFill>
              </w:rPr>
              <w:t>G213线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犍为县</w:t>
            </w:r>
            <w:r>
              <w:rPr>
                <w:rFonts w:hint="default" w:ascii="楷体_GB2312" w:hAnsi="宋体" w:eastAsia="楷体_GB2312"/>
                <w:color w:val="000000" w:themeColor="text1"/>
                <w:highlight w:val="none"/>
                <w:lang w:val="en-US" w:eastAsia="zh-CN"/>
                <w14:textFill>
                  <w14:solidFill>
                    <w14:schemeClr w14:val="tx1"/>
                  </w14:solidFill>
                </w14:textFill>
              </w:rPr>
              <w:t>清溪服务区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已建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5</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G428线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夹江县</w:t>
            </w:r>
            <w:r>
              <w:rPr>
                <w:rFonts w:hint="default" w:ascii="楷体_GB2312" w:hAnsi="宋体" w:eastAsia="楷体_GB2312"/>
                <w:color w:val="000000" w:themeColor="text1"/>
                <w:highlight w:val="none"/>
                <w:lang w:val="en-US" w:eastAsia="zh-CN"/>
                <w14:textFill>
                  <w14:solidFill>
                    <w14:schemeClr w14:val="tx1"/>
                  </w14:solidFill>
                </w14:textFill>
              </w:rPr>
              <w:t>三洞服务区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新建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2027年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6</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G245线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峨边县县城综合服务区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新建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2027年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7</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S309线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default" w:ascii="楷体_GB2312" w:hAnsi="宋体" w:eastAsia="楷体_GB2312"/>
                <w:color w:val="000000" w:themeColor="text1"/>
                <w:highlight w:val="none"/>
                <w:lang w:val="en-US" w:eastAsia="zh-CN"/>
                <w14:textFill>
                  <w14:solidFill>
                    <w14:schemeClr w14:val="tx1"/>
                  </w14:solidFill>
                </w14:textFill>
              </w:rPr>
              <w:t>峨边县龚嘴服务区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新建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2027年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hint="default"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8</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S309线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峨边县黑竹沟服务区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新建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2026年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top"/>
          </w:tcPr>
          <w:p>
            <w:pPr>
              <w:spacing w:line="360" w:lineRule="exact"/>
              <w:jc w:val="center"/>
              <w:rPr>
                <w:rFonts w:hint="eastAsia" w:ascii="楷体_GB2312" w:hAnsi="宋体" w:eastAsia="楷体_GB2312" w:cs="Times New Roman"/>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9</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G348线</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马边县红牌坊服务区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已建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690" w:type="dxa"/>
            <w:tcBorders>
              <w:top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s="Times New Roman"/>
                <w:color w:val="000000" w:themeColor="text1"/>
                <w:highlight w:val="none"/>
                <w:lang w:val="en-US" w:eastAsia="zh-CN"/>
                <w14:textFill>
                  <w14:solidFill>
                    <w14:schemeClr w14:val="tx1"/>
                  </w14:solidFill>
                </w14:textFill>
              </w:rPr>
              <w:t>合计</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default" w:ascii="楷体_GB2312" w:hAnsi="宋体" w:eastAsia="楷体_GB2312"/>
                <w:color w:val="000000" w:themeColor="text1"/>
                <w:highlight w:val="none"/>
                <w:lang w:val="en-US" w:eastAsia="zh-CN"/>
                <w14:textFill>
                  <w14:solidFill>
                    <w14:schemeClr w14:val="tx1"/>
                  </w14:solidFill>
                </w14:textFill>
              </w:rPr>
            </w:pPr>
            <w:r>
              <w:rPr>
                <w:rFonts w:hint="eastAsia" w:ascii="楷体_GB2312" w:hAnsi="宋体" w:eastAsia="楷体_GB2312"/>
                <w:color w:val="000000" w:themeColor="text1"/>
                <w:highlight w:val="none"/>
                <w:lang w:val="en-US" w:eastAsia="zh-CN"/>
                <w14:textFill>
                  <w14:solidFill>
                    <w14:schemeClr w14:val="tx1"/>
                  </w14:solidFill>
                </w14:textFill>
              </w:rPr>
              <w:t>48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楷体_GB2312" w:hAnsi="宋体" w:eastAsia="楷体_GB2312"/>
                <w:color w:val="000000" w:themeColor="text1"/>
                <w:highlight w:val="none"/>
                <w:lang w:val="en-US" w:eastAsia="zh-CN"/>
                <w14:textFill>
                  <w14:solidFill>
                    <w14:schemeClr w14:val="tx1"/>
                  </w14:solidFill>
                </w14:textFill>
              </w:rPr>
            </w:pPr>
          </w:p>
        </w:tc>
      </w:tr>
    </w:tbl>
    <w:p>
      <w:pPr>
        <w:spacing w:line="300" w:lineRule="exact"/>
        <w:ind w:left="422" w:hanging="421" w:hangingChars="200"/>
        <w:jc w:val="left"/>
        <w:rPr>
          <w:rFonts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b/>
          <w:bCs/>
          <w:color w:val="000000" w:themeColor="text1"/>
          <w:highlight w:val="none"/>
          <w14:textFill>
            <w14:solidFill>
              <w14:schemeClr w14:val="tx1"/>
            </w14:solidFill>
          </w14:textFill>
        </w:rPr>
        <w:t>注：</w:t>
      </w:r>
      <w:r>
        <w:rPr>
          <w:rFonts w:hint="eastAsia" w:ascii="楷体_GB2312" w:hAnsi="宋体" w:eastAsia="楷体_GB2312"/>
          <w:color w:val="000000" w:themeColor="text1"/>
          <w:highlight w:val="none"/>
          <w14:textFill>
            <w14:solidFill>
              <w14:schemeClr w14:val="tx1"/>
            </w14:solidFill>
          </w14:textFill>
        </w:rPr>
        <w:t>规划公共充</w:t>
      </w:r>
      <w:r>
        <w:rPr>
          <w:rFonts w:hint="eastAsia" w:ascii="楷体_GB2312" w:hAnsi="宋体" w:eastAsia="楷体_GB2312"/>
          <w:color w:val="000000" w:themeColor="text1"/>
          <w:highlight w:val="none"/>
          <w:lang w:eastAsia="zh-CN"/>
          <w14:textFill>
            <w14:solidFill>
              <w14:schemeClr w14:val="tx1"/>
            </w14:solidFill>
          </w14:textFill>
        </w:rPr>
        <w:t>（</w:t>
      </w:r>
      <w:r>
        <w:rPr>
          <w:rFonts w:hint="eastAsia" w:ascii="楷体_GB2312" w:hAnsi="宋体" w:eastAsia="楷体_GB2312"/>
          <w:color w:val="000000" w:themeColor="text1"/>
          <w:highlight w:val="none"/>
          <w:lang w:val="en-US" w:eastAsia="zh-CN"/>
          <w14:textFill>
            <w14:solidFill>
              <w14:schemeClr w14:val="tx1"/>
            </w14:solidFill>
          </w14:textFill>
        </w:rPr>
        <w:t>换</w:t>
      </w:r>
      <w:r>
        <w:rPr>
          <w:rFonts w:hint="eastAsia" w:ascii="楷体_GB2312" w:hAnsi="宋体" w:eastAsia="楷体_GB2312"/>
          <w:color w:val="000000" w:themeColor="text1"/>
          <w:highlight w:val="none"/>
          <w:lang w:eastAsia="zh-CN"/>
          <w14:textFill>
            <w14:solidFill>
              <w14:schemeClr w14:val="tx1"/>
            </w14:solidFill>
          </w14:textFill>
        </w:rPr>
        <w:t>）</w:t>
      </w:r>
      <w:r>
        <w:rPr>
          <w:rFonts w:hint="eastAsia" w:ascii="楷体_GB2312" w:hAnsi="宋体" w:eastAsia="楷体_GB2312"/>
          <w:color w:val="000000" w:themeColor="text1"/>
          <w:highlight w:val="none"/>
          <w14:textFill>
            <w14:solidFill>
              <w14:schemeClr w14:val="tx1"/>
            </w14:solidFill>
          </w14:textFill>
        </w:rPr>
        <w:t>电站可结合实际使用需求</w:t>
      </w:r>
      <w:r>
        <w:rPr>
          <w:rFonts w:hint="eastAsia" w:ascii="楷体_GB2312" w:hAnsi="宋体" w:eastAsia="楷体_GB2312"/>
          <w:color w:val="000000" w:themeColor="text1"/>
          <w:highlight w:val="none"/>
          <w:lang w:eastAsia="zh-CN"/>
          <w14:textFill>
            <w14:solidFill>
              <w14:schemeClr w14:val="tx1"/>
            </w14:solidFill>
          </w14:textFill>
        </w:rPr>
        <w:t>增设充电设施规模或</w:t>
      </w:r>
      <w:r>
        <w:rPr>
          <w:rFonts w:hint="eastAsia" w:ascii="楷体_GB2312" w:hAnsi="宋体" w:eastAsia="楷体_GB2312"/>
          <w:color w:val="000000" w:themeColor="text1"/>
          <w:highlight w:val="none"/>
          <w14:textFill>
            <w14:solidFill>
              <w14:schemeClr w14:val="tx1"/>
            </w14:solidFill>
          </w14:textFill>
        </w:rPr>
        <w:t>配建换电设施。</w:t>
      </w:r>
    </w:p>
    <w:p>
      <w:pPr>
        <w:spacing w:line="360" w:lineRule="auto"/>
        <w:ind w:firstLine="481" w:firstLineChars="200"/>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2、城市充电设施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以办公区、商业中心、工业中心、休闲中心等建筑物的配建停车场以及交通枢纽、驻车换乘等公共停车场为重点，布局建设快充为主、慢充为辅、大功率充电为有益补充的城市公共充电网络，实现城市公共区域停车场景全面覆盖。开展交流充电设施、服役8年以上老旧设施、800伏以下电压平台充电设施的更新改造。在城市综合体、大型商场、商务楼宇、超市、宾馆、医院、文体场馆、旅游集散中心等人口集聚区的公共停车场按照不低于15%比例配建直流桩。在符合安全要求的前提下，城市加油（气）站可利用加油（气）站辅助服务区增建充电设施。</w:t>
      </w:r>
    </w:p>
    <w:p>
      <w:pPr>
        <w:spacing w:line="360" w:lineRule="auto"/>
        <w:ind w:firstLine="481" w:firstLineChars="200"/>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3、农村充电设施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在适宜使用电动汽车的农村地区积极推进充电基础设施覆盖，在大型村镇、易地搬迁集中安置区、乡村旅游重点村镇等规划布局充电网络，在乡镇机关、企事业单位、商业建筑、交通枢纽场站、公共停车场、物流基地等区域布局建设公共充电基础设施</w:t>
      </w:r>
      <w:r>
        <w:rPr>
          <w:rFonts w:hint="default" w:ascii="宋体" w:hAnsi="宋体" w:eastAsia="宋体" w:cs="宋体"/>
          <w:color w:val="000000" w:themeColor="text1"/>
          <w:sz w:val="24"/>
          <w:szCs w:val="24"/>
          <w:highlight w:val="none"/>
          <w:lang w:val="en-US" w:eastAsia="zh-CN"/>
          <w14:textFill>
            <w14:solidFill>
              <w14:schemeClr w14:val="tx1"/>
            </w14:solidFill>
          </w14:textFill>
        </w:rPr>
        <w:t>，实现所有乡镇公用充电桩全覆盖</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default" w:ascii="宋体" w:hAnsi="宋体" w:eastAsia="宋体" w:cs="宋体"/>
          <w:color w:val="000000" w:themeColor="text1"/>
          <w:sz w:val="24"/>
          <w:szCs w:val="24"/>
          <w:highlight w:val="none"/>
          <w:lang w:val="en-US" w:eastAsia="zh-CN"/>
          <w14:textFill>
            <w14:solidFill>
              <w14:schemeClr w14:val="tx1"/>
            </w14:solidFill>
          </w14:textFill>
        </w:rPr>
        <w:t>城乡融合片区每个乡镇不少于8个，农村片区每个乡镇不少于4个。</w:t>
      </w:r>
    </w:p>
    <w:p>
      <w:pPr>
        <w:spacing w:line="360" w:lineRule="auto"/>
        <w:ind w:firstLine="481" w:firstLineChars="200"/>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4、旅游景区充电设施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旅游景区、度假区结合游客接待量和充电需求配建充电基础设施，A级旅游景区、度假区新能源充电停车位原则上不低于10%。同时，结合乐山旅游特色，在峨眉山-乐山大佛等核心景区周边，科学布局可灵活调配的潮汐式充电设施，并积极推广充电预约服务功能，以有效提升节假日等高峰期的充电保障能力与游客使用体验。</w:t>
      </w:r>
    </w:p>
    <w:p>
      <w:pPr>
        <w:spacing w:line="360" w:lineRule="auto"/>
        <w:ind w:firstLine="562" w:firstLineChars="200"/>
        <w:rPr>
          <w:rStyle w:val="19"/>
          <w:rFonts w:hint="eastAsia"/>
          <w:color w:val="000000" w:themeColor="text1"/>
          <w:kern w:val="0"/>
          <w:szCs w:val="22"/>
          <w:highlight w:val="none"/>
          <w14:textFill>
            <w14:solidFill>
              <w14:schemeClr w14:val="tx1"/>
            </w14:solidFill>
          </w14:textFill>
        </w:rPr>
      </w:pPr>
      <w:bookmarkStart w:id="290" w:name="_Toc23781"/>
      <w:r>
        <w:rPr>
          <w:rStyle w:val="19"/>
          <w:rFonts w:hint="eastAsia"/>
          <w:color w:val="000000" w:themeColor="text1"/>
          <w:kern w:val="0"/>
          <w:szCs w:val="22"/>
          <w:highlight w:val="none"/>
          <w14:textFill>
            <w14:solidFill>
              <w14:schemeClr w14:val="tx1"/>
            </w14:solidFill>
          </w14:textFill>
        </w:rPr>
        <w:t>（二）中心城区布局</w:t>
      </w:r>
    </w:p>
    <w:bookmarkEnd w:id="281"/>
    <w:bookmarkEnd w:id="282"/>
    <w:bookmarkEnd w:id="283"/>
    <w:bookmarkEnd w:id="284"/>
    <w:bookmarkEnd w:id="290"/>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按照“车桩相宜、适度超前”原则，在中心城区灵活布局充电设施。根据主要交通路网、河流水系</w:t>
      </w:r>
      <w:r>
        <w:rPr>
          <w:rFonts w:hint="eastAsia" w:ascii="宋体" w:hAnsi="宋体" w:cs="宋体"/>
          <w:color w:val="000000" w:themeColor="text1"/>
          <w:sz w:val="24"/>
          <w:szCs w:val="24"/>
          <w:highlight w:val="none"/>
          <w:lang w:val="en-US" w:eastAsia="zh-CN"/>
          <w14:textFill>
            <w14:solidFill>
              <w14:schemeClr w14:val="tx1"/>
            </w14:solidFill>
          </w14:textFill>
        </w:rPr>
        <w:t>，合理</w:t>
      </w:r>
      <w:r>
        <w:rPr>
          <w:rFonts w:hint="eastAsia" w:ascii="宋体" w:hAnsi="宋体" w:eastAsia="宋体" w:cs="宋体"/>
          <w:color w:val="000000" w:themeColor="text1"/>
          <w:sz w:val="24"/>
          <w:szCs w:val="24"/>
          <w:highlight w:val="none"/>
          <w:lang w:val="en-US" w:eastAsia="zh-CN"/>
          <w14:textFill>
            <w14:solidFill>
              <w14:schemeClr w14:val="tx1"/>
            </w14:solidFill>
          </w14:textFill>
        </w:rPr>
        <w:t>划定</w:t>
      </w:r>
      <w:r>
        <w:rPr>
          <w:rFonts w:hint="eastAsia" w:ascii="宋体" w:hAnsi="宋体" w:cs="宋体"/>
          <w:color w:val="000000" w:themeColor="text1"/>
          <w:sz w:val="24"/>
          <w:szCs w:val="24"/>
          <w:highlight w:val="none"/>
          <w:lang w:val="en-US" w:eastAsia="zh-CN"/>
          <w14:textFill>
            <w14:solidFill>
              <w14:schemeClr w14:val="tx1"/>
            </w14:solidFill>
          </w14:textFill>
        </w:rPr>
        <w:t>空间</w:t>
      </w:r>
      <w:r>
        <w:rPr>
          <w:rFonts w:hint="eastAsia" w:ascii="宋体" w:hAnsi="宋体" w:eastAsia="宋体" w:cs="宋体"/>
          <w:color w:val="000000" w:themeColor="text1"/>
          <w:sz w:val="24"/>
          <w:szCs w:val="24"/>
          <w:highlight w:val="none"/>
          <w:lang w:val="en-US" w:eastAsia="zh-CN"/>
          <w14:textFill>
            <w14:solidFill>
              <w14:schemeClr w14:val="tx1"/>
            </w14:solidFill>
          </w14:textFill>
        </w:rPr>
        <w:t>大小适宜的充电管控单元，对各单元充电桩数量、额定功率进行</w:t>
      </w:r>
      <w:r>
        <w:rPr>
          <w:rFonts w:hint="default"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刚弹结合</w:t>
      </w:r>
      <w:r>
        <w:rPr>
          <w:rFonts w:hint="default"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管控，明确单元内</w:t>
      </w:r>
      <w:r>
        <w:rPr>
          <w:rFonts w:hint="eastAsia" w:ascii="宋体" w:hAnsi="宋体" w:cs="宋体"/>
          <w:color w:val="000000" w:themeColor="text1"/>
          <w:sz w:val="24"/>
          <w:szCs w:val="24"/>
          <w:highlight w:val="none"/>
          <w:lang w:val="en-US" w:eastAsia="zh-CN"/>
          <w14:textFill>
            <w14:solidFill>
              <w14:schemeClr w14:val="tx1"/>
            </w14:solidFill>
          </w14:textFill>
        </w:rPr>
        <w:t>充电</w:t>
      </w:r>
      <w:r>
        <w:rPr>
          <w:rFonts w:hint="eastAsia" w:ascii="宋体" w:hAnsi="宋体" w:eastAsia="宋体" w:cs="宋体"/>
          <w:color w:val="000000" w:themeColor="text1"/>
          <w:sz w:val="24"/>
          <w:szCs w:val="24"/>
          <w:highlight w:val="none"/>
          <w:lang w:val="en-US" w:eastAsia="zh-CN"/>
          <w14:textFill>
            <w14:solidFill>
              <w14:schemeClr w14:val="tx1"/>
            </w14:solidFill>
          </w14:textFill>
        </w:rPr>
        <w:t>设施数量目标，优先在充电需求旺盛区域布局充电设施以保障服务能力，同时保留一定数量的设施在单元内灵活选址建设。规划将中心城区划分为20个充电管控单元，依托城市停车设施共规划116座公共充（换）电</w:t>
      </w:r>
      <w:r>
        <w:rPr>
          <w:rFonts w:hint="default" w:ascii="宋体" w:hAnsi="宋体" w:eastAsia="宋体" w:cs="宋体"/>
          <w:color w:val="000000" w:themeColor="text1"/>
          <w:sz w:val="24"/>
          <w:szCs w:val="24"/>
          <w:highlight w:val="none"/>
          <w:lang w:val="en-US" w:eastAsia="zh-CN"/>
          <w14:textFill>
            <w14:solidFill>
              <w14:schemeClr w14:val="tx1"/>
            </w14:solidFill>
          </w14:textFill>
        </w:rPr>
        <w:t>保障站点</w:t>
      </w:r>
      <w:r>
        <w:rPr>
          <w:rFonts w:hint="eastAsia" w:ascii="宋体" w:hAnsi="宋体" w:eastAsia="宋体" w:cs="宋体"/>
          <w:color w:val="000000" w:themeColor="text1"/>
          <w:sz w:val="24"/>
          <w:szCs w:val="24"/>
          <w:highlight w:val="none"/>
          <w:lang w:val="en-US" w:eastAsia="zh-CN"/>
          <w14:textFill>
            <w14:solidFill>
              <w14:schemeClr w14:val="tx1"/>
            </w14:solidFill>
          </w14:textFill>
        </w:rPr>
        <w:t>。本规划倡导将“充电管控单元”模式向各县（市、区）推广，在专项规划或建设方案中划定管控片区，设定充电设施建设数量的下限目标，在满足总量要求与服务半径的前提下，赋予投资建设主体更大的选址灵活性，以激发市场活力并精准覆盖需求。</w:t>
      </w:r>
    </w:p>
    <w:p>
      <w:pPr>
        <w:spacing w:line="360" w:lineRule="auto"/>
        <w:jc w:val="center"/>
        <w:rPr>
          <w:rFonts w:hint="eastAsia" w:ascii="黑体" w:hAnsi="黑体" w:eastAsia="黑体" w:cs="宋体"/>
          <w:color w:val="000000" w:themeColor="text1"/>
          <w:sz w:val="24"/>
          <w:highlight w:val="none"/>
          <w14:textFill>
            <w14:solidFill>
              <w14:schemeClr w14:val="tx1"/>
            </w14:solidFill>
          </w14:textFill>
        </w:rPr>
      </w:pPr>
      <w:bookmarkStart w:id="291" w:name="_Toc29672"/>
      <w:bookmarkStart w:id="292" w:name="_Toc6006"/>
      <w:bookmarkStart w:id="293" w:name="_Toc22620"/>
      <w:bookmarkStart w:id="294" w:name="_Toc20876"/>
      <w:r>
        <w:rPr>
          <w:rFonts w:hint="eastAsia" w:ascii="黑体" w:hAnsi="黑体" w:eastAsia="黑体" w:cs="宋体"/>
          <w:color w:val="000000" w:themeColor="text1"/>
          <w:sz w:val="24"/>
          <w:highlight w:val="none"/>
          <w14:textFill>
            <w14:solidFill>
              <w14:schemeClr w14:val="tx1"/>
            </w14:solidFill>
          </w14:textFill>
        </w:rPr>
        <w:t>表</w:t>
      </w:r>
      <w:r>
        <w:rPr>
          <w:rFonts w:hint="eastAsia" w:ascii="黑体" w:hAnsi="黑体" w:eastAsia="黑体" w:cs="宋体"/>
          <w:color w:val="000000" w:themeColor="text1"/>
          <w:sz w:val="24"/>
          <w:highlight w:val="none"/>
          <w:lang w:val="en-US" w:eastAsia="zh-CN"/>
          <w14:textFill>
            <w14:solidFill>
              <w14:schemeClr w14:val="tx1"/>
            </w14:solidFill>
          </w14:textFill>
        </w:rPr>
        <w:t>6</w:t>
      </w:r>
      <w:r>
        <w:rPr>
          <w:rFonts w:hint="eastAsia" w:ascii="黑体" w:hAnsi="黑体" w:eastAsia="黑体" w:cs="宋体"/>
          <w:color w:val="000000" w:themeColor="text1"/>
          <w:sz w:val="24"/>
          <w:highlight w:val="none"/>
          <w14:textFill>
            <w14:solidFill>
              <w14:schemeClr w14:val="tx1"/>
            </w14:solidFill>
          </w14:textFill>
        </w:rPr>
        <w:t>-</w:t>
      </w:r>
      <w:r>
        <w:rPr>
          <w:rFonts w:hint="eastAsia" w:ascii="黑体" w:hAnsi="黑体" w:eastAsia="黑体" w:cs="宋体"/>
          <w:color w:val="000000" w:themeColor="text1"/>
          <w:sz w:val="24"/>
          <w:highlight w:val="none"/>
          <w:lang w:val="en-US" w:eastAsia="zh-CN"/>
          <w14:textFill>
            <w14:solidFill>
              <w14:schemeClr w14:val="tx1"/>
            </w14:solidFill>
          </w14:textFill>
        </w:rPr>
        <w:t>4</w:t>
      </w:r>
      <w:r>
        <w:rPr>
          <w:rFonts w:hint="eastAsia" w:ascii="黑体" w:hAnsi="黑体" w:eastAsia="黑体" w:cs="宋体"/>
          <w:color w:val="000000" w:themeColor="text1"/>
          <w:sz w:val="24"/>
          <w:highlight w:val="none"/>
          <w14:textFill>
            <w14:solidFill>
              <w14:schemeClr w14:val="tx1"/>
            </w14:solidFill>
          </w14:textFill>
        </w:rPr>
        <w:t xml:space="preserve"> 中心城区公共充（换）电</w:t>
      </w:r>
      <w:r>
        <w:rPr>
          <w:rFonts w:hint="eastAsia" w:ascii="黑体" w:hAnsi="黑体" w:eastAsia="黑体" w:cs="宋体"/>
          <w:color w:val="000000" w:themeColor="text1"/>
          <w:sz w:val="24"/>
          <w:highlight w:val="none"/>
          <w:lang w:val="en-US" w:eastAsia="zh-CN"/>
          <w14:textFill>
            <w14:solidFill>
              <w14:schemeClr w14:val="tx1"/>
            </w14:solidFill>
          </w14:textFill>
        </w:rPr>
        <w:t>设施</w:t>
      </w:r>
      <w:r>
        <w:rPr>
          <w:rFonts w:hint="eastAsia" w:ascii="黑体" w:hAnsi="黑体" w:eastAsia="黑体" w:cs="宋体"/>
          <w:color w:val="000000" w:themeColor="text1"/>
          <w:sz w:val="24"/>
          <w:highlight w:val="none"/>
          <w14:textFill>
            <w14:solidFill>
              <w14:schemeClr w14:val="tx1"/>
            </w14:solidFill>
          </w14:textFill>
        </w:rPr>
        <w:t xml:space="preserve">布局一览表 </w:t>
      </w:r>
    </w:p>
    <w:tbl>
      <w:tblPr>
        <w:tblStyle w:val="10"/>
        <w:tblW w:w="91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414"/>
        <w:gridCol w:w="1485"/>
        <w:gridCol w:w="855"/>
        <w:gridCol w:w="2310"/>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单元编号</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公用充电桩数量（个）</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保障功率（</w:t>
            </w:r>
            <w:r>
              <w:rPr>
                <w:rFonts w:hint="eastAsia" w:ascii="楷体_GB2312" w:hAnsi="宋体" w:eastAsia="楷体_GB2312" w:cs="楷体_GB2312"/>
                <w:b/>
                <w:bCs/>
                <w:i w:val="0"/>
                <w:iCs w:val="0"/>
                <w:color w:val="000000"/>
                <w:kern w:val="0"/>
                <w:sz w:val="21"/>
                <w:szCs w:val="21"/>
                <w:u w:val="none"/>
                <w:lang w:val="en-US" w:eastAsia="zh-CN" w:bidi="ar"/>
              </w:rPr>
              <w:t>kW</w:t>
            </w:r>
            <w:r>
              <w:rPr>
                <w:rFonts w:hint="default" w:ascii="楷体_GB2312" w:hAnsi="宋体" w:eastAsia="楷体_GB2312" w:cs="楷体_GB2312"/>
                <w:b/>
                <w:bCs/>
                <w:i w:val="0"/>
                <w:iCs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保障站点数量</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保障站点位置</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楷体_GB2312" w:hAnsi="宋体" w:eastAsia="楷体_GB2312" w:cs="楷体_GB2312"/>
                <w:b/>
                <w:bCs/>
                <w:i w:val="0"/>
                <w:iCs w:val="0"/>
                <w:color w:val="000000"/>
                <w:kern w:val="0"/>
                <w:sz w:val="21"/>
                <w:szCs w:val="21"/>
                <w:u w:val="none"/>
                <w:lang w:val="en-US" w:eastAsia="zh-CN" w:bidi="ar"/>
              </w:rPr>
            </w:pPr>
            <w:r>
              <w:rPr>
                <w:rFonts w:hint="default" w:ascii="楷体_GB2312" w:hAnsi="宋体" w:eastAsia="楷体_GB2312" w:cs="楷体_GB2312"/>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SZ-01</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75～150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4500～9000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棉竹北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嘉瑞大道西</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嘉瑞大道东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新竹路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通棉路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SZ-02</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100～200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6000～12000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乐青路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檀木南街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金紫街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T-09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万达广场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三号桥西</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SZ-03</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180～360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10800～21600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龙游路北段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高坝路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乐山站</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嘉州新天地</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世豪广场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长青路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瑞祥路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青江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徐浩大桥东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SZ-04</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225～450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13500～27000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翰林路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白燕路北段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百悦街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龙游路东段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嘉州大道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竹公溪路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瑞云路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茶坊街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恒邦双林CBD</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T-29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SZ-05</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120～240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7200～14400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绿心红雀碗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新广场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绿心北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绿心南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肖坝停车场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绿心南路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SZ-06</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150～300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9000～18000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柏杨中路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体育馆</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春华路南段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百禄路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T-39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演武街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阳光广场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SZ-07</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200～400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12000～24000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老年大学</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鱼儿湾公园</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海棠路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海棠广场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鼓楼街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斑竹湾</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肖坝旅游车站</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嘉州新城</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T-49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SZ-08</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150～300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9000～18000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奥林匹克中心</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体育北路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青衣江大道北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苏稽大道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乌木文化博览苑</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乐峨路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SZ-09</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80～160</w:t>
            </w:r>
          </w:p>
        </w:tc>
        <w:tc>
          <w:tcPr>
            <w:tcW w:w="1485"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4800～9600</w:t>
            </w:r>
          </w:p>
        </w:tc>
        <w:tc>
          <w:tcPr>
            <w:tcW w:w="855"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苏稽古镇</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嘉州国际工业博览城</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青衣江大道南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苏稽大道南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T-59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SZ-10</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60～120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3600～7200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滟澜洲北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滟澜洲南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大渡河广场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水口工业园区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T-63</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SZ-11</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60～120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3600～7200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三号桥东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桃园路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翡翠国际新天地</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SZ-12</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240～400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14400～24000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2</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嘉州长卷天街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嘉定坊北侧</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SZ-13</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420～700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25200～42000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山龙路博物馆</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T-69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八仙洞</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花湖湾</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凌云路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九峰路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南游客中心</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临江东路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GX-01</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120～240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7200～14400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临江北路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茶山路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迎宾大道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双林路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T-79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南新大道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高港大道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T-81</w:t>
            </w:r>
          </w:p>
        </w:tc>
        <w:tc>
          <w:tcPr>
            <w:tcW w:w="1080"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GX-02</w:t>
            </w:r>
          </w:p>
        </w:tc>
        <w:tc>
          <w:tcPr>
            <w:tcW w:w="1414"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140～280</w:t>
            </w:r>
          </w:p>
        </w:tc>
        <w:tc>
          <w:tcPr>
            <w:tcW w:w="1485"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8400～16800</w:t>
            </w:r>
          </w:p>
        </w:tc>
        <w:tc>
          <w:tcPr>
            <w:tcW w:w="855"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龙安路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T-82</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小铜河公园</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T-83</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龙口路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T-84</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乐沙大道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T-85</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故宫文物南迁遗址公园</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T-86</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南新大道南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T-87</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S215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WT-01</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75～150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4500～9000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冠英新区北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T-89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新区四路</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冠英新区南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冠英镇</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乐山机场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T-93</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WT-02</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180～360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10800～21600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S104桥头</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牛华镇</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张家坝</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涌江路北段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已建有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Y014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中心大道</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T-99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劳动街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王爷庙</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四望关广场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T-102</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WT-03</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75～150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4500～9000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工业基地西</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工业基地北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工业基地中</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工业基地南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工业基地东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T-107</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SW-01</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45～90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2700～5400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嘉农镇北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康养中心</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T-109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嘉农镇南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T-110</w:t>
            </w:r>
          </w:p>
        </w:tc>
        <w:tc>
          <w:tcPr>
            <w:tcW w:w="1080"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SW-02</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140～280</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8400～168000</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7</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沫东坝北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T-111</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九龙街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T-112</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沫若戏剧文创园</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T-113</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沫若大道北段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T-114</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沙湾南站</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T-115</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沫若故居</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T-116</w:t>
            </w:r>
          </w:p>
        </w:tc>
        <w:tc>
          <w:tcPr>
            <w:tcW w:w="108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德胜工业园</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楷体_GB2312" w:hAnsi="宋体" w:eastAsia="楷体_GB2312" w:cs="楷体_GB2312"/>
                <w:i w:val="0"/>
                <w:iCs w:val="0"/>
                <w:color w:val="000000"/>
                <w:sz w:val="21"/>
                <w:szCs w:val="21"/>
                <w:u w:val="none"/>
              </w:rPr>
            </w:pPr>
          </w:p>
        </w:tc>
      </w:tr>
    </w:tbl>
    <w:p>
      <w:pPr>
        <w:spacing w:line="300" w:lineRule="exact"/>
        <w:ind w:left="422" w:hanging="421" w:hangingChars="200"/>
        <w:jc w:val="left"/>
        <w:rPr>
          <w:rFonts w:hint="eastAsia" w:ascii="楷体_GB2312" w:hAnsi="宋体" w:eastAsia="楷体_GB2312"/>
          <w:color w:val="000000" w:themeColor="text1"/>
          <w:highlight w:val="none"/>
          <w14:textFill>
            <w14:solidFill>
              <w14:schemeClr w14:val="tx1"/>
            </w14:solidFill>
          </w14:textFill>
        </w:rPr>
      </w:pPr>
      <w:r>
        <w:rPr>
          <w:rFonts w:hint="eastAsia" w:ascii="楷体_GB2312" w:hAnsi="宋体" w:eastAsia="楷体_GB2312"/>
          <w:b/>
          <w:bCs/>
          <w:color w:val="000000" w:themeColor="text1"/>
          <w:highlight w:val="none"/>
          <w14:textFill>
            <w14:solidFill>
              <w14:schemeClr w14:val="tx1"/>
            </w14:solidFill>
          </w14:textFill>
        </w:rPr>
        <w:t>注：</w:t>
      </w:r>
      <w:r>
        <w:rPr>
          <w:rFonts w:hint="eastAsia" w:ascii="楷体_GB2312" w:hAnsi="宋体" w:eastAsia="楷体_GB2312"/>
          <w:color w:val="000000" w:themeColor="text1"/>
          <w:highlight w:val="none"/>
          <w14:textFill>
            <w14:solidFill>
              <w14:schemeClr w14:val="tx1"/>
            </w14:solidFill>
          </w14:textFill>
        </w:rPr>
        <w:t>规划公共充（换）电站可就近灵活使用公共停车场（楼）用地进行新建、合建。</w:t>
      </w:r>
    </w:p>
    <w:p>
      <w:pPr>
        <w:spacing w:line="300" w:lineRule="exact"/>
        <w:ind w:left="422" w:hanging="420" w:hangingChars="200"/>
        <w:jc w:val="left"/>
        <w:rPr>
          <w:rFonts w:hint="eastAsia" w:ascii="楷体_GB2312" w:hAnsi="宋体" w:eastAsia="楷体_GB2312"/>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default" w:eastAsia="黑体"/>
          <w:color w:val="000000" w:themeColor="text1"/>
          <w:highlight w:val="none"/>
          <w:lang w:val="en-US" w:eastAsia="zh-CN"/>
          <w14:textFill>
            <w14:solidFill>
              <w14:schemeClr w14:val="tx1"/>
            </w14:solidFill>
          </w14:textFill>
        </w:rPr>
      </w:pPr>
      <w:bookmarkStart w:id="295" w:name="_Toc4782"/>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七</w:t>
      </w:r>
      <w:r>
        <w:rPr>
          <w:rFonts w:hint="eastAsia"/>
          <w:color w:val="000000" w:themeColor="text1"/>
          <w:highlight w:val="none"/>
          <w14:textFill>
            <w14:solidFill>
              <w14:schemeClr w14:val="tx1"/>
            </w14:solidFill>
          </w14:textFill>
        </w:rPr>
        <w:t xml:space="preserve">章 </w:t>
      </w:r>
      <w:bookmarkEnd w:id="291"/>
      <w:bookmarkEnd w:id="292"/>
      <w:bookmarkEnd w:id="293"/>
      <w:r>
        <w:rPr>
          <w:rFonts w:hint="eastAsia"/>
          <w:color w:val="000000" w:themeColor="text1"/>
          <w:highlight w:val="none"/>
          <w:lang w:val="en-US" w:eastAsia="zh-CN"/>
          <w14:textFill>
            <w14:solidFill>
              <w14:schemeClr w14:val="tx1"/>
            </w14:solidFill>
          </w14:textFill>
        </w:rPr>
        <w:t>重点任务</w:t>
      </w:r>
      <w:bookmarkEnd w:id="294"/>
      <w:bookmarkEnd w:id="295"/>
    </w:p>
    <w:p>
      <w:pPr>
        <w:pStyle w:val="21"/>
        <w:rPr>
          <w:rFonts w:hint="eastAsia"/>
          <w:color w:val="000000" w:themeColor="text1"/>
          <w:highlight w:val="none"/>
          <w14:textFill>
            <w14:solidFill>
              <w14:schemeClr w14:val="tx1"/>
            </w14:solidFill>
          </w14:textFill>
        </w:rPr>
      </w:pPr>
      <w:bookmarkStart w:id="296" w:name="_Toc26398"/>
      <w:bookmarkStart w:id="297" w:name="_Toc5156"/>
      <w:bookmarkStart w:id="298" w:name="_Toc2543"/>
      <w:bookmarkStart w:id="299" w:name="_Toc8037"/>
      <w:bookmarkStart w:id="300" w:name="_Toc27864"/>
      <w:r>
        <w:rPr>
          <w:rFonts w:hint="eastAsia"/>
          <w:color w:val="000000" w:themeColor="text1"/>
          <w:highlight w:val="none"/>
          <w14:textFill>
            <w14:solidFill>
              <w14:schemeClr w14:val="tx1"/>
            </w14:solidFill>
          </w14:textFill>
        </w:rPr>
        <w:t>第一节 强化建设管理</w:t>
      </w:r>
      <w:bookmarkEnd w:id="296"/>
      <w:bookmarkEnd w:id="297"/>
      <w:bookmarkEnd w:id="298"/>
      <w:bookmarkEnd w:id="299"/>
      <w:bookmarkEnd w:id="300"/>
    </w:p>
    <w:p>
      <w:pPr>
        <w:spacing w:line="360" w:lineRule="auto"/>
        <w:ind w:firstLine="480" w:firstLineChars="200"/>
        <w:rPr>
          <w:rFonts w:hint="eastAsia" w:ascii="宋体" w:hAnsi="宋体"/>
          <w:color w:val="000000" w:themeColor="text1"/>
          <w:sz w:val="24"/>
          <w:szCs w:val="22"/>
          <w:highlight w:val="none"/>
          <w14:textFill>
            <w14:solidFill>
              <w14:schemeClr w14:val="tx1"/>
            </w14:solidFill>
          </w14:textFill>
        </w:rPr>
      </w:pPr>
      <w:bookmarkStart w:id="301" w:name="_Toc11718"/>
      <w:bookmarkStart w:id="302" w:name="_Toc11120"/>
      <w:bookmarkStart w:id="303" w:name="_Toc14168"/>
      <w:bookmarkStart w:id="304" w:name="_Toc17381"/>
      <w:r>
        <w:rPr>
          <w:rFonts w:hint="eastAsia" w:ascii="宋体" w:hAnsi="宋体"/>
          <w:color w:val="000000" w:themeColor="text1"/>
          <w:sz w:val="24"/>
          <w:szCs w:val="22"/>
          <w:highlight w:val="none"/>
          <w14:textFill>
            <w14:solidFill>
              <w14:schemeClr w14:val="tx1"/>
            </w14:solidFill>
          </w14:textFill>
        </w:rPr>
        <w:t>强化充电基础设施建设管理，明确项目开工建设应办理的前置要件、建设单位资质要求等。建立安全监管体系，完善制度标准，加强消防监督检查力度。明确充电设施生产方、所有方、建设方、运营方的责任，支持使用具备完善安全保障和服务体系的新产品。健全施工安全管理制度，严格执行安全生产“三同时”制度。加强竣工验收管理，按照“业主负责制”原则，依据《电动汽车充换电设施工程施工和竣工验收规范》（NB/T 33004-2020）、《建筑电气工程施工质量验收规范》（GB 50303）等标准要求开展竣工验收，项目建成后报住房城乡建设部门进行验收备案</w:t>
      </w:r>
      <w:r>
        <w:rPr>
          <w:rFonts w:hint="eastAsia" w:ascii="宋体" w:hAnsi="宋体"/>
          <w:color w:val="000000" w:themeColor="text1"/>
          <w:sz w:val="24"/>
          <w:szCs w:val="22"/>
          <w:highlight w:val="none"/>
          <w:lang w:eastAsia="zh-CN"/>
          <w14:textFill>
            <w14:solidFill>
              <w14:schemeClr w14:val="tx1"/>
            </w14:solidFill>
          </w14:textFill>
        </w:rPr>
        <w:t>。</w:t>
      </w:r>
      <w:r>
        <w:rPr>
          <w:rFonts w:hint="eastAsia" w:ascii="宋体" w:hAnsi="宋体"/>
          <w:color w:val="000000" w:themeColor="text1"/>
          <w:sz w:val="24"/>
          <w:szCs w:val="22"/>
          <w:highlight w:val="none"/>
          <w14:textFill>
            <w14:solidFill>
              <w14:schemeClr w14:val="tx1"/>
            </w14:solidFill>
          </w14:textFill>
        </w:rPr>
        <w:t>随车配送的自用充电基础设施，由电动汽车生产（销售）企业或其委托的充电基础设施安装企业组织验收；居民个人购置的充电基础设施，应委托具备充电桩施工资质的企业施工并组织验收；物业服务机构应妥善保存居民自用充电基础设施验收合格报告。依法依规对充电基础设施设置场所实施消防设计审查、消防验收以及备案抽查，并加强消防监督检查。督促充电基础设施运营使用的单位或个人，加强对充电基础设施及其设置场所的日常消防安全检查及管理，及时消除安全隐患。供电企业按照有关规定制定项目并网实施办法，为项目建设创造基础条件。加大对用户私拉电线、违规用电、不规范建设施工等行为的查处力度。</w:t>
      </w:r>
    </w:p>
    <w:p>
      <w:pPr>
        <w:pStyle w:val="21"/>
        <w:rPr>
          <w:rFonts w:hint="eastAsia"/>
          <w:color w:val="000000" w:themeColor="text1"/>
          <w:highlight w:val="none"/>
          <w14:textFill>
            <w14:solidFill>
              <w14:schemeClr w14:val="tx1"/>
            </w14:solidFill>
          </w14:textFill>
        </w:rPr>
      </w:pPr>
      <w:bookmarkStart w:id="305" w:name="_Toc27779"/>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节 完善配套电网</w:t>
      </w:r>
      <w:bookmarkEnd w:id="301"/>
      <w:bookmarkEnd w:id="302"/>
      <w:bookmarkEnd w:id="303"/>
      <w:bookmarkEnd w:id="304"/>
      <w:bookmarkEnd w:id="305"/>
    </w:p>
    <w:p>
      <w:pPr>
        <w:spacing w:line="360" w:lineRule="auto"/>
        <w:ind w:firstLine="480" w:firstLineChars="200"/>
        <w:jc w:val="left"/>
        <w:rPr>
          <w:rFonts w:hint="eastAsia" w:ascii="宋体" w:hAnsi="宋体"/>
          <w:color w:val="000000" w:themeColor="text1"/>
          <w:sz w:val="24"/>
          <w:szCs w:val="22"/>
          <w:highlight w:val="none"/>
          <w:lang w:val="zh-CN"/>
          <w14:textFill>
            <w14:solidFill>
              <w14:schemeClr w14:val="tx1"/>
            </w14:solidFill>
          </w14:textFill>
        </w:rPr>
      </w:pPr>
      <w:bookmarkStart w:id="306" w:name="_Toc3838"/>
      <w:bookmarkStart w:id="307" w:name="_Toc9530"/>
      <w:bookmarkStart w:id="308" w:name="_Toc16005"/>
      <w:bookmarkStart w:id="309" w:name="_Toc9328"/>
      <w:r>
        <w:rPr>
          <w:rFonts w:hint="eastAsia" w:ascii="宋体" w:hAnsi="宋体"/>
          <w:color w:val="000000" w:themeColor="text1"/>
          <w:sz w:val="24"/>
          <w:szCs w:val="22"/>
          <w:highlight w:val="none"/>
          <w14:textFill>
            <w14:solidFill>
              <w14:schemeClr w14:val="tx1"/>
            </w14:solidFill>
          </w14:textFill>
        </w:rPr>
        <w:t>加强配套电网建设，切实做到“设施建设、电网先行”，在用地保障、廊道通行等方面支持充电基础设施配套电网建设与改造项目建</w:t>
      </w:r>
      <w:r>
        <w:rPr>
          <w:rFonts w:hint="eastAsia" w:ascii="宋体" w:hAnsi="宋体"/>
          <w:color w:val="000000" w:themeColor="text1"/>
          <w:sz w:val="24"/>
          <w:szCs w:val="22"/>
          <w:highlight w:val="none"/>
          <w:lang w:val="zh-CN"/>
          <w14:textFill>
            <w14:solidFill>
              <w14:schemeClr w14:val="tx1"/>
            </w14:solidFill>
          </w14:textFill>
        </w:rPr>
        <w:t>设。电网企业要做好电动汽车充电基础设施配套电网建设改造工作，将充电基础设施配套电网建设与改造纳入配电网专项规划，加大配套电网建设投入，做好充电基础设施相关电力基础网络建设、充电基础设施增容服务、电力保障等工作，推广“光储充一体化”项目，缓解电网压力。严格执行电网接入技术要求，避免充电设施对电网产生谐波污染，造成电压波动大、电能质</w:t>
      </w:r>
      <w:r>
        <w:rPr>
          <w:rFonts w:hint="eastAsia" w:ascii="宋体" w:hAnsi="宋体"/>
          <w:color w:val="000000" w:themeColor="text1"/>
          <w:sz w:val="24"/>
          <w:szCs w:val="22"/>
          <w:highlight w:val="none"/>
          <w14:textFill>
            <w14:solidFill>
              <w14:schemeClr w14:val="tx1"/>
            </w14:solidFill>
          </w14:textFill>
        </w:rPr>
        <w:t>量下降等。老旧居住(小)区充电基础设施建设，应主动协调</w:t>
      </w:r>
      <w:r>
        <w:rPr>
          <w:rFonts w:hint="eastAsia" w:ascii="宋体" w:hAnsi="宋体"/>
          <w:color w:val="000000" w:themeColor="text1"/>
          <w:sz w:val="24"/>
          <w:szCs w:val="22"/>
          <w:highlight w:val="none"/>
          <w:lang w:val="zh-CN"/>
          <w14:textFill>
            <w14:solidFill>
              <w14:schemeClr w14:val="tx1"/>
            </w14:solidFill>
          </w14:textFill>
        </w:rPr>
        <w:t>电网企业</w:t>
      </w:r>
      <w:r>
        <w:rPr>
          <w:rFonts w:hint="eastAsia" w:ascii="宋体" w:hAnsi="宋体"/>
          <w:color w:val="000000" w:themeColor="text1"/>
          <w:sz w:val="24"/>
          <w:szCs w:val="22"/>
          <w:highlight w:val="none"/>
          <w14:textFill>
            <w14:solidFill>
              <w14:schemeClr w14:val="tx1"/>
            </w14:solidFill>
          </w14:textFill>
        </w:rPr>
        <w:t>做好相关电力基础网络改造工作。电网企业要为</w:t>
      </w:r>
      <w:r>
        <w:rPr>
          <w:rFonts w:hint="eastAsia" w:ascii="宋体" w:hAnsi="宋体"/>
          <w:color w:val="000000" w:themeColor="text1"/>
          <w:sz w:val="24"/>
          <w:szCs w:val="22"/>
          <w:highlight w:val="none"/>
          <w:lang w:val="zh-CN"/>
          <w14:textFill>
            <w14:solidFill>
              <w14:schemeClr w14:val="tx1"/>
            </w14:solidFill>
          </w14:textFill>
        </w:rPr>
        <w:t>充电基础设施接入电网开辟绿色通道</w:t>
      </w:r>
      <w:r>
        <w:rPr>
          <w:rFonts w:hint="eastAsia" w:ascii="宋体" w:hAnsi="宋体"/>
          <w:color w:val="000000" w:themeColor="text1"/>
          <w:sz w:val="24"/>
          <w:szCs w:val="22"/>
          <w:highlight w:val="none"/>
          <w14:textFill>
            <w14:solidFill>
              <w14:schemeClr w14:val="tx1"/>
            </w14:solidFill>
          </w14:textFill>
        </w:rPr>
        <w:t>，</w:t>
      </w:r>
      <w:r>
        <w:rPr>
          <w:rFonts w:hint="eastAsia" w:ascii="宋体" w:hAnsi="宋体"/>
          <w:color w:val="000000" w:themeColor="text1"/>
          <w:sz w:val="24"/>
          <w:szCs w:val="22"/>
          <w:highlight w:val="none"/>
          <w:lang w:val="zh-CN"/>
          <w14:textFill>
            <w14:solidFill>
              <w14:schemeClr w14:val="tx1"/>
            </w14:solidFill>
          </w14:textFill>
        </w:rPr>
        <w:t>制定充电基础设施报装业务办理指南，明确各类充电基础设施履行报装资料提交、供电方案协议签署、受电工程设计和审核、供用电合同签署和竣工报验等电力报装流程</w:t>
      </w:r>
      <w:r>
        <w:rPr>
          <w:rFonts w:hint="eastAsia" w:ascii="宋体" w:hAnsi="宋体"/>
          <w:color w:val="000000" w:themeColor="text1"/>
          <w:sz w:val="24"/>
          <w:szCs w:val="22"/>
          <w:highlight w:val="none"/>
          <w14:textFill>
            <w14:solidFill>
              <w14:schemeClr w14:val="tx1"/>
            </w14:solidFill>
          </w14:textFill>
        </w:rPr>
        <w:t>。</w:t>
      </w:r>
      <w:r>
        <w:rPr>
          <w:rFonts w:hint="eastAsia" w:ascii="宋体" w:hAnsi="宋体"/>
          <w:color w:val="000000" w:themeColor="text1"/>
          <w:sz w:val="24"/>
          <w:szCs w:val="22"/>
          <w:highlight w:val="none"/>
          <w:lang w:val="zh-CN"/>
          <w14:textFill>
            <w14:solidFill>
              <w14:schemeClr w14:val="tx1"/>
            </w14:solidFill>
          </w14:textFill>
        </w:rPr>
        <w:t>各级主管部门应主动协同电网企业，将电网升级改造的优先权用于老旧居住区、农村地区等电网薄弱环节，科学预测充电负荷增长，提前布局并实施配电网增容和改造项目，切实保障这些重点区域的充电设施接入能力和用电安全。</w:t>
      </w:r>
      <w:r>
        <w:rPr>
          <w:rFonts w:hint="eastAsia" w:ascii="宋体" w:hAnsi="宋体"/>
          <w:color w:val="000000" w:themeColor="text1"/>
          <w:sz w:val="24"/>
          <w:szCs w:val="22"/>
          <w:highlight w:val="none"/>
          <w14:textFill>
            <w14:solidFill>
              <w14:schemeClr w14:val="tx1"/>
            </w14:solidFill>
          </w14:textFill>
        </w:rPr>
        <w:t>充电基础设施产权分界点至电网的配套接网工程，由电网企业负责建设和运行维护，</w:t>
      </w:r>
      <w:r>
        <w:rPr>
          <w:rFonts w:hint="eastAsia" w:ascii="宋体" w:hAnsi="宋体"/>
          <w:color w:val="000000" w:themeColor="text1"/>
          <w:sz w:val="24"/>
          <w:szCs w:val="22"/>
          <w:highlight w:val="none"/>
          <w:lang w:val="zh-CN"/>
          <w14:textFill>
            <w14:solidFill>
              <w14:schemeClr w14:val="tx1"/>
            </w14:solidFill>
          </w14:textFill>
        </w:rPr>
        <w:t>相应成本据实纳入准许成本，纳入电网输配电价回收，不得收取接网费用</w:t>
      </w:r>
      <w:r>
        <w:rPr>
          <w:rFonts w:hint="eastAsia" w:ascii="宋体" w:hAnsi="宋体"/>
          <w:color w:val="000000" w:themeColor="text1"/>
          <w:sz w:val="24"/>
          <w:szCs w:val="22"/>
          <w:highlight w:val="none"/>
          <w14:textFill>
            <w14:solidFill>
              <w14:schemeClr w14:val="tx1"/>
            </w14:solidFill>
          </w14:textFill>
        </w:rPr>
        <w:t>。</w:t>
      </w:r>
      <w:r>
        <w:rPr>
          <w:rFonts w:hint="eastAsia" w:ascii="宋体" w:hAnsi="宋体"/>
          <w:color w:val="000000" w:themeColor="text1"/>
          <w:sz w:val="24"/>
          <w:szCs w:val="22"/>
          <w:highlight w:val="none"/>
          <w:lang w:val="zh-CN"/>
          <w14:textFill>
            <w14:solidFill>
              <w14:schemeClr w14:val="tx1"/>
            </w14:solidFill>
          </w14:textFill>
        </w:rPr>
        <w:t>充电基础设施项目验收工作完成后，电网企业应及时并网通电。</w:t>
      </w:r>
    </w:p>
    <w:p>
      <w:pPr>
        <w:pStyle w:val="21"/>
        <w:rPr>
          <w:rFonts w:hint="eastAsia"/>
          <w:color w:val="000000" w:themeColor="text1"/>
          <w:highlight w:val="none"/>
          <w14:textFill>
            <w14:solidFill>
              <w14:schemeClr w14:val="tx1"/>
            </w14:solidFill>
          </w14:textFill>
        </w:rPr>
      </w:pPr>
      <w:bookmarkStart w:id="310" w:name="_Toc15762"/>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节 优化运营模式</w:t>
      </w:r>
      <w:bookmarkEnd w:id="306"/>
      <w:bookmarkEnd w:id="307"/>
      <w:bookmarkEnd w:id="308"/>
      <w:bookmarkEnd w:id="309"/>
      <w:bookmarkEnd w:id="310"/>
    </w:p>
    <w:p>
      <w:pPr>
        <w:spacing w:line="360" w:lineRule="auto"/>
        <w:ind w:firstLine="480" w:firstLineChars="200"/>
        <w:jc w:val="left"/>
        <w:rPr>
          <w:rFonts w:hint="eastAsia" w:ascii="宋体" w:hAnsi="宋体" w:cs="Times New Roman"/>
          <w:color w:val="000000" w:themeColor="text1"/>
          <w:sz w:val="24"/>
          <w:szCs w:val="22"/>
          <w:highlight w:val="none"/>
          <w:lang w:val="en-US" w:eastAsia="zh-CN"/>
          <w14:textFill>
            <w14:solidFill>
              <w14:schemeClr w14:val="tx1"/>
            </w14:solidFill>
          </w14:textFill>
        </w:rPr>
      </w:pPr>
      <w:bookmarkStart w:id="311" w:name="_Toc7783"/>
      <w:bookmarkStart w:id="312" w:name="_Toc32341"/>
      <w:bookmarkStart w:id="313" w:name="_Toc32029"/>
      <w:bookmarkStart w:id="314" w:name="_Toc4040"/>
      <w:r>
        <w:rPr>
          <w:rFonts w:hint="eastAsia" w:ascii="宋体" w:hAnsi="宋体" w:cs="Times New Roman"/>
          <w:color w:val="000000" w:themeColor="text1"/>
          <w:sz w:val="24"/>
          <w:szCs w:val="22"/>
          <w:highlight w:val="none"/>
          <w:lang w:val="en-US" w:eastAsia="zh-CN"/>
          <w14:textFill>
            <w14:solidFill>
              <w14:schemeClr w14:val="tx1"/>
            </w14:solidFill>
          </w14:textFill>
        </w:rPr>
        <w:t>建立以社会投资为主体、政府投资为补充的投融资机制，丰富建设主体层级，充分发挥社会资本在充电基础设施建设领域的核心作用，引导国企、民企、私人业主等多方参与充电基础设施建设，鼓励充电运营企业与整车企业、互联网企业积极探索商业合作模式，形成可持续的投融资模式，支撑充电基础设施健康发展。针对不同领域、不同场所、不同类型充电基础设施建设运营的特点，积极推动建立委托代建、自建自用、随车配建等多元化充电基础设施建设运营模式。对外营运的充电基础设施，应当由具备条件的运营企业进行经营管理。不对外运营的充电基础设施，原则上由投资建设主体负责设备的日常维护与管理工作，鼓励委托给有资质的运营企业统一维护，提高充电基础设施利用效率及安全管理水平。完善充电基础设施的信息化服务，融入全省统一的充电设施运营服务平台，实现互联互通、信息共享与统一结算。促进电动汽车与智能电网间能量和信息的双向互动，提高充电设施监控、管理和服务的数字化和智能化水平，提升运行安全、运营效率。建立电动汽车用户服务平台，围绕用户需求，为用户提供充电导航、状态查询、充电预约、费用结算等服务，拓展平台增值业务，提升运营效率和用户体验。同时，积极创新商业合作与服务模式，鼓励充电运营企业探索“充电+商业”、“充电+广告”、“充电+数据”等多元化收益模式，通过将充电设施与零售、休憩等增值服务相结合，开发充电场站媒体资源，在确保数据安全的前提下挖掘充电运营数据的衍生价值，有效拓展非电服务收入渠道，提升项目整体盈利能力和市场吸引力，增强社会资本参与积极性与项目可持续发展能力。</w:t>
      </w:r>
    </w:p>
    <w:p>
      <w:pPr>
        <w:pStyle w:val="21"/>
        <w:rPr>
          <w:rFonts w:hint="eastAsia"/>
          <w:color w:val="000000" w:themeColor="text1"/>
          <w:highlight w:val="none"/>
          <w:lang w:val="en-US" w:eastAsia="zh-CN"/>
          <w14:textFill>
            <w14:solidFill>
              <w14:schemeClr w14:val="tx1"/>
            </w14:solidFill>
          </w14:textFill>
        </w:rPr>
      </w:pPr>
      <w:bookmarkStart w:id="315" w:name="_Toc10897"/>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 xml:space="preserve">节 </w:t>
      </w:r>
      <w:r>
        <w:rPr>
          <w:rFonts w:hint="eastAsia"/>
          <w:color w:val="000000" w:themeColor="text1"/>
          <w:highlight w:val="none"/>
          <w:lang w:val="en-US" w:eastAsia="zh-CN"/>
          <w14:textFill>
            <w14:solidFill>
              <w14:schemeClr w14:val="tx1"/>
            </w14:solidFill>
          </w14:textFill>
        </w:rPr>
        <w:t>加强宣传引导</w:t>
      </w:r>
      <w:bookmarkEnd w:id="311"/>
      <w:bookmarkEnd w:id="312"/>
      <w:bookmarkEnd w:id="313"/>
      <w:bookmarkEnd w:id="314"/>
      <w:bookmarkEnd w:id="315"/>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普及电动汽车相关知识，适时举办新能源汽车技术科普、驾乘体验、娱乐赛事等活动，逐步提高全社会对新能源汽车的认知度和接受度，引导转变消费观念，营造绿色消费氛围。加强对电动汽车购买优惠政策措施的宣传，充分吸引社会各界购买使用电动汽车。充分利用各类媒体，发挥“两微一端”（微博、微信及新闻客户端）作用，加强对充电基础设施优惠发展政策、规划布局和建设动态等的宣传，让社会各界全面了解充电基础设施建设的有关情况，提高社会的认知度和接受度，吸引更多社会资本参与充电基础设施建设运营。积极宣传示范效果好的站点，让社会各界体验感受智能电网、电动汽车带给生活各个方面的改变，从而推动社会对电动汽车及充电基础设施的认可。加强舆论监督，曝光阻碍充电基础设施建设、损害消费者权益等行为，形成有利于电动汽车推广使用和充电基础设施发展建设的良好氛围。</w:t>
      </w:r>
    </w:p>
    <w:p>
      <w:pPr>
        <w:pStyle w:val="17"/>
        <w:rPr>
          <w:rFonts w:hint="eastAsia"/>
          <w:color w:val="000000" w:themeColor="text1"/>
          <w:highlight w:val="none"/>
          <w14:textFill>
            <w14:solidFill>
              <w14:schemeClr w14:val="tx1"/>
            </w14:solidFill>
          </w14:textFill>
        </w:rPr>
      </w:pPr>
      <w:bookmarkStart w:id="316" w:name="_Toc18854"/>
      <w:bookmarkStart w:id="317" w:name="_Toc32333"/>
      <w:bookmarkStart w:id="318" w:name="_Toc11961"/>
      <w:bookmarkStart w:id="319" w:name="_Toc20972"/>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eastAsia"/>
          <w:color w:val="000000" w:themeColor="text1"/>
          <w:highlight w:val="none"/>
          <w14:textFill>
            <w14:solidFill>
              <w14:schemeClr w14:val="tx1"/>
            </w14:solidFill>
          </w14:textFill>
        </w:rPr>
      </w:pPr>
    </w:p>
    <w:p>
      <w:pPr>
        <w:pStyle w:val="17"/>
        <w:rPr>
          <w:rFonts w:hint="default" w:eastAsia="黑体"/>
          <w:color w:val="000000" w:themeColor="text1"/>
          <w:highlight w:val="none"/>
          <w:lang w:val="en-US" w:eastAsia="zh-CN"/>
          <w14:textFill>
            <w14:solidFill>
              <w14:schemeClr w14:val="tx1"/>
            </w14:solidFill>
          </w14:textFill>
        </w:rPr>
      </w:pPr>
      <w:bookmarkStart w:id="320" w:name="_Toc14081"/>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八</w:t>
      </w:r>
      <w:r>
        <w:rPr>
          <w:rFonts w:hint="eastAsia"/>
          <w:color w:val="000000" w:themeColor="text1"/>
          <w:highlight w:val="none"/>
          <w14:textFill>
            <w14:solidFill>
              <w14:schemeClr w14:val="tx1"/>
            </w14:solidFill>
          </w14:textFill>
        </w:rPr>
        <w:t xml:space="preserve">章 </w:t>
      </w:r>
      <w:r>
        <w:rPr>
          <w:rFonts w:hint="eastAsia"/>
          <w:color w:val="000000" w:themeColor="text1"/>
          <w:highlight w:val="none"/>
          <w:lang w:val="en-US" w:eastAsia="zh-CN"/>
          <w14:textFill>
            <w14:solidFill>
              <w14:schemeClr w14:val="tx1"/>
            </w14:solidFill>
          </w14:textFill>
        </w:rPr>
        <w:t>建设投资与成效分析</w:t>
      </w:r>
      <w:bookmarkEnd w:id="316"/>
      <w:bookmarkEnd w:id="320"/>
    </w:p>
    <w:p>
      <w:pPr>
        <w:pStyle w:val="21"/>
        <w:rPr>
          <w:rFonts w:hint="eastAsia"/>
          <w:color w:val="000000" w:themeColor="text1"/>
          <w:highlight w:val="none"/>
          <w:lang w:val="en-US" w:eastAsia="zh-CN"/>
          <w14:textFill>
            <w14:solidFill>
              <w14:schemeClr w14:val="tx1"/>
            </w14:solidFill>
          </w14:textFill>
        </w:rPr>
      </w:pPr>
      <w:bookmarkStart w:id="321" w:name="_Toc31647"/>
      <w:bookmarkStart w:id="322" w:name="_Toc25760"/>
      <w:bookmarkStart w:id="323" w:name="_Toc28904"/>
      <w:bookmarkStart w:id="324" w:name="_Toc7724"/>
      <w:bookmarkStart w:id="325" w:name="_Toc28706"/>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 xml:space="preserve">节 </w:t>
      </w:r>
      <w:r>
        <w:rPr>
          <w:rFonts w:hint="eastAsia"/>
          <w:color w:val="000000" w:themeColor="text1"/>
          <w:highlight w:val="none"/>
          <w:lang w:val="en-US" w:eastAsia="zh-CN"/>
          <w14:textFill>
            <w14:solidFill>
              <w14:schemeClr w14:val="tx1"/>
            </w14:solidFill>
          </w14:textFill>
        </w:rPr>
        <w:t>建设规模</w:t>
      </w:r>
      <w:bookmarkEnd w:id="321"/>
      <w:bookmarkEnd w:id="322"/>
    </w:p>
    <w:p>
      <w:pPr>
        <w:spacing w:line="360" w:lineRule="auto"/>
        <w:ind w:firstLine="480" w:firstLineChars="200"/>
        <w:jc w:val="left"/>
        <w:rPr>
          <w:rFonts w:hint="eastAsia" w:ascii="宋体" w:hAnsi="宋体"/>
          <w:color w:val="000000" w:themeColor="text1"/>
          <w:sz w:val="24"/>
          <w:szCs w:val="22"/>
          <w:highlight w:val="none"/>
          <w:lang w:val="en-US" w:eastAsia="zh-CN"/>
          <w14:textFill>
            <w14:solidFill>
              <w14:schemeClr w14:val="tx1"/>
            </w14:solidFill>
          </w14:textFill>
        </w:rPr>
      </w:pPr>
      <w:r>
        <w:rPr>
          <w:rFonts w:hint="eastAsia" w:ascii="宋体" w:hAnsi="宋体"/>
          <w:color w:val="000000" w:themeColor="text1"/>
          <w:sz w:val="24"/>
          <w:szCs w:val="22"/>
          <w:highlight w:val="none"/>
          <w:lang w:val="en-US" w:eastAsia="zh-CN"/>
          <w14:textFill>
            <w14:solidFill>
              <w14:schemeClr w14:val="tx1"/>
            </w14:solidFill>
          </w14:textFill>
        </w:rPr>
        <w:t>结合发展目标，预计到2030年末，乐山市共需新建充电桩92761个，新增功率874100kW。</w:t>
      </w:r>
    </w:p>
    <w:p>
      <w:pPr>
        <w:pStyle w:val="21"/>
        <w:rPr>
          <w:rFonts w:hint="eastAsia"/>
          <w:color w:val="000000" w:themeColor="text1"/>
          <w:highlight w:val="none"/>
          <w:lang w:val="en-US" w:eastAsia="zh-CN"/>
          <w14:textFill>
            <w14:solidFill>
              <w14:schemeClr w14:val="tx1"/>
            </w14:solidFill>
          </w14:textFill>
        </w:rPr>
      </w:pPr>
      <w:bookmarkStart w:id="326" w:name="_Toc874"/>
      <w:bookmarkStart w:id="327" w:name="_Toc17694"/>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 xml:space="preserve">节 </w:t>
      </w:r>
      <w:r>
        <w:rPr>
          <w:rFonts w:hint="eastAsia"/>
          <w:color w:val="000000" w:themeColor="text1"/>
          <w:highlight w:val="none"/>
          <w:lang w:val="en-US" w:eastAsia="zh-CN"/>
          <w14:textFill>
            <w14:solidFill>
              <w14:schemeClr w14:val="tx1"/>
            </w14:solidFill>
          </w14:textFill>
        </w:rPr>
        <w:t>投资估算</w:t>
      </w:r>
      <w:bookmarkEnd w:id="326"/>
      <w:bookmarkEnd w:id="327"/>
    </w:p>
    <w:p>
      <w:pPr>
        <w:spacing w:line="360" w:lineRule="auto"/>
        <w:ind w:firstLine="480" w:firstLineChars="200"/>
        <w:jc w:val="left"/>
        <w:rPr>
          <w:rFonts w:hint="eastAsia" w:ascii="宋体" w:hAnsi="宋体" w:cs="Times New Roman"/>
          <w:color w:val="000000" w:themeColor="text1"/>
          <w:sz w:val="24"/>
          <w:szCs w:val="22"/>
          <w:highlight w:val="none"/>
          <w:lang w:val="en-US" w:eastAsia="zh-CN"/>
          <w14:textFill>
            <w14:solidFill>
              <w14:schemeClr w14:val="tx1"/>
            </w14:solidFill>
          </w14:textFill>
        </w:rPr>
      </w:pPr>
      <w:r>
        <w:rPr>
          <w:rFonts w:hint="eastAsia" w:ascii="宋体" w:hAnsi="宋体" w:cs="Times New Roman"/>
          <w:color w:val="000000" w:themeColor="text1"/>
          <w:sz w:val="24"/>
          <w:szCs w:val="22"/>
          <w:highlight w:val="none"/>
          <w:lang w:val="en-US" w:eastAsia="zh-CN"/>
          <w14:textFill>
            <w14:solidFill>
              <w14:schemeClr w14:val="tx1"/>
            </w14:solidFill>
          </w14:textFill>
        </w:rPr>
        <w:t>本次充电设施投资估算不包括变压器、高压配电线路等电网配套投资。预计到2030年末，乐山市新建各类充电设施投资总计69151.00万元。</w:t>
      </w:r>
    </w:p>
    <w:bookmarkEnd w:id="323"/>
    <w:bookmarkEnd w:id="324"/>
    <w:bookmarkEnd w:id="325"/>
    <w:p>
      <w:pPr>
        <w:pStyle w:val="21"/>
        <w:rPr>
          <w:color w:val="000000" w:themeColor="text1"/>
          <w:highlight w:val="none"/>
          <w14:textFill>
            <w14:solidFill>
              <w14:schemeClr w14:val="tx1"/>
            </w14:solidFill>
          </w14:textFill>
        </w:rPr>
      </w:pPr>
      <w:bookmarkStart w:id="328" w:name="_Toc16530"/>
      <w:bookmarkStart w:id="329" w:name="_Toc28870"/>
      <w:r>
        <w:rPr>
          <w:rFonts w:hint="eastAsia"/>
          <w:color w:val="000000" w:themeColor="text1"/>
          <w:highlight w:val="none"/>
          <w14:textFill>
            <w14:solidFill>
              <w14:schemeClr w14:val="tx1"/>
            </w14:solidFill>
          </w14:textFill>
        </w:rPr>
        <w:t>第三节 经济效益</w:t>
      </w:r>
      <w:bookmarkEnd w:id="328"/>
      <w:bookmarkEnd w:id="329"/>
    </w:p>
    <w:p>
      <w:pPr>
        <w:spacing w:line="360" w:lineRule="auto"/>
        <w:ind w:firstLine="480" w:firstLineChars="200"/>
        <w:jc w:val="left"/>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乐山市充电基础设施的规划、建设会更好地带动乐山电动汽车的发展。由于电动汽车主要靠电能实现驱动，而单位电价远低于化石燃料的单位价格，因此电动汽车的推广能够减少化石能源的使用，降低能源的使用成本。</w:t>
      </w: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电动公交（客运）车年均行驶里程约6万公里，平均耗电约</w:t>
      </w:r>
      <w:r>
        <w:rPr>
          <w:rFonts w:hint="eastAsia" w:ascii="宋体" w:hAnsi="宋体"/>
          <w:color w:val="000000" w:themeColor="text1"/>
          <w:sz w:val="24"/>
          <w:szCs w:val="22"/>
          <w:highlight w:val="none"/>
          <w:lang w:val="en-US" w:eastAsia="zh-CN"/>
          <w14:textFill>
            <w14:solidFill>
              <w14:schemeClr w14:val="tx1"/>
            </w14:solidFill>
          </w14:textFill>
        </w:rPr>
        <w:t>6</w:t>
      </w:r>
      <w:r>
        <w:rPr>
          <w:rFonts w:hint="eastAsia" w:ascii="宋体" w:hAnsi="宋体"/>
          <w:color w:val="000000" w:themeColor="text1"/>
          <w:sz w:val="24"/>
          <w:szCs w:val="22"/>
          <w:highlight w:val="none"/>
          <w14:textFill>
            <w14:solidFill>
              <w14:schemeClr w14:val="tx1"/>
            </w14:solidFill>
          </w14:textFill>
        </w:rPr>
        <w:t>0千瓦时/100公里；电动</w:t>
      </w:r>
      <w:r>
        <w:rPr>
          <w:rFonts w:hint="eastAsia" w:ascii="宋体" w:hAnsi="宋体"/>
          <w:color w:val="000000" w:themeColor="text1"/>
          <w:sz w:val="24"/>
          <w:szCs w:val="22"/>
          <w:highlight w:val="none"/>
          <w:lang w:val="zh-CN" w:eastAsia="zh-CN"/>
          <w14:textFill>
            <w14:solidFill>
              <w14:schemeClr w14:val="tx1"/>
            </w14:solidFill>
          </w14:textFill>
        </w:rPr>
        <w:t>出租车</w:t>
      </w:r>
      <w:r>
        <w:rPr>
          <w:rFonts w:hint="eastAsia" w:ascii="宋体" w:hAnsi="宋体"/>
          <w:color w:val="000000" w:themeColor="text1"/>
          <w:sz w:val="24"/>
          <w:szCs w:val="22"/>
          <w:highlight w:val="none"/>
          <w14:textFill>
            <w14:solidFill>
              <w14:schemeClr w14:val="tx1"/>
            </w14:solidFill>
          </w14:textFill>
        </w:rPr>
        <w:t>年均行驶里程约10万公里，平均耗电约1</w:t>
      </w:r>
      <w:r>
        <w:rPr>
          <w:rFonts w:hint="eastAsia" w:ascii="宋体" w:hAnsi="宋体"/>
          <w:color w:val="000000" w:themeColor="text1"/>
          <w:sz w:val="24"/>
          <w:szCs w:val="22"/>
          <w:highlight w:val="none"/>
          <w:lang w:val="en-US" w:eastAsia="zh-CN"/>
          <w14:textFill>
            <w14:solidFill>
              <w14:schemeClr w14:val="tx1"/>
            </w14:solidFill>
          </w14:textFill>
        </w:rPr>
        <w:t>2</w:t>
      </w:r>
      <w:r>
        <w:rPr>
          <w:rFonts w:hint="eastAsia" w:ascii="宋体" w:hAnsi="宋体"/>
          <w:color w:val="000000" w:themeColor="text1"/>
          <w:sz w:val="24"/>
          <w:szCs w:val="22"/>
          <w:highlight w:val="none"/>
          <w14:textFill>
            <w14:solidFill>
              <w14:schemeClr w14:val="tx1"/>
            </w14:solidFill>
          </w14:textFill>
        </w:rPr>
        <w:t>千瓦时/100公里；电动市政车年均行驶里程约4万公里，平均耗电约</w:t>
      </w:r>
      <w:r>
        <w:rPr>
          <w:rFonts w:hint="eastAsia" w:ascii="宋体" w:hAnsi="宋体"/>
          <w:color w:val="000000" w:themeColor="text1"/>
          <w:sz w:val="24"/>
          <w:szCs w:val="22"/>
          <w:highlight w:val="none"/>
          <w:lang w:val="en-US" w:eastAsia="zh-CN"/>
          <w14:textFill>
            <w14:solidFill>
              <w14:schemeClr w14:val="tx1"/>
            </w14:solidFill>
          </w14:textFill>
        </w:rPr>
        <w:t>18</w:t>
      </w:r>
      <w:r>
        <w:rPr>
          <w:rFonts w:hint="eastAsia" w:ascii="宋体" w:hAnsi="宋体"/>
          <w:color w:val="000000" w:themeColor="text1"/>
          <w:sz w:val="24"/>
          <w:szCs w:val="22"/>
          <w:highlight w:val="none"/>
          <w14:textFill>
            <w14:solidFill>
              <w14:schemeClr w14:val="tx1"/>
            </w14:solidFill>
          </w14:textFill>
        </w:rPr>
        <w:t>千瓦时/100公里；电动</w:t>
      </w:r>
      <w:r>
        <w:rPr>
          <w:rFonts w:hint="eastAsia" w:ascii="宋体" w:hAnsi="宋体"/>
          <w:color w:val="000000" w:themeColor="text1"/>
          <w:sz w:val="24"/>
          <w:szCs w:val="22"/>
          <w:highlight w:val="none"/>
          <w:lang w:val="en-US" w:eastAsia="zh-CN"/>
          <w14:textFill>
            <w14:solidFill>
              <w14:schemeClr w14:val="tx1"/>
            </w14:solidFill>
          </w14:textFill>
        </w:rPr>
        <w:t>货运</w:t>
      </w:r>
      <w:r>
        <w:rPr>
          <w:rFonts w:hint="default" w:ascii="宋体" w:hAnsi="宋体"/>
          <w:color w:val="000000" w:themeColor="text1"/>
          <w:sz w:val="24"/>
          <w:szCs w:val="22"/>
          <w:highlight w:val="none"/>
          <w:lang w:val="en-US"/>
          <w14:textFill>
            <w14:solidFill>
              <w14:schemeClr w14:val="tx1"/>
            </w14:solidFill>
          </w14:textFill>
        </w:rPr>
        <w:t>车</w:t>
      </w:r>
      <w:r>
        <w:rPr>
          <w:rFonts w:hint="eastAsia" w:ascii="宋体" w:hAnsi="宋体"/>
          <w:color w:val="000000" w:themeColor="text1"/>
          <w:sz w:val="24"/>
          <w:szCs w:val="22"/>
          <w:highlight w:val="none"/>
          <w14:textFill>
            <w14:solidFill>
              <w14:schemeClr w14:val="tx1"/>
            </w14:solidFill>
          </w14:textFill>
        </w:rPr>
        <w:t>年均行驶里程约4万公里，平均耗电约</w:t>
      </w:r>
      <w:r>
        <w:rPr>
          <w:rFonts w:hint="eastAsia" w:ascii="宋体" w:hAnsi="宋体"/>
          <w:color w:val="000000" w:themeColor="text1"/>
          <w:sz w:val="24"/>
          <w:szCs w:val="22"/>
          <w:highlight w:val="none"/>
          <w:lang w:val="en-US" w:eastAsia="zh-CN"/>
          <w14:textFill>
            <w14:solidFill>
              <w14:schemeClr w14:val="tx1"/>
            </w14:solidFill>
          </w14:textFill>
        </w:rPr>
        <w:t>40</w:t>
      </w:r>
      <w:r>
        <w:rPr>
          <w:rFonts w:hint="eastAsia" w:ascii="宋体" w:hAnsi="宋体"/>
          <w:color w:val="000000" w:themeColor="text1"/>
          <w:sz w:val="24"/>
          <w:szCs w:val="22"/>
          <w:highlight w:val="none"/>
          <w14:textFill>
            <w14:solidFill>
              <w14:schemeClr w14:val="tx1"/>
            </w14:solidFill>
          </w14:textFill>
        </w:rPr>
        <w:t>千瓦时/100公里；其他电动汽车年均行驶里程约1.5万公里，平均耗电约1</w:t>
      </w:r>
      <w:r>
        <w:rPr>
          <w:rFonts w:hint="eastAsia" w:ascii="宋体" w:hAnsi="宋体"/>
          <w:color w:val="000000" w:themeColor="text1"/>
          <w:sz w:val="24"/>
          <w:szCs w:val="22"/>
          <w:highlight w:val="none"/>
          <w:lang w:val="en-US" w:eastAsia="zh-CN"/>
          <w14:textFill>
            <w14:solidFill>
              <w14:schemeClr w14:val="tx1"/>
            </w14:solidFill>
          </w14:textFill>
        </w:rPr>
        <w:t>2</w:t>
      </w:r>
      <w:r>
        <w:rPr>
          <w:rFonts w:hint="eastAsia" w:ascii="宋体" w:hAnsi="宋体"/>
          <w:color w:val="000000" w:themeColor="text1"/>
          <w:sz w:val="24"/>
          <w:szCs w:val="22"/>
          <w:highlight w:val="none"/>
          <w14:textFill>
            <w14:solidFill>
              <w14:schemeClr w14:val="tx1"/>
            </w14:solidFill>
          </w14:textFill>
        </w:rPr>
        <w:t>千瓦时/100公里。</w:t>
      </w:r>
    </w:p>
    <w:p>
      <w:pPr>
        <w:spacing w:line="360" w:lineRule="auto"/>
        <w:ind w:firstLine="480" w:firstLineChars="200"/>
        <w:jc w:val="left"/>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据此测算，随着电动汽车保有量增加，充电需求逐步攀升，到20</w:t>
      </w:r>
      <w:r>
        <w:rPr>
          <w:rFonts w:hint="eastAsia" w:ascii="宋体" w:hAnsi="宋体"/>
          <w:color w:val="000000" w:themeColor="text1"/>
          <w:sz w:val="24"/>
          <w:szCs w:val="22"/>
          <w:highlight w:val="none"/>
          <w:lang w:val="en-US" w:eastAsia="zh-CN"/>
          <w14:textFill>
            <w14:solidFill>
              <w14:schemeClr w14:val="tx1"/>
            </w14:solidFill>
          </w14:textFill>
        </w:rPr>
        <w:t>30</w:t>
      </w:r>
      <w:r>
        <w:rPr>
          <w:rFonts w:hint="eastAsia" w:ascii="宋体" w:hAnsi="宋体"/>
          <w:color w:val="000000" w:themeColor="text1"/>
          <w:sz w:val="24"/>
          <w:szCs w:val="22"/>
          <w:highlight w:val="none"/>
          <w14:textFill>
            <w14:solidFill>
              <w14:schemeClr w14:val="tx1"/>
            </w14:solidFill>
          </w14:textFill>
        </w:rPr>
        <w:t>年，年充电量约</w:t>
      </w:r>
      <w:r>
        <w:rPr>
          <w:rFonts w:hint="eastAsia" w:ascii="宋体" w:hAnsi="宋体"/>
          <w:color w:val="000000" w:themeColor="text1"/>
          <w:sz w:val="24"/>
          <w:szCs w:val="22"/>
          <w:highlight w:val="none"/>
          <w:lang w:val="en-US" w:eastAsia="zh-CN"/>
          <w14:textFill>
            <w14:solidFill>
              <w14:schemeClr w14:val="tx1"/>
            </w14:solidFill>
          </w14:textFill>
        </w:rPr>
        <w:t>43360</w:t>
      </w:r>
      <w:r>
        <w:rPr>
          <w:rFonts w:hint="eastAsia" w:ascii="宋体" w:hAnsi="宋体"/>
          <w:color w:val="000000" w:themeColor="text1"/>
          <w:sz w:val="24"/>
          <w:szCs w:val="22"/>
          <w:highlight w:val="none"/>
          <w14:textFill>
            <w14:solidFill>
              <w14:schemeClr w14:val="tx1"/>
            </w14:solidFill>
          </w14:textFill>
        </w:rPr>
        <w:t>万千瓦时。</w:t>
      </w:r>
    </w:p>
    <w:p>
      <w:pPr>
        <w:spacing w:line="360" w:lineRule="auto"/>
        <w:ind w:firstLine="480" w:firstLineChars="200"/>
        <w:jc w:val="left"/>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电动汽车大多采用白天行驶、夜间充电的运行方式，有利于减小系统负荷过大的峰谷差值、解决电力系统调峰问题；电网负荷特性的改善有利于电网峰谷平衡以及盈余电力的消费；提高电力运行效率，减少电能损耗，提高电能资源利用率。</w:t>
      </w: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pStyle w:val="17"/>
        <w:rPr>
          <w:rFonts w:hint="default"/>
          <w:color w:val="000000" w:themeColor="text1"/>
          <w:highlight w:val="none"/>
          <w:lang w:val="en-US" w:eastAsia="zh-CN"/>
          <w14:textFill>
            <w14:solidFill>
              <w14:schemeClr w14:val="tx1"/>
            </w14:solidFill>
          </w14:textFill>
        </w:rPr>
      </w:pPr>
      <w:bookmarkStart w:id="330" w:name="_Toc18790"/>
      <w:bookmarkStart w:id="331" w:name="_Toc22623"/>
      <w:r>
        <w:rPr>
          <w:rFonts w:hint="eastAsia"/>
          <w:color w:val="000000" w:themeColor="text1"/>
          <w:highlight w:val="none"/>
          <w:lang w:val="en-US" w:eastAsia="zh-CN"/>
          <w14:textFill>
            <w14:solidFill>
              <w14:schemeClr w14:val="tx1"/>
            </w14:solidFill>
          </w14:textFill>
        </w:rPr>
        <w:t>第九章 环境影响评价</w:t>
      </w:r>
      <w:bookmarkEnd w:id="330"/>
    </w:p>
    <w:p>
      <w:pPr>
        <w:pStyle w:val="21"/>
        <w:rPr>
          <w:rFonts w:hint="eastAsia" w:ascii="Times New Roman" w:hAnsi="Times New Roman" w:cs="Times New Roman"/>
          <w:color w:val="000000" w:themeColor="text1"/>
          <w:highlight w:val="none"/>
          <w14:textFill>
            <w14:solidFill>
              <w14:schemeClr w14:val="tx1"/>
            </w14:solidFill>
          </w14:textFill>
        </w:rPr>
      </w:pPr>
      <w:bookmarkStart w:id="332" w:name="_Toc4252"/>
      <w:r>
        <w:rPr>
          <w:rFonts w:hint="eastAsia" w:ascii="Times New Roman" w:hAnsi="Times New Roman" w:cs="Times New Roman"/>
          <w:color w:val="000000" w:themeColor="text1"/>
          <w:highlight w:val="none"/>
          <w14:textFill>
            <w14:solidFill>
              <w14:schemeClr w14:val="tx1"/>
            </w14:solidFill>
          </w14:textFill>
        </w:rPr>
        <w:t>第</w:t>
      </w:r>
      <w:r>
        <w:rPr>
          <w:rFonts w:hint="eastAsia" w:ascii="Times New Roman" w:hAnsi="Times New Roman" w:cs="Times New Roman"/>
          <w:color w:val="000000" w:themeColor="text1"/>
          <w:highlight w:val="none"/>
          <w:lang w:val="en-US" w:eastAsia="zh-CN"/>
          <w14:textFill>
            <w14:solidFill>
              <w14:schemeClr w14:val="tx1"/>
            </w14:solidFill>
          </w14:textFill>
        </w:rPr>
        <w:t>一</w:t>
      </w:r>
      <w:r>
        <w:rPr>
          <w:rFonts w:hint="eastAsia" w:ascii="Times New Roman" w:hAnsi="Times New Roman" w:cs="Times New Roman"/>
          <w:color w:val="000000" w:themeColor="text1"/>
          <w:highlight w:val="none"/>
          <w14:textFill>
            <w14:solidFill>
              <w14:schemeClr w14:val="tx1"/>
            </w14:solidFill>
          </w14:textFill>
        </w:rPr>
        <w:t>节 环境影响分析</w:t>
      </w:r>
      <w:bookmarkEnd w:id="332"/>
    </w:p>
    <w:p>
      <w:pPr>
        <w:spacing w:line="360" w:lineRule="auto"/>
        <w:ind w:firstLine="562" w:firstLineChars="200"/>
        <w:rPr>
          <w:rStyle w:val="19"/>
          <w:rFonts w:hint="eastAsia" w:cs="Times New Roman"/>
          <w:color w:val="000000" w:themeColor="text1"/>
          <w:kern w:val="0"/>
          <w:szCs w:val="22"/>
          <w:highlight w:val="none"/>
          <w14:textFill>
            <w14:solidFill>
              <w14:schemeClr w14:val="tx1"/>
            </w14:solidFill>
          </w14:textFill>
        </w:rPr>
      </w:pPr>
      <w:bookmarkStart w:id="333" w:name="_Toc28197"/>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lang w:val="en-US" w:eastAsia="zh-CN"/>
          <w14:textFill>
            <w14:solidFill>
              <w14:schemeClr w14:val="tx1"/>
            </w14:solidFill>
          </w14:textFill>
        </w:rPr>
        <w:t>一</w:t>
      </w:r>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电动汽车替代的减排效益</w:t>
      </w:r>
    </w:p>
    <w:bookmarkEnd w:id="333"/>
    <w:p>
      <w:pPr>
        <w:spacing w:line="360" w:lineRule="auto"/>
        <w:ind w:firstLine="480" w:firstLineChars="200"/>
        <w:rPr>
          <w:rFonts w:hint="eastAsia" w:ascii="宋体" w:hAnsi="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随着电动汽车规模的持续扩大及配套充电基础设施的不断完善，将有效降低二氧化碳以及一氧化碳、氮氧化物、碳氢化合物、硫化物等有害气体的排放，对改善空气质量、推动城市绿色转型、优化人居环境具有积极意义。以传统燃油车为例，不同类型车辆的能耗与排放情况如下：公交车年均行驶里程约6万公里，平均油耗约为30升/百公里；出租车年均行驶里程约10万公里，平均油耗为8升/百公里；市政车年均行驶里程约4万公里，平均油耗为10升/百公里；货运车年均行驶里程约4万公里，平均油耗为15升/百公里；其他车辆年均行驶里程约1.5万公里，平均油耗为10升/百公里。按照每升燃油产生约2.4千克二氧化碳的排放系数估算，预计到20</w:t>
      </w:r>
      <w:r>
        <w:rPr>
          <w:rFonts w:hint="eastAsia" w:ascii="宋体" w:hAnsi="宋体" w:cs="宋体"/>
          <w:bCs/>
          <w:color w:val="000000" w:themeColor="text1"/>
          <w:sz w:val="24"/>
          <w:highlight w:val="none"/>
          <w:lang w:val="en-US" w:eastAsia="zh-CN"/>
          <w14:textFill>
            <w14:solidFill>
              <w14:schemeClr w14:val="tx1"/>
            </w14:solidFill>
          </w14:textFill>
        </w:rPr>
        <w:t>30</w:t>
      </w:r>
      <w:r>
        <w:rPr>
          <w:rFonts w:hint="eastAsia" w:ascii="宋体" w:hAnsi="宋体" w:cs="宋体"/>
          <w:bCs/>
          <w:color w:val="000000" w:themeColor="text1"/>
          <w:sz w:val="24"/>
          <w:highlight w:val="none"/>
          <w14:textFill>
            <w14:solidFill>
              <w14:schemeClr w14:val="tx1"/>
            </w14:solidFill>
          </w14:textFill>
        </w:rPr>
        <w:t>年，发展电动汽车可节约燃油31340万升，减少二氧化碳排放约75.22万吨。</w:t>
      </w:r>
    </w:p>
    <w:p>
      <w:pPr>
        <w:spacing w:line="360" w:lineRule="auto"/>
        <w:ind w:firstLine="562" w:firstLineChars="200"/>
        <w:rPr>
          <w:rStyle w:val="19"/>
          <w:rFonts w:hint="eastAsia" w:cs="Times New Roman"/>
          <w:color w:val="000000" w:themeColor="text1"/>
          <w:kern w:val="0"/>
          <w:szCs w:val="22"/>
          <w:highlight w:val="none"/>
          <w14:textFill>
            <w14:solidFill>
              <w14:schemeClr w14:val="tx1"/>
            </w14:solidFill>
          </w14:textFill>
        </w:rPr>
      </w:pPr>
      <w:bookmarkStart w:id="334" w:name="_Toc2232"/>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二</w:t>
      </w:r>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施工期间的污染排放</w:t>
      </w:r>
    </w:p>
    <w:bookmarkEnd w:id="334"/>
    <w:p>
      <w:pPr>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在充电基础设施建设过程中，施工活动将不可避免地产生扬尘、废水、噪声和固体废弃物等污染物，并对局部土壤和植被造成一定扰动。此类影响通常为短期和局部性的，在施工结束后可逐步缓解或消除。具体来看，扬尘主要来源于施工机械与运输车辆行驶、建筑材料的装卸与运输，以及土方开挖和堆存过程；废水以施工车辆冲洗废水为主；噪声主要来自各类机械设备及运输车辆的作业；固体废弃物则包括建筑垃圾、开挖土石方以及施工人员产生的生活垃圾。</w:t>
      </w:r>
    </w:p>
    <w:p>
      <w:pPr>
        <w:spacing w:line="360" w:lineRule="auto"/>
        <w:ind w:firstLine="562" w:firstLineChars="200"/>
        <w:rPr>
          <w:rStyle w:val="19"/>
          <w:rFonts w:hint="eastAsia" w:eastAsia="楷体_GB2312" w:cs="Times New Roman"/>
          <w:color w:val="000000" w:themeColor="text1"/>
          <w:kern w:val="0"/>
          <w:szCs w:val="22"/>
          <w:highlight w:val="none"/>
          <w:lang w:eastAsia="zh-CN"/>
          <w14:textFill>
            <w14:solidFill>
              <w14:schemeClr w14:val="tx1"/>
            </w14:solidFill>
          </w14:textFill>
        </w:rPr>
      </w:pPr>
      <w:bookmarkStart w:id="335" w:name="_Toc31079"/>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三</w:t>
      </w:r>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运营期间的</w:t>
      </w:r>
      <w:r>
        <w:rPr>
          <w:rStyle w:val="19"/>
          <w:rFonts w:hint="eastAsia" w:eastAsia="楷体_GB2312" w:cs="Times New Roman"/>
          <w:color w:val="000000" w:themeColor="text1"/>
          <w:kern w:val="0"/>
          <w:szCs w:val="22"/>
          <w:highlight w:val="none"/>
          <w:lang w:val="en-US" w:eastAsia="zh-CN"/>
          <w14:textFill>
            <w14:solidFill>
              <w14:schemeClr w14:val="tx1"/>
            </w14:solidFill>
          </w14:textFill>
        </w:rPr>
        <w:t>环境影响</w:t>
      </w:r>
    </w:p>
    <w:bookmarkEnd w:id="335"/>
    <w:p>
      <w:pPr>
        <w:spacing w:line="360" w:lineRule="auto"/>
        <w:ind w:firstLine="480" w:firstLineChars="200"/>
        <w:rPr>
          <w:rFonts w:hint="eastAsia" w:ascii="宋体" w:hAnsi="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lang w:eastAsia="zh-CN"/>
          <w14:textFill>
            <w14:solidFill>
              <w14:schemeClr w14:val="tx1"/>
            </w14:solidFill>
          </w14:textFill>
        </w:rPr>
        <w:t>充电基础设施在运营过程中基本不产生废气、废水或废渣等污染物，主要环境影响集中于电气设备运行噪声以及设备检修或场站运营产生的固体废物。电气设备噪声水平较低，对周边声环境影响较小；固体废弃物主要为检修垃圾和运营期生活垃圾，其防治措施较为简便，对环境造成的影响有限。</w:t>
      </w:r>
    </w:p>
    <w:p>
      <w:pPr>
        <w:pStyle w:val="21"/>
        <w:rPr>
          <w:rFonts w:hint="eastAsia" w:ascii="Times New Roman" w:hAnsi="Times New Roman" w:cs="Times New Roman"/>
          <w:color w:val="000000" w:themeColor="text1"/>
          <w:highlight w:val="none"/>
          <w14:textFill>
            <w14:solidFill>
              <w14:schemeClr w14:val="tx1"/>
            </w14:solidFill>
          </w14:textFill>
        </w:rPr>
      </w:pPr>
      <w:bookmarkStart w:id="336" w:name="_Toc6229"/>
      <w:r>
        <w:rPr>
          <w:rFonts w:hint="eastAsia" w:ascii="Times New Roman" w:hAnsi="Times New Roman" w:cs="Times New Roman"/>
          <w:color w:val="000000" w:themeColor="text1"/>
          <w:highlight w:val="none"/>
          <w14:textFill>
            <w14:solidFill>
              <w14:schemeClr w14:val="tx1"/>
            </w14:solidFill>
          </w14:textFill>
        </w:rPr>
        <w:t>第二节 环境保护措施</w:t>
      </w:r>
      <w:bookmarkEnd w:id="336"/>
    </w:p>
    <w:p>
      <w:pPr>
        <w:spacing w:line="360" w:lineRule="auto"/>
        <w:ind w:firstLine="562" w:firstLineChars="200"/>
        <w:rPr>
          <w:rStyle w:val="19"/>
          <w:rFonts w:hint="eastAsia" w:cs="Times New Roman"/>
          <w:color w:val="000000" w:themeColor="text1"/>
          <w:kern w:val="0"/>
          <w:szCs w:val="22"/>
          <w:highlight w:val="none"/>
          <w14:textFill>
            <w14:solidFill>
              <w14:schemeClr w14:val="tx1"/>
            </w14:solidFill>
          </w14:textFill>
        </w:rPr>
      </w:pPr>
      <w:bookmarkStart w:id="337" w:name="_Toc4618"/>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一</w:t>
      </w:r>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施工期污染防控措施</w:t>
      </w:r>
    </w:p>
    <w:bookmarkEnd w:id="337"/>
    <w:p>
      <w:pPr>
        <w:spacing w:line="360" w:lineRule="auto"/>
        <w:ind w:firstLine="480" w:firstLineChars="200"/>
        <w:rPr>
          <w:rFonts w:hint="eastAsia" w:ascii="宋体" w:hAnsi="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lang w:eastAsia="zh-CN"/>
          <w14:textFill>
            <w14:solidFill>
              <w14:schemeClr w14:val="tx1"/>
            </w14:solidFill>
          </w14:textFill>
        </w:rPr>
        <w:t>施工期间需落实有效的环境污染控制措施。针对扬尘，应设置围挡、采取洒水、喷雾等湿法作业，对堆场及运输车辆进行覆盖，并加强喷淋冲洗与定时清扫。施工废水须经沉淀池处理后回用，严禁直接外排。噪声控制方面，应选用低噪声设备和工艺，设置隔声屏障，并合理安排施工时间，避免在夜间进行高噪声作业。固体废弃物应分类处置，建筑垃圾优先用于回填，其余规范外运；生活垃圾纳入当地环卫体系统一处理。</w:t>
      </w:r>
    </w:p>
    <w:p>
      <w:pPr>
        <w:spacing w:line="360" w:lineRule="auto"/>
        <w:ind w:firstLine="562" w:firstLineChars="200"/>
        <w:rPr>
          <w:rStyle w:val="19"/>
          <w:rFonts w:hint="eastAsia" w:cs="Times New Roman"/>
          <w:color w:val="000000" w:themeColor="text1"/>
          <w:kern w:val="0"/>
          <w:szCs w:val="22"/>
          <w:highlight w:val="none"/>
          <w14:textFill>
            <w14:solidFill>
              <w14:schemeClr w14:val="tx1"/>
            </w14:solidFill>
          </w14:textFill>
        </w:rPr>
      </w:pPr>
      <w:bookmarkStart w:id="338" w:name="_Toc25890"/>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二</w:t>
      </w:r>
      <w:r>
        <w:rPr>
          <w:rStyle w:val="19"/>
          <w:rFonts w:hint="eastAsia" w:cs="Times New Roman"/>
          <w:color w:val="000000" w:themeColor="text1"/>
          <w:kern w:val="0"/>
          <w:szCs w:val="22"/>
          <w:highlight w:val="none"/>
          <w:lang w:eastAsia="zh-CN"/>
          <w14:textFill>
            <w14:solidFill>
              <w14:schemeClr w14:val="tx1"/>
            </w14:solidFill>
          </w14:textFill>
        </w:rPr>
        <w:t>）</w:t>
      </w:r>
      <w:r>
        <w:rPr>
          <w:rStyle w:val="19"/>
          <w:rFonts w:hint="eastAsia" w:cs="Times New Roman"/>
          <w:color w:val="000000" w:themeColor="text1"/>
          <w:kern w:val="0"/>
          <w:szCs w:val="22"/>
          <w:highlight w:val="none"/>
          <w14:textFill>
            <w14:solidFill>
              <w14:schemeClr w14:val="tx1"/>
            </w14:solidFill>
          </w14:textFill>
        </w:rPr>
        <w:t>运营期环保控制要求</w:t>
      </w:r>
    </w:p>
    <w:bookmarkEnd w:id="338"/>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运营期间应重点防控噪声与固体废物对环境的影响。需采取吸声、隔振等技术手段降低充电设备运行噪声，确保符合《声环境质量标准》（GB</w:t>
      </w:r>
      <w:r>
        <w:rPr>
          <w:rFonts w:hint="eastAsia" w:ascii="宋体" w:hAnsi="宋体"/>
          <w:color w:val="000000" w:themeColor="text1"/>
          <w:sz w:val="24"/>
          <w:szCs w:val="22"/>
          <w:highlight w:val="none"/>
          <w:lang w:val="en-US" w:eastAsia="zh-CN"/>
          <w14:textFill>
            <w14:solidFill>
              <w14:schemeClr w14:val="tx1"/>
            </w14:solidFill>
          </w14:textFill>
        </w:rPr>
        <w:t xml:space="preserve"> </w:t>
      </w:r>
      <w:r>
        <w:rPr>
          <w:rFonts w:hint="eastAsia" w:ascii="宋体" w:hAnsi="宋体"/>
          <w:color w:val="000000" w:themeColor="text1"/>
          <w:sz w:val="24"/>
          <w:szCs w:val="22"/>
          <w:highlight w:val="none"/>
          <w14:textFill>
            <w14:solidFill>
              <w14:schemeClr w14:val="tx1"/>
            </w14:solidFill>
          </w14:textFill>
        </w:rPr>
        <w:t>3096-2008）相关要求。检修产生的固体废弃物应分类存放，并由环卫部门定期清运和回收。此外，项目建设应严格执行《电动汽车充电站设计规范》，积极选用节能环保建材与设备，推广自然采光与通风设计，采用节能型变压器，从源头上贯彻环保理念。</w:t>
      </w: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p>
    <w:p>
      <w:pPr>
        <w:spacing w:line="360" w:lineRule="auto"/>
        <w:jc w:val="left"/>
        <w:rPr>
          <w:rFonts w:hint="eastAsia" w:ascii="宋体" w:hAnsi="宋体"/>
          <w:color w:val="000000" w:themeColor="text1"/>
          <w:sz w:val="24"/>
          <w:szCs w:val="22"/>
          <w:highlight w:val="none"/>
          <w14:textFill>
            <w14:solidFill>
              <w14:schemeClr w14:val="tx1"/>
            </w14:solidFill>
          </w14:textFill>
        </w:rPr>
      </w:pPr>
    </w:p>
    <w:p>
      <w:pPr>
        <w:pStyle w:val="17"/>
        <w:rPr>
          <w:rFonts w:hint="default" w:eastAsia="黑体"/>
          <w:color w:val="000000" w:themeColor="text1"/>
          <w:highlight w:val="none"/>
          <w:lang w:val="en-US" w:eastAsia="zh-CN"/>
          <w14:textFill>
            <w14:solidFill>
              <w14:schemeClr w14:val="tx1"/>
            </w14:solidFill>
          </w14:textFill>
        </w:rPr>
      </w:pPr>
      <w:bookmarkStart w:id="339" w:name="_Toc8224"/>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十</w:t>
      </w:r>
      <w:r>
        <w:rPr>
          <w:rFonts w:hint="eastAsia"/>
          <w:color w:val="000000" w:themeColor="text1"/>
          <w:highlight w:val="none"/>
          <w14:textFill>
            <w14:solidFill>
              <w14:schemeClr w14:val="tx1"/>
            </w14:solidFill>
          </w14:textFill>
        </w:rPr>
        <w:t>章 保障措施</w:t>
      </w:r>
      <w:bookmarkEnd w:id="331"/>
      <w:bookmarkEnd w:id="339"/>
    </w:p>
    <w:bookmarkEnd w:id="317"/>
    <w:bookmarkEnd w:id="318"/>
    <w:bookmarkEnd w:id="319"/>
    <w:p>
      <w:pPr>
        <w:pStyle w:val="21"/>
        <w:rPr>
          <w:rFonts w:hint="eastAsia" w:ascii="Times New Roman" w:hAnsi="Times New Roman" w:cs="Times New Roman"/>
          <w:color w:val="000000" w:themeColor="text1"/>
          <w:highlight w:val="none"/>
          <w14:textFill>
            <w14:solidFill>
              <w14:schemeClr w14:val="tx1"/>
            </w14:solidFill>
          </w14:textFill>
        </w:rPr>
      </w:pPr>
      <w:bookmarkStart w:id="340" w:name="_Toc4452"/>
      <w:bookmarkStart w:id="341" w:name="_Toc6468"/>
      <w:bookmarkStart w:id="342" w:name="_Toc13111"/>
      <w:bookmarkStart w:id="343" w:name="_Toc13188"/>
      <w:bookmarkStart w:id="344" w:name="_Toc23874"/>
      <w:bookmarkStart w:id="345" w:name="_Toc17127"/>
      <w:bookmarkStart w:id="346" w:name="_Toc21385"/>
      <w:bookmarkStart w:id="347" w:name="_Toc15089"/>
      <w:r>
        <w:rPr>
          <w:rFonts w:hint="eastAsia" w:ascii="Times New Roman" w:hAnsi="Times New Roman" w:cs="Times New Roman"/>
          <w:color w:val="000000" w:themeColor="text1"/>
          <w:highlight w:val="none"/>
          <w14:textFill>
            <w14:solidFill>
              <w14:schemeClr w14:val="tx1"/>
            </w14:solidFill>
          </w14:textFill>
        </w:rPr>
        <w:t>第</w:t>
      </w:r>
      <w:r>
        <w:rPr>
          <w:rFonts w:hint="eastAsia" w:ascii="Times New Roman" w:hAnsi="Times New Roman" w:cs="Times New Roman"/>
          <w:color w:val="000000" w:themeColor="text1"/>
          <w:highlight w:val="none"/>
          <w:lang w:val="en-US" w:eastAsia="zh-CN"/>
          <w14:textFill>
            <w14:solidFill>
              <w14:schemeClr w14:val="tx1"/>
            </w14:solidFill>
          </w14:textFill>
        </w:rPr>
        <w:t>一</w:t>
      </w:r>
      <w:r>
        <w:rPr>
          <w:rFonts w:hint="eastAsia" w:ascii="Times New Roman" w:hAnsi="Times New Roman" w:cs="Times New Roman"/>
          <w:color w:val="000000" w:themeColor="text1"/>
          <w:highlight w:val="none"/>
          <w14:textFill>
            <w14:solidFill>
              <w14:schemeClr w14:val="tx1"/>
            </w14:solidFill>
          </w14:textFill>
        </w:rPr>
        <w:t>节 强化</w:t>
      </w:r>
      <w:r>
        <w:rPr>
          <w:rFonts w:hint="eastAsia" w:ascii="Times New Roman" w:hAnsi="Times New Roman" w:cs="Times New Roman"/>
          <w:color w:val="000000" w:themeColor="text1"/>
          <w:highlight w:val="none"/>
          <w:lang w:val="en-US" w:eastAsia="zh-CN"/>
          <w14:textFill>
            <w14:solidFill>
              <w14:schemeClr w14:val="tx1"/>
            </w14:solidFill>
          </w14:textFill>
        </w:rPr>
        <w:t>规划引领</w:t>
      </w:r>
      <w:bookmarkEnd w:id="340"/>
      <w:bookmarkEnd w:id="341"/>
      <w:bookmarkEnd w:id="342"/>
      <w:bookmarkEnd w:id="343"/>
      <w:bookmarkEnd w:id="344"/>
    </w:p>
    <w:p>
      <w:pPr>
        <w:spacing w:line="360" w:lineRule="auto"/>
        <w:ind w:firstLine="480" w:firstLineChars="200"/>
        <w:rPr>
          <w:rFonts w:hint="eastAsia"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强化规划引领作用，本规划严格遵循国土空间总体规划，并与交通规划、城市基础设施规划等相关专项规划协同，同时与国民经济和社会发展规划、电动汽车发展规划、配电网建设改造规划有效衔接。</w:t>
      </w:r>
      <w:r>
        <w:rPr>
          <w:rFonts w:hint="eastAsia" w:ascii="宋体" w:hAnsi="宋体"/>
          <w:color w:val="000000" w:themeColor="text1"/>
          <w:sz w:val="24"/>
          <w:szCs w:val="22"/>
          <w:highlight w:val="none"/>
          <w:lang w:val="en-US" w:eastAsia="zh-CN"/>
          <w14:textFill>
            <w14:solidFill>
              <w14:schemeClr w14:val="tx1"/>
            </w14:solidFill>
          </w14:textFill>
        </w:rPr>
        <w:t>本规划以</w:t>
      </w:r>
      <w:r>
        <w:rPr>
          <w:rFonts w:hint="eastAsia" w:ascii="宋体" w:hAnsi="宋体"/>
          <w:color w:val="000000" w:themeColor="text1"/>
          <w:sz w:val="24"/>
          <w:szCs w:val="22"/>
          <w:highlight w:val="none"/>
          <w:lang w:eastAsia="zh-CN"/>
          <w14:textFill>
            <w14:solidFill>
              <w14:schemeClr w14:val="tx1"/>
            </w14:solidFill>
          </w14:textFill>
        </w:rPr>
        <w:t>国土空间规划</w:t>
      </w:r>
      <w:r>
        <w:rPr>
          <w:rFonts w:hint="eastAsia" w:ascii="宋体" w:hAnsi="宋体"/>
          <w:color w:val="000000" w:themeColor="text1"/>
          <w:sz w:val="24"/>
          <w:szCs w:val="22"/>
          <w:highlight w:val="none"/>
          <w:lang w:val="en-US" w:eastAsia="zh-CN"/>
          <w14:textFill>
            <w14:solidFill>
              <w14:schemeClr w14:val="tx1"/>
            </w14:solidFill>
          </w14:textFill>
        </w:rPr>
        <w:t>为基础对</w:t>
      </w:r>
      <w:r>
        <w:rPr>
          <w:rFonts w:hint="eastAsia" w:ascii="宋体" w:hAnsi="宋体"/>
          <w:color w:val="000000" w:themeColor="text1"/>
          <w:sz w:val="24"/>
          <w:szCs w:val="22"/>
          <w:highlight w:val="none"/>
          <w14:textFill>
            <w14:solidFill>
              <w14:schemeClr w14:val="tx1"/>
            </w14:solidFill>
          </w14:textFill>
        </w:rPr>
        <w:t>充电设施</w:t>
      </w:r>
      <w:r>
        <w:rPr>
          <w:rFonts w:hint="eastAsia" w:ascii="宋体" w:hAnsi="宋体"/>
          <w:color w:val="000000" w:themeColor="text1"/>
          <w:sz w:val="24"/>
          <w:szCs w:val="22"/>
          <w:highlight w:val="none"/>
          <w:lang w:val="en-US" w:eastAsia="zh-CN"/>
          <w14:textFill>
            <w14:solidFill>
              <w14:schemeClr w14:val="tx1"/>
            </w14:solidFill>
          </w14:textFill>
        </w:rPr>
        <w:t>选址进行统筹布局</w:t>
      </w:r>
      <w:r>
        <w:rPr>
          <w:rFonts w:hint="eastAsia" w:ascii="宋体" w:hAnsi="宋体"/>
          <w:color w:val="000000" w:themeColor="text1"/>
          <w:sz w:val="24"/>
          <w:szCs w:val="22"/>
          <w:highlight w:val="none"/>
          <w14:textFill>
            <w14:solidFill>
              <w14:schemeClr w14:val="tx1"/>
            </w14:solidFill>
          </w14:textFill>
        </w:rPr>
        <w:t>，</w:t>
      </w:r>
      <w:r>
        <w:rPr>
          <w:rFonts w:hint="eastAsia" w:ascii="宋体" w:hAnsi="宋体"/>
          <w:color w:val="000000" w:themeColor="text1"/>
          <w:sz w:val="24"/>
          <w:szCs w:val="22"/>
          <w:highlight w:val="none"/>
          <w:lang w:val="en-US" w:eastAsia="zh-CN"/>
          <w14:textFill>
            <w14:solidFill>
              <w14:schemeClr w14:val="tx1"/>
            </w14:solidFill>
          </w14:textFill>
        </w:rPr>
        <w:t>在</w:t>
      </w:r>
      <w:r>
        <w:rPr>
          <w:rFonts w:hint="eastAsia" w:ascii="宋体" w:hAnsi="宋体"/>
          <w:color w:val="000000" w:themeColor="text1"/>
          <w:sz w:val="24"/>
          <w:szCs w:val="22"/>
          <w:highlight w:val="none"/>
          <w14:textFill>
            <w14:solidFill>
              <w14:schemeClr w14:val="tx1"/>
            </w14:solidFill>
          </w14:textFill>
        </w:rPr>
        <w:t>详细规划中</w:t>
      </w:r>
      <w:r>
        <w:rPr>
          <w:rFonts w:hint="eastAsia" w:ascii="宋体" w:hAnsi="宋体"/>
          <w:color w:val="000000" w:themeColor="text1"/>
          <w:sz w:val="24"/>
          <w:szCs w:val="22"/>
          <w:highlight w:val="none"/>
          <w:lang w:val="en-US" w:eastAsia="zh-CN"/>
          <w14:textFill>
            <w14:solidFill>
              <w14:schemeClr w14:val="tx1"/>
            </w14:solidFill>
          </w14:textFill>
        </w:rPr>
        <w:t>将衔接好本</w:t>
      </w:r>
      <w:r>
        <w:rPr>
          <w:rFonts w:hint="eastAsia" w:ascii="宋体" w:hAnsi="宋体"/>
          <w:color w:val="000000" w:themeColor="text1"/>
          <w:sz w:val="24"/>
          <w:szCs w:val="22"/>
          <w:highlight w:val="none"/>
          <w14:textFill>
            <w14:solidFill>
              <w14:schemeClr w14:val="tx1"/>
            </w14:solidFill>
          </w14:textFill>
        </w:rPr>
        <w:t>规划确定的建设要求。各县（市、区）要结合国省文件及市级规划要求，编制本行政区专项规划或者建设方案，构建以市级规划为统领，各县（市、区）规划为补充的规划体系。</w:t>
      </w:r>
    </w:p>
    <w:p>
      <w:pPr>
        <w:pStyle w:val="21"/>
        <w:rPr>
          <w:rFonts w:hint="eastAsia" w:ascii="Times New Roman" w:hAnsi="Times New Roman" w:cs="Times New Roman"/>
          <w:color w:val="000000" w:themeColor="text1"/>
          <w:highlight w:val="none"/>
          <w14:textFill>
            <w14:solidFill>
              <w14:schemeClr w14:val="tx1"/>
            </w14:solidFill>
          </w14:textFill>
        </w:rPr>
      </w:pPr>
      <w:bookmarkStart w:id="348" w:name="_Toc14372"/>
      <w:bookmarkStart w:id="349" w:name="_Toc18610"/>
      <w:r>
        <w:rPr>
          <w:rFonts w:hint="eastAsia" w:ascii="Times New Roman" w:hAnsi="Times New Roman" w:cs="Times New Roman"/>
          <w:color w:val="000000" w:themeColor="text1"/>
          <w:highlight w:val="none"/>
          <w14:textFill>
            <w14:solidFill>
              <w14:schemeClr w14:val="tx1"/>
            </w14:solidFill>
          </w14:textFill>
        </w:rPr>
        <w:t>第</w:t>
      </w:r>
      <w:r>
        <w:rPr>
          <w:rFonts w:hint="eastAsia" w:ascii="Times New Roman" w:hAnsi="Times New Roman" w:cs="Times New Roman"/>
          <w:color w:val="000000" w:themeColor="text1"/>
          <w:highlight w:val="none"/>
          <w:lang w:val="en-US" w:eastAsia="zh-CN"/>
          <w14:textFill>
            <w14:solidFill>
              <w14:schemeClr w14:val="tx1"/>
            </w14:solidFill>
          </w14:textFill>
        </w:rPr>
        <w:t>二</w:t>
      </w:r>
      <w:r>
        <w:rPr>
          <w:rFonts w:hint="eastAsia" w:ascii="Times New Roman" w:hAnsi="Times New Roman" w:cs="Times New Roman"/>
          <w:color w:val="000000" w:themeColor="text1"/>
          <w:highlight w:val="none"/>
          <w14:textFill>
            <w14:solidFill>
              <w14:schemeClr w14:val="tx1"/>
            </w14:solidFill>
          </w14:textFill>
        </w:rPr>
        <w:t>节 加强组织领导</w:t>
      </w:r>
      <w:bookmarkEnd w:id="345"/>
      <w:bookmarkEnd w:id="346"/>
      <w:bookmarkEnd w:id="347"/>
      <w:bookmarkEnd w:id="348"/>
      <w:bookmarkEnd w:id="349"/>
    </w:p>
    <w:p>
      <w:pPr>
        <w:spacing w:line="360" w:lineRule="auto"/>
        <w:ind w:firstLine="480" w:firstLineChars="200"/>
        <w:rPr>
          <w:rFonts w:hint="eastAsia" w:ascii="宋体" w:hAnsi="宋体"/>
          <w:color w:val="000000" w:themeColor="text1"/>
          <w:sz w:val="24"/>
          <w:szCs w:val="22"/>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建立联席会议制度，统筹推进充电基础设施建设。联席会议成员单位由市发展改革委、市经济信息化局、市公安局、市财政局、市自然资源</w:t>
      </w:r>
      <w:r>
        <w:rPr>
          <w:rFonts w:hint="eastAsia" w:ascii="宋体" w:hAnsi="宋体" w:cs="宋体"/>
          <w:bCs/>
          <w:color w:val="000000" w:themeColor="text1"/>
          <w:sz w:val="24"/>
          <w:highlight w:val="none"/>
          <w:lang w:val="en-US" w:eastAsia="zh-CN"/>
          <w14:textFill>
            <w14:solidFill>
              <w14:schemeClr w14:val="tx1"/>
            </w14:solidFill>
          </w14:textFill>
        </w:rPr>
        <w:t>规划</w:t>
      </w:r>
      <w:r>
        <w:rPr>
          <w:rFonts w:hint="eastAsia" w:ascii="宋体" w:hAnsi="宋体" w:cs="宋体"/>
          <w:bCs/>
          <w:color w:val="000000" w:themeColor="text1"/>
          <w:sz w:val="24"/>
          <w:highlight w:val="none"/>
          <w14:textFill>
            <w14:solidFill>
              <w14:schemeClr w14:val="tx1"/>
            </w14:solidFill>
          </w14:textFill>
        </w:rPr>
        <w:t>局、市住房城乡建设局、市交通运输局、</w:t>
      </w:r>
      <w:r>
        <w:rPr>
          <w:rFonts w:hint="eastAsia" w:ascii="宋体" w:hAnsi="宋体" w:cs="宋体"/>
          <w:bCs/>
          <w:color w:val="000000" w:themeColor="text1"/>
          <w:sz w:val="24"/>
          <w:highlight w:val="none"/>
          <w:lang w:val="en-US" w:eastAsia="zh-CN"/>
          <w14:textFill>
            <w14:solidFill>
              <w14:schemeClr w14:val="tx1"/>
            </w14:solidFill>
          </w14:textFill>
        </w:rPr>
        <w:t>市商务局、市文化广电旅游局、</w:t>
      </w:r>
      <w:r>
        <w:rPr>
          <w:rFonts w:hint="eastAsia" w:ascii="宋体" w:hAnsi="宋体" w:cs="宋体"/>
          <w:bCs/>
          <w:color w:val="000000" w:themeColor="text1"/>
          <w:sz w:val="24"/>
          <w:highlight w:val="none"/>
          <w14:textFill>
            <w14:solidFill>
              <w14:schemeClr w14:val="tx1"/>
            </w14:solidFill>
          </w14:textFill>
        </w:rPr>
        <w:t>市应急局、市国资委、市市场监管局、市机关事务局</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市城管局、</w:t>
      </w:r>
      <w:r>
        <w:rPr>
          <w:rFonts w:hint="eastAsia" w:ascii="宋体" w:hAnsi="宋体" w:cs="宋体"/>
          <w:bCs/>
          <w:color w:val="000000" w:themeColor="text1"/>
          <w:sz w:val="24"/>
          <w:highlight w:val="none"/>
          <w:lang w:val="en-US" w:eastAsia="zh-CN"/>
          <w14:textFill>
            <w14:solidFill>
              <w14:schemeClr w14:val="tx1"/>
            </w14:solidFill>
          </w14:textFill>
        </w:rPr>
        <w:t>市消防救援支队</w:t>
      </w:r>
      <w:r>
        <w:rPr>
          <w:rFonts w:hint="eastAsia" w:ascii="宋体" w:hAnsi="宋体" w:cs="宋体"/>
          <w:bCs/>
          <w:color w:val="000000" w:themeColor="text1"/>
          <w:sz w:val="24"/>
          <w:highlight w:val="none"/>
          <w14:textFill>
            <w14:solidFill>
              <w14:schemeClr w14:val="tx1"/>
            </w14:solidFill>
          </w14:textFill>
        </w:rPr>
        <w:t>等有关部门组成。</w:t>
      </w:r>
      <w:r>
        <w:rPr>
          <w:rFonts w:hint="eastAsia" w:ascii="宋体" w:hAnsi="宋体"/>
          <w:color w:val="000000" w:themeColor="text1"/>
          <w:sz w:val="24"/>
          <w:szCs w:val="22"/>
          <w:highlight w:val="none"/>
          <w14:textFill>
            <w14:solidFill>
              <w14:schemeClr w14:val="tx1"/>
            </w14:solidFill>
          </w14:textFill>
        </w:rPr>
        <w:t>市发展改革委统筹推进</w:t>
      </w:r>
      <w:r>
        <w:rPr>
          <w:rFonts w:hint="eastAsia" w:ascii="宋体" w:hAnsi="宋体"/>
          <w:color w:val="000000" w:themeColor="text1"/>
          <w:sz w:val="24"/>
          <w:szCs w:val="22"/>
          <w:highlight w:val="none"/>
          <w:lang w:val="en-US" w:eastAsia="zh-CN"/>
          <w14:textFill>
            <w14:solidFill>
              <w14:schemeClr w14:val="tx1"/>
            </w14:solidFill>
          </w14:textFill>
        </w:rPr>
        <w:t>本</w:t>
      </w:r>
      <w:r>
        <w:rPr>
          <w:rFonts w:hint="eastAsia" w:ascii="宋体" w:hAnsi="宋体"/>
          <w:color w:val="000000" w:themeColor="text1"/>
          <w:sz w:val="24"/>
          <w:szCs w:val="22"/>
          <w:highlight w:val="none"/>
          <w14:textFill>
            <w14:solidFill>
              <w14:schemeClr w14:val="tx1"/>
            </w14:solidFill>
          </w14:textFill>
        </w:rPr>
        <w:t>规划的相关工作，市级有关部门（单位）加强协调配合，细化工作部署，各县（市、区）人民政府加强组织领导，完善工作推进机制，推动</w:t>
      </w:r>
      <w:r>
        <w:rPr>
          <w:rFonts w:hint="eastAsia" w:ascii="宋体" w:hAnsi="宋体"/>
          <w:color w:val="000000" w:themeColor="text1"/>
          <w:sz w:val="24"/>
          <w:szCs w:val="22"/>
          <w:highlight w:val="none"/>
          <w:lang w:val="en-US" w:eastAsia="zh-CN"/>
          <w14:textFill>
            <w14:solidFill>
              <w14:schemeClr w14:val="tx1"/>
            </w14:solidFill>
          </w14:textFill>
        </w:rPr>
        <w:t>本</w:t>
      </w:r>
      <w:r>
        <w:rPr>
          <w:rFonts w:hint="eastAsia" w:ascii="宋体" w:hAnsi="宋体"/>
          <w:color w:val="000000" w:themeColor="text1"/>
          <w:sz w:val="24"/>
          <w:szCs w:val="22"/>
          <w:highlight w:val="none"/>
          <w14:textFill>
            <w14:solidFill>
              <w14:schemeClr w14:val="tx1"/>
            </w14:solidFill>
          </w14:textFill>
        </w:rPr>
        <w:t>规划</w:t>
      </w:r>
      <w:r>
        <w:rPr>
          <w:rFonts w:hint="eastAsia" w:ascii="宋体" w:hAnsi="宋体"/>
          <w:color w:val="000000" w:themeColor="text1"/>
          <w:sz w:val="24"/>
          <w:szCs w:val="22"/>
          <w:highlight w:val="none"/>
          <w:lang w:val="en-US" w:eastAsia="zh-CN"/>
          <w14:textFill>
            <w14:solidFill>
              <w14:schemeClr w14:val="tx1"/>
            </w14:solidFill>
          </w14:textFill>
        </w:rPr>
        <w:t>的</w:t>
      </w:r>
      <w:r>
        <w:rPr>
          <w:rFonts w:hint="eastAsia" w:ascii="宋体" w:hAnsi="宋体"/>
          <w:color w:val="000000" w:themeColor="text1"/>
          <w:sz w:val="24"/>
          <w:szCs w:val="22"/>
          <w:highlight w:val="none"/>
          <w14:textFill>
            <w14:solidFill>
              <w14:schemeClr w14:val="tx1"/>
            </w14:solidFill>
          </w14:textFill>
        </w:rPr>
        <w:t>各项工作落地落实，重大问题及时报告。</w:t>
      </w:r>
    </w:p>
    <w:p>
      <w:pPr>
        <w:pStyle w:val="21"/>
        <w:rPr>
          <w:rFonts w:hint="eastAsia" w:ascii="Times New Roman" w:hAnsi="Times New Roman" w:cs="Times New Roman"/>
          <w:color w:val="000000" w:themeColor="text1"/>
          <w:highlight w:val="none"/>
          <w14:textFill>
            <w14:solidFill>
              <w14:schemeClr w14:val="tx1"/>
            </w14:solidFill>
          </w14:textFill>
        </w:rPr>
      </w:pPr>
      <w:bookmarkStart w:id="350" w:name="_Toc15867"/>
      <w:bookmarkStart w:id="351" w:name="_Toc4405"/>
      <w:bookmarkStart w:id="352" w:name="_Toc29841"/>
      <w:bookmarkStart w:id="353" w:name="_Toc1480"/>
      <w:bookmarkStart w:id="354" w:name="_Toc12160"/>
      <w:r>
        <w:rPr>
          <w:rFonts w:hint="eastAsia" w:ascii="Times New Roman" w:hAnsi="Times New Roman" w:cs="Times New Roman"/>
          <w:color w:val="000000" w:themeColor="text1"/>
          <w:highlight w:val="none"/>
          <w14:textFill>
            <w14:solidFill>
              <w14:schemeClr w14:val="tx1"/>
            </w14:solidFill>
          </w14:textFill>
        </w:rPr>
        <w:t>第</w:t>
      </w:r>
      <w:r>
        <w:rPr>
          <w:rFonts w:hint="eastAsia" w:ascii="Times New Roman" w:hAnsi="Times New Roman" w:cs="Times New Roman"/>
          <w:color w:val="000000" w:themeColor="text1"/>
          <w:highlight w:val="none"/>
          <w:lang w:val="en-US" w:eastAsia="zh-CN"/>
          <w14:textFill>
            <w14:solidFill>
              <w14:schemeClr w14:val="tx1"/>
            </w14:solidFill>
          </w14:textFill>
        </w:rPr>
        <w:t>三</w:t>
      </w:r>
      <w:r>
        <w:rPr>
          <w:rFonts w:hint="eastAsia" w:ascii="Times New Roman" w:hAnsi="Times New Roman" w:cs="Times New Roman"/>
          <w:color w:val="000000" w:themeColor="text1"/>
          <w:highlight w:val="none"/>
          <w14:textFill>
            <w14:solidFill>
              <w14:schemeClr w14:val="tx1"/>
            </w14:solidFill>
          </w14:textFill>
        </w:rPr>
        <w:t>节 细化责任分工</w:t>
      </w:r>
      <w:bookmarkEnd w:id="350"/>
      <w:bookmarkEnd w:id="351"/>
      <w:bookmarkEnd w:id="352"/>
      <w:bookmarkEnd w:id="353"/>
      <w:bookmarkEnd w:id="354"/>
    </w:p>
    <w:p>
      <w:pPr>
        <w:spacing w:line="360" w:lineRule="auto"/>
        <w:ind w:firstLine="480" w:firstLineChars="200"/>
        <w:jc w:val="left"/>
        <w:rPr>
          <w:rFonts w:hint="eastAsia"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按照国、省有关文件精神，结合各部门职能职责，细化明确各部门职责。</w:t>
      </w:r>
      <w:r>
        <w:rPr>
          <w:rFonts w:hint="eastAsia" w:ascii="宋体" w:hAnsi="宋体"/>
          <w:color w:val="000000" w:themeColor="text1"/>
          <w:sz w:val="24"/>
          <w:szCs w:val="22"/>
          <w:highlight w:val="none"/>
          <w:lang w:val="en-US" w:eastAsia="zh-CN"/>
          <w14:textFill>
            <w14:solidFill>
              <w14:schemeClr w14:val="tx1"/>
            </w14:solidFill>
          </w14:textFill>
        </w:rPr>
        <w:t>依据</w:t>
      </w:r>
      <w:r>
        <w:rPr>
          <w:rFonts w:hint="default" w:ascii="宋体" w:hAnsi="宋体"/>
          <w:color w:val="000000" w:themeColor="text1"/>
          <w:sz w:val="24"/>
          <w:szCs w:val="22"/>
          <w:highlight w:val="none"/>
          <w:lang w:val="en-US" w:eastAsia="zh-CN"/>
          <w14:textFill>
            <w14:solidFill>
              <w14:schemeClr w14:val="tx1"/>
            </w14:solidFill>
          </w14:textFill>
        </w:rPr>
        <w:t>《乐山市电动汽车充（换）电基础设施推进工作方案》（乐政办函〔2023〕19号）</w:t>
      </w:r>
      <w:r>
        <w:rPr>
          <w:rFonts w:hint="eastAsia" w:ascii="宋体" w:hAnsi="宋体"/>
          <w:color w:val="000000" w:themeColor="text1"/>
          <w:sz w:val="24"/>
          <w:szCs w:val="22"/>
          <w:highlight w:val="none"/>
          <w:lang w:val="en-US" w:eastAsia="zh-CN"/>
          <w14:textFill>
            <w14:solidFill>
              <w14:schemeClr w14:val="tx1"/>
            </w14:solidFill>
          </w14:textFill>
        </w:rPr>
        <w:t>落实责任分工，</w:t>
      </w:r>
      <w:r>
        <w:rPr>
          <w:rFonts w:hint="eastAsia" w:ascii="宋体" w:hAnsi="宋体"/>
          <w:color w:val="000000" w:themeColor="text1"/>
          <w:sz w:val="24"/>
          <w:szCs w:val="22"/>
          <w:highlight w:val="none"/>
          <w14:textFill>
            <w14:solidFill>
              <w14:schemeClr w14:val="tx1"/>
            </w14:solidFill>
          </w14:textFill>
        </w:rPr>
        <w:t>同时，市级相关部门要加强对</w:t>
      </w:r>
      <w:r>
        <w:rPr>
          <w:rFonts w:hint="eastAsia" w:ascii="宋体" w:hAnsi="宋体" w:cs="宋体"/>
          <w:bCs/>
          <w:color w:val="000000" w:themeColor="text1"/>
          <w:sz w:val="24"/>
          <w:highlight w:val="none"/>
          <w14:textFill>
            <w14:solidFill>
              <w14:schemeClr w14:val="tx1"/>
            </w14:solidFill>
          </w14:textFill>
        </w:rPr>
        <w:t>县（市、区）</w:t>
      </w:r>
      <w:r>
        <w:rPr>
          <w:rFonts w:hint="eastAsia" w:ascii="宋体" w:hAnsi="宋体"/>
          <w:color w:val="000000" w:themeColor="text1"/>
          <w:sz w:val="24"/>
          <w:szCs w:val="22"/>
          <w:highlight w:val="none"/>
          <w14:textFill>
            <w14:solidFill>
              <w14:schemeClr w14:val="tx1"/>
            </w14:solidFill>
          </w14:textFill>
        </w:rPr>
        <w:t>的工作指导。</w:t>
      </w:r>
    </w:p>
    <w:p>
      <w:pPr>
        <w:pStyle w:val="21"/>
        <w:rPr>
          <w:rFonts w:hint="eastAsia" w:ascii="Times New Roman" w:hAnsi="Times New Roman" w:cs="Times New Roman"/>
          <w:color w:val="000000" w:themeColor="text1"/>
          <w:highlight w:val="none"/>
          <w14:textFill>
            <w14:solidFill>
              <w14:schemeClr w14:val="tx1"/>
            </w14:solidFill>
          </w14:textFill>
        </w:rPr>
      </w:pPr>
      <w:bookmarkStart w:id="355" w:name="_Toc14570"/>
      <w:bookmarkStart w:id="356" w:name="_Toc22680"/>
      <w:r>
        <w:rPr>
          <w:rFonts w:hint="eastAsia" w:ascii="Times New Roman" w:hAnsi="Times New Roman" w:cs="Times New Roman"/>
          <w:color w:val="000000" w:themeColor="text1"/>
          <w:highlight w:val="none"/>
          <w14:textFill>
            <w14:solidFill>
              <w14:schemeClr w14:val="tx1"/>
            </w14:solidFill>
          </w14:textFill>
        </w:rPr>
        <w:t>第</w:t>
      </w:r>
      <w:r>
        <w:rPr>
          <w:rFonts w:hint="eastAsia" w:ascii="Times New Roman" w:hAnsi="Times New Roman" w:cs="Times New Roman"/>
          <w:color w:val="000000" w:themeColor="text1"/>
          <w:highlight w:val="none"/>
          <w:lang w:val="en-US" w:eastAsia="zh-CN"/>
          <w14:textFill>
            <w14:solidFill>
              <w14:schemeClr w14:val="tx1"/>
            </w14:solidFill>
          </w14:textFill>
        </w:rPr>
        <w:t>四</w:t>
      </w:r>
      <w:r>
        <w:rPr>
          <w:rFonts w:hint="eastAsia" w:ascii="Times New Roman" w:hAnsi="Times New Roman" w:cs="Times New Roman"/>
          <w:color w:val="000000" w:themeColor="text1"/>
          <w:highlight w:val="none"/>
          <w14:textFill>
            <w14:solidFill>
              <w14:schemeClr w14:val="tx1"/>
            </w14:solidFill>
          </w14:textFill>
        </w:rPr>
        <w:t>节 强化政策支持</w:t>
      </w:r>
      <w:bookmarkEnd w:id="355"/>
      <w:bookmarkEnd w:id="356"/>
    </w:p>
    <w:p>
      <w:pPr>
        <w:spacing w:line="360" w:lineRule="auto"/>
        <w:ind w:firstLine="480" w:firstLineChars="200"/>
        <w:jc w:val="left"/>
        <w:rPr>
          <w:rFonts w:hint="eastAsia" w:ascii="宋体" w:hAnsi="宋体"/>
          <w:color w:val="000000" w:themeColor="text1"/>
          <w:sz w:val="24"/>
          <w:szCs w:val="22"/>
          <w:highlight w:val="none"/>
          <w:lang w:eastAsia="zh-CN"/>
          <w14:textFill>
            <w14:solidFill>
              <w14:schemeClr w14:val="tx1"/>
            </w14:solidFill>
          </w14:textFill>
        </w:rPr>
      </w:pPr>
      <w:r>
        <w:rPr>
          <w:rFonts w:hint="eastAsia" w:ascii="宋体" w:hAnsi="宋体"/>
          <w:color w:val="000000" w:themeColor="text1"/>
          <w:sz w:val="24"/>
          <w:szCs w:val="22"/>
          <w:highlight w:val="none"/>
          <w:lang w:eastAsia="zh-CN"/>
          <w14:textFill>
            <w14:solidFill>
              <w14:schemeClr w14:val="tx1"/>
            </w14:solidFill>
          </w14:textFill>
        </w:rPr>
        <w:t>加大政策支持力度，认真贯彻落实国、省有关文件精神，充分发挥市场主导作用，</w:t>
      </w:r>
      <w:r>
        <w:rPr>
          <w:rFonts w:hint="eastAsia" w:ascii="宋体" w:hAnsi="宋体"/>
          <w:color w:val="000000" w:themeColor="text1"/>
          <w:sz w:val="24"/>
          <w:szCs w:val="22"/>
          <w:highlight w:val="none"/>
          <w:lang w:val="en-US" w:eastAsia="zh-CN"/>
          <w14:textFill>
            <w14:solidFill>
              <w14:schemeClr w14:val="tx1"/>
            </w14:solidFill>
          </w14:textFill>
        </w:rPr>
        <w:t>积极争取和落实上级财政补贴政策</w:t>
      </w:r>
      <w:r>
        <w:rPr>
          <w:rFonts w:hint="eastAsia" w:ascii="宋体" w:hAnsi="宋体"/>
          <w:color w:val="000000" w:themeColor="text1"/>
          <w:sz w:val="24"/>
          <w:szCs w:val="22"/>
          <w:highlight w:val="none"/>
          <w:lang w:eastAsia="zh-CN"/>
          <w14:textFill>
            <w14:solidFill>
              <w14:schemeClr w14:val="tx1"/>
            </w14:solidFill>
          </w14:textFill>
        </w:rPr>
        <w:t>，加大用地支持力度，简化规划建设审批手续，完善价格政策，拓宽融资渠道，化解充电设施建设过程中存在的难点，保障电动汽车充电需求，促进电动汽车产业发展，方便群众生活。</w:t>
      </w:r>
    </w:p>
    <w:p>
      <w:pPr>
        <w:spacing w:line="360" w:lineRule="auto"/>
        <w:ind w:firstLine="480" w:firstLineChars="200"/>
        <w:jc w:val="left"/>
        <w:rPr>
          <w:rFonts w:hint="eastAsia" w:ascii="宋体" w:hAnsi="宋体"/>
          <w:color w:val="000000" w:themeColor="text1"/>
          <w:sz w:val="24"/>
          <w:szCs w:val="22"/>
          <w:highlight w:val="none"/>
          <w:lang w:eastAsia="zh-CN"/>
          <w14:textFill>
            <w14:solidFill>
              <w14:schemeClr w14:val="tx1"/>
            </w14:solidFill>
          </w14:textFill>
        </w:rPr>
      </w:pPr>
    </w:p>
    <w:p>
      <w:pPr>
        <w:spacing w:line="360" w:lineRule="auto"/>
        <w:ind w:firstLine="480" w:firstLineChars="200"/>
        <w:jc w:val="left"/>
        <w:rPr>
          <w:rFonts w:hint="eastAsia" w:ascii="宋体" w:hAnsi="宋体"/>
          <w:color w:val="000000" w:themeColor="text1"/>
          <w:sz w:val="24"/>
          <w:szCs w:val="22"/>
          <w:highlight w:val="none"/>
          <w:lang w:eastAsia="zh-CN"/>
          <w14:textFill>
            <w14:solidFill>
              <w14:schemeClr w14:val="tx1"/>
            </w14:solidFill>
          </w14:textFill>
        </w:rPr>
      </w:pPr>
    </w:p>
    <w:p>
      <w:pPr>
        <w:pStyle w:val="17"/>
        <w:rPr>
          <w:rFonts w:hint="default"/>
          <w:color w:val="000000" w:themeColor="text1"/>
          <w:highlight w:val="none"/>
          <w:lang w:val="en-US" w:eastAsia="zh-CN"/>
          <w14:textFill>
            <w14:solidFill>
              <w14:schemeClr w14:val="tx1"/>
            </w14:solidFill>
          </w14:textFill>
        </w:rPr>
      </w:pPr>
      <w:bookmarkStart w:id="357" w:name="_Toc544"/>
      <w:bookmarkStart w:id="358" w:name="_Toc27383"/>
      <w:bookmarkStart w:id="359" w:name="_Toc2003"/>
      <w:bookmarkStart w:id="360" w:name="_Toc5210"/>
      <w:bookmarkStart w:id="361" w:name="_Toc26869"/>
      <w:bookmarkStart w:id="362" w:name="_Toc28381"/>
      <w:r>
        <w:rPr>
          <w:rFonts w:hint="eastAsia"/>
          <w:color w:val="000000" w:themeColor="text1"/>
          <w:highlight w:val="none"/>
          <w:lang w:val="en-US" w:eastAsia="zh-CN"/>
          <w14:textFill>
            <w14:solidFill>
              <w14:schemeClr w14:val="tx1"/>
            </w14:solidFill>
          </w14:textFill>
        </w:rPr>
        <w:t>附件</w:t>
      </w:r>
      <w:bookmarkEnd w:id="357"/>
    </w:p>
    <w:p>
      <w:pPr>
        <w:pStyle w:val="21"/>
        <w:rPr>
          <w:color w:val="000000" w:themeColor="text1"/>
          <w:highlight w:val="none"/>
          <w14:textFill>
            <w14:solidFill>
              <w14:schemeClr w14:val="tx1"/>
            </w14:solidFill>
          </w14:textFill>
        </w:rPr>
      </w:pPr>
      <w:bookmarkStart w:id="363" w:name="_Toc7950"/>
      <w:r>
        <w:rPr>
          <w:rFonts w:hint="eastAsia"/>
          <w:color w:val="000000" w:themeColor="text1"/>
          <w:highlight w:val="none"/>
          <w:lang w:val="en-US" w:eastAsia="zh-CN"/>
          <w14:textFill>
            <w14:solidFill>
              <w14:schemeClr w14:val="tx1"/>
            </w14:solidFill>
          </w14:textFill>
        </w:rPr>
        <w:t>附件</w:t>
      </w:r>
      <w:r>
        <w:rPr>
          <w:rFonts w:hint="eastAsia"/>
          <w:color w:val="000000" w:themeColor="text1"/>
          <w:highlight w:val="none"/>
          <w14:textFill>
            <w14:solidFill>
              <w14:schemeClr w14:val="tx1"/>
            </w14:solidFill>
          </w14:textFill>
        </w:rPr>
        <w:t>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名词解释</w:t>
      </w:r>
      <w:bookmarkEnd w:id="358"/>
      <w:bookmarkEnd w:id="359"/>
      <w:bookmarkEnd w:id="360"/>
      <w:bookmarkEnd w:id="361"/>
      <w:bookmarkEnd w:id="362"/>
      <w:bookmarkEnd w:id="363"/>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bookmarkStart w:id="364" w:name="_Toc17261"/>
      <w:bookmarkStart w:id="365" w:name="_Toc10807"/>
      <w:bookmarkStart w:id="366" w:name="_Toc26586"/>
      <w:bookmarkStart w:id="367" w:name="_Toc26837"/>
      <w:bookmarkStart w:id="368" w:name="_Toc19498"/>
      <w:r>
        <w:rPr>
          <w:rFonts w:hint="eastAsia" w:ascii="宋体" w:hAnsi="宋体"/>
          <w:color w:val="000000" w:themeColor="text1"/>
          <w:sz w:val="24"/>
          <w:szCs w:val="22"/>
          <w:highlight w:val="none"/>
          <w14:textFill>
            <w14:solidFill>
              <w14:schemeClr w14:val="tx1"/>
            </w14:solidFill>
          </w14:textFill>
        </w:rPr>
        <w:t>1、新能源汽车：是指采用非常规的车用燃料作为动力来源（或使用常规的车用燃料、采用新型车载动力装置），综合车辆的动力控制和驱动方面的先进技术，形成的技术原理先进、具有新技术、新结构的汽车。</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2、电动汽车(BEV)：是指以车载电源为动力，用电机驱动车轮行驶，符合道路交通、安全法规各项要求的车辆。电动汽车的种类分为</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"https://baike.baidu.com/item/%E7%BA%AF%E7%94%B5%E5%8A%A8%E6%B1%BD%E8%BD%A6" \t "https://baike.baidu.com/item/%E7%94%B5%E5%8A%A8%E6%B1%BD%E8%BD%A6/_blank" </w:instrText>
      </w:r>
      <w:r>
        <w:rPr>
          <w:color w:val="000000" w:themeColor="text1"/>
          <w:highlight w:val="none"/>
          <w14:textFill>
            <w14:solidFill>
              <w14:schemeClr w14:val="tx1"/>
            </w14:solidFill>
          </w14:textFill>
        </w:rPr>
        <w:fldChar w:fldCharType="separate"/>
      </w:r>
      <w:r>
        <w:rPr>
          <w:rFonts w:ascii="宋体" w:hAnsi="宋体"/>
          <w:color w:val="000000" w:themeColor="text1"/>
          <w:sz w:val="24"/>
          <w:szCs w:val="22"/>
          <w:highlight w:val="none"/>
          <w14:textFill>
            <w14:solidFill>
              <w14:schemeClr w14:val="tx1"/>
            </w14:solidFill>
          </w14:textFill>
        </w:rPr>
        <w:t>纯电动汽车</w:t>
      </w:r>
      <w:r>
        <w:rPr>
          <w:rFonts w:ascii="宋体" w:hAnsi="宋体"/>
          <w:color w:val="000000" w:themeColor="text1"/>
          <w:sz w:val="24"/>
          <w:szCs w:val="22"/>
          <w:highlight w:val="none"/>
          <w14:textFill>
            <w14:solidFill>
              <w14:schemeClr w14:val="tx1"/>
            </w14:solidFill>
          </w14:textFill>
        </w:rPr>
        <w:fldChar w:fldCharType="end"/>
      </w:r>
      <w:r>
        <w:rPr>
          <w:rFonts w:ascii="宋体" w:hAnsi="宋体"/>
          <w:color w:val="000000" w:themeColor="text1"/>
          <w:sz w:val="24"/>
          <w:szCs w:val="22"/>
          <w:highlight w:val="none"/>
          <w14:textFill>
            <w14:solidFill>
              <w14:schemeClr w14:val="tx1"/>
            </w14:solidFill>
          </w14:textFill>
        </w:rPr>
        <w:t>(BEV)、</w:t>
      </w:r>
      <w:r>
        <w:rPr>
          <w:rFonts w:ascii="宋体" w:hAnsi="宋体"/>
          <w:color w:val="000000" w:themeColor="text1"/>
          <w:sz w:val="24"/>
          <w:szCs w:val="22"/>
          <w:highlight w:val="none"/>
          <w:u w:val="none"/>
          <w14:textFill>
            <w14:solidFill>
              <w14:schemeClr w14:val="tx1"/>
            </w14:solidFill>
          </w14:textFill>
        </w:rPr>
        <w:t>混合动力汽车</w:t>
      </w:r>
      <w:r>
        <w:rPr>
          <w:rFonts w:ascii="宋体" w:hAnsi="宋体"/>
          <w:color w:val="000000" w:themeColor="text1"/>
          <w:sz w:val="24"/>
          <w:szCs w:val="22"/>
          <w:highlight w:val="none"/>
          <w14:textFill>
            <w14:solidFill>
              <w14:schemeClr w14:val="tx1"/>
            </w14:solidFill>
          </w14:textFill>
        </w:rPr>
        <w:t>(HEV)、</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"https://baike.baidu.com/item/%E7%87%83%E6%96%99%E7%94%B5%E6%B1%A0%E6%B1%BD%E8%BD%A6" \t "https://baike.baidu.com/item/%E7%94%B5%E5%8A%A8%E6%B1%BD%E8%BD%A6/_blank" </w:instrText>
      </w:r>
      <w:r>
        <w:rPr>
          <w:color w:val="000000" w:themeColor="text1"/>
          <w:highlight w:val="none"/>
          <w14:textFill>
            <w14:solidFill>
              <w14:schemeClr w14:val="tx1"/>
            </w14:solidFill>
          </w14:textFill>
        </w:rPr>
        <w:fldChar w:fldCharType="separate"/>
      </w:r>
      <w:r>
        <w:rPr>
          <w:rFonts w:ascii="宋体" w:hAnsi="宋体"/>
          <w:color w:val="000000" w:themeColor="text1"/>
          <w:sz w:val="24"/>
          <w:szCs w:val="22"/>
          <w:highlight w:val="none"/>
          <w14:textFill>
            <w14:solidFill>
              <w14:schemeClr w14:val="tx1"/>
            </w14:solidFill>
          </w14:textFill>
        </w:rPr>
        <w:t>燃料电池汽车</w:t>
      </w:r>
      <w:r>
        <w:rPr>
          <w:rFonts w:ascii="宋体" w:hAnsi="宋体"/>
          <w:color w:val="000000" w:themeColor="text1"/>
          <w:sz w:val="24"/>
          <w:szCs w:val="22"/>
          <w:highlight w:val="none"/>
          <w14:textFill>
            <w14:solidFill>
              <w14:schemeClr w14:val="tx1"/>
            </w14:solidFill>
          </w14:textFill>
        </w:rPr>
        <w:fldChar w:fldCharType="end"/>
      </w:r>
      <w:r>
        <w:rPr>
          <w:rFonts w:ascii="宋体" w:hAnsi="宋体"/>
          <w:color w:val="000000" w:themeColor="text1"/>
          <w:sz w:val="24"/>
          <w:szCs w:val="22"/>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"https://baike.baidu.com/item/FCEV" \t "https://baike.baidu.com/item/%E7%94%B5%E5%8A%A8%E6%B1%BD%E8%BD%A6/_blank" </w:instrText>
      </w:r>
      <w:r>
        <w:rPr>
          <w:color w:val="000000" w:themeColor="text1"/>
          <w:highlight w:val="none"/>
          <w14:textFill>
            <w14:solidFill>
              <w14:schemeClr w14:val="tx1"/>
            </w14:solidFill>
          </w14:textFill>
        </w:rPr>
        <w:fldChar w:fldCharType="separate"/>
      </w:r>
      <w:r>
        <w:rPr>
          <w:rFonts w:ascii="宋体" w:hAnsi="宋体"/>
          <w:color w:val="000000" w:themeColor="text1"/>
          <w:sz w:val="24"/>
          <w:szCs w:val="22"/>
          <w:highlight w:val="none"/>
          <w14:textFill>
            <w14:solidFill>
              <w14:schemeClr w14:val="tx1"/>
            </w14:solidFill>
          </w14:textFill>
        </w:rPr>
        <w:t>FCEV</w:t>
      </w:r>
      <w:r>
        <w:rPr>
          <w:rFonts w:ascii="宋体" w:hAnsi="宋体"/>
          <w:color w:val="000000" w:themeColor="text1"/>
          <w:sz w:val="24"/>
          <w:szCs w:val="22"/>
          <w:highlight w:val="none"/>
          <w14:textFill>
            <w14:solidFill>
              <w14:schemeClr w14:val="tx1"/>
            </w14:solidFill>
          </w14:textFill>
        </w:rPr>
        <w:fldChar w:fldCharType="end"/>
      </w:r>
      <w:r>
        <w:rPr>
          <w:rFonts w:ascii="宋体" w:hAnsi="宋体"/>
          <w:color w:val="000000" w:themeColor="text1"/>
          <w:sz w:val="24"/>
          <w:szCs w:val="22"/>
          <w:highlight w:val="none"/>
          <w14:textFill>
            <w14:solidFill>
              <w14:schemeClr w14:val="tx1"/>
            </w14:solidFill>
          </w14:textFill>
        </w:rPr>
        <w:t>)。</w:t>
      </w:r>
      <w:r>
        <w:rPr>
          <w:rFonts w:hint="eastAsia" w:ascii="宋体" w:hAnsi="宋体"/>
          <w:color w:val="000000" w:themeColor="text1"/>
          <w:sz w:val="24"/>
          <w:szCs w:val="22"/>
          <w:highlight w:val="none"/>
          <w14:textFill>
            <w14:solidFill>
              <w14:schemeClr w14:val="tx1"/>
            </w14:solidFill>
          </w14:textFill>
        </w:rPr>
        <w:t>本规划的电动汽车指纯电动汽车和混合动力汽车。</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3、充电</w:t>
      </w:r>
      <w:r>
        <w:rPr>
          <w:rFonts w:hint="eastAsia" w:ascii="宋体" w:hAnsi="宋体"/>
          <w:color w:val="000000" w:themeColor="text1"/>
          <w:sz w:val="24"/>
          <w:szCs w:val="22"/>
          <w:highlight w:val="none"/>
          <w:lang w:val="zh-CN"/>
          <w14:textFill>
            <w14:solidFill>
              <w14:schemeClr w14:val="tx1"/>
            </w14:solidFill>
          </w14:textFill>
        </w:rPr>
        <w:t>基础设施</w:t>
      </w:r>
      <w:r>
        <w:rPr>
          <w:rFonts w:hint="eastAsia" w:ascii="宋体" w:hAnsi="宋体"/>
          <w:color w:val="000000" w:themeColor="text1"/>
          <w:sz w:val="24"/>
          <w:szCs w:val="22"/>
          <w:highlight w:val="none"/>
          <w14:textFill>
            <w14:solidFill>
              <w14:schemeClr w14:val="tx1"/>
            </w14:solidFill>
          </w14:textFill>
        </w:rPr>
        <w:t>：是指各类集中式充</w:t>
      </w:r>
      <w:r>
        <w:rPr>
          <w:rFonts w:hint="eastAsia" w:ascii="宋体" w:hAnsi="宋体"/>
          <w:color w:val="000000" w:themeColor="text1"/>
          <w:sz w:val="24"/>
          <w:szCs w:val="22"/>
          <w:highlight w:val="none"/>
          <w:lang w:eastAsia="zh-CN"/>
          <w14:textFill>
            <w14:solidFill>
              <w14:schemeClr w14:val="tx1"/>
            </w14:solidFill>
          </w14:textFill>
        </w:rPr>
        <w:t>（</w:t>
      </w:r>
      <w:r>
        <w:rPr>
          <w:rFonts w:hint="eastAsia" w:ascii="宋体" w:hAnsi="宋体"/>
          <w:color w:val="000000" w:themeColor="text1"/>
          <w:sz w:val="24"/>
          <w:szCs w:val="22"/>
          <w:highlight w:val="none"/>
          <w14:textFill>
            <w14:solidFill>
              <w14:schemeClr w14:val="tx1"/>
            </w14:solidFill>
          </w14:textFill>
        </w:rPr>
        <w:t>换</w:t>
      </w:r>
      <w:r>
        <w:rPr>
          <w:rFonts w:hint="eastAsia" w:ascii="宋体" w:hAnsi="宋体"/>
          <w:color w:val="000000" w:themeColor="text1"/>
          <w:sz w:val="24"/>
          <w:szCs w:val="22"/>
          <w:highlight w:val="none"/>
          <w:lang w:eastAsia="zh-CN"/>
          <w14:textFill>
            <w14:solidFill>
              <w14:schemeClr w14:val="tx1"/>
            </w14:solidFill>
          </w14:textFill>
        </w:rPr>
        <w:t>）</w:t>
      </w:r>
      <w:r>
        <w:rPr>
          <w:rFonts w:hint="eastAsia" w:ascii="宋体" w:hAnsi="宋体"/>
          <w:color w:val="000000" w:themeColor="text1"/>
          <w:sz w:val="24"/>
          <w:szCs w:val="22"/>
          <w:highlight w:val="none"/>
          <w14:textFill>
            <w14:solidFill>
              <w14:schemeClr w14:val="tx1"/>
            </w14:solidFill>
          </w14:textFill>
        </w:rPr>
        <w:t>电站和分散式充电桩。</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4、快速充电桩：是指部分采用交流充电模式，多采用直流充电模式，充电功率较高，一般采用不低于</w:t>
      </w:r>
      <w:r>
        <w:rPr>
          <w:rFonts w:hint="eastAsia" w:ascii="宋体" w:hAnsi="宋体"/>
          <w:color w:val="000000" w:themeColor="text1"/>
          <w:sz w:val="24"/>
          <w:szCs w:val="22"/>
          <w:highlight w:val="none"/>
          <w:lang w:val="en-US" w:eastAsia="zh-CN"/>
          <w14:textFill>
            <w14:solidFill>
              <w14:schemeClr w14:val="tx1"/>
            </w14:solidFill>
          </w14:textFill>
        </w:rPr>
        <w:t>60k</w:t>
      </w:r>
      <w:r>
        <w:rPr>
          <w:rFonts w:hint="eastAsia" w:ascii="宋体" w:hAnsi="宋体"/>
          <w:color w:val="000000" w:themeColor="text1"/>
          <w:sz w:val="24"/>
          <w:szCs w:val="22"/>
          <w:highlight w:val="none"/>
          <w14:textFill>
            <w14:solidFill>
              <w14:schemeClr w14:val="tx1"/>
            </w14:solidFill>
          </w14:textFill>
        </w:rPr>
        <w:t>W的功率为电动汽车提供充电服务。</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5、慢速充电桩：是指一般采用交流充电模式，充电功率较低，一般以7</w:t>
      </w:r>
      <w:r>
        <w:rPr>
          <w:rFonts w:hint="eastAsia" w:ascii="宋体" w:hAnsi="宋体"/>
          <w:color w:val="000000" w:themeColor="text1"/>
          <w:sz w:val="24"/>
          <w:szCs w:val="22"/>
          <w:highlight w:val="none"/>
          <w:lang w:val="en-US" w:eastAsia="zh-CN"/>
          <w14:textFill>
            <w14:solidFill>
              <w14:schemeClr w14:val="tx1"/>
            </w14:solidFill>
          </w14:textFill>
        </w:rPr>
        <w:t>k</w:t>
      </w:r>
      <w:r>
        <w:rPr>
          <w:rFonts w:hint="eastAsia" w:ascii="宋体" w:hAnsi="宋体"/>
          <w:color w:val="000000" w:themeColor="text1"/>
          <w:sz w:val="24"/>
          <w:szCs w:val="22"/>
          <w:highlight w:val="none"/>
          <w14:textFill>
            <w14:solidFill>
              <w14:schemeClr w14:val="tx1"/>
            </w14:solidFill>
          </w14:textFill>
        </w:rPr>
        <w:t>W的功率为电动汽车提供充电服务。</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6、分散式充电桩：是指在某一指定区域分散或集中安装若干个快速或慢速充电桩，具备常规充电功能的场所。根据国省相关文件以及乐山市实际情况，本规划重点抓好专用、公共分散式充电桩规划布局，并将其定义为安装有5个</w:t>
      </w:r>
      <w:r>
        <w:rPr>
          <w:rFonts w:hint="eastAsia" w:ascii="宋体" w:hAnsi="宋体"/>
          <w:color w:val="000000" w:themeColor="text1"/>
          <w:sz w:val="24"/>
          <w:szCs w:val="22"/>
          <w:highlight w:val="none"/>
          <w:lang w:val="en-US" w:eastAsia="zh-CN"/>
          <w14:textFill>
            <w14:solidFill>
              <w14:schemeClr w14:val="tx1"/>
            </w14:solidFill>
          </w14:textFill>
        </w:rPr>
        <w:t>桩（枪）</w:t>
      </w:r>
      <w:r>
        <w:rPr>
          <w:rFonts w:hint="eastAsia" w:ascii="宋体" w:hAnsi="宋体"/>
          <w:color w:val="000000" w:themeColor="text1"/>
          <w:sz w:val="24"/>
          <w:szCs w:val="22"/>
          <w:highlight w:val="none"/>
          <w14:textFill>
            <w14:solidFill>
              <w14:schemeClr w14:val="tx1"/>
            </w14:solidFill>
          </w14:textFill>
        </w:rPr>
        <w:t>及以上，</w:t>
      </w:r>
      <w:r>
        <w:rPr>
          <w:rFonts w:hint="eastAsia" w:ascii="宋体" w:hAnsi="宋体"/>
          <w:color w:val="000000" w:themeColor="text1"/>
          <w:sz w:val="24"/>
          <w:szCs w:val="22"/>
          <w:highlight w:val="none"/>
          <w:lang w:val="en-US" w:eastAsia="zh-CN"/>
          <w14:textFill>
            <w14:solidFill>
              <w14:schemeClr w14:val="tx1"/>
            </w14:solidFill>
          </w14:textFill>
        </w:rPr>
        <w:t>8</w:t>
      </w:r>
      <w:r>
        <w:rPr>
          <w:rFonts w:hint="eastAsia" w:ascii="宋体" w:hAnsi="宋体"/>
          <w:color w:val="000000" w:themeColor="text1"/>
          <w:sz w:val="24"/>
          <w:szCs w:val="22"/>
          <w:highlight w:val="none"/>
          <w14:textFill>
            <w14:solidFill>
              <w14:schemeClr w14:val="tx1"/>
            </w14:solidFill>
          </w14:textFill>
        </w:rPr>
        <w:t>个</w:t>
      </w:r>
      <w:r>
        <w:rPr>
          <w:rFonts w:hint="eastAsia" w:ascii="宋体" w:hAnsi="宋体"/>
          <w:color w:val="000000" w:themeColor="text1"/>
          <w:sz w:val="24"/>
          <w:szCs w:val="22"/>
          <w:highlight w:val="none"/>
          <w:lang w:val="en-US" w:eastAsia="zh-CN"/>
          <w14:textFill>
            <w14:solidFill>
              <w14:schemeClr w14:val="tx1"/>
            </w14:solidFill>
          </w14:textFill>
        </w:rPr>
        <w:t>桩（枪）</w:t>
      </w:r>
      <w:r>
        <w:rPr>
          <w:rFonts w:hint="eastAsia" w:ascii="宋体" w:hAnsi="宋体"/>
          <w:color w:val="000000" w:themeColor="text1"/>
          <w:sz w:val="24"/>
          <w:szCs w:val="22"/>
          <w:highlight w:val="none"/>
          <w14:textFill>
            <w14:solidFill>
              <w14:schemeClr w14:val="tx1"/>
            </w14:solidFill>
          </w14:textFill>
        </w:rPr>
        <w:t>以下充电桩的相关设施，规划中简称分散式点位。</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7、充电站：根据国省相关文件以及乐山市实际情况，本规划所称充电站是指由</w:t>
      </w:r>
      <w:r>
        <w:rPr>
          <w:rFonts w:hint="eastAsia" w:ascii="宋体" w:hAnsi="宋体"/>
          <w:color w:val="000000" w:themeColor="text1"/>
          <w:sz w:val="24"/>
          <w:szCs w:val="22"/>
          <w:highlight w:val="none"/>
          <w:lang w:val="en-US" w:eastAsia="zh-CN"/>
          <w14:textFill>
            <w14:solidFill>
              <w14:schemeClr w14:val="tx1"/>
            </w14:solidFill>
          </w14:textFill>
        </w:rPr>
        <w:t>8</w:t>
      </w:r>
      <w:r>
        <w:rPr>
          <w:rFonts w:hint="eastAsia" w:ascii="宋体" w:hAnsi="宋体"/>
          <w:color w:val="000000" w:themeColor="text1"/>
          <w:sz w:val="24"/>
          <w:szCs w:val="22"/>
          <w:highlight w:val="none"/>
          <w14:textFill>
            <w14:solidFill>
              <w14:schemeClr w14:val="tx1"/>
            </w14:solidFill>
          </w14:textFill>
        </w:rPr>
        <w:t>个</w:t>
      </w:r>
      <w:r>
        <w:rPr>
          <w:rFonts w:hint="eastAsia" w:ascii="宋体" w:hAnsi="宋体"/>
          <w:color w:val="000000" w:themeColor="text1"/>
          <w:sz w:val="24"/>
          <w:szCs w:val="22"/>
          <w:highlight w:val="none"/>
          <w:lang w:val="en-US" w:eastAsia="zh-CN"/>
          <w14:textFill>
            <w14:solidFill>
              <w14:schemeClr w14:val="tx1"/>
            </w14:solidFill>
          </w14:textFill>
        </w:rPr>
        <w:t>桩（枪）</w:t>
      </w:r>
      <w:r>
        <w:rPr>
          <w:rFonts w:hint="eastAsia" w:ascii="宋体" w:hAnsi="宋体"/>
          <w:color w:val="000000" w:themeColor="text1"/>
          <w:sz w:val="24"/>
          <w:szCs w:val="22"/>
          <w:highlight w:val="none"/>
          <w14:textFill>
            <w14:solidFill>
              <w14:schemeClr w14:val="tx1"/>
            </w14:solidFill>
          </w14:textFill>
        </w:rPr>
        <w:t>及以上快速充电桩集中组成，能为电动汽车进行充电，并能够在充电过程中对充电设备进行状态监控的场所。其中大型充电站充电桩数量应达到30个</w:t>
      </w:r>
      <w:r>
        <w:rPr>
          <w:rFonts w:hint="eastAsia" w:ascii="宋体" w:hAnsi="宋体"/>
          <w:color w:val="000000" w:themeColor="text1"/>
          <w:sz w:val="24"/>
          <w:szCs w:val="22"/>
          <w:highlight w:val="none"/>
          <w:lang w:val="en-US" w:eastAsia="zh-CN"/>
          <w14:textFill>
            <w14:solidFill>
              <w14:schemeClr w14:val="tx1"/>
            </w14:solidFill>
          </w14:textFill>
        </w:rPr>
        <w:t>桩（枪）</w:t>
      </w:r>
      <w:r>
        <w:rPr>
          <w:rFonts w:hint="eastAsia" w:ascii="宋体" w:hAnsi="宋体"/>
          <w:color w:val="000000" w:themeColor="text1"/>
          <w:sz w:val="24"/>
          <w:szCs w:val="22"/>
          <w:highlight w:val="none"/>
          <w14:textFill>
            <w14:solidFill>
              <w14:schemeClr w14:val="tx1"/>
            </w14:solidFill>
          </w14:textFill>
        </w:rPr>
        <w:t>，站内应包括：行车道、停车位、充电设备、监控室、供电设施及休息室、卫生间等必要的辅助服务设施。</w:t>
      </w:r>
    </w:p>
    <w:p>
      <w:pPr>
        <w:spacing w:line="360" w:lineRule="auto"/>
        <w:ind w:firstLine="480" w:firstLineChars="200"/>
        <w:rPr>
          <w:rFonts w:ascii="宋体" w:hAnsi="宋体"/>
          <w:color w:val="000000" w:themeColor="text1"/>
          <w:sz w:val="24"/>
          <w:szCs w:val="22"/>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8、充换电站：是指同时可为电动汽车提供整车充电服务和电池更换服务的场所。</w:t>
      </w:r>
    </w:p>
    <w:p>
      <w:pPr>
        <w:pStyle w:val="21"/>
        <w:rPr>
          <w:color w:val="000000" w:themeColor="text1"/>
          <w:highlight w:val="none"/>
          <w14:textFill>
            <w14:solidFill>
              <w14:schemeClr w14:val="tx1"/>
            </w14:solidFill>
          </w14:textFill>
        </w:rPr>
        <w:sectPr>
          <w:footerReference r:id="rId6" w:type="default"/>
          <w:pgSz w:w="11850" w:h="16783"/>
          <w:pgMar w:top="1440" w:right="1474" w:bottom="1440" w:left="1474" w:header="851" w:footer="992" w:gutter="0"/>
          <w:pgNumType w:start="1"/>
          <w:cols w:space="720" w:num="1"/>
          <w:docGrid w:type="lines" w:linePitch="312" w:charSpace="0"/>
        </w:sectPr>
      </w:pPr>
    </w:p>
    <w:p>
      <w:pPr>
        <w:pStyle w:val="21"/>
        <w:rPr>
          <w:color w:val="000000" w:themeColor="text1"/>
          <w:highlight w:val="none"/>
          <w14:textFill>
            <w14:solidFill>
              <w14:schemeClr w14:val="tx1"/>
            </w14:solidFill>
          </w14:textFill>
        </w:rPr>
      </w:pPr>
      <w:bookmarkStart w:id="369" w:name="_Toc15717"/>
      <w:r>
        <w:rPr>
          <w:rFonts w:hint="eastAsia"/>
          <w:color w:val="000000" w:themeColor="text1"/>
          <w:highlight w:val="none"/>
          <w:lang w:val="en-US" w:eastAsia="zh-CN"/>
          <w14:textFill>
            <w14:solidFill>
              <w14:schemeClr w14:val="tx1"/>
            </w14:solidFill>
          </w14:textFill>
        </w:rPr>
        <w:t>附件</w:t>
      </w:r>
      <w:r>
        <w:rPr>
          <w:rFonts w:hint="eastAsia"/>
          <w:color w:val="000000" w:themeColor="text1"/>
          <w:highlight w:val="none"/>
          <w14:textFill>
            <w14:solidFill>
              <w14:schemeClr w14:val="tx1"/>
            </w14:solidFill>
          </w14:textFill>
        </w:rPr>
        <w:t>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附图</w:t>
      </w:r>
      <w:bookmarkEnd w:id="364"/>
      <w:bookmarkEnd w:id="365"/>
      <w:bookmarkEnd w:id="366"/>
      <w:bookmarkEnd w:id="367"/>
      <w:bookmarkEnd w:id="368"/>
      <w:bookmarkEnd w:id="369"/>
    </w:p>
    <w:p>
      <w:pPr>
        <w:pStyle w:val="20"/>
        <w:ind w:firstLine="562"/>
        <w:rPr>
          <w:rFonts w:hint="eastAsia"/>
          <w:color w:val="000000" w:themeColor="text1"/>
          <w:highlight w:val="none"/>
          <w14:textFill>
            <w14:solidFill>
              <w14:schemeClr w14:val="tx1"/>
            </w14:solidFill>
          </w14:textFill>
        </w:rPr>
      </w:pPr>
      <w:bookmarkStart w:id="370" w:name="_Toc32236"/>
      <w:bookmarkStart w:id="371" w:name="_Toc20701"/>
      <w:r>
        <w:rPr>
          <w:rFonts w:hint="eastAsia"/>
          <w:color w:val="000000" w:themeColor="text1"/>
          <w:highlight w:val="none"/>
          <w14:textFill>
            <w14:solidFill>
              <w14:schemeClr w14:val="tx1"/>
            </w14:solidFill>
          </w14:textFill>
        </w:rPr>
        <w:t>图1：中心城区现状公交（客运）专用充电设施分布图</w:t>
      </w:r>
      <w:bookmarkEnd w:id="370"/>
      <w:bookmarkEnd w:id="371"/>
    </w:p>
    <w:p>
      <w:pPr>
        <w:pStyle w:val="20"/>
        <w:ind w:firstLine="562"/>
        <w:rPr>
          <w:color w:val="000000" w:themeColor="text1"/>
          <w:highlight w:val="none"/>
          <w14:textFill>
            <w14:solidFill>
              <w14:schemeClr w14:val="tx1"/>
            </w14:solidFill>
          </w14:textFill>
        </w:rPr>
      </w:pPr>
      <w:bookmarkStart w:id="372" w:name="_Toc14569"/>
      <w:bookmarkStart w:id="373" w:name="_Toc13007"/>
      <w:r>
        <w:rPr>
          <w:rFonts w:hint="eastAsia"/>
          <w:color w:val="000000" w:themeColor="text1"/>
          <w:highlight w:val="none"/>
          <w14:textFill>
            <w14:solidFill>
              <w14:schemeClr w14:val="tx1"/>
            </w14:solidFill>
          </w14:textFill>
        </w:rPr>
        <w:t>图2：中心城区现状主要公共充电设施分布图</w:t>
      </w:r>
      <w:bookmarkEnd w:id="372"/>
      <w:bookmarkEnd w:id="373"/>
    </w:p>
    <w:p>
      <w:pPr>
        <w:pStyle w:val="20"/>
        <w:ind w:firstLine="562"/>
        <w:rPr>
          <w:rFonts w:hint="eastAsia" w:eastAsia="楷体_GB2312"/>
          <w:color w:val="000000" w:themeColor="text1"/>
          <w:highlight w:val="none"/>
          <w:lang w:eastAsia="zh-CN"/>
          <w14:textFill>
            <w14:solidFill>
              <w14:schemeClr w14:val="tx1"/>
            </w14:solidFill>
          </w14:textFill>
        </w:rPr>
      </w:pPr>
      <w:bookmarkStart w:id="374" w:name="_Toc19788"/>
      <w:bookmarkStart w:id="375" w:name="_Toc31489"/>
      <w:bookmarkStart w:id="376" w:name="_Toc25876"/>
      <w:bookmarkStart w:id="377" w:name="_Toc8034"/>
      <w:bookmarkStart w:id="378" w:name="_Toc3436"/>
      <w:bookmarkStart w:id="379" w:name="_Toc25772"/>
      <w:bookmarkStart w:id="380" w:name="_Toc30447"/>
      <w:bookmarkStart w:id="381" w:name="_Toc24147"/>
      <w:r>
        <w:rPr>
          <w:rFonts w:hint="eastAsia"/>
          <w:color w:val="000000" w:themeColor="text1"/>
          <w:highlight w:val="none"/>
          <w14:textFill>
            <w14:solidFill>
              <w14:schemeClr w14:val="tx1"/>
            </w14:solidFill>
          </w14:textFill>
        </w:rPr>
        <w:t>图3：中心城区专用充电设施规划布局图</w:t>
      </w:r>
      <w:bookmarkEnd w:id="374"/>
      <w:bookmarkEnd w:id="375"/>
      <w:bookmarkEnd w:id="376"/>
      <w:bookmarkEnd w:id="377"/>
      <w:bookmarkEnd w:id="378"/>
      <w:bookmarkEnd w:id="379"/>
      <w:bookmarkEnd w:id="380"/>
      <w:bookmarkEnd w:id="381"/>
    </w:p>
    <w:p>
      <w:pPr>
        <w:pStyle w:val="20"/>
        <w:ind w:firstLine="562"/>
        <w:rPr>
          <w:rFonts w:hint="eastAsia"/>
          <w:color w:val="000000" w:themeColor="text1"/>
          <w:highlight w:val="none"/>
          <w14:textFill>
            <w14:solidFill>
              <w14:schemeClr w14:val="tx1"/>
            </w14:solidFill>
          </w14:textFill>
        </w:rPr>
        <w:sectPr>
          <w:headerReference r:id="rId7" w:type="default"/>
          <w:footerReference r:id="rId8" w:type="default"/>
          <w:pgSz w:w="11906" w:h="16838"/>
          <w:pgMar w:top="1440" w:right="1474" w:bottom="1440" w:left="1474" w:header="851" w:footer="992" w:gutter="0"/>
          <w:cols w:space="720" w:num="1"/>
          <w:docGrid w:type="lines" w:linePitch="312" w:charSpace="0"/>
        </w:sectPr>
      </w:pPr>
      <w:bookmarkStart w:id="382" w:name="_Toc5092"/>
      <w:bookmarkStart w:id="383" w:name="_Toc19337"/>
      <w:r>
        <w:rPr>
          <w:rFonts w:hint="eastAsia"/>
          <w:color w:val="000000" w:themeColor="text1"/>
          <w:highlight w:val="none"/>
          <w14:textFill>
            <w14:solidFill>
              <w14:schemeClr w14:val="tx1"/>
            </w14:solidFill>
          </w14:textFill>
        </w:rPr>
        <w:t>图4：中心城区公共充电设施规划布局图</w:t>
      </w:r>
      <w:bookmarkEnd w:id="382"/>
      <w:bookmarkEnd w:id="383"/>
    </w:p>
    <w:p>
      <w:pPr>
        <w:pStyle w:val="20"/>
        <w:ind w:firstLine="562"/>
        <w:rPr>
          <w:rFonts w:hint="eastAsia"/>
          <w:color w:val="000000" w:themeColor="text1"/>
          <w:highlight w:val="none"/>
          <w:lang w:eastAsia="zh-CN"/>
          <w14:textFill>
            <w14:solidFill>
              <w14:schemeClr w14:val="tx1"/>
            </w14:solidFill>
          </w14:textFill>
        </w:rPr>
      </w:pPr>
      <w:r>
        <w:rPr>
          <w:rFonts w:ascii="宋体" w:hAnsi="宋体" w:cs="宋体"/>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-923925</wp:posOffset>
            </wp:positionH>
            <wp:positionV relativeFrom="paragraph">
              <wp:posOffset>-882650</wp:posOffset>
            </wp:positionV>
            <wp:extent cx="10661650" cy="15072360"/>
            <wp:effectExtent l="0" t="0" r="6350" b="15240"/>
            <wp:wrapNone/>
            <wp:docPr id="7" name="图片 2" descr="C:/Users/admin/Desktop/01.jpg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descr="C:/Users/admin/Desktop/01.jpg01"/>
                    <pic:cNvPicPr>
                      <a:picLocks noChangeAspect="true" noChangeArrowheads="true"/>
                    </pic:cNvPicPr>
                  </pic:nvPicPr>
                  <pic:blipFill>
                    <a:blip r:embed="rId17"/>
                    <a:srcRect l="4" r="4"/>
                    <a:stretch>
                      <a:fillRect/>
                    </a:stretch>
                  </pic:blipFill>
                  <pic:spPr>
                    <a:xfrm>
                      <a:off x="0" y="0"/>
                      <a:ext cx="10661650" cy="15072360"/>
                    </a:xfrm>
                    <a:prstGeom prst="rect">
                      <a:avLst/>
                    </a:prstGeom>
                    <a:noFill/>
                    <a:ln w="9525">
                      <a:noFill/>
                      <a:miter lim="800000"/>
                      <a:headEnd/>
                      <a:tailEnd/>
                    </a:ln>
                  </pic:spPr>
                </pic:pic>
              </a:graphicData>
            </a:graphic>
          </wp:anchor>
        </w:drawing>
      </w: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r>
        <w:rPr>
          <w:rFonts w:ascii="宋体" w:hAnsi="宋体" w:cs="宋体"/>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-935355</wp:posOffset>
            </wp:positionH>
            <wp:positionV relativeFrom="paragraph">
              <wp:posOffset>-1303020</wp:posOffset>
            </wp:positionV>
            <wp:extent cx="10661650" cy="15071090"/>
            <wp:effectExtent l="0" t="0" r="6350" b="16510"/>
            <wp:wrapNone/>
            <wp:docPr id="12" name="图片 2" descr="C:/Users/admin/Desktop/02.jpg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 descr="C:/Users/admin/Desktop/02.jpg02"/>
                    <pic:cNvPicPr>
                      <a:picLocks noChangeAspect="true" noChangeArrowheads="true"/>
                    </pic:cNvPicPr>
                  </pic:nvPicPr>
                  <pic:blipFill>
                    <a:blip r:embed="rId18"/>
                    <a:srcRect t="3" b="3"/>
                    <a:stretch>
                      <a:fillRect/>
                    </a:stretch>
                  </pic:blipFill>
                  <pic:spPr>
                    <a:xfrm>
                      <a:off x="0" y="0"/>
                      <a:ext cx="10661650" cy="15071090"/>
                    </a:xfrm>
                    <a:prstGeom prst="rect">
                      <a:avLst/>
                    </a:prstGeom>
                    <a:noFill/>
                    <a:ln w="9525">
                      <a:noFill/>
                      <a:miter lim="800000"/>
                      <a:headEnd/>
                      <a:tailEnd/>
                    </a:ln>
                  </pic:spPr>
                </pic:pic>
              </a:graphicData>
            </a:graphic>
          </wp:anchor>
        </w:drawing>
      </w: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r>
        <w:rPr>
          <w:rFonts w:ascii="宋体" w:hAnsi="宋体" w:cs="宋体"/>
          <w:color w:val="000000" w:themeColor="text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-930275</wp:posOffset>
            </wp:positionH>
            <wp:positionV relativeFrom="paragraph">
              <wp:posOffset>-911860</wp:posOffset>
            </wp:positionV>
            <wp:extent cx="10661650" cy="15071090"/>
            <wp:effectExtent l="0" t="0" r="6350" b="16510"/>
            <wp:wrapNone/>
            <wp:docPr id="14" name="图片 2" descr="C:/Users/admin/Desktop/03.jpg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descr="C:/Users/admin/Desktop/03.jpg03"/>
                    <pic:cNvPicPr>
                      <a:picLocks noChangeAspect="true" noChangeArrowheads="true"/>
                    </pic:cNvPicPr>
                  </pic:nvPicPr>
                  <pic:blipFill>
                    <a:blip r:embed="rId19"/>
                    <a:srcRect t="3" b="3"/>
                    <a:stretch>
                      <a:fillRect/>
                    </a:stretch>
                  </pic:blipFill>
                  <pic:spPr>
                    <a:xfrm>
                      <a:off x="0" y="0"/>
                      <a:ext cx="10661650" cy="15071090"/>
                    </a:xfrm>
                    <a:prstGeom prst="rect">
                      <a:avLst/>
                    </a:prstGeom>
                    <a:noFill/>
                    <a:ln w="9525">
                      <a:noFill/>
                      <a:miter lim="800000"/>
                      <a:headEnd/>
                      <a:tailEnd/>
                    </a:ln>
                  </pic:spPr>
                </pic:pic>
              </a:graphicData>
            </a:graphic>
          </wp:anchor>
        </w:drawing>
      </w: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p>
    <w:p>
      <w:pPr>
        <w:pStyle w:val="20"/>
        <w:ind w:firstLine="562"/>
        <w:rPr>
          <w:rFonts w:hint="eastAsia"/>
          <w:color w:val="000000" w:themeColor="text1"/>
          <w:highlight w:val="none"/>
          <w:lang w:eastAsia="zh-CN"/>
          <w14:textFill>
            <w14:solidFill>
              <w14:schemeClr w14:val="tx1"/>
            </w14:solidFill>
          </w14:textFill>
        </w:rPr>
      </w:pPr>
      <w:r>
        <w:rPr>
          <w:rFonts w:ascii="宋体" w:hAnsi="宋体" w:cs="宋体"/>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-929640</wp:posOffset>
            </wp:positionH>
            <wp:positionV relativeFrom="paragraph">
              <wp:posOffset>-906780</wp:posOffset>
            </wp:positionV>
            <wp:extent cx="10661650" cy="15071090"/>
            <wp:effectExtent l="0" t="0" r="6350" b="16510"/>
            <wp:wrapNone/>
            <wp:docPr id="13" name="图片 2" descr="C:/Users/admin/Desktop/04.jpg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descr="C:/Users/admin/Desktop/04.jpg04"/>
                    <pic:cNvPicPr>
                      <a:picLocks noChangeAspect="true" noChangeArrowheads="true"/>
                    </pic:cNvPicPr>
                  </pic:nvPicPr>
                  <pic:blipFill>
                    <a:blip r:embed="rId20"/>
                    <a:srcRect t="3" b="3"/>
                    <a:stretch>
                      <a:fillRect/>
                    </a:stretch>
                  </pic:blipFill>
                  <pic:spPr>
                    <a:xfrm>
                      <a:off x="0" y="0"/>
                      <a:ext cx="10661650" cy="15071090"/>
                    </a:xfrm>
                    <a:prstGeom prst="rect">
                      <a:avLst/>
                    </a:prstGeom>
                    <a:noFill/>
                    <a:ln w="9525">
                      <a:noFill/>
                      <a:miter lim="800000"/>
                      <a:headEnd/>
                      <a:tailEnd/>
                    </a:ln>
                  </pic:spPr>
                </pic:pic>
              </a:graphicData>
            </a:graphic>
          </wp:anchor>
        </w:drawing>
      </w:r>
    </w:p>
    <w:sectPr>
      <w:pgSz w:w="16838" w:h="23811"/>
      <w:pgMar w:top="1440" w:right="1474" w:bottom="1440"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楷体_GBK">
    <w:panose1 w:val="02000000000000000000"/>
    <w:charset w:val="86"/>
    <w:family w:val="auto"/>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Segoe UI">
    <w:altName w:val="Noto Music"/>
    <w:panose1 w:val="020B0502040204020203"/>
    <w:charset w:val="00"/>
    <w:family w:val="auto"/>
    <w:pitch w:val="default"/>
    <w:sig w:usb0="00000000" w:usb1="00000000" w:usb2="00000009" w:usb3="00000000" w:csb0="200001FF" w:csb1="00000000"/>
  </w:font>
  <w:font w:name="FZHTK--GBK1-0">
    <w:altName w:val="宋体"/>
    <w:panose1 w:val="00000000000000000000"/>
    <w:charset w:val="86"/>
    <w:family w:val="auto"/>
    <w:pitch w:val="default"/>
    <w:sig w:usb0="00000000" w:usb1="00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Music">
    <w:panose1 w:val="020B0502040504020204"/>
    <w:charset w:val="00"/>
    <w:family w:val="auto"/>
    <w:pitch w:val="default"/>
    <w:sig w:usb0="00000003" w:usb1="02006000" w:usb2="01000000" w:usb3="00000000" w:csb0="0000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aoYLIgIAADk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HGqGCyICAAA5BAAADgAAAAAAAAABACAAAAA1AQAAZHJzL2Uyb0RvYy54&#10;bWxQSwUGAAAAAAYABgBZAQAAy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FE3nIwIAADk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F4UTecjAgAAOQQAAA4AAAAAAAAAAQAgAAAANQEAAGRycy9lMm9Eb2Mu&#10;eG1sUEsFBgAAAAAGAAYAWQEAAMo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rPr>
        <w:rFonts w:hint="default" w:eastAsia="宋体"/>
        <w:lang w:val="en-US" w:eastAsia="zh-CN"/>
      </w:rPr>
    </w:pPr>
    <w:r>
      <w:rPr>
        <w:rFonts w:hint="eastAsia"/>
      </w:rPr>
      <w:t>乐山市电动汽车充电基础设施专项规划（202</w:t>
    </w:r>
    <w:r>
      <w:rPr>
        <w:rFonts w:hint="eastAsia"/>
        <w:lang w:val="en-US" w:eastAsia="zh-CN"/>
      </w:rPr>
      <w:t>5</w:t>
    </w:r>
    <w:r>
      <w:rPr>
        <w:rFonts w:hint="eastAsia"/>
      </w:rPr>
      <w:t>—20</w:t>
    </w:r>
    <w:r>
      <w:rPr>
        <w:rFonts w:hint="eastAsia"/>
        <w:lang w:val="en-US" w:eastAsia="zh-CN"/>
      </w:rPr>
      <w:t>30</w:t>
    </w:r>
    <w:r>
      <w:rPr>
        <w:rFonts w:hint="eastAsia"/>
      </w:rPr>
      <w:t>年）</w:t>
    </w:r>
  </w:p>
  <w:p>
    <w:pPr>
      <w:pStyle w:val="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rPr>
        <w:rFonts w:hint="default" w:eastAsia="宋体"/>
        <w:lang w:val="en-US" w:eastAsia="zh-CN"/>
      </w:rPr>
    </w:pPr>
    <w:r>
      <w:rPr>
        <w:rFonts w:hint="eastAsia"/>
      </w:rPr>
      <w:t>乐山市电动汽车充电基础设施专项规划（202</w:t>
    </w:r>
    <w:r>
      <w:rPr>
        <w:rFonts w:hint="eastAsia"/>
        <w:lang w:val="en-US" w:eastAsia="zh-CN"/>
      </w:rPr>
      <w:t>4</w:t>
    </w:r>
    <w:r>
      <w:rPr>
        <w:rFonts w:hint="eastAsia"/>
      </w:rPr>
      <w:t>—20</w:t>
    </w:r>
    <w:r>
      <w:rPr>
        <w:rFonts w:hint="eastAsia"/>
        <w:lang w:val="en-US" w:eastAsia="zh-CN"/>
      </w:rPr>
      <w:t>30</w:t>
    </w:r>
    <w:r>
      <w:rPr>
        <w:rFonts w:hint="eastAsia"/>
      </w:rPr>
      <w:t>年）</w:t>
    </w:r>
  </w:p>
  <w:p>
    <w:pPr>
      <w:pStyle w:val="6"/>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mNWM3ZGI5NWQwNWRhYjUxMzllMTg0NjQ2MWRlYjIifQ=="/>
  </w:docVars>
  <w:rsids>
    <w:rsidRoot w:val="00172A27"/>
    <w:rsid w:val="00072C34"/>
    <w:rsid w:val="001C6753"/>
    <w:rsid w:val="007D0B34"/>
    <w:rsid w:val="00C93821"/>
    <w:rsid w:val="012A0989"/>
    <w:rsid w:val="015754F6"/>
    <w:rsid w:val="029832DC"/>
    <w:rsid w:val="0450221C"/>
    <w:rsid w:val="04D37589"/>
    <w:rsid w:val="04D56E5D"/>
    <w:rsid w:val="05087233"/>
    <w:rsid w:val="05255C16"/>
    <w:rsid w:val="054C48B1"/>
    <w:rsid w:val="062137D7"/>
    <w:rsid w:val="06856661"/>
    <w:rsid w:val="06A06EBC"/>
    <w:rsid w:val="06C929F2"/>
    <w:rsid w:val="06FA704F"/>
    <w:rsid w:val="070E48A8"/>
    <w:rsid w:val="074447D8"/>
    <w:rsid w:val="07666493"/>
    <w:rsid w:val="080C0DE8"/>
    <w:rsid w:val="086215C5"/>
    <w:rsid w:val="093D3223"/>
    <w:rsid w:val="0A61312F"/>
    <w:rsid w:val="0A93596B"/>
    <w:rsid w:val="0AE07925"/>
    <w:rsid w:val="0B154457"/>
    <w:rsid w:val="0B6D4294"/>
    <w:rsid w:val="0B73117E"/>
    <w:rsid w:val="0BA8707A"/>
    <w:rsid w:val="0BDF0FFD"/>
    <w:rsid w:val="0CCF2444"/>
    <w:rsid w:val="0DDF1B94"/>
    <w:rsid w:val="0EEF7D99"/>
    <w:rsid w:val="0FC41FA8"/>
    <w:rsid w:val="0FF2120D"/>
    <w:rsid w:val="114A472F"/>
    <w:rsid w:val="11904838"/>
    <w:rsid w:val="11A723CF"/>
    <w:rsid w:val="11E22BBA"/>
    <w:rsid w:val="12046E2F"/>
    <w:rsid w:val="120A7640"/>
    <w:rsid w:val="1230066B"/>
    <w:rsid w:val="12F0630A"/>
    <w:rsid w:val="13101A48"/>
    <w:rsid w:val="134E49AB"/>
    <w:rsid w:val="15121A08"/>
    <w:rsid w:val="154D4ED9"/>
    <w:rsid w:val="161517B0"/>
    <w:rsid w:val="162A709E"/>
    <w:rsid w:val="16F984B6"/>
    <w:rsid w:val="19B94095"/>
    <w:rsid w:val="19C167A6"/>
    <w:rsid w:val="19CB3FCA"/>
    <w:rsid w:val="19EF04DC"/>
    <w:rsid w:val="1B573143"/>
    <w:rsid w:val="1B7725C5"/>
    <w:rsid w:val="1B793597"/>
    <w:rsid w:val="1B8958CE"/>
    <w:rsid w:val="1C62277B"/>
    <w:rsid w:val="1DB00010"/>
    <w:rsid w:val="1E180777"/>
    <w:rsid w:val="1ECE4BF1"/>
    <w:rsid w:val="1EFB350D"/>
    <w:rsid w:val="1FDC333E"/>
    <w:rsid w:val="200908FA"/>
    <w:rsid w:val="201E74B3"/>
    <w:rsid w:val="20CD52ED"/>
    <w:rsid w:val="20F070A1"/>
    <w:rsid w:val="20F770F8"/>
    <w:rsid w:val="2127683B"/>
    <w:rsid w:val="21D95AA1"/>
    <w:rsid w:val="222334A6"/>
    <w:rsid w:val="232C0139"/>
    <w:rsid w:val="233B6ACF"/>
    <w:rsid w:val="236C6787"/>
    <w:rsid w:val="23B02B18"/>
    <w:rsid w:val="23EC2C06"/>
    <w:rsid w:val="243F3E9B"/>
    <w:rsid w:val="247C6E9E"/>
    <w:rsid w:val="256A5AEC"/>
    <w:rsid w:val="256F255E"/>
    <w:rsid w:val="265DCE6A"/>
    <w:rsid w:val="27127645"/>
    <w:rsid w:val="27653AE2"/>
    <w:rsid w:val="27AD670C"/>
    <w:rsid w:val="281B3DCE"/>
    <w:rsid w:val="2838132E"/>
    <w:rsid w:val="28EF182B"/>
    <w:rsid w:val="2927387C"/>
    <w:rsid w:val="2A4E3DC4"/>
    <w:rsid w:val="2B3631BB"/>
    <w:rsid w:val="2B9767F2"/>
    <w:rsid w:val="2BCE7716"/>
    <w:rsid w:val="2C0E487F"/>
    <w:rsid w:val="2C83526D"/>
    <w:rsid w:val="2CC62436"/>
    <w:rsid w:val="2CFA1C38"/>
    <w:rsid w:val="2D3E7CFB"/>
    <w:rsid w:val="2DD9710F"/>
    <w:rsid w:val="2DF879D3"/>
    <w:rsid w:val="2E1A575D"/>
    <w:rsid w:val="2EFE0BDB"/>
    <w:rsid w:val="2F9C21A2"/>
    <w:rsid w:val="2FDE8E16"/>
    <w:rsid w:val="2FFF886C"/>
    <w:rsid w:val="30B55C11"/>
    <w:rsid w:val="30DB023F"/>
    <w:rsid w:val="318B3481"/>
    <w:rsid w:val="32330EEB"/>
    <w:rsid w:val="327A2C6E"/>
    <w:rsid w:val="334B2AD9"/>
    <w:rsid w:val="33915150"/>
    <w:rsid w:val="33B12022"/>
    <w:rsid w:val="33FB393B"/>
    <w:rsid w:val="342015F4"/>
    <w:rsid w:val="34394463"/>
    <w:rsid w:val="34992B04"/>
    <w:rsid w:val="359E6C74"/>
    <w:rsid w:val="364E6436"/>
    <w:rsid w:val="365657A0"/>
    <w:rsid w:val="36625EF3"/>
    <w:rsid w:val="369938DF"/>
    <w:rsid w:val="36F50E90"/>
    <w:rsid w:val="37715EA1"/>
    <w:rsid w:val="379D0559"/>
    <w:rsid w:val="388365F5"/>
    <w:rsid w:val="38D66725"/>
    <w:rsid w:val="39BC1266"/>
    <w:rsid w:val="39E82BB3"/>
    <w:rsid w:val="3A726921"/>
    <w:rsid w:val="3A741AE3"/>
    <w:rsid w:val="3B471B5C"/>
    <w:rsid w:val="3B966962"/>
    <w:rsid w:val="3C1A08E3"/>
    <w:rsid w:val="3C291EC0"/>
    <w:rsid w:val="3C850B8E"/>
    <w:rsid w:val="3CB8474A"/>
    <w:rsid w:val="3CBE7BFC"/>
    <w:rsid w:val="3D3862A3"/>
    <w:rsid w:val="3D813C1F"/>
    <w:rsid w:val="3DD63594"/>
    <w:rsid w:val="3E927592"/>
    <w:rsid w:val="3ED5F5E8"/>
    <w:rsid w:val="3F0AE1C2"/>
    <w:rsid w:val="3F4A5777"/>
    <w:rsid w:val="3F6F6B0B"/>
    <w:rsid w:val="3F852C53"/>
    <w:rsid w:val="3F8A2B71"/>
    <w:rsid w:val="3FBD8F23"/>
    <w:rsid w:val="3FFF92E1"/>
    <w:rsid w:val="40A610D2"/>
    <w:rsid w:val="412E6307"/>
    <w:rsid w:val="413C5593"/>
    <w:rsid w:val="4173131C"/>
    <w:rsid w:val="41D41C6F"/>
    <w:rsid w:val="41F4333E"/>
    <w:rsid w:val="42D01A89"/>
    <w:rsid w:val="42D068DB"/>
    <w:rsid w:val="42E12492"/>
    <w:rsid w:val="42FF2D1C"/>
    <w:rsid w:val="430D5439"/>
    <w:rsid w:val="433504EC"/>
    <w:rsid w:val="43805B34"/>
    <w:rsid w:val="43C81360"/>
    <w:rsid w:val="43FD26DF"/>
    <w:rsid w:val="44B4685D"/>
    <w:rsid w:val="44F7014F"/>
    <w:rsid w:val="4521341D"/>
    <w:rsid w:val="455410FD"/>
    <w:rsid w:val="45742F0D"/>
    <w:rsid w:val="46445615"/>
    <w:rsid w:val="47625F65"/>
    <w:rsid w:val="47D3B861"/>
    <w:rsid w:val="47F46BB6"/>
    <w:rsid w:val="49755AE6"/>
    <w:rsid w:val="499B339A"/>
    <w:rsid w:val="49EC0B96"/>
    <w:rsid w:val="4A4175A1"/>
    <w:rsid w:val="4A590F64"/>
    <w:rsid w:val="4AB84CE2"/>
    <w:rsid w:val="4AE629A7"/>
    <w:rsid w:val="4B4F0579"/>
    <w:rsid w:val="4BA83F51"/>
    <w:rsid w:val="4C085B08"/>
    <w:rsid w:val="4C283E67"/>
    <w:rsid w:val="4C3B4DC5"/>
    <w:rsid w:val="4C4C29E8"/>
    <w:rsid w:val="4CF42801"/>
    <w:rsid w:val="4CF83E59"/>
    <w:rsid w:val="4D862070"/>
    <w:rsid w:val="4EC7194E"/>
    <w:rsid w:val="4F0E0DC6"/>
    <w:rsid w:val="4F39235E"/>
    <w:rsid w:val="50E1394D"/>
    <w:rsid w:val="517448D5"/>
    <w:rsid w:val="51D07D5D"/>
    <w:rsid w:val="51F06651"/>
    <w:rsid w:val="52FB52AE"/>
    <w:rsid w:val="542A6525"/>
    <w:rsid w:val="542C09BD"/>
    <w:rsid w:val="547C1FA7"/>
    <w:rsid w:val="54967A4B"/>
    <w:rsid w:val="54FE2E33"/>
    <w:rsid w:val="5572737D"/>
    <w:rsid w:val="557430F6"/>
    <w:rsid w:val="55F30CB5"/>
    <w:rsid w:val="5612303A"/>
    <w:rsid w:val="562BA955"/>
    <w:rsid w:val="563725F4"/>
    <w:rsid w:val="564B4D6A"/>
    <w:rsid w:val="56C854A7"/>
    <w:rsid w:val="56DE2A45"/>
    <w:rsid w:val="56E52BE6"/>
    <w:rsid w:val="56EB4B5F"/>
    <w:rsid w:val="5735076A"/>
    <w:rsid w:val="57763155"/>
    <w:rsid w:val="57DE2ADC"/>
    <w:rsid w:val="580C2B08"/>
    <w:rsid w:val="580F7106"/>
    <w:rsid w:val="58675193"/>
    <w:rsid w:val="58BA7ED8"/>
    <w:rsid w:val="591A3FB4"/>
    <w:rsid w:val="596C27B5"/>
    <w:rsid w:val="596D4A2C"/>
    <w:rsid w:val="5A3B24CA"/>
    <w:rsid w:val="5A961360"/>
    <w:rsid w:val="5ABB41BC"/>
    <w:rsid w:val="5ADF8930"/>
    <w:rsid w:val="5AE900E2"/>
    <w:rsid w:val="5BB84803"/>
    <w:rsid w:val="5BBE9F76"/>
    <w:rsid w:val="5BC07095"/>
    <w:rsid w:val="5BD2166E"/>
    <w:rsid w:val="5BFB631F"/>
    <w:rsid w:val="5BFE5E0F"/>
    <w:rsid w:val="5C361105"/>
    <w:rsid w:val="5C98591B"/>
    <w:rsid w:val="5CE4569E"/>
    <w:rsid w:val="5D4D6706"/>
    <w:rsid w:val="5D5A0E23"/>
    <w:rsid w:val="5DB77EC2"/>
    <w:rsid w:val="5DFC6416"/>
    <w:rsid w:val="5E282CCF"/>
    <w:rsid w:val="5E647555"/>
    <w:rsid w:val="5ED1E184"/>
    <w:rsid w:val="5EED1DD2"/>
    <w:rsid w:val="5F443B39"/>
    <w:rsid w:val="5F4A073C"/>
    <w:rsid w:val="5FCE11ED"/>
    <w:rsid w:val="5FFB8E49"/>
    <w:rsid w:val="60457A7A"/>
    <w:rsid w:val="60C45810"/>
    <w:rsid w:val="60C655F8"/>
    <w:rsid w:val="61B9630B"/>
    <w:rsid w:val="624A76B8"/>
    <w:rsid w:val="6287090C"/>
    <w:rsid w:val="63D556A7"/>
    <w:rsid w:val="64CF0348"/>
    <w:rsid w:val="65476E0A"/>
    <w:rsid w:val="65FD3DC7"/>
    <w:rsid w:val="66106E6A"/>
    <w:rsid w:val="665001F7"/>
    <w:rsid w:val="667C005C"/>
    <w:rsid w:val="669116CE"/>
    <w:rsid w:val="671169F6"/>
    <w:rsid w:val="6750788D"/>
    <w:rsid w:val="67872FA5"/>
    <w:rsid w:val="67E14AE7"/>
    <w:rsid w:val="6873723D"/>
    <w:rsid w:val="68A64D72"/>
    <w:rsid w:val="69252C2D"/>
    <w:rsid w:val="6949691B"/>
    <w:rsid w:val="6A9C6F1F"/>
    <w:rsid w:val="6ABC136F"/>
    <w:rsid w:val="6AD71D05"/>
    <w:rsid w:val="6B2A7249"/>
    <w:rsid w:val="6BD20D00"/>
    <w:rsid w:val="6BF6440D"/>
    <w:rsid w:val="6C3221F2"/>
    <w:rsid w:val="6D1C60F5"/>
    <w:rsid w:val="6DE035C6"/>
    <w:rsid w:val="6DF64B98"/>
    <w:rsid w:val="6E1F59E9"/>
    <w:rsid w:val="6ED31611"/>
    <w:rsid w:val="6F993A2D"/>
    <w:rsid w:val="6FCC795E"/>
    <w:rsid w:val="6FEF07F1"/>
    <w:rsid w:val="6FF7D64C"/>
    <w:rsid w:val="7037057C"/>
    <w:rsid w:val="70F058CE"/>
    <w:rsid w:val="7185209D"/>
    <w:rsid w:val="71A36DE5"/>
    <w:rsid w:val="71AA0173"/>
    <w:rsid w:val="729E6D5D"/>
    <w:rsid w:val="72E27499"/>
    <w:rsid w:val="73114FD8"/>
    <w:rsid w:val="73187CC2"/>
    <w:rsid w:val="7376752D"/>
    <w:rsid w:val="73AB01D2"/>
    <w:rsid w:val="73B52601"/>
    <w:rsid w:val="73DF007C"/>
    <w:rsid w:val="73FE2C8C"/>
    <w:rsid w:val="74703B84"/>
    <w:rsid w:val="749251AA"/>
    <w:rsid w:val="74B65081"/>
    <w:rsid w:val="75AD36EC"/>
    <w:rsid w:val="75DB2F43"/>
    <w:rsid w:val="76164029"/>
    <w:rsid w:val="764010A6"/>
    <w:rsid w:val="76FB3C5F"/>
    <w:rsid w:val="76FD4FD1"/>
    <w:rsid w:val="77397041"/>
    <w:rsid w:val="773C7ABF"/>
    <w:rsid w:val="778C537B"/>
    <w:rsid w:val="77CC00BB"/>
    <w:rsid w:val="78397B5B"/>
    <w:rsid w:val="793842B6"/>
    <w:rsid w:val="79934BE1"/>
    <w:rsid w:val="79B71CE4"/>
    <w:rsid w:val="79D98498"/>
    <w:rsid w:val="7A74227D"/>
    <w:rsid w:val="7AE83529"/>
    <w:rsid w:val="7B072192"/>
    <w:rsid w:val="7B2A5E81"/>
    <w:rsid w:val="7BD7F55C"/>
    <w:rsid w:val="7BD87CE3"/>
    <w:rsid w:val="7BEE2A99"/>
    <w:rsid w:val="7BF7B71C"/>
    <w:rsid w:val="7BFF2E69"/>
    <w:rsid w:val="7BFFE2C2"/>
    <w:rsid w:val="7C783964"/>
    <w:rsid w:val="7CBB44D9"/>
    <w:rsid w:val="7D0436DF"/>
    <w:rsid w:val="7D142945"/>
    <w:rsid w:val="7D366D5F"/>
    <w:rsid w:val="7D5A14A3"/>
    <w:rsid w:val="7D8201F6"/>
    <w:rsid w:val="7DE642E1"/>
    <w:rsid w:val="7E98512A"/>
    <w:rsid w:val="7EADABBF"/>
    <w:rsid w:val="7EFF4AFA"/>
    <w:rsid w:val="7F8E40FA"/>
    <w:rsid w:val="7FBBCFA7"/>
    <w:rsid w:val="7FDC561A"/>
    <w:rsid w:val="7FDF988A"/>
    <w:rsid w:val="7FFA1824"/>
    <w:rsid w:val="7FFBBC47"/>
    <w:rsid w:val="7FFF194F"/>
    <w:rsid w:val="8BAF2676"/>
    <w:rsid w:val="8DFD3E23"/>
    <w:rsid w:val="8EEF4AFB"/>
    <w:rsid w:val="8FDF2721"/>
    <w:rsid w:val="8FEB6B20"/>
    <w:rsid w:val="A1241416"/>
    <w:rsid w:val="B5FDA074"/>
    <w:rsid w:val="BD7F5D06"/>
    <w:rsid w:val="BDCDC7CD"/>
    <w:rsid w:val="BFAD3DDA"/>
    <w:rsid w:val="BFFB2138"/>
    <w:rsid w:val="C6FF4F02"/>
    <w:rsid w:val="CD3F5582"/>
    <w:rsid w:val="DFFBB774"/>
    <w:rsid w:val="DFFE1D9C"/>
    <w:rsid w:val="E2F669D6"/>
    <w:rsid w:val="E5ED6B7C"/>
    <w:rsid w:val="E657C751"/>
    <w:rsid w:val="E67F53A7"/>
    <w:rsid w:val="E8EFA879"/>
    <w:rsid w:val="E96D5AB8"/>
    <w:rsid w:val="EB37880E"/>
    <w:rsid w:val="ECF783F7"/>
    <w:rsid w:val="ED7F85B6"/>
    <w:rsid w:val="EEBFAAFB"/>
    <w:rsid w:val="EEDA4EC8"/>
    <w:rsid w:val="EEFA7CA3"/>
    <w:rsid w:val="EEFE3825"/>
    <w:rsid w:val="EF2F2EC9"/>
    <w:rsid w:val="EFF39493"/>
    <w:rsid w:val="F3750B63"/>
    <w:rsid w:val="F70E09E1"/>
    <w:rsid w:val="F79FAA2E"/>
    <w:rsid w:val="F7A7EAE6"/>
    <w:rsid w:val="F7BB4DDB"/>
    <w:rsid w:val="F7BBA254"/>
    <w:rsid w:val="F7DF5C8F"/>
    <w:rsid w:val="F7F32454"/>
    <w:rsid w:val="F7F6486A"/>
    <w:rsid w:val="F7FC7DC4"/>
    <w:rsid w:val="F7FEBBFB"/>
    <w:rsid w:val="FAEFE068"/>
    <w:rsid w:val="FAF642D4"/>
    <w:rsid w:val="FB7E7863"/>
    <w:rsid w:val="FBB71C17"/>
    <w:rsid w:val="FBF39BEE"/>
    <w:rsid w:val="FD8FF984"/>
    <w:rsid w:val="FDFE1CD7"/>
    <w:rsid w:val="FE4724AE"/>
    <w:rsid w:val="FEDDBC57"/>
    <w:rsid w:val="FEE335F7"/>
    <w:rsid w:val="FFA5A568"/>
    <w:rsid w:val="FFAF4245"/>
    <w:rsid w:val="FFBE6F53"/>
    <w:rsid w:val="FFC59208"/>
    <w:rsid w:val="FFF31BA0"/>
    <w:rsid w:val="FFF911A0"/>
    <w:rsid w:val="FFFA8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rFonts w:ascii="Times New Roman" w:hAnsi="Times New Roman"/>
    </w:rPr>
  </w:style>
  <w:style w:type="paragraph" w:styleId="4">
    <w:name w:val="toc 3"/>
    <w:basedOn w:val="1"/>
    <w:next w:val="1"/>
    <w:qFormat/>
    <w:uiPriority w:val="39"/>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paragraph" w:styleId="9">
    <w:name w:val="Normal (Web)"/>
    <w:basedOn w:val="1"/>
    <w:qFormat/>
    <w:uiPriority w:val="0"/>
    <w:pPr>
      <w:spacing w:before="0" w:beforeAutospacing="1" w:after="0" w:afterAutospacing="1" w:line="240" w:lineRule="auto"/>
      <w:ind w:left="0" w:right="0"/>
      <w:jc w:val="left"/>
    </w:pPr>
    <w:rPr>
      <w:kern w:val="0"/>
      <w:sz w:val="24"/>
      <w:lang w:val="en-US" w:eastAsia="zh-CN" w:bidi="ar"/>
    </w:rPr>
  </w:style>
  <w:style w:type="table" w:styleId="11">
    <w:name w:val="Table Grid"/>
    <w:basedOn w:val="1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FollowedHyperlink"/>
    <w:basedOn w:val="12"/>
    <w:qFormat/>
    <w:uiPriority w:val="0"/>
    <w:rPr>
      <w:color w:val="000000"/>
      <w:u w:val="none"/>
    </w:rPr>
  </w:style>
  <w:style w:type="character" w:styleId="15">
    <w:name w:val="Emphasis"/>
    <w:basedOn w:val="12"/>
    <w:qFormat/>
    <w:uiPriority w:val="0"/>
  </w:style>
  <w:style w:type="character" w:styleId="16">
    <w:name w:val="Hyperlink"/>
    <w:basedOn w:val="12"/>
    <w:qFormat/>
    <w:uiPriority w:val="0"/>
    <w:rPr>
      <w:color w:val="000000"/>
      <w:u w:val="none"/>
    </w:rPr>
  </w:style>
  <w:style w:type="paragraph" w:customStyle="1" w:styleId="17">
    <w:name w:val="充电桩01"/>
    <w:basedOn w:val="18"/>
    <w:qFormat/>
    <w:uiPriority w:val="0"/>
    <w:pPr>
      <w:spacing w:line="720" w:lineRule="auto"/>
      <w:jc w:val="center"/>
    </w:pPr>
    <w:rPr>
      <w:b/>
      <w:sz w:val="44"/>
    </w:rPr>
  </w:style>
  <w:style w:type="paragraph" w:customStyle="1" w:styleId="18">
    <w:name w:val="CM45"/>
    <w:basedOn w:val="1"/>
    <w:next w:val="1"/>
    <w:unhideWhenUsed/>
    <w:qFormat/>
    <w:uiPriority w:val="99"/>
    <w:pPr>
      <w:autoSpaceDE w:val="0"/>
      <w:autoSpaceDN w:val="0"/>
      <w:adjustRightInd w:val="0"/>
      <w:jc w:val="left"/>
    </w:pPr>
    <w:rPr>
      <w:rFonts w:ascii="黑体" w:hAnsi="黑体" w:eastAsia="黑体"/>
      <w:color w:val="000000"/>
      <w:kern w:val="0"/>
      <w:sz w:val="24"/>
      <w:szCs w:val="20"/>
    </w:rPr>
  </w:style>
  <w:style w:type="character" w:customStyle="1" w:styleId="19">
    <w:name w:val="充电桩03 Char"/>
    <w:link w:val="20"/>
    <w:qFormat/>
    <w:uiPriority w:val="0"/>
    <w:rPr>
      <w:rFonts w:ascii="楷体_GB2312" w:hAnsi="宋体" w:eastAsia="楷体_GB2312"/>
      <w:b/>
      <w:color w:val="000000"/>
      <w:kern w:val="0"/>
      <w:sz w:val="28"/>
      <w:szCs w:val="20"/>
    </w:rPr>
  </w:style>
  <w:style w:type="paragraph" w:customStyle="1" w:styleId="20">
    <w:name w:val="充电桩03"/>
    <w:basedOn w:val="1"/>
    <w:link w:val="19"/>
    <w:qFormat/>
    <w:uiPriority w:val="0"/>
    <w:pPr>
      <w:spacing w:line="360" w:lineRule="auto"/>
      <w:ind w:firstLine="560" w:firstLineChars="200"/>
    </w:pPr>
    <w:rPr>
      <w:rFonts w:ascii="楷体_GB2312" w:hAnsi="宋体" w:eastAsia="楷体_GB2312"/>
      <w:b/>
      <w:color w:val="000000"/>
      <w:kern w:val="0"/>
      <w:sz w:val="28"/>
      <w:szCs w:val="20"/>
    </w:rPr>
  </w:style>
  <w:style w:type="paragraph" w:customStyle="1" w:styleId="21">
    <w:name w:val="充电桩02"/>
    <w:basedOn w:val="18"/>
    <w:qFormat/>
    <w:uiPriority w:val="0"/>
    <w:pPr>
      <w:spacing w:line="360" w:lineRule="auto"/>
      <w:ind w:firstLine="600" w:firstLineChars="200"/>
    </w:pPr>
    <w:rPr>
      <w:rFonts w:ascii="Times New Roman" w:hAnsi="Times New Roman"/>
      <w:sz w:val="30"/>
    </w:rPr>
  </w:style>
  <w:style w:type="paragraph" w:customStyle="1" w:styleId="22">
    <w:name w:val="正文缩2"/>
    <w:basedOn w:val="1"/>
    <w:qFormat/>
    <w:uiPriority w:val="0"/>
    <w:pPr>
      <w:spacing w:line="360" w:lineRule="auto"/>
      <w:ind w:firstLine="200" w:firstLineChars="200"/>
    </w:pPr>
    <w:rPr>
      <w:rFonts w:ascii="Times New Roman" w:hAnsi="Times New Roman"/>
      <w:sz w:val="24"/>
    </w:rPr>
  </w:style>
  <w:style w:type="paragraph" w:customStyle="1" w:styleId="23">
    <w:name w:val="dc正文"/>
    <w:basedOn w:val="1"/>
    <w:qFormat/>
    <w:uiPriority w:val="0"/>
    <w:pPr>
      <w:spacing w:line="360" w:lineRule="auto"/>
      <w:ind w:firstLine="200" w:firstLineChars="200"/>
    </w:pPr>
    <w:rPr>
      <w:rFonts w:ascii="宋体" w:hAnsi="宋体"/>
      <w:kern w:val="0"/>
      <w:sz w:val="24"/>
      <w:szCs w:val="20"/>
    </w:rPr>
  </w:style>
  <w:style w:type="character" w:customStyle="1" w:styleId="24">
    <w:name w:val="font11"/>
    <w:basedOn w:val="12"/>
    <w:qFormat/>
    <w:uiPriority w:val="0"/>
    <w:rPr>
      <w:rFonts w:hint="default" w:ascii="楷体_GB2312" w:eastAsia="楷体_GB2312" w:cs="楷体_GB2312"/>
      <w:b/>
      <w:bCs/>
      <w:color w:val="000000"/>
      <w:sz w:val="21"/>
      <w:szCs w:val="21"/>
      <w:u w:val="none"/>
    </w:rPr>
  </w:style>
  <w:style w:type="character" w:customStyle="1" w:styleId="25">
    <w:name w:val="font21"/>
    <w:basedOn w:val="12"/>
    <w:qFormat/>
    <w:uiPriority w:val="0"/>
    <w:rPr>
      <w:rFonts w:hint="default" w:ascii="楷体_GB2312" w:eastAsia="楷体_GB2312" w:cs="楷体_GB2312"/>
      <w:color w:val="000000"/>
      <w:sz w:val="21"/>
      <w:szCs w:val="21"/>
      <w:u w:val="none"/>
    </w:rPr>
  </w:style>
  <w:style w:type="character" w:customStyle="1" w:styleId="26">
    <w:name w:val="gk3"/>
    <w:basedOn w:val="12"/>
    <w:qFormat/>
    <w:uiPriority w:val="0"/>
  </w:style>
  <w:style w:type="character" w:customStyle="1" w:styleId="27">
    <w:name w:val="gwds_nopic"/>
    <w:basedOn w:val="12"/>
    <w:qFormat/>
    <w:uiPriority w:val="0"/>
  </w:style>
  <w:style w:type="character" w:customStyle="1" w:styleId="28">
    <w:name w:val="gwds_nopic1"/>
    <w:basedOn w:val="12"/>
    <w:qFormat/>
    <w:uiPriority w:val="0"/>
  </w:style>
  <w:style w:type="character" w:customStyle="1" w:styleId="29">
    <w:name w:val="gwds_nopic2"/>
    <w:basedOn w:val="12"/>
    <w:qFormat/>
    <w:uiPriority w:val="0"/>
  </w:style>
  <w:style w:type="character" w:customStyle="1" w:styleId="30">
    <w:name w:val="gk2"/>
    <w:basedOn w:val="12"/>
    <w:qFormat/>
    <w:uiPriority w:val="0"/>
  </w:style>
  <w:style w:type="character" w:customStyle="1" w:styleId="31">
    <w:name w:val="index_gszrx_zt"/>
    <w:basedOn w:val="12"/>
    <w:qFormat/>
    <w:uiPriority w:val="0"/>
  </w:style>
  <w:style w:type="character" w:customStyle="1" w:styleId="32">
    <w:name w:val="syimg2"/>
    <w:basedOn w:val="12"/>
    <w:qFormat/>
    <w:uiPriority w:val="0"/>
  </w:style>
  <w:style w:type="character" w:customStyle="1" w:styleId="33">
    <w:name w:val="syimg21"/>
    <w:basedOn w:val="12"/>
    <w:qFormat/>
    <w:uiPriority w:val="0"/>
  </w:style>
  <w:style w:type="character" w:customStyle="1" w:styleId="34">
    <w:name w:val="index_gszrx_tj"/>
    <w:basedOn w:val="12"/>
    <w:qFormat/>
    <w:uiPriority w:val="0"/>
  </w:style>
  <w:style w:type="character" w:customStyle="1" w:styleId="35">
    <w:name w:val="index_gszrx_status"/>
    <w:basedOn w:val="12"/>
    <w:qFormat/>
    <w:uiPriority w:val="0"/>
  </w:style>
  <w:style w:type="character" w:customStyle="1" w:styleId="36">
    <w:name w:val="gk1"/>
    <w:basedOn w:val="12"/>
    <w:qFormat/>
    <w:uiPriority w:val="0"/>
  </w:style>
  <w:style w:type="character" w:customStyle="1" w:styleId="37">
    <w:name w:val="gk11"/>
    <w:basedOn w:val="12"/>
    <w:qFormat/>
    <w:uiPriority w:val="0"/>
  </w:style>
  <w:style w:type="character" w:customStyle="1" w:styleId="38">
    <w:name w:val="index_gszrx_rep"/>
    <w:basedOn w:val="12"/>
    <w:qFormat/>
    <w:uiPriority w:val="0"/>
  </w:style>
  <w:style w:type="character" w:customStyle="1" w:styleId="39">
    <w:name w:val="syimg1"/>
    <w:basedOn w:val="12"/>
    <w:qFormat/>
    <w:uiPriority w:val="0"/>
  </w:style>
  <w:style w:type="character" w:customStyle="1" w:styleId="40">
    <w:name w:val="syimg11"/>
    <w:basedOn w:val="12"/>
    <w:qFormat/>
    <w:uiPriority w:val="0"/>
  </w:style>
  <w:style w:type="character" w:customStyle="1" w:styleId="41">
    <w:name w:val="gk21"/>
    <w:basedOn w:val="12"/>
    <w:qFormat/>
    <w:uiPriority w:val="0"/>
  </w:style>
  <w:style w:type="character" w:customStyle="1" w:styleId="42">
    <w:name w:val="gk31"/>
    <w:basedOn w:val="12"/>
    <w:qFormat/>
    <w:uiPriority w:val="0"/>
  </w:style>
  <w:style w:type="character" w:customStyle="1" w:styleId="43">
    <w:name w:val="wgk"/>
    <w:basedOn w:val="12"/>
    <w:qFormat/>
    <w:uiPriority w:val="0"/>
    <w:rPr>
      <w:spacing w:val="225"/>
    </w:rPr>
  </w:style>
  <w:style w:type="character" w:customStyle="1" w:styleId="44">
    <w:name w:val="font71"/>
    <w:basedOn w:val="12"/>
    <w:qFormat/>
    <w:uiPriority w:val="0"/>
    <w:rPr>
      <w:rFonts w:hint="default" w:ascii="仿宋_GB2312" w:eastAsia="仿宋_GB2312" w:cs="仿宋_GB2312"/>
      <w:b/>
      <w:bCs/>
      <w:color w:val="FF0000"/>
      <w:sz w:val="24"/>
      <w:szCs w:val="24"/>
      <w:u w:val="none"/>
    </w:rPr>
  </w:style>
  <w:style w:type="character" w:customStyle="1" w:styleId="45">
    <w:name w:val="font81"/>
    <w:basedOn w:val="12"/>
    <w:qFormat/>
    <w:uiPriority w:val="0"/>
    <w:rPr>
      <w:rFonts w:hint="default" w:ascii="仿宋_GB2312" w:eastAsia="仿宋_GB2312" w:cs="仿宋_GB2312"/>
      <w:b/>
      <w:bCs/>
      <w:color w:val="FF0000"/>
      <w:sz w:val="24"/>
      <w:szCs w:val="24"/>
      <w:u w:val="none"/>
    </w:rPr>
  </w:style>
  <w:style w:type="character" w:customStyle="1" w:styleId="46">
    <w:name w:val="font91"/>
    <w:basedOn w:val="12"/>
    <w:qFormat/>
    <w:uiPriority w:val="0"/>
    <w:rPr>
      <w:rFonts w:hint="default" w:ascii="仿宋_GB2312" w:eastAsia="仿宋_GB2312" w:cs="仿宋_GB2312"/>
      <w:b/>
      <w:bCs/>
      <w:color w:val="FF0000"/>
      <w:sz w:val="24"/>
      <w:szCs w:val="24"/>
      <w:u w:val="none"/>
    </w:rPr>
  </w:style>
  <w:style w:type="character" w:customStyle="1" w:styleId="47">
    <w:name w:val="font41"/>
    <w:basedOn w:val="12"/>
    <w:qFormat/>
    <w:uiPriority w:val="0"/>
    <w:rPr>
      <w:rFonts w:hint="eastAsia" w:ascii="宋体" w:hAnsi="宋体" w:eastAsia="宋体" w:cs="宋体"/>
      <w:b/>
      <w:bCs/>
      <w:color w:val="000000"/>
      <w:sz w:val="24"/>
      <w:szCs w:val="24"/>
      <w:u w:val="none"/>
    </w:rPr>
  </w:style>
  <w:style w:type="character" w:customStyle="1" w:styleId="48">
    <w:name w:val="font61"/>
    <w:basedOn w:val="12"/>
    <w:qFormat/>
    <w:uiPriority w:val="0"/>
    <w:rPr>
      <w:rFonts w:hint="eastAsia" w:ascii="宋体" w:hAnsi="宋体" w:eastAsia="宋体" w:cs="宋体"/>
      <w:b/>
      <w:bCs/>
      <w:color w:val="C00000"/>
      <w:sz w:val="24"/>
      <w:szCs w:val="24"/>
      <w:u w:val="none"/>
    </w:rPr>
  </w:style>
  <w:style w:type="character" w:customStyle="1" w:styleId="49">
    <w:name w:val="font101"/>
    <w:basedOn w:val="12"/>
    <w:qFormat/>
    <w:uiPriority w:val="0"/>
    <w:rPr>
      <w:rFonts w:hint="eastAsia" w:ascii="仿宋_GB2312" w:eastAsia="仿宋_GB2312" w:cs="仿宋_GB2312"/>
      <w:color w:val="000000"/>
      <w:sz w:val="22"/>
      <w:szCs w:val="22"/>
      <w:u w:val="none"/>
    </w:rPr>
  </w:style>
  <w:style w:type="character" w:customStyle="1" w:styleId="50">
    <w:name w:val="font31"/>
    <w:basedOn w:val="12"/>
    <w:qFormat/>
    <w:uiPriority w:val="0"/>
    <w:rPr>
      <w:rFonts w:hint="eastAsia" w:ascii="宋体" w:hAnsi="宋体" w:eastAsia="宋体" w:cs="宋体"/>
      <w:color w:val="000000"/>
      <w:sz w:val="22"/>
      <w:szCs w:val="22"/>
      <w:u w:val="none"/>
    </w:rPr>
  </w:style>
  <w:style w:type="character" w:customStyle="1" w:styleId="51">
    <w:name w:val="font01"/>
    <w:basedOn w:val="12"/>
    <w:qFormat/>
    <w:uiPriority w:val="0"/>
    <w:rPr>
      <w:rFonts w:hint="eastAsia" w:ascii="仿宋_GB2312" w:eastAsia="仿宋_GB2312" w:cs="仿宋_GB2312"/>
      <w:color w:val="000000"/>
      <w:sz w:val="18"/>
      <w:szCs w:val="18"/>
      <w:u w:val="none"/>
    </w:rPr>
  </w:style>
  <w:style w:type="character" w:customStyle="1" w:styleId="52">
    <w:name w:val="font51"/>
    <w:basedOn w:val="12"/>
    <w:qFormat/>
    <w:uiPriority w:val="0"/>
    <w:rPr>
      <w:rFonts w:hint="eastAsia" w:ascii="宋体" w:hAnsi="宋体" w:eastAsia="宋体" w:cs="宋体"/>
      <w:strike/>
      <w:color w:val="FF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24037;&#20316;&#20869;&#23481;\&#24066;&#20013;&#21306;\&#20048;&#23665;&#30005;&#21160;&#27773;&#36710;&#20805;&#30005;&#35774;&#26045;&#35268;&#21010;\&#20013;&#26399;&#35843;&#25972;\2025&#24180;5&#26376;&#20462;&#25913;\2025&#39044;&#27979;&#25968;&#25454;\&#20805;&#30005;&#26729;&#30456;&#20851;&#25968;&#25454;&#20998;&#26512;202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025&#24180;5&#26376;&#20462;&#25913;\2025&#39044;&#27979;&#25968;&#25454;\&#20805;&#30005;&#26729;&#30456;&#20851;&#25968;&#25454;&#20998;&#26512;202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2025&#24180;5&#26376;&#20462;&#25913;\2025&#39044;&#27979;&#25968;&#25454;\&#20805;&#30005;&#26729;&#30456;&#20851;&#25968;&#25454;&#20998;&#26512;202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G:\&#20844;&#21496;&#37096;&#20998;&#24037;&#20316;\&#20013;&#26399;&#35843;&#25972;\2025&#24180;5&#26376;&#20462;&#25913;\2025&#39044;&#27979;&#25968;&#25454;\&#20805;&#30005;&#26729;&#30456;&#20851;&#25968;&#25454;&#20998;&#26512;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200" b="1"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r>
              <a:rPr sz="1200" b="0">
                <a:solidFill>
                  <a:schemeClr val="tx1"/>
                </a:solidFill>
                <a:latin typeface="黑体" panose="02010609060101010101" charset="-122"/>
                <a:ea typeface="黑体" panose="02010609060101010101" charset="-122"/>
                <a:cs typeface="黑体" panose="02010609060101010101" charset="-122"/>
                <a:sym typeface="宋体" panose="02010600030101010101" charset="-122"/>
              </a:rPr>
              <a:t>图2-1 2019—202</a:t>
            </a:r>
            <a:r>
              <a:rPr lang="en-US" altLang="zh-CN" sz="1200" b="0">
                <a:solidFill>
                  <a:schemeClr val="tx1"/>
                </a:solidFill>
                <a:latin typeface="黑体" panose="02010609060101010101" charset="-122"/>
                <a:ea typeface="黑体" panose="02010609060101010101" charset="-122"/>
                <a:cs typeface="黑体" panose="02010609060101010101" charset="-122"/>
                <a:sym typeface="宋体" panose="02010600030101010101" charset="-122"/>
              </a:rPr>
              <a:t>4</a:t>
            </a:r>
            <a:r>
              <a:rPr sz="1200" b="0">
                <a:solidFill>
                  <a:schemeClr val="tx1"/>
                </a:solidFill>
                <a:latin typeface="黑体" panose="02010609060101010101" charset="-122"/>
                <a:ea typeface="黑体" panose="02010609060101010101" charset="-122"/>
                <a:cs typeface="黑体" panose="02010609060101010101" charset="-122"/>
                <a:sym typeface="宋体" panose="02010600030101010101" charset="-122"/>
              </a:rPr>
              <a:t>年地区生产总值变化趋势图</a:t>
            </a:r>
            <a:endParaRPr sz="1200" b="0">
              <a:solidFill>
                <a:schemeClr val="tx1"/>
              </a:solidFill>
              <a:latin typeface="黑体" panose="02010609060101010101" charset="-122"/>
              <a:ea typeface="黑体" panose="02010609060101010101" charset="-122"/>
              <a:cs typeface="黑体" panose="02010609060101010101" charset="-122"/>
              <a:sym typeface="宋体" panose="02010600030101010101" charset="-122"/>
            </a:endParaRPr>
          </a:p>
        </c:rich>
      </c:tx>
      <c:layout>
        <c:manualLayout>
          <c:xMode val="edge"/>
          <c:yMode val="edge"/>
          <c:x val="0.22365947630033"/>
          <c:y val="0.925940594059406"/>
        </c:manualLayout>
      </c:layout>
      <c:overlay val="false"/>
      <c:spPr>
        <a:noFill/>
        <a:ln>
          <a:noFill/>
        </a:ln>
        <a:effectLst/>
      </c:spPr>
    </c:title>
    <c:autoTitleDeleted val="false"/>
    <c:plotArea>
      <c:layout/>
      <c:barChart>
        <c:barDir val="col"/>
        <c:grouping val="clustered"/>
        <c:varyColors val="false"/>
        <c:ser>
          <c:idx val="0"/>
          <c:order val="0"/>
          <c:tx>
            <c:strRef>
              <c:f>[充电桩相关数据分析2025.xlsx]相关数据整理!$M$11</c:f>
              <c:strCache>
                <c:ptCount val="1"/>
                <c:pt idx="0">
                  <c:v>地区生产总值（亿元）</c:v>
                </c:pt>
              </c:strCache>
            </c:strRef>
          </c:tx>
          <c:spPr>
            <a:solidFill>
              <a:schemeClr val="accent1">
                <a:lumMod val="50000"/>
              </a:schemeClr>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[充电桩相关数据分析2025.xlsx]相关数据整理!$L$12:$L$17</c:f>
              <c:strCache>
                <c:ptCount val="6"/>
                <c:pt idx="0">
                  <c:v>2019年</c:v>
                </c:pt>
                <c:pt idx="1">
                  <c:v>2020年</c:v>
                </c:pt>
                <c:pt idx="2">
                  <c:v>2021年</c:v>
                </c:pt>
                <c:pt idx="3">
                  <c:v>2022年</c:v>
                </c:pt>
                <c:pt idx="4">
                  <c:v>2023年</c:v>
                </c:pt>
                <c:pt idx="5">
                  <c:v>2024年</c:v>
                </c:pt>
              </c:strCache>
            </c:strRef>
          </c:cat>
          <c:val>
            <c:numRef>
              <c:f>[充电桩相关数据分析2025.xlsx]相关数据整理!$M$12:$M$17</c:f>
              <c:numCache>
                <c:formatCode>General</c:formatCode>
                <c:ptCount val="6"/>
                <c:pt idx="0">
                  <c:v>1863.31</c:v>
                </c:pt>
                <c:pt idx="1">
                  <c:v>2003.43</c:v>
                </c:pt>
                <c:pt idx="2">
                  <c:v>2205.15</c:v>
                </c:pt>
                <c:pt idx="3">
                  <c:v>2308.81</c:v>
                </c:pt>
                <c:pt idx="4">
                  <c:v>2447.53</c:v>
                </c:pt>
                <c:pt idx="5">
                  <c:v>2532.53</c:v>
                </c:pt>
              </c:numCache>
            </c:numRef>
          </c:val>
        </c:ser>
        <c:dLbls>
          <c:showLegendKey val="false"/>
          <c:showVal val="true"/>
          <c:showCatName val="false"/>
          <c:showSerName val="false"/>
          <c:showPercent val="false"/>
          <c:showBubbleSize val="false"/>
        </c:dLbls>
        <c:gapWidth val="219"/>
        <c:overlap val="-27"/>
        <c:axId val="216195639"/>
        <c:axId val="326840845"/>
      </c:barChart>
      <c:lineChart>
        <c:grouping val="standard"/>
        <c:varyColors val="false"/>
        <c:ser>
          <c:idx val="1"/>
          <c:order val="1"/>
          <c:tx>
            <c:strRef>
              <c:f>[充电桩相关数据分析2025.xlsx]相关数据整理!$N$11</c:f>
              <c:strCache>
                <c:ptCount val="1"/>
                <c:pt idx="0">
                  <c:v>增速（%）</c:v>
                </c:pt>
              </c:strCache>
            </c:strRef>
          </c:tx>
          <c:spPr>
            <a:ln w="28575" cap="rnd">
              <a:solidFill>
                <a:srgbClr val="C00000"/>
              </a:solidFill>
              <a:round/>
            </a:ln>
            <a:effectLst/>
          </c:spPr>
          <c:marker>
            <c:symbol val="none"/>
          </c:marker>
          <c:dLbls>
            <c:dLbl>
              <c:idx val="0"/>
              <c:layout>
                <c:manualLayout>
                  <c:x val="-0.0277631578947368"/>
                  <c:y val="-0.0957324106113033"/>
                </c:manualLayout>
              </c:layout>
              <c:dLblPos val="b"/>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564473684210526"/>
                  <c:y val="-0.0251441753171857"/>
                </c:manualLayout>
              </c:layout>
              <c:dLblPos val="b"/>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510526315789474"/>
                  <c:y val="-0.0943483275663207"/>
                </c:manualLayout>
              </c:layout>
              <c:dLblPos val="b"/>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511842105263158"/>
                  <c:y val="-0.0313725490196078"/>
                </c:manualLayout>
              </c:layout>
              <c:dLblPos val="b"/>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484210526315789"/>
                  <c:y val="0.0519031141868512"/>
                </c:manualLayout>
              </c:layout>
              <c:dLblPos val="b"/>
              <c:showLegendKey val="false"/>
              <c:showVal val="true"/>
              <c:showCatName val="false"/>
              <c:showSerName val="false"/>
              <c:showPercent val="false"/>
              <c:showBubbleSize val="false"/>
              <c:extLst>
                <c:ext xmlns:c15="http://schemas.microsoft.com/office/drawing/2012/chart" uri="{CE6537A1-D6FC-4f65-9D91-7224C49458BB}">
                  <c15:layout/>
                </c:ext>
              </c:extLst>
            </c:dLbl>
            <c:dLbl>
              <c:idx val="5"/>
              <c:layout>
                <c:manualLayout>
                  <c:x val="0.0519736842105263"/>
                  <c:y val="-0.0929642445213379"/>
                </c:manualLayout>
              </c:layout>
              <c:dLblPos val="b"/>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dLblPos val="b"/>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[充电桩相关数据分析2025.xlsx]相关数据整理!$L$12:$L$17</c:f>
              <c:strCache>
                <c:ptCount val="6"/>
                <c:pt idx="0">
                  <c:v>2019年</c:v>
                </c:pt>
                <c:pt idx="1">
                  <c:v>2020年</c:v>
                </c:pt>
                <c:pt idx="2">
                  <c:v>2021年</c:v>
                </c:pt>
                <c:pt idx="3">
                  <c:v>2022年</c:v>
                </c:pt>
                <c:pt idx="4">
                  <c:v>2023年</c:v>
                </c:pt>
                <c:pt idx="5">
                  <c:v>2024年</c:v>
                </c:pt>
              </c:strCache>
            </c:strRef>
          </c:cat>
          <c:val>
            <c:numRef>
              <c:f>[充电桩相关数据分析2025.xlsx]相关数据整理!$N$12:$N$17</c:f>
              <c:numCache>
                <c:formatCode>0.0_ </c:formatCode>
                <c:ptCount val="6"/>
                <c:pt idx="0">
                  <c:v>7.6</c:v>
                </c:pt>
                <c:pt idx="1">
                  <c:v>4.1</c:v>
                </c:pt>
                <c:pt idx="2">
                  <c:v>8.2</c:v>
                </c:pt>
                <c:pt idx="3">
                  <c:v>3.8</c:v>
                </c:pt>
                <c:pt idx="4">
                  <c:v>6.5</c:v>
                </c:pt>
                <c:pt idx="5" c:formatCode="General">
                  <c:v>4.5</c:v>
                </c:pt>
              </c:numCache>
            </c:numRef>
          </c:val>
          <c:smooth val="false"/>
        </c:ser>
        <c:dLbls>
          <c:showLegendKey val="false"/>
          <c:showVal val="true"/>
          <c:showCatName val="false"/>
          <c:showSerName val="false"/>
          <c:showPercent val="false"/>
          <c:showBubbleSize val="false"/>
        </c:dLbls>
        <c:marker val="false"/>
        <c:smooth val="false"/>
        <c:axId val="795264681"/>
        <c:axId val="254064696"/>
      </c:lineChart>
      <c:catAx>
        <c:axId val="216195639"/>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crossAx val="326840845"/>
        <c:crosses val="autoZero"/>
        <c:auto val="true"/>
        <c:lblAlgn val="ctr"/>
        <c:lblOffset val="100"/>
        <c:noMultiLvlLbl val="false"/>
      </c:catAx>
      <c:valAx>
        <c:axId val="326840845"/>
        <c:scaling>
          <c:orientation val="minMax"/>
        </c:scaling>
        <c:delete val="false"/>
        <c:axPos val="l"/>
        <c:majorGridlines>
          <c:spPr>
            <a:ln w="9525" cap="flat" cmpd="sng" algn="ctr">
              <a:solidFill>
                <a:schemeClr val="lt1">
                  <a:lumMod val="902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crossAx val="216195639"/>
        <c:crosses val="autoZero"/>
        <c:crossBetween val="between"/>
      </c:valAx>
      <c:catAx>
        <c:axId val="795264681"/>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crossAx val="254064696"/>
        <c:crosses val="autoZero"/>
        <c:auto val="true"/>
        <c:lblAlgn val="ctr"/>
        <c:lblOffset val="100"/>
        <c:noMultiLvlLbl val="false"/>
      </c:catAx>
      <c:valAx>
        <c:axId val="254064696"/>
        <c:scaling>
          <c:orientation val="minMax"/>
        </c:scaling>
        <c:delete val="false"/>
        <c:axPos val="r"/>
        <c:minorGridlines>
          <c:spPr>
            <a:ln w="9525" cap="flat" cmpd="sng" algn="ctr">
              <a:solidFill>
                <a:schemeClr val="tx1">
                  <a:lumMod val="5000"/>
                  <a:lumOff val="95000"/>
                </a:schemeClr>
              </a:solidFill>
              <a:round/>
            </a:ln>
            <a:effectLst/>
          </c:spPr>
        </c:minorGridlines>
        <c:numFmt formatCode="0.0_ " sourceLinked="true"/>
        <c:majorTickMark val="out"/>
        <c:minorTickMark val="none"/>
        <c:tickLblPos val="nextTo"/>
        <c:spPr>
          <a:noFill/>
          <a:ln>
            <a:noFill/>
          </a:ln>
          <a:effectLst/>
        </c:spPr>
        <c:txPr>
          <a:bodyPr rot="-6000000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crossAx val="795264681"/>
        <c:crosses val="max"/>
        <c:crossBetween val="between"/>
      </c:valAx>
      <c:spPr>
        <a:noFill/>
        <a:ln>
          <a:noFill/>
        </a:ln>
        <a:effectLst/>
      </c:spPr>
    </c:plotArea>
    <c:legend>
      <c:legendPos val="b"/>
      <c:legendEntry>
        <c:idx val="0"/>
        <c:txPr>
          <a:bodyPr rot="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1"/>
        <c:txPr>
          <a:bodyPr rot="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ayout>
        <c:manualLayout>
          <c:xMode val="edge"/>
          <c:yMode val="edge"/>
          <c:x val="0.00394736842105263"/>
          <c:y val="0.00694444444444444"/>
        </c:manualLayout>
      </c:layout>
      <c:overlay val="false"/>
      <c:spPr>
        <a:noFill/>
        <a:ln>
          <a:noFill/>
        </a:ln>
        <a:effectLst/>
      </c:spPr>
      <c:txPr>
        <a:bodyPr rot="0" spcFirstLastPara="0" vertOverflow="ellipsis" vert="horz" wrap="square" anchor="ctr" anchorCtr="true"/>
        <a:lstStyle/>
        <a:p>
          <a:pPr>
            <a:defRPr lang="zh-CN" sz="10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
    <c:plotVisOnly val="true"/>
    <c:dispBlanksAs val="gap"/>
    <c:showDLblsOverMax val="false"/>
  </c:chart>
  <c:spPr>
    <a:solidFill>
      <a:schemeClr val="bg1"/>
    </a:solidFill>
    <a:ln w="9525" cap="flat" cmpd="sng" algn="ctr">
      <a:noFill/>
      <a:round/>
    </a:ln>
    <a:effectLst/>
  </c:spPr>
  <c:txPr>
    <a:bodyPr/>
    <a:lstStyle/>
    <a:p>
      <a:pPr>
        <a:defRPr lang="zh-CN" sz="100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200" b="0" i="0" u="none" strike="noStrike" kern="120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r>
              <a:rPr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图</a:t>
            </a:r>
            <a:r>
              <a:rPr lang="en-US" altLang="zh-CN"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3</a:t>
            </a:r>
            <a:r>
              <a:rPr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a:t>
            </a:r>
            <a:r>
              <a:rPr lang="en-US" altLang="zh-CN"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1</a:t>
            </a:r>
            <a:r>
              <a:rPr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 2016—202</a:t>
            </a:r>
            <a:r>
              <a:rPr lang="en-US" altLang="zh-CN"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4</a:t>
            </a:r>
            <a:r>
              <a:rPr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年全市汽车保有量变化趋势图</a:t>
            </a:r>
            <a:endParaRPr sz="1200" b="0">
              <a:solidFill>
                <a:schemeClr val="tx1"/>
              </a:solidFill>
              <a:latin typeface="黑体" panose="02010609060101010101" charset="-122"/>
              <a:ea typeface="黑体" panose="02010609060101010101" charset="-122"/>
              <a:cs typeface="黑体" panose="02010609060101010101" charset="-122"/>
              <a:sym typeface="黑体" panose="02010609060101010101" charset="-122"/>
            </a:endParaRPr>
          </a:p>
        </c:rich>
      </c:tx>
      <c:layout>
        <c:manualLayout>
          <c:xMode val="edge"/>
          <c:yMode val="edge"/>
          <c:x val="0.22642290791399"/>
          <c:y val="0.937437269989963"/>
        </c:manualLayout>
      </c:layout>
      <c:overlay val="false"/>
      <c:spPr>
        <a:noFill/>
        <a:ln>
          <a:noFill/>
        </a:ln>
        <a:effectLst/>
      </c:spPr>
    </c:title>
    <c:autoTitleDeleted val="false"/>
    <c:plotArea>
      <c:layout/>
      <c:barChart>
        <c:barDir val="col"/>
        <c:grouping val="clustered"/>
        <c:varyColors val="false"/>
        <c:ser>
          <c:idx val="0"/>
          <c:order val="0"/>
          <c:tx>
            <c:strRef>
              <c:f>[充电桩相关数据分析2025.xlsx]乐山市车辆数据预测!$E$2</c:f>
              <c:strCache>
                <c:ptCount val="1"/>
                <c:pt idx="0">
                  <c:v>汽车保有量数量（万辆）</c:v>
                </c:pt>
              </c:strCache>
            </c:strRef>
          </c:tx>
          <c:spPr>
            <a:solidFill>
              <a:srgbClr val="0070C0"/>
            </a:solidFill>
            <a:ln>
              <a:noFill/>
            </a:ln>
            <a:effectLst/>
          </c:spPr>
          <c:invertIfNegative val="false"/>
          <c:dLbls>
            <c:dLbl>
              <c:idx val="0"/>
              <c:layout>
                <c:manualLayout>
                  <c:x val="0"/>
                  <c:y val="0.020073603211776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0190925426774483"/>
                  <c:y val="0.020073603211776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
                  <c:y val="0.011542321846771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
                  <c:y val="0.0172298427567748"/>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manualLayout>
                      <c:w val="0.0531221922731357"/>
                      <c:h val="0.0508531281365005"/>
                    </c:manualLayout>
                  </c15:layout>
                </c:ext>
              </c:extLst>
            </c:dLbl>
            <c:dLbl>
              <c:idx val="4"/>
              <c:layout>
                <c:manualLayout>
                  <c:x val="0.00190925426774483"/>
                  <c:y val="0.0229173636667782"/>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5"/>
              <c:layout>
                <c:manualLayout>
                  <c:x val="0"/>
                  <c:y val="0.020073603211776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6"/>
              <c:layout>
                <c:manualLayout>
                  <c:x val="0.00190925426774483"/>
                  <c:y val="0.0143860823017732"/>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7"/>
              <c:layout>
                <c:manualLayout>
                  <c:x val="0"/>
                  <c:y val="0.0143860823017732"/>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8"/>
              <c:layout>
                <c:manualLayout>
                  <c:x val="0"/>
                  <c:y val="0.0257611241217799"/>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[充电桩相关数据分析2025.xlsx]乐山市车辆数据预测!$D$3:$D$11</c:f>
              <c:strCache>
                <c:ptCount val="9"/>
                <c:pt idx="0">
                  <c:v>2016年</c:v>
                </c:pt>
                <c:pt idx="1">
                  <c:v>2017年</c:v>
                </c:pt>
                <c:pt idx="2">
                  <c:v>2018年</c:v>
                </c:pt>
                <c:pt idx="3">
                  <c:v>2019年</c:v>
                </c:pt>
                <c:pt idx="4">
                  <c:v>2020年</c:v>
                </c:pt>
                <c:pt idx="5">
                  <c:v>2021年</c:v>
                </c:pt>
                <c:pt idx="6">
                  <c:v>2022年</c:v>
                </c:pt>
                <c:pt idx="7">
                  <c:v>2023年</c:v>
                </c:pt>
                <c:pt idx="8">
                  <c:v>2024年</c:v>
                </c:pt>
              </c:strCache>
            </c:strRef>
          </c:cat>
          <c:val>
            <c:numRef>
              <c:f>[充电桩相关数据分析2025.xlsx]乐山市车辆数据预测!$E$3:$E$11</c:f>
              <c:numCache>
                <c:formatCode>0.0_ </c:formatCode>
                <c:ptCount val="9"/>
                <c:pt idx="0">
                  <c:v>30.5</c:v>
                </c:pt>
                <c:pt idx="1">
                  <c:v>35.3</c:v>
                </c:pt>
                <c:pt idx="2">
                  <c:v>39.1</c:v>
                </c:pt>
                <c:pt idx="3">
                  <c:v>44.8</c:v>
                </c:pt>
                <c:pt idx="4">
                  <c:v>48.2</c:v>
                </c:pt>
                <c:pt idx="5">
                  <c:v>52.3</c:v>
                </c:pt>
                <c:pt idx="6">
                  <c:v>55.8</c:v>
                </c:pt>
                <c:pt idx="7">
                  <c:v>59.4</c:v>
                </c:pt>
                <c:pt idx="8">
                  <c:v>62.8</c:v>
                </c:pt>
              </c:numCache>
            </c:numRef>
          </c:val>
        </c:ser>
        <c:dLbls>
          <c:showLegendKey val="false"/>
          <c:showVal val="true"/>
          <c:showCatName val="false"/>
          <c:showSerName val="false"/>
          <c:showPercent val="false"/>
          <c:showBubbleSize val="false"/>
        </c:dLbls>
        <c:gapWidth val="219"/>
        <c:overlap val="-27"/>
        <c:axId val="34979597"/>
        <c:axId val="275731242"/>
      </c:barChart>
      <c:lineChart>
        <c:grouping val="standard"/>
        <c:varyColors val="false"/>
        <c:ser>
          <c:idx val="1"/>
          <c:order val="1"/>
          <c:tx>
            <c:strRef>
              <c:f>[充电桩相关数据分析2025.xlsx]乐山市车辆数据预测!$F$2</c:f>
              <c:strCache>
                <c:ptCount val="1"/>
                <c:pt idx="0">
                  <c:v>增长率（%）</c:v>
                </c:pt>
              </c:strCache>
            </c:strRef>
          </c:tx>
          <c:spPr>
            <a:ln w="28575" cap="rnd">
              <a:solidFill>
                <a:srgbClr val="C00000"/>
              </a:solidFill>
              <a:round/>
            </a:ln>
            <a:effectLst/>
          </c:spPr>
          <c:marker>
            <c:symbol val="none"/>
          </c:marker>
          <c:dLbls>
            <c:dLbl>
              <c:idx val="2"/>
              <c:layout>
                <c:manualLayout>
                  <c:x val="0"/>
                  <c:y val="0.0257611241217799"/>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326819407008086"/>
                  <c:y val="-0.0429909668785547"/>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7"/>
              <c:layout>
                <c:manualLayout>
                  <c:x val="-0.00190925426774483"/>
                  <c:y val="-0.0229173636667782"/>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8"/>
              <c:layout>
                <c:manualLayout>
                  <c:x val="-0.00774932614555256"/>
                  <c:y val="-0.00853128136500502"/>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[充电桩相关数据分析2025.xlsx]乐山市车辆数据预测!$D$3:$D$11</c:f>
              <c:strCache>
                <c:ptCount val="9"/>
                <c:pt idx="0">
                  <c:v>2016年</c:v>
                </c:pt>
                <c:pt idx="1">
                  <c:v>2017年</c:v>
                </c:pt>
                <c:pt idx="2">
                  <c:v>2018年</c:v>
                </c:pt>
                <c:pt idx="3">
                  <c:v>2019年</c:v>
                </c:pt>
                <c:pt idx="4">
                  <c:v>2020年</c:v>
                </c:pt>
                <c:pt idx="5">
                  <c:v>2021年</c:v>
                </c:pt>
                <c:pt idx="6">
                  <c:v>2022年</c:v>
                </c:pt>
                <c:pt idx="7">
                  <c:v>2023年</c:v>
                </c:pt>
                <c:pt idx="8">
                  <c:v>2024年</c:v>
                </c:pt>
              </c:strCache>
            </c:strRef>
          </c:cat>
          <c:val>
            <c:numRef>
              <c:f>[充电桩相关数据分析2025.xlsx]乐山市车辆数据预测!$F$3:$F$11</c:f>
              <c:numCache>
                <c:formatCode>General</c:formatCode>
                <c:ptCount val="9"/>
                <c:pt idx="0">
                  <c:v>18.51</c:v>
                </c:pt>
                <c:pt idx="1" c:formatCode="0.00_ ">
                  <c:v>15.7377049180328</c:v>
                </c:pt>
                <c:pt idx="2" c:formatCode="0.00_ ">
                  <c:v>10.7648725212465</c:v>
                </c:pt>
                <c:pt idx="3" c:formatCode="0.00_ ">
                  <c:v>14.5780051150895</c:v>
                </c:pt>
                <c:pt idx="4" c:formatCode="0.00_ ">
                  <c:v>7.58928571428573</c:v>
                </c:pt>
                <c:pt idx="5" c:formatCode="0.00_ ">
                  <c:v>8.50622406639003</c:v>
                </c:pt>
                <c:pt idx="6" c:formatCode="0.00_ ">
                  <c:v>6.69216061185468</c:v>
                </c:pt>
                <c:pt idx="7" c:formatCode="0.00_ ">
                  <c:v>6.45161290322581</c:v>
                </c:pt>
                <c:pt idx="8" c:formatCode="0.00_ ">
                  <c:v>5.72390572390572</c:v>
                </c:pt>
              </c:numCache>
            </c:numRef>
          </c:val>
          <c:smooth val="false"/>
        </c:ser>
        <c:dLbls>
          <c:showLegendKey val="false"/>
          <c:showVal val="true"/>
          <c:showCatName val="false"/>
          <c:showSerName val="false"/>
          <c:showPercent val="false"/>
          <c:showBubbleSize val="false"/>
        </c:dLbls>
        <c:marker val="false"/>
        <c:smooth val="false"/>
        <c:axId val="316557523"/>
        <c:axId val="573296702"/>
      </c:lineChart>
      <c:catAx>
        <c:axId val="34979597"/>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275731242"/>
        <c:crosses val="autoZero"/>
        <c:auto val="true"/>
        <c:lblAlgn val="ctr"/>
        <c:lblOffset val="100"/>
        <c:noMultiLvlLbl val="false"/>
      </c:catAx>
      <c:valAx>
        <c:axId val="275731242"/>
        <c:scaling>
          <c:orientation val="minMax"/>
        </c:scaling>
        <c:delete val="false"/>
        <c:axPos val="l"/>
        <c:majorGridlines>
          <c:spPr>
            <a:ln w="9525" cap="flat" cmpd="sng" algn="ctr">
              <a:solidFill>
                <a:schemeClr val="lt1">
                  <a:lumMod val="90200"/>
                </a:schemeClr>
              </a:solidFill>
              <a:round/>
            </a:ln>
            <a:effectLst/>
          </c:spPr>
        </c:majorGridlines>
        <c:numFmt formatCode="0.0_ "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34979597"/>
        <c:crosses val="autoZero"/>
        <c:crossBetween val="between"/>
      </c:valAx>
      <c:catAx>
        <c:axId val="316557523"/>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573296702"/>
        <c:crosses val="autoZero"/>
        <c:auto val="true"/>
        <c:lblAlgn val="ctr"/>
        <c:lblOffset val="100"/>
        <c:noMultiLvlLbl val="false"/>
      </c:catAx>
      <c:valAx>
        <c:axId val="573296702"/>
        <c:scaling>
          <c:orientation val="minMax"/>
        </c:scaling>
        <c:delete val="false"/>
        <c:axPos val="r"/>
        <c:numFmt formatCode="General"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316557523"/>
        <c:crosses val="max"/>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Entry>
      <c:layout>
        <c:manualLayout>
          <c:xMode val="edge"/>
          <c:yMode val="edge"/>
          <c:x val="0.0131346523883731"/>
          <c:y val="0.0161368469233763"/>
        </c:manualLayout>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a:solidFill>
            <a:schemeClr val="tx1"/>
          </a:solidFill>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1" i="0" u="none" strike="noStrike" kern="1200" baseline="0">
                <a:solidFill>
                  <a:schemeClr val="tx1"/>
                </a:solidFill>
                <a:latin typeface="+mn-lt"/>
                <a:ea typeface="+mn-ea"/>
                <a:cs typeface="+mn-cs"/>
              </a:defRPr>
            </a:pPr>
            <a:r>
              <a:rPr sz="1200" b="0">
                <a:solidFill>
                  <a:schemeClr val="tx1"/>
                </a:solidFill>
                <a:latin typeface="黑体" panose="02010609060101010101" charset="-122"/>
                <a:ea typeface="黑体" panose="02010609060101010101" charset="-122"/>
                <a:cs typeface="黑体" panose="02010609060101010101" charset="-122"/>
              </a:rPr>
              <a:t>图</a:t>
            </a:r>
            <a:r>
              <a:rPr lang="en-US" altLang="zh-CN" sz="1200" b="0">
                <a:solidFill>
                  <a:schemeClr val="tx1"/>
                </a:solidFill>
                <a:latin typeface="黑体" panose="02010609060101010101" charset="-122"/>
                <a:ea typeface="黑体" panose="02010609060101010101" charset="-122"/>
                <a:cs typeface="黑体" panose="02010609060101010101" charset="-122"/>
              </a:rPr>
              <a:t>3</a:t>
            </a:r>
            <a:r>
              <a:rPr sz="1200" b="0">
                <a:solidFill>
                  <a:schemeClr val="tx1"/>
                </a:solidFill>
                <a:latin typeface="黑体" panose="02010609060101010101" charset="-122"/>
                <a:ea typeface="黑体" panose="02010609060101010101" charset="-122"/>
                <a:cs typeface="黑体" panose="02010609060101010101" charset="-122"/>
              </a:rPr>
              <a:t>-</a:t>
            </a:r>
            <a:r>
              <a:rPr lang="en-US" altLang="zh-CN" sz="1200" b="0">
                <a:solidFill>
                  <a:schemeClr val="tx1"/>
                </a:solidFill>
                <a:latin typeface="黑体" panose="02010609060101010101" charset="-122"/>
                <a:ea typeface="黑体" panose="02010609060101010101" charset="-122"/>
                <a:cs typeface="黑体" panose="02010609060101010101" charset="-122"/>
              </a:rPr>
              <a:t>2</a:t>
            </a:r>
            <a:r>
              <a:rPr sz="1200" b="0">
                <a:solidFill>
                  <a:schemeClr val="tx1"/>
                </a:solidFill>
                <a:latin typeface="黑体" panose="02010609060101010101" charset="-122"/>
                <a:ea typeface="黑体" panose="02010609060101010101" charset="-122"/>
                <a:cs typeface="黑体" panose="02010609060101010101" charset="-122"/>
              </a:rPr>
              <a:t> 2016-202</a:t>
            </a:r>
            <a:r>
              <a:rPr lang="en-US" altLang="zh-CN" sz="1200" b="0">
                <a:solidFill>
                  <a:schemeClr val="tx1"/>
                </a:solidFill>
                <a:latin typeface="黑体" panose="02010609060101010101" charset="-122"/>
                <a:ea typeface="黑体" panose="02010609060101010101" charset="-122"/>
                <a:cs typeface="黑体" panose="02010609060101010101" charset="-122"/>
              </a:rPr>
              <a:t>4</a:t>
            </a:r>
            <a:r>
              <a:rPr sz="1200" b="0">
                <a:solidFill>
                  <a:schemeClr val="tx1"/>
                </a:solidFill>
                <a:latin typeface="黑体" panose="02010609060101010101" charset="-122"/>
                <a:ea typeface="黑体" panose="02010609060101010101" charset="-122"/>
                <a:cs typeface="黑体" panose="02010609060101010101" charset="-122"/>
              </a:rPr>
              <a:t>年电动汽车保有量变化趋势图</a:t>
            </a:r>
            <a:endParaRPr sz="1200" b="0">
              <a:solidFill>
                <a:schemeClr val="tx1"/>
              </a:solidFill>
              <a:latin typeface="黑体" panose="02010609060101010101" charset="-122"/>
              <a:ea typeface="黑体" panose="02010609060101010101" charset="-122"/>
              <a:cs typeface="黑体" panose="02010609060101010101" charset="-122"/>
            </a:endParaRPr>
          </a:p>
        </c:rich>
      </c:tx>
      <c:layout>
        <c:manualLayout>
          <c:xMode val="edge"/>
          <c:yMode val="edge"/>
          <c:x val="0.228571956634856"/>
          <c:y val="0.930119581464873"/>
        </c:manualLayout>
      </c:layout>
      <c:overlay val="false"/>
      <c:spPr>
        <a:noFill/>
        <a:ln>
          <a:noFill/>
        </a:ln>
        <a:effectLst/>
      </c:spPr>
    </c:title>
    <c:autoTitleDeleted val="false"/>
    <c:plotArea>
      <c:layout/>
      <c:barChart>
        <c:barDir val="col"/>
        <c:grouping val="clustered"/>
        <c:varyColors val="false"/>
        <c:ser>
          <c:idx val="0"/>
          <c:order val="0"/>
          <c:tx>
            <c:strRef>
              <c:f>'[充电桩相关数据分析2025.xlsx]中期调整车辆数据（修正车辆数据）'!$Q$2</c:f>
              <c:strCache>
                <c:ptCount val="1"/>
                <c:pt idx="0">
                  <c:v>电动汽车数量（万辆）</c:v>
                </c:pt>
              </c:strCache>
            </c:strRef>
          </c:tx>
          <c:spPr>
            <a:solidFill>
              <a:schemeClr val="accent1">
                <a:lumMod val="75000"/>
              </a:schemeClr>
            </a:solidFill>
            <a:ln>
              <a:noFill/>
            </a:ln>
            <a:effectLst/>
          </c:spPr>
          <c:invertIfNegative val="false"/>
          <c:dLbls>
            <c:dLbl>
              <c:idx val="0"/>
              <c:layout>
                <c:manualLayout>
                  <c:x val="0"/>
                  <c:y val="0.0136459734768403"/>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
                  <c:y val="0.0171055160484336"/>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010357923811716"/>
                  <c:y val="0.0186430905246973"/>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010357923811716"/>
                  <c:y val="0.0119162021910436"/>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0207158476234319"/>
                  <c:y val="0.0203728618104939"/>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'[充电桩相关数据分析2025.xlsx]中期调整车辆数据（修正车辆数据）'!$P$3:$P$11</c:f>
              <c:strCache>
                <c:ptCount val="9"/>
                <c:pt idx="0">
                  <c:v>2016年</c:v>
                </c:pt>
                <c:pt idx="1">
                  <c:v>2017年</c:v>
                </c:pt>
                <c:pt idx="2">
                  <c:v>2018年</c:v>
                </c:pt>
                <c:pt idx="3">
                  <c:v>2019年</c:v>
                </c:pt>
                <c:pt idx="4">
                  <c:v>2020年</c:v>
                </c:pt>
                <c:pt idx="5">
                  <c:v>2021年</c:v>
                </c:pt>
                <c:pt idx="6">
                  <c:v>2022年</c:v>
                </c:pt>
                <c:pt idx="7">
                  <c:v>2023年</c:v>
                </c:pt>
                <c:pt idx="8">
                  <c:v>2024年</c:v>
                </c:pt>
              </c:strCache>
            </c:strRef>
          </c:cat>
          <c:val>
            <c:numRef>
              <c:f>'[充电桩相关数据分析2025.xlsx]中期调整车辆数据（修正车辆数据）'!$Q$3:$Q$11</c:f>
              <c:numCache>
                <c:formatCode>0.00_ </c:formatCode>
                <c:ptCount val="9"/>
                <c:pt idx="0">
                  <c:v>0.0119</c:v>
                </c:pt>
                <c:pt idx="1">
                  <c:v>0.0463</c:v>
                </c:pt>
                <c:pt idx="2">
                  <c:v>0.1016</c:v>
                </c:pt>
                <c:pt idx="3">
                  <c:v>0.1656</c:v>
                </c:pt>
                <c:pt idx="4">
                  <c:v>0.2527</c:v>
                </c:pt>
                <c:pt idx="5">
                  <c:v>0.5314</c:v>
                </c:pt>
                <c:pt idx="6">
                  <c:v>0.9902</c:v>
                </c:pt>
                <c:pt idx="7">
                  <c:v>1.7085</c:v>
                </c:pt>
                <c:pt idx="8">
                  <c:v>3.4884</c:v>
                </c:pt>
              </c:numCache>
            </c:numRef>
          </c:val>
        </c:ser>
        <c:dLbls>
          <c:showLegendKey val="false"/>
          <c:showVal val="true"/>
          <c:showCatName val="false"/>
          <c:showSerName val="false"/>
          <c:showPercent val="false"/>
          <c:showBubbleSize val="false"/>
        </c:dLbls>
        <c:gapWidth val="150"/>
        <c:overlap val="0"/>
        <c:axId val="680528350"/>
        <c:axId val="498091918"/>
      </c:barChart>
      <c:lineChart>
        <c:grouping val="standard"/>
        <c:varyColors val="false"/>
        <c:ser>
          <c:idx val="1"/>
          <c:order val="1"/>
          <c:tx>
            <c:strRef>
              <c:f>'[充电桩相关数据分析2025.xlsx]中期调整车辆数据（修正车辆数据）'!$R$2</c:f>
              <c:strCache>
                <c:ptCount val="1"/>
                <c:pt idx="0">
                  <c:v>电动汽车占汽车比例（%）</c:v>
                </c:pt>
              </c:strCache>
            </c:strRef>
          </c:tx>
          <c:spPr>
            <a:ln w="28575" cap="rnd">
              <a:solidFill>
                <a:srgbClr val="C00000"/>
              </a:solidFill>
              <a:round/>
            </a:ln>
            <a:effectLst/>
          </c:spPr>
          <c:marker>
            <c:symbol val="none"/>
          </c:marker>
          <c:dLbls>
            <c:dLbl>
              <c:idx val="0"/>
              <c:layout>
                <c:manualLayout>
                  <c:x val="-0.0202554954540223"/>
                  <c:y val="-0.0661157024793388"/>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193347911152031"/>
                  <c:y val="-0.0440130693830482"/>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212912878351939"/>
                  <c:y val="-0.0745723620987892"/>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121993324893544"/>
                  <c:y val="-0.0593888141456852"/>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101277477270112"/>
                  <c:y val="-0.0372861810493946"/>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5"/>
              <c:layout>
                <c:manualLayout>
                  <c:x val="-0.0151916215905167"/>
                  <c:y val="-0.0203728618104939"/>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6"/>
              <c:layout>
                <c:manualLayout>
                  <c:x val="-0.0151916215905167"/>
                  <c:y val="-0.0203728618104939"/>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7"/>
              <c:layout>
                <c:manualLayout>
                  <c:x val="-0.0153067096328691"/>
                  <c:y val="-0.0238324043820873"/>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8"/>
              <c:layout>
                <c:manualLayout>
                  <c:x val="-0.00702037058349638"/>
                  <c:y val="-0.0153757447626369"/>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'[充电桩相关数据分析2025.xlsx]中期调整车辆数据（修正车辆数据）'!$P$3:$P$11</c:f>
              <c:strCache>
                <c:ptCount val="9"/>
                <c:pt idx="0">
                  <c:v>2016年</c:v>
                </c:pt>
                <c:pt idx="1">
                  <c:v>2017年</c:v>
                </c:pt>
                <c:pt idx="2">
                  <c:v>2018年</c:v>
                </c:pt>
                <c:pt idx="3">
                  <c:v>2019年</c:v>
                </c:pt>
                <c:pt idx="4">
                  <c:v>2020年</c:v>
                </c:pt>
                <c:pt idx="5">
                  <c:v>2021年</c:v>
                </c:pt>
                <c:pt idx="6">
                  <c:v>2022年</c:v>
                </c:pt>
                <c:pt idx="7">
                  <c:v>2023年</c:v>
                </c:pt>
                <c:pt idx="8">
                  <c:v>2024年</c:v>
                </c:pt>
              </c:strCache>
            </c:strRef>
          </c:cat>
          <c:val>
            <c:numRef>
              <c:f>'[充电桩相关数据分析2025.xlsx]中期调整车辆数据（修正车辆数据）'!$R$3:$R$11</c:f>
              <c:numCache>
                <c:formatCode>0.00_ </c:formatCode>
                <c:ptCount val="9"/>
                <c:pt idx="0">
                  <c:v>0.0389576376612322</c:v>
                </c:pt>
                <c:pt idx="1">
                  <c:v>0.13530257513238</c:v>
                </c:pt>
                <c:pt idx="2">
                  <c:v>0.259813987505402</c:v>
                </c:pt>
                <c:pt idx="3">
                  <c:v>0.369450709787097</c:v>
                </c:pt>
                <c:pt idx="4">
                  <c:v>0.524014026240101</c:v>
                </c:pt>
                <c:pt idx="5">
                  <c:v>1.01524006396356</c:v>
                </c:pt>
                <c:pt idx="6">
                  <c:v>1.77312203420181</c:v>
                </c:pt>
                <c:pt idx="7">
                  <c:v>2.87510096930533</c:v>
                </c:pt>
                <c:pt idx="8">
                  <c:v>5.55909687782863</c:v>
                </c:pt>
              </c:numCache>
            </c:numRef>
          </c:val>
          <c:smooth val="false"/>
        </c:ser>
        <c:dLbls>
          <c:showLegendKey val="false"/>
          <c:showVal val="true"/>
          <c:showCatName val="false"/>
          <c:showSerName val="false"/>
          <c:showPercent val="false"/>
          <c:showBubbleSize val="false"/>
        </c:dLbls>
        <c:marker val="false"/>
        <c:smooth val="false"/>
        <c:axId val="290063344"/>
        <c:axId val="843350502"/>
      </c:lineChart>
      <c:catAx>
        <c:axId val="290063344"/>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843350502"/>
        <c:crosses val="autoZero"/>
        <c:auto val="true"/>
        <c:lblAlgn val="ctr"/>
        <c:lblOffset val="100"/>
        <c:noMultiLvlLbl val="false"/>
      </c:catAx>
      <c:valAx>
        <c:axId val="843350502"/>
        <c:scaling>
          <c:orientation val="minMax"/>
        </c:scaling>
        <c:delete val="false"/>
        <c:axPos val="l"/>
        <c:majorGridlines>
          <c:spPr>
            <a:ln w="9525" cap="flat" cmpd="sng" algn="ctr">
              <a:solidFill>
                <a:schemeClr val="lt1">
                  <a:lumMod val="90200"/>
                </a:schemeClr>
              </a:solidFill>
              <a:round/>
            </a:ln>
            <a:effectLst/>
          </c:spPr>
        </c:majorGridlines>
        <c:numFmt formatCode="0.00_ "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290063344"/>
        <c:crosses val="autoZero"/>
        <c:crossBetween val="between"/>
      </c:valAx>
      <c:catAx>
        <c:axId val="680528350"/>
        <c:scaling>
          <c:orientation val="minMax"/>
        </c:scaling>
        <c:delete val="true"/>
        <c:axPos val="b"/>
        <c:majorTickMark val="none"/>
        <c:minorTickMark val="none"/>
        <c:tickLblPos val="nextTo"/>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498091918"/>
        <c:crosses val="autoZero"/>
        <c:auto val="true"/>
        <c:lblAlgn val="ctr"/>
        <c:lblOffset val="100"/>
        <c:noMultiLvlLbl val="false"/>
      </c:catAx>
      <c:valAx>
        <c:axId val="498091918"/>
        <c:scaling>
          <c:orientation val="minMax"/>
        </c:scaling>
        <c:delete val="false"/>
        <c:axPos val="r"/>
        <c:numFmt formatCode="0.00_ "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680528350"/>
        <c:crosses val="max"/>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Entry>
      <c:layout>
        <c:manualLayout>
          <c:xMode val="edge"/>
          <c:yMode val="edge"/>
          <c:x val="0.00394166338194718"/>
          <c:y val="0.00679194023092597"/>
        </c:manualLayout>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a:solidFill>
            <a:schemeClr val="tx1"/>
          </a:solidFill>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200" b="0" i="0" u="none" strike="noStrike" kern="1200" spc="0" baseline="0">
                <a:solidFill>
                  <a:schemeClr val="tx1"/>
                </a:solidFill>
                <a:latin typeface="黑体" panose="02010609060101010101" charset="-122"/>
                <a:ea typeface="黑体" panose="02010609060101010101" charset="-122"/>
                <a:cs typeface="黑体" panose="02010609060101010101" charset="-122"/>
                <a:sym typeface="黑体" panose="02010609060101010101" charset="-122"/>
              </a:defRPr>
            </a:pPr>
            <a:r>
              <a:rPr sz="120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图</a:t>
            </a:r>
            <a:r>
              <a:rPr lang="en-US" altLang="zh-CN" sz="120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4</a:t>
            </a:r>
            <a:r>
              <a:rPr sz="120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a:t>
            </a:r>
            <a:r>
              <a:rPr lang="en-US" altLang="zh-CN" sz="120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1</a:t>
            </a:r>
            <a:r>
              <a:rPr sz="1200">
                <a:solidFill>
                  <a:schemeClr val="tx1"/>
                </a:solidFill>
                <a:latin typeface="黑体" panose="02010609060101010101" charset="-122"/>
                <a:ea typeface="黑体" panose="02010609060101010101" charset="-122"/>
                <a:cs typeface="黑体" panose="02010609060101010101" charset="-122"/>
                <a:sym typeface="黑体" panose="02010609060101010101" charset="-122"/>
              </a:rPr>
              <a:t> 电动汽车推广比例预测趋势图</a:t>
            </a:r>
            <a:endParaRPr sz="1200">
              <a:solidFill>
                <a:schemeClr val="tx1"/>
              </a:solidFill>
              <a:latin typeface="黑体" panose="02010609060101010101" charset="-122"/>
              <a:ea typeface="黑体" panose="02010609060101010101" charset="-122"/>
              <a:cs typeface="黑体" panose="02010609060101010101" charset="-122"/>
              <a:sym typeface="黑体" panose="02010609060101010101" charset="-122"/>
            </a:endParaRPr>
          </a:p>
        </c:rich>
      </c:tx>
      <c:layout>
        <c:manualLayout>
          <c:xMode val="edge"/>
          <c:yMode val="edge"/>
          <c:x val="0.290081122947623"/>
          <c:y val="0.931148748159057"/>
        </c:manualLayout>
      </c:layout>
      <c:overlay val="false"/>
      <c:spPr>
        <a:noFill/>
        <a:ln>
          <a:noFill/>
        </a:ln>
        <a:effectLst/>
      </c:spPr>
    </c:title>
    <c:autoTitleDeleted val="false"/>
    <c:plotArea>
      <c:layout/>
      <c:barChart>
        <c:barDir val="col"/>
        <c:grouping val="clustered"/>
        <c:varyColors val="false"/>
        <c:ser>
          <c:idx val="0"/>
          <c:order val="0"/>
          <c:tx>
            <c:strRef>
              <c:f>'[充电桩相关数据分析2025.xlsx]中期调整车辆数据（修正车辆数据）'!$Q$2</c:f>
              <c:strCache>
                <c:ptCount val="1"/>
                <c:pt idx="0">
                  <c:v>电动汽车数量（万辆）</c:v>
                </c:pt>
              </c:strCache>
            </c:strRef>
          </c:tx>
          <c:spPr>
            <a:solidFill>
              <a:schemeClr val="accent1"/>
            </a:solidFill>
            <a:ln>
              <a:noFill/>
            </a:ln>
            <a:effectLst/>
          </c:spPr>
          <c:invertIfNegative val="false"/>
          <c:dLbls>
            <c:delete val="true"/>
          </c:dLbls>
          <c:cat>
            <c:strRef>
              <c:f>'[充电桩相关数据分析2025.xlsx]中期调整车辆数据（修正车辆数据）'!$P$3:$P$17</c:f>
              <c:strCache>
                <c:ptCount val="15"/>
                <c:pt idx="0">
                  <c:v>2016年</c:v>
                </c:pt>
                <c:pt idx="1">
                  <c:v>2017年</c:v>
                </c:pt>
                <c:pt idx="2">
                  <c:v>2018年</c:v>
                </c:pt>
                <c:pt idx="3">
                  <c:v>2019年</c:v>
                </c:pt>
                <c:pt idx="4">
                  <c:v>2020年</c:v>
                </c:pt>
                <c:pt idx="5">
                  <c:v>2021年</c:v>
                </c:pt>
                <c:pt idx="6">
                  <c:v>2022年</c:v>
                </c:pt>
                <c:pt idx="7">
                  <c:v>2023年</c:v>
                </c:pt>
                <c:pt idx="8">
                  <c:v>2024年</c:v>
                </c:pt>
                <c:pt idx="9">
                  <c:v>2025年</c:v>
                </c:pt>
                <c:pt idx="10">
                  <c:v>2026年</c:v>
                </c:pt>
                <c:pt idx="11">
                  <c:v>2027年</c:v>
                </c:pt>
                <c:pt idx="12">
                  <c:v>2028年</c:v>
                </c:pt>
                <c:pt idx="13">
                  <c:v>2029年</c:v>
                </c:pt>
                <c:pt idx="14">
                  <c:v>2030年</c:v>
                </c:pt>
              </c:strCache>
            </c:strRef>
          </c:cat>
          <c:val>
            <c:numRef>
              <c:f>'[充电桩相关数据分析2025.xlsx]中期调整车辆数据（修正车辆数据）'!$Q$3:$Q$17</c:f>
              <c:numCache>
                <c:formatCode>0.00_ </c:formatCode>
                <c:ptCount val="15"/>
                <c:pt idx="0">
                  <c:v>0.0119</c:v>
                </c:pt>
                <c:pt idx="1">
                  <c:v>0.0463</c:v>
                </c:pt>
                <c:pt idx="2">
                  <c:v>0.1016</c:v>
                </c:pt>
                <c:pt idx="3">
                  <c:v>0.1656</c:v>
                </c:pt>
                <c:pt idx="4">
                  <c:v>0.2527</c:v>
                </c:pt>
                <c:pt idx="5">
                  <c:v>0.5314</c:v>
                </c:pt>
                <c:pt idx="6">
                  <c:v>0.9902</c:v>
                </c:pt>
                <c:pt idx="7">
                  <c:v>1.7085</c:v>
                </c:pt>
                <c:pt idx="8">
                  <c:v>3.4884</c:v>
                </c:pt>
                <c:pt idx="9">
                  <c:v>5.1</c:v>
                </c:pt>
                <c:pt idx="10">
                  <c:v>7.964</c:v>
                </c:pt>
                <c:pt idx="11">
                  <c:v>11.136</c:v>
                </c:pt>
                <c:pt idx="12">
                  <c:v>14.616</c:v>
                </c:pt>
                <c:pt idx="13">
                  <c:v>18.404</c:v>
                </c:pt>
                <c:pt idx="14">
                  <c:v>22.5</c:v>
                </c:pt>
              </c:numCache>
            </c:numRef>
          </c:val>
        </c:ser>
        <c:dLbls>
          <c:showLegendKey val="false"/>
          <c:showVal val="false"/>
          <c:showCatName val="false"/>
          <c:showSerName val="false"/>
          <c:showPercent val="false"/>
          <c:showBubbleSize val="false"/>
        </c:dLbls>
        <c:gapWidth val="150"/>
        <c:overlap val="0"/>
        <c:axId val="927679758"/>
        <c:axId val="945061015"/>
      </c:barChart>
      <c:lineChart>
        <c:grouping val="standard"/>
        <c:varyColors val="false"/>
        <c:ser>
          <c:idx val="1"/>
          <c:order val="1"/>
          <c:tx>
            <c:strRef>
              <c:f>'[充电桩相关数据分析2025.xlsx]中期调整车辆数据（修正车辆数据）'!$R$2</c:f>
              <c:strCache>
                <c:ptCount val="1"/>
                <c:pt idx="0">
                  <c:v>电动汽车占汽车比例（%）</c:v>
                </c:pt>
              </c:strCache>
            </c:strRef>
          </c:tx>
          <c:spPr>
            <a:ln w="28575" cap="rnd">
              <a:solidFill>
                <a:srgbClr val="C00000"/>
              </a:solidFill>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mn-lt"/>
                    <a:ea typeface="+mn-ea"/>
                    <a:cs typeface="+mn-cs"/>
                  </a:defRPr>
                </a:pPr>
              </a:p>
            </c:txPr>
            <c:dLblPos val="t"/>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'[充电桩相关数据分析2025.xlsx]中期调整车辆数据（修正车辆数据）'!$P$3:$P$17</c:f>
              <c:strCache>
                <c:ptCount val="15"/>
                <c:pt idx="0">
                  <c:v>2016年</c:v>
                </c:pt>
                <c:pt idx="1">
                  <c:v>2017年</c:v>
                </c:pt>
                <c:pt idx="2">
                  <c:v>2018年</c:v>
                </c:pt>
                <c:pt idx="3">
                  <c:v>2019年</c:v>
                </c:pt>
                <c:pt idx="4">
                  <c:v>2020年</c:v>
                </c:pt>
                <c:pt idx="5">
                  <c:v>2021年</c:v>
                </c:pt>
                <c:pt idx="6">
                  <c:v>2022年</c:v>
                </c:pt>
                <c:pt idx="7">
                  <c:v>2023年</c:v>
                </c:pt>
                <c:pt idx="8">
                  <c:v>2024年</c:v>
                </c:pt>
                <c:pt idx="9">
                  <c:v>2025年</c:v>
                </c:pt>
                <c:pt idx="10">
                  <c:v>2026年</c:v>
                </c:pt>
                <c:pt idx="11">
                  <c:v>2027年</c:v>
                </c:pt>
                <c:pt idx="12">
                  <c:v>2028年</c:v>
                </c:pt>
                <c:pt idx="13">
                  <c:v>2029年</c:v>
                </c:pt>
                <c:pt idx="14">
                  <c:v>2030年</c:v>
                </c:pt>
              </c:strCache>
            </c:strRef>
          </c:cat>
          <c:val>
            <c:numRef>
              <c:f>'[充电桩相关数据分析2025.xlsx]中期调整车辆数据（修正车辆数据）'!$R$3:$R$17</c:f>
              <c:numCache>
                <c:formatCode>0.00_ </c:formatCode>
                <c:ptCount val="15"/>
                <c:pt idx="0">
                  <c:v>0.0389576376612322</c:v>
                </c:pt>
                <c:pt idx="1">
                  <c:v>0.13530257513238</c:v>
                </c:pt>
                <c:pt idx="2">
                  <c:v>0.259813987505402</c:v>
                </c:pt>
                <c:pt idx="3">
                  <c:v>0.369450709787097</c:v>
                </c:pt>
                <c:pt idx="4">
                  <c:v>0.524014026240101</c:v>
                </c:pt>
                <c:pt idx="5">
                  <c:v>1.01524006396356</c:v>
                </c:pt>
                <c:pt idx="6">
                  <c:v>1.77312203420181</c:v>
                </c:pt>
                <c:pt idx="7">
                  <c:v>2.87510096930533</c:v>
                </c:pt>
                <c:pt idx="8">
                  <c:v>5.55909687782863</c:v>
                </c:pt>
                <c:pt idx="9">
                  <c:v>7.5</c:v>
                </c:pt>
                <c:pt idx="10">
                  <c:v>11</c:v>
                </c:pt>
                <c:pt idx="11">
                  <c:v>14.5</c:v>
                </c:pt>
                <c:pt idx="12">
                  <c:v>18</c:v>
                </c:pt>
                <c:pt idx="13">
                  <c:v>21.5</c:v>
                </c:pt>
                <c:pt idx="14">
                  <c:v>25</c:v>
                </c:pt>
              </c:numCache>
            </c:numRef>
          </c:val>
          <c:smooth val="false"/>
        </c:ser>
        <c:dLbls>
          <c:showLegendKey val="false"/>
          <c:showVal val="true"/>
          <c:showCatName val="false"/>
          <c:showSerName val="false"/>
          <c:showPercent val="false"/>
          <c:showBubbleSize val="false"/>
        </c:dLbls>
        <c:marker val="false"/>
        <c:smooth val="false"/>
        <c:axId val="187329243"/>
        <c:axId val="279221341"/>
      </c:lineChart>
      <c:catAx>
        <c:axId val="927679758"/>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945061015"/>
        <c:crosses val="autoZero"/>
        <c:auto val="true"/>
        <c:lblAlgn val="ctr"/>
        <c:lblOffset val="100"/>
        <c:noMultiLvlLbl val="false"/>
      </c:catAx>
      <c:valAx>
        <c:axId val="945061015"/>
        <c:scaling>
          <c:orientation val="minMax"/>
        </c:scaling>
        <c:delete val="false"/>
        <c:axPos val="l"/>
        <c:majorGridlines>
          <c:spPr>
            <a:ln w="9525" cap="flat" cmpd="sng" algn="ctr">
              <a:solidFill>
                <a:schemeClr val="tx1">
                  <a:lumMod val="15000"/>
                  <a:lumOff val="85000"/>
                </a:schemeClr>
              </a:solidFill>
              <a:round/>
            </a:ln>
            <a:effectLst/>
          </c:spPr>
        </c:majorGridlines>
        <c:numFmt formatCode="0.00_ "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927679758"/>
        <c:crosses val="autoZero"/>
        <c:crossBetween val="between"/>
      </c:valAx>
      <c:catAx>
        <c:axId val="187329243"/>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279221341"/>
        <c:crosses val="autoZero"/>
        <c:auto val="true"/>
        <c:lblAlgn val="ctr"/>
        <c:lblOffset val="100"/>
        <c:noMultiLvlLbl val="false"/>
      </c:catAx>
      <c:valAx>
        <c:axId val="279221341"/>
        <c:scaling>
          <c:orientation val="minMax"/>
        </c:scaling>
        <c:delete val="false"/>
        <c:axPos val="r"/>
        <c:numFmt formatCode="0.00_ "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187329243"/>
        <c:crosses val="max"/>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Entry>
      <c:layout>
        <c:manualLayout>
          <c:xMode val="edge"/>
          <c:yMode val="edge"/>
          <c:x val="0.0041539739684298"/>
          <c:y val="0.00689813750287422"/>
        </c:manualLayout>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a:solidFill>
            <a:schemeClr val="tx1"/>
          </a:solidFill>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27881</Words>
  <Characters>30035</Characters>
  <Lines>0</Lines>
  <Paragraphs>0</Paragraphs>
  <TotalTime>11</TotalTime>
  <ScaleCrop>false</ScaleCrop>
  <LinksUpToDate>false</LinksUpToDate>
  <CharactersWithSpaces>30556</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2023-12-19T08:28:00Z</dcterms:created>
  <dc:creator>嘉州故心人</dc:creator>
  <cp:lastModifiedBy>user</cp:lastModifiedBy>
  <cp:lastPrinted>2025-11-24T03:05:00Z</cp:lastPrinted>
  <dcterms:modified xsi:type="dcterms:W3CDTF">2025-12-23T16:33:00Z</dcterms:modified>
  <dc:title>乐山市电动汽车充电基础设施</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7FA80F9221D64AF891D100EA49174F5D_13</vt:lpwstr>
  </property>
  <property fmtid="{D5CDD505-2E9C-101B-9397-08002B2CF9AE}" pid="4" name="KSOTemplateDocerSaveRecord">
    <vt:lpwstr>eyJoZGlkIjoiMmJmNWM3ZGI5NWQwNWRhYjUxMzllMTg0NjQ2MWRlYjIiLCJ1c2VySWQiOiIzMzg5OTg3OTIifQ==</vt:lpwstr>
  </property>
</Properties>
</file>