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乐山市经济和信息化局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拟兑现2023-2025年度新获批专精特新奖补企业名单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根据《乐山市人民政府办公室印发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关于进一步促进科技创新十条政策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的通知》（乐府办发〔20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和《乐山市经济和信息化局落实〈关于进一步促进科技创新十条政策〉奖补实施方案》（乐市经信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县（市、区）上报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部门审查</w:t>
      </w:r>
      <w:r>
        <w:rPr>
          <w:rFonts w:hint="eastAsia" w:ascii="仿宋_GB2312" w:hAnsi="仿宋_GB2312" w:eastAsia="仿宋_GB2312" w:cs="仿宋_GB2312"/>
          <w:sz w:val="32"/>
          <w:szCs w:val="32"/>
        </w:rPr>
        <w:t>等程序，初步认定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41</w:t>
      </w:r>
      <w:r>
        <w:rPr>
          <w:rFonts w:hint="eastAsia" w:ascii="仿宋_GB2312" w:hAnsi="仿宋_GB2312" w:eastAsia="仿宋_GB2312" w:cs="仿宋_GB2312"/>
          <w:sz w:val="32"/>
          <w:szCs w:val="32"/>
        </w:rPr>
        <w:t>家企业符合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奖补条件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（名单附后），现予以公示。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日－202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公示期间，任何单位和个人均可通过来信、来电、来访的形式，向市经济信息化局反映问题，以单位名义反映的须加盖公章，以个人名义反映的须署本人真实姓名和联系方式。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联系方式：乐山市经济和信息化局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地址：乐山市市中区郑坝街96号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邮编：614000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联系电话：0833－2115493（企业服务科）；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0833－2481372（机关纪委）。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乐山市拟兑现2023-2025年度新获批专精特新奖补企业名单</w:t>
      </w:r>
    </w:p>
    <w:tbl>
      <w:tblPr>
        <w:tblStyle w:val="3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435"/>
        <w:gridCol w:w="141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企业名称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所在区县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认定类型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乐山市前沿油气设备制造有限公司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五通桥区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乐山市龙祥机械制造有限公司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五通桥区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乐山恒力阀门有限责任公司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乐山市富侨建材有限公司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市中区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四川长鑫管业有限公司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乐山市沙湾区嘉盛造型材料有限公司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四川东方长锦管业科技有限公司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四川省邦友达科技有限公司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沙湾区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四川味至嘉食品有限公司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井研县林翔米业有限责任公司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四川康贝德新材料有限公司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乐山市哈五爷食品有限责任公司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井研县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四川龙骨山茶业有限公司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犍为青禾木业有限公司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犍为三环纸业有限责任公司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乐山市泽泰釉彩科技有限公司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壹点智胜集团有限公司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犍为县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四川洪椿茶业有限公司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四川海润作物科学技术有限公司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中国水利水电夹江水工机械有限公司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四川厚全生态农业有限公司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乐山市七普饲料有限公司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四川华义茶业有限公司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四川铭帝铝业有限公司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东方电气（乐山）峨半高纯材料有限公司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夹江县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四川伟力得能源股份有限公司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国家级专精特新“小巨人”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四川大冢制药有限公司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四川硅旺新材料科技有限公司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乐山岷源发电设备有限公司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四川嘉能佳网创新能源科技有限责任公司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四川天和环境工程科技有限公司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尚纬股份有限公司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四川科跃热传电子有限公司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乐山易通天下网络科技有限公司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乐山勤力农业开发有限公司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峨眉山恒利彩印包装有限公司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峨眉山嘉美高纯材料有限公司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四川峨眉兴德环保科技有限公司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峨眉山龙泉机械有限公司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四川乐飞光电科技有限公司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国家级专精特新“小巨人”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4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峨眉山市龙腾生物科技有限公司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峨眉山市</w:t>
            </w:r>
          </w:p>
        </w:tc>
        <w:tc>
          <w:tcPr>
            <w:tcW w:w="33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省级专精特新中小企业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95F89C8"/>
    <w:rsid w:val="4A1947CF"/>
    <w:rsid w:val="5FEA2187"/>
    <w:rsid w:val="677F438D"/>
    <w:rsid w:val="7FDFE183"/>
    <w:rsid w:val="7FF3F2E6"/>
    <w:rsid w:val="B93FC3ED"/>
    <w:rsid w:val="CFEEE221"/>
    <w:rsid w:val="FBBD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user</cp:lastModifiedBy>
  <cp:lastPrinted>2026-01-19T10:08:28Z</cp:lastPrinted>
  <dcterms:modified xsi:type="dcterms:W3CDTF">2026-01-19T10:22:20Z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