
<file path=[Content_Types].xml><?xml version="1.0" encoding="utf-8"?>
<Types xmlns="http://schemas.openxmlformats.org/package/2006/content-types">
  <Default Extension="xml" ContentType="application/xml"/>
  <Default Extension="jpeg" ContentType="image/jpeg"/>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9"/>
        <w:jc w:val="center"/>
        <w:rPr>
          <w:rFonts w:ascii="Times New Roman" w:hAnsi="Times New Roman" w:eastAsia="方正小标宋简体" w:cs="Times New Roman"/>
          <w:color w:val="auto"/>
          <w:sz w:val="52"/>
          <w:szCs w:val="52"/>
          <w:lang w:val="zh-TW"/>
        </w:rPr>
      </w:pPr>
    </w:p>
    <w:p>
      <w:pPr>
        <w:pStyle w:val="9"/>
        <w:jc w:val="center"/>
        <w:rPr>
          <w:rFonts w:ascii="Times New Roman" w:hAnsi="Times New Roman" w:eastAsia="方正小标宋简体" w:cs="Times New Roman"/>
          <w:color w:val="auto"/>
          <w:sz w:val="52"/>
          <w:szCs w:val="52"/>
          <w:lang w:val="zh-TW"/>
        </w:rPr>
      </w:pPr>
    </w:p>
    <w:p>
      <w:pPr>
        <w:spacing w:line="480" w:lineRule="auto"/>
        <w:jc w:val="center"/>
        <w:rPr>
          <w:rFonts w:ascii="Times New Roman" w:hAnsi="Times New Roman" w:eastAsia="方正小标宋简体" w:cs="Times New Roman"/>
          <w:color w:val="auto"/>
          <w:sz w:val="52"/>
          <w:szCs w:val="52"/>
        </w:rPr>
      </w:pPr>
      <w:bookmarkStart w:id="0" w:name="_Toc17080"/>
      <w:bookmarkStart w:id="1" w:name="_Toc29678"/>
      <w:bookmarkStart w:id="2" w:name="_Toc16392"/>
      <w:bookmarkStart w:id="3" w:name="_Toc28750"/>
      <w:bookmarkStart w:id="4" w:name="_Toc12226"/>
      <w:r>
        <w:rPr>
          <w:rFonts w:hint="eastAsia" w:ascii="Times New Roman" w:hAnsi="Times New Roman" w:eastAsia="方正小标宋简体" w:cs="Times New Roman"/>
          <w:color w:val="auto"/>
          <w:sz w:val="52"/>
          <w:szCs w:val="52"/>
        </w:rPr>
        <w:t>乐山市低空经济总体发展规划</w:t>
      </w:r>
      <w:bookmarkEnd w:id="0"/>
      <w:bookmarkEnd w:id="1"/>
      <w:bookmarkEnd w:id="2"/>
      <w:bookmarkEnd w:id="3"/>
      <w:bookmarkEnd w:id="4"/>
    </w:p>
    <w:p>
      <w:pPr>
        <w:spacing w:line="480" w:lineRule="auto"/>
        <w:jc w:val="center"/>
        <w:rPr>
          <w:rFonts w:ascii="Times New Roman" w:hAnsi="Times New Roman" w:eastAsia="方正小标宋简体" w:cs="Times New Roman"/>
          <w:color w:val="auto"/>
          <w:sz w:val="44"/>
          <w:szCs w:val="44"/>
        </w:rPr>
      </w:pPr>
      <w:r>
        <w:rPr>
          <w:rFonts w:hint="eastAsia" w:ascii="Times New Roman" w:hAnsi="Times New Roman" w:eastAsia="方正小标宋简体" w:cs="Times New Roman"/>
          <w:color w:val="auto"/>
          <w:sz w:val="44"/>
          <w:szCs w:val="44"/>
        </w:rPr>
        <w:t>（2025—2030年）</w:t>
      </w:r>
    </w:p>
    <w:p>
      <w:pPr>
        <w:pStyle w:val="9"/>
        <w:jc w:val="center"/>
        <w:rPr>
          <w:rFonts w:ascii="Times New Roman" w:hAnsi="Times New Roman" w:eastAsia="楷体_GB2312" w:cs="Times New Roman"/>
          <w:color w:val="auto"/>
          <w:sz w:val="44"/>
          <w:szCs w:val="44"/>
          <w:lang w:val="en-US" w:eastAsia="zh-TW"/>
        </w:rPr>
      </w:pPr>
    </w:p>
    <w:p>
      <w:pPr>
        <w:pStyle w:val="9"/>
        <w:jc w:val="center"/>
        <w:rPr>
          <w:rFonts w:ascii="Times New Roman" w:hAnsi="Times New Roman" w:eastAsia="楷体_GB2312" w:cs="Times New Roman"/>
          <w:color w:val="auto"/>
          <w:sz w:val="44"/>
          <w:szCs w:val="44"/>
          <w:lang w:val="zh-TW" w:eastAsia="zh-TW"/>
        </w:rPr>
      </w:pPr>
    </w:p>
    <w:p>
      <w:pPr>
        <w:pStyle w:val="9"/>
        <w:jc w:val="center"/>
        <w:rPr>
          <w:rFonts w:ascii="Times New Roman" w:hAnsi="Times New Roman" w:eastAsia="方正小标宋简体" w:cs="Times New Roman"/>
          <w:color w:val="auto"/>
          <w:sz w:val="52"/>
          <w:szCs w:val="52"/>
          <w:lang w:val="zh-TW" w:eastAsia="zh-TW"/>
        </w:rPr>
      </w:pPr>
      <w:r>
        <w:rPr>
          <w:rFonts w:hint="eastAsia" w:ascii="Times New Roman" w:hAnsi="Times New Roman" w:eastAsia="楷体_GB2312" w:cs="Times New Roman"/>
          <w:color w:val="auto"/>
          <w:sz w:val="44"/>
          <w:szCs w:val="44"/>
          <w:lang w:val="en-US"/>
        </w:rPr>
        <w:t>（送审稿）</w:t>
      </w:r>
    </w:p>
    <w:p>
      <w:pPr>
        <w:pStyle w:val="9"/>
        <w:jc w:val="center"/>
        <w:rPr>
          <w:rFonts w:ascii="Times New Roman" w:hAnsi="Times New Roman" w:eastAsia="方正小标宋简体" w:cs="Times New Roman"/>
          <w:color w:val="auto"/>
          <w:sz w:val="52"/>
          <w:szCs w:val="52"/>
          <w:lang w:val="zh-TW" w:eastAsia="zh-TW"/>
        </w:rPr>
      </w:pPr>
    </w:p>
    <w:p>
      <w:pPr>
        <w:pStyle w:val="9"/>
        <w:jc w:val="center"/>
        <w:rPr>
          <w:rFonts w:ascii="Times New Roman" w:hAnsi="Times New Roman" w:eastAsia="方正小标宋简体" w:cs="Times New Roman"/>
          <w:color w:val="auto"/>
          <w:sz w:val="52"/>
          <w:szCs w:val="52"/>
          <w:lang w:val="zh-TW" w:eastAsia="zh-TW"/>
        </w:rPr>
      </w:pPr>
    </w:p>
    <w:p>
      <w:pPr>
        <w:pStyle w:val="9"/>
        <w:jc w:val="center"/>
        <w:rPr>
          <w:rFonts w:ascii="Times New Roman" w:hAnsi="Times New Roman" w:eastAsia="方正小标宋简体" w:cs="Times New Roman"/>
          <w:color w:val="auto"/>
          <w:sz w:val="52"/>
          <w:szCs w:val="52"/>
          <w:lang w:val="zh-TW"/>
        </w:rPr>
      </w:pPr>
    </w:p>
    <w:p>
      <w:pPr>
        <w:pStyle w:val="9"/>
        <w:jc w:val="center"/>
        <w:rPr>
          <w:rFonts w:ascii="Times New Roman" w:hAnsi="Times New Roman" w:eastAsia="方正小标宋简体" w:cs="Times New Roman"/>
          <w:color w:val="auto"/>
          <w:sz w:val="52"/>
          <w:szCs w:val="52"/>
          <w:lang w:val="zh-TW"/>
        </w:rPr>
      </w:pPr>
    </w:p>
    <w:p>
      <w:pPr>
        <w:pStyle w:val="9"/>
        <w:jc w:val="center"/>
        <w:rPr>
          <w:rFonts w:ascii="Times New Roman" w:hAnsi="Times New Roman" w:eastAsia="方正小标宋简体" w:cs="Times New Roman"/>
          <w:color w:val="auto"/>
          <w:sz w:val="52"/>
          <w:szCs w:val="52"/>
          <w:lang w:val="zh-TW" w:eastAsia="zh-TW"/>
        </w:rPr>
      </w:pPr>
    </w:p>
    <w:p>
      <w:pPr>
        <w:pStyle w:val="9"/>
        <w:jc w:val="center"/>
        <w:rPr>
          <w:rFonts w:ascii="Times New Roman" w:hAnsi="Times New Roman" w:eastAsia="方正小标宋简体" w:cs="Times New Roman"/>
          <w:color w:val="auto"/>
          <w:sz w:val="52"/>
          <w:szCs w:val="52"/>
          <w:lang w:val="zh-TW" w:eastAsia="zh-TW"/>
        </w:rPr>
      </w:pPr>
    </w:p>
    <w:p>
      <w:pPr>
        <w:pStyle w:val="9"/>
        <w:jc w:val="center"/>
        <w:rPr>
          <w:rFonts w:ascii="Times New Roman" w:hAnsi="Times New Roman" w:eastAsia="方正小标宋简体" w:cs="Times New Roman"/>
          <w:color w:val="auto"/>
          <w:sz w:val="52"/>
          <w:szCs w:val="52"/>
          <w:lang w:val="zh-TW" w:eastAsia="zh-TW"/>
        </w:rPr>
      </w:pPr>
    </w:p>
    <w:p>
      <w:pPr>
        <w:jc w:val="center"/>
        <w:rPr>
          <w:rFonts w:ascii="Times New Roman" w:hAnsi="Times New Roman" w:eastAsia="黑体" w:cs="Times New Roman"/>
          <w:color w:val="auto"/>
          <w:sz w:val="44"/>
          <w:szCs w:val="44"/>
          <w:lang w:val="zh-TW" w:eastAsia="zh-TW"/>
        </w:rPr>
      </w:pPr>
      <w:r>
        <w:rPr>
          <w:rFonts w:hint="eastAsia" w:ascii="Times New Roman" w:hAnsi="Times New Roman" w:eastAsia="黑体" w:cs="Times New Roman"/>
          <w:color w:val="auto"/>
          <w:sz w:val="44"/>
          <w:szCs w:val="44"/>
          <w:lang w:val="zh-TW" w:eastAsia="zh-TW"/>
        </w:rPr>
        <w:t>202</w:t>
      </w:r>
      <w:r>
        <w:rPr>
          <w:rFonts w:hint="eastAsia" w:ascii="Times New Roman" w:hAnsi="Times New Roman" w:eastAsia="黑体" w:cs="Times New Roman"/>
          <w:color w:val="auto"/>
          <w:sz w:val="44"/>
          <w:szCs w:val="44"/>
        </w:rPr>
        <w:t>6</w:t>
      </w:r>
      <w:r>
        <w:rPr>
          <w:rFonts w:hint="eastAsia" w:ascii="Times New Roman" w:hAnsi="Times New Roman" w:eastAsia="黑体" w:cs="Times New Roman"/>
          <w:color w:val="auto"/>
          <w:sz w:val="44"/>
          <w:szCs w:val="44"/>
          <w:lang w:val="zh-TW" w:eastAsia="zh-TW"/>
        </w:rPr>
        <w:t>年</w:t>
      </w:r>
      <w:r>
        <w:rPr>
          <w:rFonts w:hint="eastAsia" w:ascii="Times New Roman" w:hAnsi="Times New Roman" w:eastAsia="黑体" w:cs="Times New Roman"/>
          <w:color w:val="auto"/>
          <w:sz w:val="44"/>
          <w:szCs w:val="44"/>
        </w:rPr>
        <w:t>3</w:t>
      </w:r>
      <w:r>
        <w:rPr>
          <w:rFonts w:hint="eastAsia" w:ascii="Times New Roman" w:hAnsi="Times New Roman" w:eastAsia="黑体" w:cs="Times New Roman"/>
          <w:color w:val="auto"/>
          <w:sz w:val="44"/>
          <w:szCs w:val="44"/>
          <w:lang w:val="zh-TW" w:eastAsia="zh-TW"/>
        </w:rPr>
        <w:t>月</w:t>
      </w:r>
    </w:p>
    <w:p>
      <w:pPr>
        <w:jc w:val="center"/>
        <w:rPr>
          <w:rFonts w:ascii="Times New Roman" w:hAnsi="Times New Roman" w:eastAsia="黑体" w:cs="Times New Roman"/>
          <w:color w:val="auto"/>
          <w:sz w:val="44"/>
          <w:szCs w:val="44"/>
          <w:lang w:val="zh-TW" w:eastAsia="zh-TW"/>
        </w:rPr>
      </w:pPr>
    </w:p>
    <w:p>
      <w:pPr>
        <w:jc w:val="center"/>
        <w:rPr>
          <w:rFonts w:ascii="Times New Roman" w:hAnsi="Times New Roman" w:eastAsia="黑体" w:cs="Times New Roman"/>
          <w:color w:val="auto"/>
          <w:sz w:val="44"/>
          <w:szCs w:val="44"/>
          <w:lang w:val="zh-TW" w:eastAsia="zh-TW"/>
        </w:rPr>
        <w:sectPr>
          <w:pgSz w:w="11906" w:h="16838"/>
          <w:pgMar w:top="1440" w:right="1800" w:bottom="1440" w:left="1800" w:header="851" w:footer="992" w:gutter="0"/>
          <w:cols w:space="425" w:num="1"/>
          <w:docGrid w:type="lines" w:linePitch="312" w:charSpace="0"/>
        </w:sectPr>
      </w:pPr>
    </w:p>
    <w:p>
      <w:pPr>
        <w:pStyle w:val="9"/>
        <w:spacing w:line="560" w:lineRule="exact"/>
        <w:jc w:val="center"/>
        <w:outlineLvl w:val="0"/>
        <w:rPr>
          <w:rFonts w:ascii="Times New Roman" w:hAnsi="Times New Roman" w:eastAsia="黑体" w:cs="Times New Roman"/>
          <w:color w:val="auto"/>
          <w:sz w:val="36"/>
          <w:szCs w:val="36"/>
          <w:lang w:val="en-US" w:eastAsia="zh-TW"/>
        </w:rPr>
      </w:pPr>
      <w:bookmarkStart w:id="5" w:name="_Toc31359"/>
      <w:bookmarkStart w:id="6" w:name="_Toc25079"/>
      <w:bookmarkStart w:id="7" w:name="_Toc9105"/>
      <w:bookmarkStart w:id="8" w:name="_Toc7042"/>
      <w:bookmarkStart w:id="9" w:name="_Toc3897"/>
      <w:bookmarkStart w:id="10" w:name="_Toc197353874"/>
      <w:bookmarkStart w:id="11" w:name="_Toc21213"/>
      <w:bookmarkStart w:id="12" w:name="_Toc30052"/>
      <w:bookmarkStart w:id="13" w:name="_Toc198194783"/>
      <w:bookmarkStart w:id="14" w:name="_Toc14070"/>
      <w:bookmarkStart w:id="15" w:name="_Toc207125749"/>
      <w:bookmarkStart w:id="16" w:name="_Toc31187"/>
      <w:bookmarkStart w:id="17" w:name="_Toc220270438"/>
      <w:r>
        <w:rPr>
          <w:rFonts w:hint="eastAsia" w:ascii="Times New Roman" w:hAnsi="Times New Roman" w:eastAsia="黑体" w:cs="Times New Roman"/>
          <w:color w:val="auto"/>
          <w:sz w:val="36"/>
          <w:szCs w:val="36"/>
          <w:lang w:val="en-US" w:eastAsia="zh-TW"/>
        </w:rPr>
        <w:t>前</w:t>
      </w:r>
      <w:r>
        <w:rPr>
          <w:rFonts w:hint="eastAsia" w:ascii="Times New Roman" w:hAnsi="Times New Roman" w:eastAsia="黑体" w:cs="Times New Roman"/>
          <w:color w:val="auto"/>
          <w:sz w:val="36"/>
          <w:szCs w:val="36"/>
          <w:lang w:val="zh-TW" w:eastAsia="zh-TW"/>
        </w:rPr>
        <w:t xml:space="preserve">  </w:t>
      </w:r>
      <w:r>
        <w:rPr>
          <w:rFonts w:hint="eastAsia" w:ascii="Times New Roman" w:hAnsi="Times New Roman" w:eastAsia="黑体" w:cs="Times New Roman"/>
          <w:color w:val="auto"/>
          <w:sz w:val="36"/>
          <w:szCs w:val="36"/>
          <w:lang w:val="en-US" w:eastAsia="zh-TW"/>
        </w:rPr>
        <w:t>言</w:t>
      </w:r>
      <w:bookmarkEnd w:id="5"/>
      <w:bookmarkEnd w:id="6"/>
      <w:bookmarkEnd w:id="7"/>
      <w:bookmarkEnd w:id="8"/>
      <w:bookmarkEnd w:id="9"/>
      <w:bookmarkEnd w:id="10"/>
      <w:bookmarkEnd w:id="11"/>
      <w:bookmarkEnd w:id="12"/>
      <w:bookmarkEnd w:id="13"/>
      <w:bookmarkEnd w:id="14"/>
      <w:bookmarkEnd w:id="15"/>
      <w:bookmarkEnd w:id="16"/>
      <w:bookmarkEnd w:id="17"/>
    </w:p>
    <w:p>
      <w:pPr>
        <w:pStyle w:val="9"/>
        <w:spacing w:line="560" w:lineRule="exact"/>
        <w:jc w:val="center"/>
        <w:rPr>
          <w:rFonts w:ascii="Times New Roman" w:hAnsi="Times New Roman" w:eastAsia="黑体" w:cs="Times New Roman"/>
          <w:color w:val="auto"/>
          <w:sz w:val="36"/>
          <w:szCs w:val="36"/>
          <w:lang w:val="en-US" w:eastAsia="zh-TW"/>
        </w:rPr>
      </w:pPr>
    </w:p>
    <w:p>
      <w:pPr>
        <w:spacing w:line="560" w:lineRule="exact"/>
        <w:ind w:firstLine="640" w:firstLineChars="200"/>
        <w:rPr>
          <w:rFonts w:ascii="Times New Roman" w:hAnsi="Times New Roman" w:eastAsia="仿宋_GB2312" w:cs="Times New Roman"/>
          <w:color w:val="auto"/>
          <w:sz w:val="32"/>
          <w:szCs w:val="36"/>
        </w:rPr>
      </w:pPr>
      <w:r>
        <w:rPr>
          <w:rFonts w:hint="eastAsia" w:ascii="Times New Roman" w:hAnsi="Times New Roman" w:eastAsia="仿宋_GB2312" w:cs="Times New Roman"/>
          <w:color w:val="auto"/>
          <w:sz w:val="32"/>
          <w:szCs w:val="36"/>
        </w:rPr>
        <w:t>低空经济是依托低空航空活动带动相关产业创新和场景应用形成的综合性经济形态，</w:t>
      </w:r>
      <w:bookmarkStart w:id="18" w:name="OLE_LINK8"/>
      <w:r>
        <w:rPr>
          <w:rFonts w:hint="eastAsia" w:ascii="Times New Roman" w:hAnsi="Times New Roman" w:eastAsia="仿宋_GB2312" w:cs="Times New Roman"/>
          <w:color w:val="auto"/>
          <w:sz w:val="32"/>
          <w:szCs w:val="36"/>
        </w:rPr>
        <w:t>涵盖低空制造业、低空运营业、低空基建与信息服务业、低空配套业</w:t>
      </w:r>
      <w:bookmarkEnd w:id="18"/>
      <w:r>
        <w:rPr>
          <w:rFonts w:hint="eastAsia" w:ascii="Times New Roman" w:hAnsi="Times New Roman" w:eastAsia="仿宋_GB2312" w:cs="Times New Roman"/>
          <w:color w:val="auto"/>
          <w:sz w:val="32"/>
          <w:szCs w:val="36"/>
        </w:rPr>
        <w:t>，是新质生产力的典型代表。</w:t>
      </w:r>
    </w:p>
    <w:p>
      <w:pPr>
        <w:spacing w:line="560" w:lineRule="exact"/>
        <w:ind w:firstLine="640" w:firstLineChars="200"/>
        <w:rPr>
          <w:rFonts w:ascii="Times New Roman" w:hAnsi="Times New Roman" w:eastAsia="仿宋_GB2312" w:cs="Times New Roman"/>
          <w:color w:val="auto"/>
          <w:sz w:val="32"/>
          <w:szCs w:val="32"/>
        </w:rPr>
      </w:pPr>
      <w:r>
        <w:rPr>
          <w:rFonts w:hint="eastAsia" w:ascii="Times New Roman" w:hAnsi="Times New Roman" w:eastAsia="仿宋_GB2312" w:cs="Times New Roman"/>
          <w:color w:val="auto"/>
          <w:sz w:val="32"/>
          <w:szCs w:val="32"/>
        </w:rPr>
        <w:t>为贯彻落实党中央、国务院和四川省委省政府、乐山市委市政府关于促进低空经济发展的决策部署，抢抓低空产业密集创新和高速增长的战略机遇，</w:t>
      </w:r>
      <w:r>
        <w:rPr>
          <w:rFonts w:hint="eastAsia" w:ascii="Times New Roman" w:hAnsi="Times New Roman" w:eastAsia="仿宋_GB2312" w:cs="Times New Roman"/>
          <w:color w:val="auto"/>
          <w:sz w:val="32"/>
          <w:szCs w:val="32"/>
          <w:shd w:val="clear" w:color="auto" w:fill="FFFFFF"/>
        </w:rPr>
        <w:t>加快形成新质生产力，结合我市实际，</w:t>
      </w:r>
      <w:r>
        <w:rPr>
          <w:rFonts w:hint="eastAsia" w:ascii="Times New Roman" w:hAnsi="Times New Roman" w:eastAsia="仿宋_GB2312" w:cs="Times New Roman"/>
          <w:color w:val="auto"/>
          <w:sz w:val="32"/>
          <w:szCs w:val="32"/>
        </w:rPr>
        <w:t>编制《乐山市</w:t>
      </w:r>
      <w:r>
        <w:rPr>
          <w:rFonts w:hint="eastAsia" w:ascii="Times New Roman" w:hAnsi="Times New Roman" w:eastAsia="仿宋_GB2312" w:cs="Times New Roman"/>
          <w:color w:val="auto"/>
          <w:sz w:val="32"/>
          <w:szCs w:val="32"/>
          <w:shd w:val="clear" w:color="auto" w:fill="FFFFFF"/>
        </w:rPr>
        <w:t>低空经济总体发展规划（2025—2030年）</w:t>
      </w:r>
      <w:r>
        <w:rPr>
          <w:rFonts w:hint="eastAsia" w:ascii="Times New Roman" w:hAnsi="Times New Roman" w:eastAsia="仿宋_GB2312" w:cs="Times New Roman"/>
          <w:color w:val="auto"/>
          <w:sz w:val="32"/>
          <w:szCs w:val="32"/>
        </w:rPr>
        <w:t>》（以下简称《规划》）。</w:t>
      </w:r>
    </w:p>
    <w:p>
      <w:pPr>
        <w:spacing w:line="560" w:lineRule="exact"/>
        <w:ind w:firstLine="640" w:firstLineChars="200"/>
        <w:rPr>
          <w:rFonts w:ascii="Times New Roman" w:hAnsi="Times New Roman" w:eastAsia="仿宋_GB2312" w:cs="Times New Roman"/>
          <w:color w:val="auto"/>
          <w:sz w:val="32"/>
          <w:szCs w:val="32"/>
        </w:rPr>
      </w:pPr>
      <w:r>
        <w:rPr>
          <w:rFonts w:hint="eastAsia" w:ascii="Times New Roman" w:hAnsi="Times New Roman" w:eastAsia="仿宋_GB2312" w:cs="Times New Roman"/>
          <w:color w:val="auto"/>
          <w:sz w:val="32"/>
          <w:szCs w:val="32"/>
        </w:rPr>
        <w:t>本规划范围为乐山市行政辖区，包括4区1市6县，即市中区、沙湾区、五通桥区、金口河区、峨眉山市、犍为县、井研县、夹江县、沐川县、峨边彝族自治县和马边彝族自治县，总面积12720.42平方千米。</w:t>
      </w:r>
    </w:p>
    <w:p>
      <w:pPr>
        <w:spacing w:line="560" w:lineRule="exact"/>
        <w:ind w:firstLine="640" w:firstLineChars="200"/>
        <w:rPr>
          <w:rFonts w:ascii="Times New Roman" w:hAnsi="Times New Roman" w:eastAsia="仿宋_GB2312" w:cs="Times New Roman"/>
          <w:color w:val="auto"/>
          <w:sz w:val="32"/>
          <w:szCs w:val="32"/>
        </w:rPr>
        <w:sectPr>
          <w:footerReference r:id="rId3" w:type="default"/>
          <w:pgSz w:w="11906" w:h="16838"/>
          <w:pgMar w:top="2098" w:right="1474" w:bottom="1984" w:left="1587" w:header="851" w:footer="992" w:gutter="0"/>
          <w:pgNumType w:fmt="upperRoman" w:start="1"/>
          <w:cols w:space="425" w:num="1"/>
          <w:docGrid w:type="lines" w:linePitch="312" w:charSpace="0"/>
        </w:sectPr>
      </w:pPr>
      <w:r>
        <w:rPr>
          <w:rFonts w:hint="eastAsia" w:ascii="Times New Roman" w:hAnsi="Times New Roman" w:eastAsia="仿宋_GB2312" w:cs="Times New Roman"/>
          <w:color w:val="auto"/>
          <w:sz w:val="32"/>
          <w:szCs w:val="32"/>
        </w:rPr>
        <w:t>本规划期限为2025—2030年，其中，近期到2027年，中期到2030年，远景展望至2035年，明确乐山市低空经济发展总体目标、重大任务和保障措施，是指导乐山市低空经济未来一段时期发展的纲领性文件。</w:t>
      </w:r>
    </w:p>
    <w:p>
      <w:pPr>
        <w:spacing w:line="600" w:lineRule="exact"/>
        <w:jc w:val="center"/>
        <w:outlineLvl w:val="0"/>
        <w:rPr>
          <w:rFonts w:ascii="Times New Roman" w:hAnsi="Times New Roman" w:eastAsia="黑体" w:cs="Times New Roman"/>
          <w:color w:val="auto"/>
          <w:sz w:val="36"/>
          <w:szCs w:val="36"/>
        </w:rPr>
      </w:pPr>
      <w:r>
        <w:rPr>
          <w:rFonts w:hint="eastAsia" w:ascii="Times New Roman" w:hAnsi="Times New Roman" w:eastAsia="黑体" w:cs="Times New Roman"/>
          <w:color w:val="auto"/>
          <w:sz w:val="36"/>
          <w:szCs w:val="36"/>
        </w:rPr>
        <w:t>目  录</w:t>
      </w:r>
    </w:p>
    <w:sdt>
      <w:sdtPr>
        <w:rPr>
          <w:rFonts w:ascii="Times New Roman" w:hAnsi="Times New Roman" w:eastAsia="宋体" w:cs="Times New Roman"/>
          <w:color w:val="auto"/>
        </w:rPr>
        <w:id w:val="147477743"/>
        <w15:color w:val="DBDBDB"/>
        <w:docPartObj>
          <w:docPartGallery w:val="Table of Contents"/>
          <w:docPartUnique/>
        </w:docPartObj>
      </w:sdtPr>
      <w:sdtEndPr>
        <w:rPr>
          <w:rFonts w:ascii="Times New Roman" w:hAnsi="Times New Roman" w:eastAsia="仿宋_GB2312" w:cs="Times New Roman"/>
          <w:color w:val="auto"/>
          <w:szCs w:val="32"/>
          <w:lang w:val="zh-TW" w:eastAsia="zh-TW"/>
        </w:rPr>
      </w:sdtEndPr>
      <w:sdtContent>
        <w:p>
          <w:pPr>
            <w:jc w:val="center"/>
            <w:rPr>
              <w:rFonts w:ascii="Times New Roman" w:hAnsi="Times New Roman" w:cs="Times New Roman"/>
              <w:color w:val="auto"/>
            </w:rPr>
          </w:pPr>
        </w:p>
        <w:p>
          <w:pPr>
            <w:pStyle w:val="15"/>
            <w:tabs>
              <w:tab w:val="right" w:leader="dot" w:pos="8845"/>
            </w:tabs>
            <w:spacing w:line="560" w:lineRule="exact"/>
            <w:rPr>
              <w:color w:val="auto"/>
              <w:sz w:val="32"/>
              <w:szCs w:val="32"/>
            </w:rPr>
          </w:pPr>
          <w:r>
            <w:rPr>
              <w:rFonts w:ascii="Times New Roman" w:hAnsi="Times New Roman" w:eastAsia="仿宋_GB2312" w:cs="Times New Roman"/>
              <w:color w:val="auto"/>
              <w:sz w:val="32"/>
              <w:szCs w:val="32"/>
              <w:lang w:val="zh-TW" w:eastAsia="zh-TW"/>
            </w:rPr>
            <w:fldChar w:fldCharType="begin"/>
          </w:r>
          <w:r>
            <w:rPr>
              <w:rFonts w:ascii="Times New Roman" w:hAnsi="Times New Roman" w:eastAsia="仿宋_GB2312" w:cs="Times New Roman"/>
              <w:color w:val="auto"/>
              <w:sz w:val="32"/>
              <w:szCs w:val="32"/>
              <w:lang w:val="zh-TW" w:eastAsia="zh-TW"/>
            </w:rPr>
            <w:instrText xml:space="preserve">TOC \o "1-3" \h \u </w:instrText>
          </w:r>
          <w:r>
            <w:rPr>
              <w:rFonts w:ascii="Times New Roman" w:hAnsi="Times New Roman" w:eastAsia="仿宋_GB2312" w:cs="Times New Roman"/>
              <w:color w:val="auto"/>
              <w:sz w:val="32"/>
              <w:szCs w:val="32"/>
              <w:lang w:val="zh-TW" w:eastAsia="zh-TW"/>
            </w:rPr>
            <w:fldChar w:fldCharType="separate"/>
          </w:r>
          <w:r>
            <w:rPr>
              <w:color w:val="auto"/>
            </w:rPr>
            <w:fldChar w:fldCharType="begin"/>
          </w:r>
          <w:r>
            <w:rPr>
              <w:color w:val="auto"/>
            </w:rPr>
            <w:instrText xml:space="preserve"> HYPERLINK \l "_Toc30489" </w:instrText>
          </w:r>
          <w:r>
            <w:rPr>
              <w:color w:val="auto"/>
            </w:rPr>
            <w:fldChar w:fldCharType="separate"/>
          </w:r>
          <w:r>
            <w:rPr>
              <w:rFonts w:hint="eastAsia" w:ascii="Times New Roman" w:hAnsi="Times New Roman" w:eastAsia="黑体" w:cs="Times New Roman"/>
              <w:color w:val="auto"/>
              <w:sz w:val="32"/>
              <w:szCs w:val="32"/>
              <w:shd w:val="clear" w:color="auto" w:fill="FFFFFF"/>
            </w:rPr>
            <w:t>一、规划背景</w:t>
          </w:r>
          <w:r>
            <w:rPr>
              <w:color w:val="auto"/>
              <w:sz w:val="32"/>
              <w:szCs w:val="32"/>
            </w:rPr>
            <w:tab/>
          </w:r>
          <w:r>
            <w:rPr>
              <w:color w:val="auto"/>
              <w:sz w:val="32"/>
              <w:szCs w:val="32"/>
            </w:rPr>
            <w:fldChar w:fldCharType="begin"/>
          </w:r>
          <w:r>
            <w:rPr>
              <w:color w:val="auto"/>
              <w:sz w:val="32"/>
              <w:szCs w:val="32"/>
            </w:rPr>
            <w:instrText xml:space="preserve"> PAGEREF _Toc30489 \h </w:instrText>
          </w:r>
          <w:r>
            <w:rPr>
              <w:color w:val="auto"/>
              <w:sz w:val="32"/>
              <w:szCs w:val="32"/>
            </w:rPr>
            <w:fldChar w:fldCharType="separate"/>
          </w:r>
          <w:r>
            <w:rPr>
              <w:color w:val="auto"/>
              <w:sz w:val="32"/>
              <w:szCs w:val="32"/>
            </w:rPr>
            <w:t>1</w:t>
          </w:r>
          <w:r>
            <w:rPr>
              <w:color w:val="auto"/>
              <w:sz w:val="32"/>
              <w:szCs w:val="32"/>
            </w:rPr>
            <w:fldChar w:fldCharType="end"/>
          </w:r>
          <w:r>
            <w:rPr>
              <w:color w:val="auto"/>
              <w:sz w:val="32"/>
              <w:szCs w:val="32"/>
            </w:rPr>
            <w:fldChar w:fldCharType="end"/>
          </w:r>
        </w:p>
        <w:p>
          <w:pPr>
            <w:pStyle w:val="18"/>
            <w:tabs>
              <w:tab w:val="right" w:leader="dot" w:pos="8845"/>
            </w:tabs>
            <w:spacing w:line="560" w:lineRule="exact"/>
            <w:rPr>
              <w:color w:val="auto"/>
              <w:sz w:val="32"/>
              <w:szCs w:val="32"/>
            </w:rPr>
          </w:pPr>
          <w:r>
            <w:rPr>
              <w:color w:val="auto"/>
            </w:rPr>
            <w:fldChar w:fldCharType="begin"/>
          </w:r>
          <w:r>
            <w:rPr>
              <w:color w:val="auto"/>
            </w:rPr>
            <w:instrText xml:space="preserve"> HYPERLINK \l "_Toc19414" </w:instrText>
          </w:r>
          <w:r>
            <w:rPr>
              <w:color w:val="auto"/>
            </w:rPr>
            <w:fldChar w:fldCharType="separate"/>
          </w:r>
          <w:r>
            <w:rPr>
              <w:rFonts w:hint="eastAsia" w:ascii="Times New Roman" w:hAnsi="Times New Roman" w:eastAsia="楷体_GB2312" w:cs="Times New Roman"/>
              <w:color w:val="auto"/>
              <w:spacing w:val="6"/>
              <w:sz w:val="32"/>
              <w:szCs w:val="32"/>
            </w:rPr>
            <w:t>（一）发展基础</w:t>
          </w:r>
          <w:r>
            <w:rPr>
              <w:color w:val="auto"/>
              <w:sz w:val="32"/>
              <w:szCs w:val="32"/>
            </w:rPr>
            <w:tab/>
          </w:r>
          <w:r>
            <w:rPr>
              <w:color w:val="auto"/>
              <w:sz w:val="32"/>
              <w:szCs w:val="32"/>
            </w:rPr>
            <w:fldChar w:fldCharType="begin"/>
          </w:r>
          <w:r>
            <w:rPr>
              <w:color w:val="auto"/>
              <w:sz w:val="32"/>
              <w:szCs w:val="32"/>
            </w:rPr>
            <w:instrText xml:space="preserve"> PAGEREF _Toc19414 \h </w:instrText>
          </w:r>
          <w:r>
            <w:rPr>
              <w:color w:val="auto"/>
              <w:sz w:val="32"/>
              <w:szCs w:val="32"/>
            </w:rPr>
            <w:fldChar w:fldCharType="separate"/>
          </w:r>
          <w:r>
            <w:rPr>
              <w:color w:val="auto"/>
              <w:sz w:val="32"/>
              <w:szCs w:val="32"/>
            </w:rPr>
            <w:t>1</w:t>
          </w:r>
          <w:r>
            <w:rPr>
              <w:color w:val="auto"/>
              <w:sz w:val="32"/>
              <w:szCs w:val="32"/>
            </w:rPr>
            <w:fldChar w:fldCharType="end"/>
          </w:r>
          <w:r>
            <w:rPr>
              <w:color w:val="auto"/>
              <w:sz w:val="32"/>
              <w:szCs w:val="32"/>
            </w:rPr>
            <w:fldChar w:fldCharType="end"/>
          </w:r>
        </w:p>
        <w:p>
          <w:pPr>
            <w:pStyle w:val="18"/>
            <w:tabs>
              <w:tab w:val="right" w:leader="dot" w:pos="8845"/>
            </w:tabs>
            <w:spacing w:line="560" w:lineRule="exact"/>
            <w:rPr>
              <w:color w:val="auto"/>
              <w:sz w:val="32"/>
              <w:szCs w:val="32"/>
            </w:rPr>
          </w:pPr>
          <w:r>
            <w:rPr>
              <w:color w:val="auto"/>
            </w:rPr>
            <w:fldChar w:fldCharType="begin"/>
          </w:r>
          <w:r>
            <w:rPr>
              <w:color w:val="auto"/>
            </w:rPr>
            <w:instrText xml:space="preserve"> HYPERLINK \l "_Toc4835" </w:instrText>
          </w:r>
          <w:r>
            <w:rPr>
              <w:color w:val="auto"/>
            </w:rPr>
            <w:fldChar w:fldCharType="separate"/>
          </w:r>
          <w:r>
            <w:rPr>
              <w:rFonts w:hint="eastAsia" w:ascii="Times New Roman" w:hAnsi="Times New Roman" w:eastAsia="楷体_GB2312" w:cs="Times New Roman"/>
              <w:color w:val="auto"/>
              <w:spacing w:val="6"/>
              <w:sz w:val="32"/>
              <w:szCs w:val="32"/>
            </w:rPr>
            <w:t>（二）发展现状</w:t>
          </w:r>
          <w:r>
            <w:rPr>
              <w:color w:val="auto"/>
              <w:sz w:val="32"/>
              <w:szCs w:val="32"/>
            </w:rPr>
            <w:tab/>
          </w:r>
          <w:r>
            <w:rPr>
              <w:color w:val="auto"/>
              <w:sz w:val="32"/>
              <w:szCs w:val="32"/>
            </w:rPr>
            <w:fldChar w:fldCharType="begin"/>
          </w:r>
          <w:r>
            <w:rPr>
              <w:color w:val="auto"/>
              <w:sz w:val="32"/>
              <w:szCs w:val="32"/>
            </w:rPr>
            <w:instrText xml:space="preserve"> PAGEREF _Toc4835 \h </w:instrText>
          </w:r>
          <w:r>
            <w:rPr>
              <w:color w:val="auto"/>
              <w:sz w:val="32"/>
              <w:szCs w:val="32"/>
            </w:rPr>
            <w:fldChar w:fldCharType="separate"/>
          </w:r>
          <w:r>
            <w:rPr>
              <w:color w:val="auto"/>
              <w:sz w:val="32"/>
              <w:szCs w:val="32"/>
            </w:rPr>
            <w:t>3</w:t>
          </w:r>
          <w:r>
            <w:rPr>
              <w:color w:val="auto"/>
              <w:sz w:val="32"/>
              <w:szCs w:val="32"/>
            </w:rPr>
            <w:fldChar w:fldCharType="end"/>
          </w:r>
          <w:r>
            <w:rPr>
              <w:color w:val="auto"/>
              <w:sz w:val="32"/>
              <w:szCs w:val="32"/>
            </w:rPr>
            <w:fldChar w:fldCharType="end"/>
          </w:r>
        </w:p>
        <w:p>
          <w:pPr>
            <w:pStyle w:val="18"/>
            <w:tabs>
              <w:tab w:val="right" w:leader="dot" w:pos="8845"/>
            </w:tabs>
            <w:spacing w:line="560" w:lineRule="exact"/>
            <w:rPr>
              <w:color w:val="auto"/>
              <w:sz w:val="32"/>
              <w:szCs w:val="32"/>
            </w:rPr>
          </w:pPr>
          <w:r>
            <w:rPr>
              <w:color w:val="auto"/>
            </w:rPr>
            <w:fldChar w:fldCharType="begin"/>
          </w:r>
          <w:r>
            <w:rPr>
              <w:color w:val="auto"/>
            </w:rPr>
            <w:instrText xml:space="preserve"> HYPERLINK \l "_Toc11546" </w:instrText>
          </w:r>
          <w:r>
            <w:rPr>
              <w:color w:val="auto"/>
            </w:rPr>
            <w:fldChar w:fldCharType="separate"/>
          </w:r>
          <w:r>
            <w:rPr>
              <w:rFonts w:hint="eastAsia" w:ascii="Times New Roman" w:hAnsi="Times New Roman" w:eastAsia="楷体_GB2312" w:cs="Times New Roman"/>
              <w:color w:val="auto"/>
              <w:spacing w:val="6"/>
              <w:sz w:val="32"/>
              <w:szCs w:val="32"/>
            </w:rPr>
            <w:t>（三）面临形势</w:t>
          </w:r>
          <w:r>
            <w:rPr>
              <w:color w:val="auto"/>
              <w:sz w:val="32"/>
              <w:szCs w:val="32"/>
            </w:rPr>
            <w:tab/>
          </w:r>
          <w:r>
            <w:rPr>
              <w:color w:val="auto"/>
              <w:sz w:val="32"/>
              <w:szCs w:val="32"/>
            </w:rPr>
            <w:fldChar w:fldCharType="begin"/>
          </w:r>
          <w:r>
            <w:rPr>
              <w:color w:val="auto"/>
              <w:sz w:val="32"/>
              <w:szCs w:val="32"/>
            </w:rPr>
            <w:instrText xml:space="preserve"> PAGEREF _Toc11546 \h </w:instrText>
          </w:r>
          <w:r>
            <w:rPr>
              <w:color w:val="auto"/>
              <w:sz w:val="32"/>
              <w:szCs w:val="32"/>
            </w:rPr>
            <w:fldChar w:fldCharType="separate"/>
          </w:r>
          <w:r>
            <w:rPr>
              <w:color w:val="auto"/>
              <w:sz w:val="32"/>
              <w:szCs w:val="32"/>
            </w:rPr>
            <w:t>5</w:t>
          </w:r>
          <w:r>
            <w:rPr>
              <w:color w:val="auto"/>
              <w:sz w:val="32"/>
              <w:szCs w:val="32"/>
            </w:rPr>
            <w:fldChar w:fldCharType="end"/>
          </w:r>
          <w:r>
            <w:rPr>
              <w:color w:val="auto"/>
              <w:sz w:val="32"/>
              <w:szCs w:val="32"/>
            </w:rPr>
            <w:fldChar w:fldCharType="end"/>
          </w:r>
        </w:p>
        <w:p>
          <w:pPr>
            <w:pStyle w:val="18"/>
            <w:tabs>
              <w:tab w:val="right" w:leader="dot" w:pos="8845"/>
            </w:tabs>
            <w:spacing w:line="560" w:lineRule="exact"/>
            <w:rPr>
              <w:color w:val="auto"/>
              <w:sz w:val="32"/>
              <w:szCs w:val="32"/>
            </w:rPr>
          </w:pPr>
          <w:r>
            <w:rPr>
              <w:color w:val="auto"/>
            </w:rPr>
            <w:fldChar w:fldCharType="begin"/>
          </w:r>
          <w:r>
            <w:rPr>
              <w:color w:val="auto"/>
            </w:rPr>
            <w:instrText xml:space="preserve"> HYPERLINK \l "_Toc4813" </w:instrText>
          </w:r>
          <w:r>
            <w:rPr>
              <w:color w:val="auto"/>
            </w:rPr>
            <w:fldChar w:fldCharType="separate"/>
          </w:r>
          <w:r>
            <w:rPr>
              <w:rFonts w:hint="eastAsia" w:ascii="Times New Roman" w:hAnsi="Times New Roman" w:eastAsia="楷体_GB2312" w:cs="Times New Roman"/>
              <w:color w:val="auto"/>
              <w:spacing w:val="6"/>
              <w:sz w:val="32"/>
              <w:szCs w:val="32"/>
            </w:rPr>
            <w:t>（四）存在问题</w:t>
          </w:r>
          <w:r>
            <w:rPr>
              <w:color w:val="auto"/>
              <w:sz w:val="32"/>
              <w:szCs w:val="32"/>
            </w:rPr>
            <w:tab/>
          </w:r>
          <w:r>
            <w:rPr>
              <w:color w:val="auto"/>
              <w:sz w:val="32"/>
              <w:szCs w:val="32"/>
            </w:rPr>
            <w:fldChar w:fldCharType="begin"/>
          </w:r>
          <w:r>
            <w:rPr>
              <w:color w:val="auto"/>
              <w:sz w:val="32"/>
              <w:szCs w:val="32"/>
            </w:rPr>
            <w:instrText xml:space="preserve"> PAGEREF _Toc4813 \h </w:instrText>
          </w:r>
          <w:r>
            <w:rPr>
              <w:color w:val="auto"/>
              <w:sz w:val="32"/>
              <w:szCs w:val="32"/>
            </w:rPr>
            <w:fldChar w:fldCharType="separate"/>
          </w:r>
          <w:r>
            <w:rPr>
              <w:color w:val="auto"/>
              <w:sz w:val="32"/>
              <w:szCs w:val="32"/>
            </w:rPr>
            <w:t>8</w:t>
          </w:r>
          <w:r>
            <w:rPr>
              <w:color w:val="auto"/>
              <w:sz w:val="32"/>
              <w:szCs w:val="32"/>
            </w:rPr>
            <w:fldChar w:fldCharType="end"/>
          </w:r>
          <w:r>
            <w:rPr>
              <w:color w:val="auto"/>
              <w:sz w:val="32"/>
              <w:szCs w:val="32"/>
            </w:rPr>
            <w:fldChar w:fldCharType="end"/>
          </w:r>
        </w:p>
        <w:p>
          <w:pPr>
            <w:pStyle w:val="15"/>
            <w:tabs>
              <w:tab w:val="right" w:leader="dot" w:pos="8845"/>
            </w:tabs>
            <w:spacing w:line="560" w:lineRule="exact"/>
            <w:rPr>
              <w:color w:val="auto"/>
              <w:sz w:val="32"/>
              <w:szCs w:val="32"/>
            </w:rPr>
          </w:pPr>
          <w:r>
            <w:rPr>
              <w:color w:val="auto"/>
            </w:rPr>
            <w:fldChar w:fldCharType="begin"/>
          </w:r>
          <w:r>
            <w:rPr>
              <w:color w:val="auto"/>
            </w:rPr>
            <w:instrText xml:space="preserve"> HYPERLINK \l "_Toc32096" </w:instrText>
          </w:r>
          <w:r>
            <w:rPr>
              <w:color w:val="auto"/>
            </w:rPr>
            <w:fldChar w:fldCharType="separate"/>
          </w:r>
          <w:r>
            <w:rPr>
              <w:rFonts w:hint="eastAsia" w:ascii="Times New Roman" w:hAnsi="Times New Roman" w:eastAsia="黑体" w:cs="Times New Roman"/>
              <w:color w:val="auto"/>
              <w:sz w:val="32"/>
              <w:szCs w:val="32"/>
              <w:shd w:val="clear" w:color="auto" w:fill="FFFFFF"/>
            </w:rPr>
            <w:t>二、总体要求</w:t>
          </w:r>
          <w:r>
            <w:rPr>
              <w:color w:val="auto"/>
              <w:sz w:val="32"/>
              <w:szCs w:val="32"/>
            </w:rPr>
            <w:tab/>
          </w:r>
          <w:r>
            <w:rPr>
              <w:color w:val="auto"/>
              <w:sz w:val="32"/>
              <w:szCs w:val="32"/>
            </w:rPr>
            <w:fldChar w:fldCharType="begin"/>
          </w:r>
          <w:r>
            <w:rPr>
              <w:color w:val="auto"/>
              <w:sz w:val="32"/>
              <w:szCs w:val="32"/>
            </w:rPr>
            <w:instrText xml:space="preserve"> PAGEREF _Toc32096 \h </w:instrText>
          </w:r>
          <w:r>
            <w:rPr>
              <w:color w:val="auto"/>
              <w:sz w:val="32"/>
              <w:szCs w:val="32"/>
            </w:rPr>
            <w:fldChar w:fldCharType="separate"/>
          </w:r>
          <w:r>
            <w:rPr>
              <w:color w:val="auto"/>
              <w:sz w:val="32"/>
              <w:szCs w:val="32"/>
            </w:rPr>
            <w:t>9</w:t>
          </w:r>
          <w:r>
            <w:rPr>
              <w:color w:val="auto"/>
              <w:sz w:val="32"/>
              <w:szCs w:val="32"/>
            </w:rPr>
            <w:fldChar w:fldCharType="end"/>
          </w:r>
          <w:r>
            <w:rPr>
              <w:color w:val="auto"/>
              <w:sz w:val="32"/>
              <w:szCs w:val="32"/>
            </w:rPr>
            <w:fldChar w:fldCharType="end"/>
          </w:r>
        </w:p>
        <w:p>
          <w:pPr>
            <w:pStyle w:val="18"/>
            <w:tabs>
              <w:tab w:val="right" w:leader="dot" w:pos="8845"/>
            </w:tabs>
            <w:spacing w:line="560" w:lineRule="exact"/>
            <w:rPr>
              <w:color w:val="auto"/>
              <w:sz w:val="32"/>
              <w:szCs w:val="32"/>
            </w:rPr>
          </w:pPr>
          <w:r>
            <w:rPr>
              <w:color w:val="auto"/>
            </w:rPr>
            <w:fldChar w:fldCharType="begin"/>
          </w:r>
          <w:r>
            <w:rPr>
              <w:color w:val="auto"/>
            </w:rPr>
            <w:instrText xml:space="preserve"> HYPERLINK \l "_Toc144" </w:instrText>
          </w:r>
          <w:r>
            <w:rPr>
              <w:color w:val="auto"/>
            </w:rPr>
            <w:fldChar w:fldCharType="separate"/>
          </w:r>
          <w:r>
            <w:rPr>
              <w:rFonts w:hint="eastAsia" w:ascii="Times New Roman" w:hAnsi="Times New Roman" w:eastAsia="楷体_GB2312" w:cs="Times New Roman"/>
              <w:color w:val="auto"/>
              <w:spacing w:val="6"/>
              <w:sz w:val="32"/>
              <w:szCs w:val="32"/>
            </w:rPr>
            <w:t>（一）总体思路</w:t>
          </w:r>
          <w:r>
            <w:rPr>
              <w:color w:val="auto"/>
              <w:sz w:val="32"/>
              <w:szCs w:val="32"/>
            </w:rPr>
            <w:tab/>
          </w:r>
          <w:r>
            <w:rPr>
              <w:color w:val="auto"/>
              <w:sz w:val="32"/>
              <w:szCs w:val="32"/>
            </w:rPr>
            <w:fldChar w:fldCharType="begin"/>
          </w:r>
          <w:r>
            <w:rPr>
              <w:color w:val="auto"/>
              <w:sz w:val="32"/>
              <w:szCs w:val="32"/>
            </w:rPr>
            <w:instrText xml:space="preserve"> PAGEREF _Toc144 \h </w:instrText>
          </w:r>
          <w:r>
            <w:rPr>
              <w:color w:val="auto"/>
              <w:sz w:val="32"/>
              <w:szCs w:val="32"/>
            </w:rPr>
            <w:fldChar w:fldCharType="separate"/>
          </w:r>
          <w:r>
            <w:rPr>
              <w:color w:val="auto"/>
              <w:sz w:val="32"/>
              <w:szCs w:val="32"/>
            </w:rPr>
            <w:t>9</w:t>
          </w:r>
          <w:r>
            <w:rPr>
              <w:color w:val="auto"/>
              <w:sz w:val="32"/>
              <w:szCs w:val="32"/>
            </w:rPr>
            <w:fldChar w:fldCharType="end"/>
          </w:r>
          <w:r>
            <w:rPr>
              <w:color w:val="auto"/>
              <w:sz w:val="32"/>
              <w:szCs w:val="32"/>
            </w:rPr>
            <w:fldChar w:fldCharType="end"/>
          </w:r>
        </w:p>
        <w:p>
          <w:pPr>
            <w:pStyle w:val="18"/>
            <w:tabs>
              <w:tab w:val="right" w:leader="dot" w:pos="8845"/>
            </w:tabs>
            <w:spacing w:line="560" w:lineRule="exact"/>
            <w:rPr>
              <w:color w:val="auto"/>
              <w:sz w:val="32"/>
              <w:szCs w:val="32"/>
            </w:rPr>
          </w:pPr>
          <w:r>
            <w:rPr>
              <w:color w:val="auto"/>
            </w:rPr>
            <w:fldChar w:fldCharType="begin"/>
          </w:r>
          <w:r>
            <w:rPr>
              <w:color w:val="auto"/>
            </w:rPr>
            <w:instrText xml:space="preserve"> HYPERLINK \l "_Toc11379" </w:instrText>
          </w:r>
          <w:r>
            <w:rPr>
              <w:color w:val="auto"/>
            </w:rPr>
            <w:fldChar w:fldCharType="separate"/>
          </w:r>
          <w:r>
            <w:rPr>
              <w:rFonts w:hint="eastAsia" w:ascii="Times New Roman" w:hAnsi="Times New Roman" w:eastAsia="楷体_GB2312" w:cs="Times New Roman"/>
              <w:color w:val="auto"/>
              <w:spacing w:val="6"/>
              <w:sz w:val="32"/>
              <w:szCs w:val="32"/>
            </w:rPr>
            <w:t>（二）发展原则</w:t>
          </w:r>
          <w:r>
            <w:rPr>
              <w:color w:val="auto"/>
              <w:sz w:val="32"/>
              <w:szCs w:val="32"/>
            </w:rPr>
            <w:tab/>
          </w:r>
          <w:r>
            <w:rPr>
              <w:color w:val="auto"/>
              <w:sz w:val="32"/>
              <w:szCs w:val="32"/>
            </w:rPr>
            <w:fldChar w:fldCharType="begin"/>
          </w:r>
          <w:r>
            <w:rPr>
              <w:color w:val="auto"/>
              <w:sz w:val="32"/>
              <w:szCs w:val="32"/>
            </w:rPr>
            <w:instrText xml:space="preserve"> PAGEREF _Toc11379 \h </w:instrText>
          </w:r>
          <w:r>
            <w:rPr>
              <w:color w:val="auto"/>
              <w:sz w:val="32"/>
              <w:szCs w:val="32"/>
            </w:rPr>
            <w:fldChar w:fldCharType="separate"/>
          </w:r>
          <w:r>
            <w:rPr>
              <w:color w:val="auto"/>
              <w:sz w:val="32"/>
              <w:szCs w:val="32"/>
            </w:rPr>
            <w:t>9</w:t>
          </w:r>
          <w:r>
            <w:rPr>
              <w:color w:val="auto"/>
              <w:sz w:val="32"/>
              <w:szCs w:val="32"/>
            </w:rPr>
            <w:fldChar w:fldCharType="end"/>
          </w:r>
          <w:r>
            <w:rPr>
              <w:color w:val="auto"/>
              <w:sz w:val="32"/>
              <w:szCs w:val="32"/>
            </w:rPr>
            <w:fldChar w:fldCharType="end"/>
          </w:r>
        </w:p>
        <w:p>
          <w:pPr>
            <w:pStyle w:val="18"/>
            <w:tabs>
              <w:tab w:val="right" w:leader="dot" w:pos="8845"/>
            </w:tabs>
            <w:spacing w:line="560" w:lineRule="exact"/>
            <w:rPr>
              <w:color w:val="auto"/>
              <w:sz w:val="32"/>
              <w:szCs w:val="32"/>
            </w:rPr>
          </w:pPr>
          <w:r>
            <w:rPr>
              <w:color w:val="auto"/>
            </w:rPr>
            <w:fldChar w:fldCharType="begin"/>
          </w:r>
          <w:r>
            <w:rPr>
              <w:color w:val="auto"/>
            </w:rPr>
            <w:instrText xml:space="preserve"> HYPERLINK \l "_Toc19940" </w:instrText>
          </w:r>
          <w:r>
            <w:rPr>
              <w:color w:val="auto"/>
            </w:rPr>
            <w:fldChar w:fldCharType="separate"/>
          </w:r>
          <w:r>
            <w:rPr>
              <w:rFonts w:hint="eastAsia" w:ascii="Times New Roman" w:hAnsi="Times New Roman" w:eastAsia="楷体_GB2312" w:cs="Times New Roman"/>
              <w:color w:val="auto"/>
              <w:spacing w:val="6"/>
              <w:sz w:val="32"/>
              <w:szCs w:val="32"/>
            </w:rPr>
            <w:t>（三）发展定位</w:t>
          </w:r>
          <w:r>
            <w:rPr>
              <w:color w:val="auto"/>
              <w:sz w:val="32"/>
              <w:szCs w:val="32"/>
            </w:rPr>
            <w:tab/>
          </w:r>
          <w:r>
            <w:rPr>
              <w:color w:val="auto"/>
              <w:sz w:val="32"/>
              <w:szCs w:val="32"/>
            </w:rPr>
            <w:fldChar w:fldCharType="begin"/>
          </w:r>
          <w:r>
            <w:rPr>
              <w:color w:val="auto"/>
              <w:sz w:val="32"/>
              <w:szCs w:val="32"/>
            </w:rPr>
            <w:instrText xml:space="preserve"> PAGEREF _Toc19940 \h </w:instrText>
          </w:r>
          <w:r>
            <w:rPr>
              <w:color w:val="auto"/>
              <w:sz w:val="32"/>
              <w:szCs w:val="32"/>
            </w:rPr>
            <w:fldChar w:fldCharType="separate"/>
          </w:r>
          <w:r>
            <w:rPr>
              <w:color w:val="auto"/>
              <w:sz w:val="32"/>
              <w:szCs w:val="32"/>
            </w:rPr>
            <w:t>10</w:t>
          </w:r>
          <w:r>
            <w:rPr>
              <w:color w:val="auto"/>
              <w:sz w:val="32"/>
              <w:szCs w:val="32"/>
            </w:rPr>
            <w:fldChar w:fldCharType="end"/>
          </w:r>
          <w:r>
            <w:rPr>
              <w:color w:val="auto"/>
              <w:sz w:val="32"/>
              <w:szCs w:val="32"/>
            </w:rPr>
            <w:fldChar w:fldCharType="end"/>
          </w:r>
        </w:p>
        <w:p>
          <w:pPr>
            <w:pStyle w:val="18"/>
            <w:tabs>
              <w:tab w:val="right" w:leader="dot" w:pos="8845"/>
            </w:tabs>
            <w:spacing w:line="560" w:lineRule="exact"/>
            <w:rPr>
              <w:color w:val="auto"/>
              <w:sz w:val="32"/>
              <w:szCs w:val="32"/>
            </w:rPr>
          </w:pPr>
          <w:r>
            <w:rPr>
              <w:color w:val="auto"/>
            </w:rPr>
            <w:fldChar w:fldCharType="begin"/>
          </w:r>
          <w:r>
            <w:rPr>
              <w:color w:val="auto"/>
            </w:rPr>
            <w:instrText xml:space="preserve"> HYPERLINK \l "_Toc27127" </w:instrText>
          </w:r>
          <w:r>
            <w:rPr>
              <w:color w:val="auto"/>
            </w:rPr>
            <w:fldChar w:fldCharType="separate"/>
          </w:r>
          <w:r>
            <w:rPr>
              <w:rFonts w:hint="eastAsia" w:ascii="Times New Roman" w:hAnsi="Times New Roman" w:eastAsia="楷体_GB2312" w:cs="Times New Roman"/>
              <w:color w:val="auto"/>
              <w:spacing w:val="6"/>
              <w:sz w:val="32"/>
              <w:szCs w:val="32"/>
            </w:rPr>
            <w:t>（四）发展目标</w:t>
          </w:r>
          <w:r>
            <w:rPr>
              <w:color w:val="auto"/>
              <w:sz w:val="32"/>
              <w:szCs w:val="32"/>
            </w:rPr>
            <w:tab/>
          </w:r>
          <w:r>
            <w:rPr>
              <w:color w:val="auto"/>
              <w:sz w:val="32"/>
              <w:szCs w:val="32"/>
            </w:rPr>
            <w:fldChar w:fldCharType="begin"/>
          </w:r>
          <w:r>
            <w:rPr>
              <w:color w:val="auto"/>
              <w:sz w:val="32"/>
              <w:szCs w:val="32"/>
            </w:rPr>
            <w:instrText xml:space="preserve"> PAGEREF _Toc27127 \h </w:instrText>
          </w:r>
          <w:r>
            <w:rPr>
              <w:color w:val="auto"/>
              <w:sz w:val="32"/>
              <w:szCs w:val="32"/>
            </w:rPr>
            <w:fldChar w:fldCharType="separate"/>
          </w:r>
          <w:r>
            <w:rPr>
              <w:color w:val="auto"/>
              <w:sz w:val="32"/>
              <w:szCs w:val="32"/>
            </w:rPr>
            <w:t>12</w:t>
          </w:r>
          <w:r>
            <w:rPr>
              <w:color w:val="auto"/>
              <w:sz w:val="32"/>
              <w:szCs w:val="32"/>
            </w:rPr>
            <w:fldChar w:fldCharType="end"/>
          </w:r>
          <w:r>
            <w:rPr>
              <w:color w:val="auto"/>
              <w:sz w:val="32"/>
              <w:szCs w:val="32"/>
            </w:rPr>
            <w:fldChar w:fldCharType="end"/>
          </w:r>
        </w:p>
        <w:p>
          <w:pPr>
            <w:pStyle w:val="12"/>
            <w:tabs>
              <w:tab w:val="right" w:leader="dot" w:pos="8845"/>
            </w:tabs>
            <w:spacing w:line="560" w:lineRule="exact"/>
            <w:rPr>
              <w:color w:val="auto"/>
              <w:sz w:val="32"/>
              <w:szCs w:val="32"/>
            </w:rPr>
          </w:pPr>
          <w:r>
            <w:rPr>
              <w:color w:val="auto"/>
            </w:rPr>
            <w:fldChar w:fldCharType="begin"/>
          </w:r>
          <w:r>
            <w:rPr>
              <w:color w:val="auto"/>
            </w:rPr>
            <w:instrText xml:space="preserve"> HYPERLINK \l "_Toc1400" </w:instrText>
          </w:r>
          <w:r>
            <w:rPr>
              <w:color w:val="auto"/>
            </w:rPr>
            <w:fldChar w:fldCharType="separate"/>
          </w:r>
          <w:r>
            <w:rPr>
              <w:rFonts w:hint="eastAsia" w:ascii="Times New Roman" w:hAnsi="Times New Roman" w:eastAsia="仿宋_GB2312" w:cs="Times New Roman"/>
              <w:bCs/>
              <w:color w:val="auto"/>
              <w:sz w:val="32"/>
              <w:szCs w:val="32"/>
            </w:rPr>
            <w:t>1.近期：2027年发展目标</w:t>
          </w:r>
          <w:r>
            <w:rPr>
              <w:color w:val="auto"/>
              <w:sz w:val="32"/>
              <w:szCs w:val="32"/>
            </w:rPr>
            <w:tab/>
          </w:r>
          <w:r>
            <w:rPr>
              <w:color w:val="auto"/>
              <w:sz w:val="32"/>
              <w:szCs w:val="32"/>
            </w:rPr>
            <w:fldChar w:fldCharType="begin"/>
          </w:r>
          <w:r>
            <w:rPr>
              <w:color w:val="auto"/>
              <w:sz w:val="32"/>
              <w:szCs w:val="32"/>
            </w:rPr>
            <w:instrText xml:space="preserve"> PAGEREF _Toc1400 \h </w:instrText>
          </w:r>
          <w:r>
            <w:rPr>
              <w:color w:val="auto"/>
              <w:sz w:val="32"/>
              <w:szCs w:val="32"/>
            </w:rPr>
            <w:fldChar w:fldCharType="separate"/>
          </w:r>
          <w:r>
            <w:rPr>
              <w:color w:val="auto"/>
              <w:sz w:val="32"/>
              <w:szCs w:val="32"/>
            </w:rPr>
            <w:t>12</w:t>
          </w:r>
          <w:r>
            <w:rPr>
              <w:color w:val="auto"/>
              <w:sz w:val="32"/>
              <w:szCs w:val="32"/>
            </w:rPr>
            <w:fldChar w:fldCharType="end"/>
          </w:r>
          <w:r>
            <w:rPr>
              <w:color w:val="auto"/>
              <w:sz w:val="32"/>
              <w:szCs w:val="32"/>
            </w:rPr>
            <w:fldChar w:fldCharType="end"/>
          </w:r>
        </w:p>
        <w:p>
          <w:pPr>
            <w:pStyle w:val="12"/>
            <w:tabs>
              <w:tab w:val="right" w:leader="dot" w:pos="8845"/>
            </w:tabs>
            <w:spacing w:line="560" w:lineRule="exact"/>
            <w:rPr>
              <w:color w:val="auto"/>
              <w:sz w:val="32"/>
              <w:szCs w:val="32"/>
            </w:rPr>
          </w:pPr>
          <w:r>
            <w:rPr>
              <w:color w:val="auto"/>
            </w:rPr>
            <w:fldChar w:fldCharType="begin"/>
          </w:r>
          <w:r>
            <w:rPr>
              <w:color w:val="auto"/>
            </w:rPr>
            <w:instrText xml:space="preserve"> HYPERLINK \l "_Toc20727" </w:instrText>
          </w:r>
          <w:r>
            <w:rPr>
              <w:color w:val="auto"/>
            </w:rPr>
            <w:fldChar w:fldCharType="separate"/>
          </w:r>
          <w:r>
            <w:rPr>
              <w:rFonts w:hint="eastAsia" w:ascii="Times New Roman" w:hAnsi="Times New Roman" w:eastAsia="仿宋_GB2312" w:cs="Times New Roman"/>
              <w:bCs/>
              <w:color w:val="auto"/>
              <w:sz w:val="32"/>
              <w:szCs w:val="32"/>
            </w:rPr>
            <w:t>2.中期：2030年发展目标</w:t>
          </w:r>
          <w:r>
            <w:rPr>
              <w:color w:val="auto"/>
              <w:sz w:val="32"/>
              <w:szCs w:val="32"/>
            </w:rPr>
            <w:tab/>
          </w:r>
          <w:r>
            <w:rPr>
              <w:color w:val="auto"/>
              <w:sz w:val="32"/>
              <w:szCs w:val="32"/>
            </w:rPr>
            <w:fldChar w:fldCharType="begin"/>
          </w:r>
          <w:r>
            <w:rPr>
              <w:color w:val="auto"/>
              <w:sz w:val="32"/>
              <w:szCs w:val="32"/>
            </w:rPr>
            <w:instrText xml:space="preserve"> PAGEREF _Toc20727 \h </w:instrText>
          </w:r>
          <w:r>
            <w:rPr>
              <w:color w:val="auto"/>
              <w:sz w:val="32"/>
              <w:szCs w:val="32"/>
            </w:rPr>
            <w:fldChar w:fldCharType="separate"/>
          </w:r>
          <w:r>
            <w:rPr>
              <w:color w:val="auto"/>
              <w:sz w:val="32"/>
              <w:szCs w:val="32"/>
            </w:rPr>
            <w:t>13</w:t>
          </w:r>
          <w:r>
            <w:rPr>
              <w:color w:val="auto"/>
              <w:sz w:val="32"/>
              <w:szCs w:val="32"/>
            </w:rPr>
            <w:fldChar w:fldCharType="end"/>
          </w:r>
          <w:r>
            <w:rPr>
              <w:color w:val="auto"/>
              <w:sz w:val="32"/>
              <w:szCs w:val="32"/>
            </w:rPr>
            <w:fldChar w:fldCharType="end"/>
          </w:r>
        </w:p>
        <w:p>
          <w:pPr>
            <w:pStyle w:val="12"/>
            <w:tabs>
              <w:tab w:val="right" w:leader="dot" w:pos="8845"/>
            </w:tabs>
            <w:spacing w:line="560" w:lineRule="exact"/>
            <w:rPr>
              <w:color w:val="auto"/>
              <w:sz w:val="32"/>
              <w:szCs w:val="32"/>
            </w:rPr>
          </w:pPr>
          <w:r>
            <w:rPr>
              <w:color w:val="auto"/>
            </w:rPr>
            <w:fldChar w:fldCharType="begin"/>
          </w:r>
          <w:r>
            <w:rPr>
              <w:color w:val="auto"/>
            </w:rPr>
            <w:instrText xml:space="preserve"> HYPERLINK \l "_Toc3297" </w:instrText>
          </w:r>
          <w:r>
            <w:rPr>
              <w:color w:val="auto"/>
            </w:rPr>
            <w:fldChar w:fldCharType="separate"/>
          </w:r>
          <w:r>
            <w:rPr>
              <w:rFonts w:hint="eastAsia" w:ascii="Times New Roman" w:hAnsi="Times New Roman" w:eastAsia="仿宋_GB2312" w:cs="Times New Roman"/>
              <w:bCs/>
              <w:color w:val="auto"/>
              <w:sz w:val="32"/>
              <w:szCs w:val="32"/>
            </w:rPr>
            <w:t>3.远期：2035年远景展望</w:t>
          </w:r>
          <w:r>
            <w:rPr>
              <w:color w:val="auto"/>
              <w:sz w:val="32"/>
              <w:szCs w:val="32"/>
            </w:rPr>
            <w:tab/>
          </w:r>
          <w:r>
            <w:rPr>
              <w:color w:val="auto"/>
              <w:sz w:val="32"/>
              <w:szCs w:val="32"/>
            </w:rPr>
            <w:fldChar w:fldCharType="begin"/>
          </w:r>
          <w:r>
            <w:rPr>
              <w:color w:val="auto"/>
              <w:sz w:val="32"/>
              <w:szCs w:val="32"/>
            </w:rPr>
            <w:instrText xml:space="preserve"> PAGEREF _Toc3297 \h </w:instrText>
          </w:r>
          <w:r>
            <w:rPr>
              <w:color w:val="auto"/>
              <w:sz w:val="32"/>
              <w:szCs w:val="32"/>
            </w:rPr>
            <w:fldChar w:fldCharType="separate"/>
          </w:r>
          <w:r>
            <w:rPr>
              <w:color w:val="auto"/>
              <w:sz w:val="32"/>
              <w:szCs w:val="32"/>
            </w:rPr>
            <w:t>14</w:t>
          </w:r>
          <w:r>
            <w:rPr>
              <w:color w:val="auto"/>
              <w:sz w:val="32"/>
              <w:szCs w:val="32"/>
            </w:rPr>
            <w:fldChar w:fldCharType="end"/>
          </w:r>
          <w:r>
            <w:rPr>
              <w:color w:val="auto"/>
              <w:sz w:val="32"/>
              <w:szCs w:val="32"/>
            </w:rPr>
            <w:fldChar w:fldCharType="end"/>
          </w:r>
        </w:p>
        <w:p>
          <w:pPr>
            <w:pStyle w:val="18"/>
            <w:tabs>
              <w:tab w:val="right" w:leader="dot" w:pos="8845"/>
            </w:tabs>
            <w:spacing w:line="560" w:lineRule="exact"/>
            <w:rPr>
              <w:color w:val="auto"/>
              <w:sz w:val="32"/>
              <w:szCs w:val="32"/>
            </w:rPr>
          </w:pPr>
          <w:r>
            <w:rPr>
              <w:color w:val="auto"/>
            </w:rPr>
            <w:fldChar w:fldCharType="begin"/>
          </w:r>
          <w:r>
            <w:rPr>
              <w:color w:val="auto"/>
            </w:rPr>
            <w:instrText xml:space="preserve"> HYPERLINK \l "_Toc21665" </w:instrText>
          </w:r>
          <w:r>
            <w:rPr>
              <w:color w:val="auto"/>
            </w:rPr>
            <w:fldChar w:fldCharType="separate"/>
          </w:r>
          <w:r>
            <w:rPr>
              <w:rFonts w:hint="eastAsia" w:ascii="Times New Roman" w:hAnsi="Times New Roman" w:eastAsia="楷体_GB2312" w:cs="Times New Roman"/>
              <w:color w:val="auto"/>
              <w:spacing w:val="6"/>
              <w:sz w:val="32"/>
              <w:szCs w:val="32"/>
            </w:rPr>
            <w:t>（五）空间布局</w:t>
          </w:r>
          <w:r>
            <w:rPr>
              <w:color w:val="auto"/>
              <w:sz w:val="32"/>
              <w:szCs w:val="32"/>
            </w:rPr>
            <w:tab/>
          </w:r>
          <w:r>
            <w:rPr>
              <w:color w:val="auto"/>
              <w:sz w:val="32"/>
              <w:szCs w:val="32"/>
            </w:rPr>
            <w:fldChar w:fldCharType="begin"/>
          </w:r>
          <w:r>
            <w:rPr>
              <w:color w:val="auto"/>
              <w:sz w:val="32"/>
              <w:szCs w:val="32"/>
            </w:rPr>
            <w:instrText xml:space="preserve"> PAGEREF _Toc21665 \h </w:instrText>
          </w:r>
          <w:r>
            <w:rPr>
              <w:color w:val="auto"/>
              <w:sz w:val="32"/>
              <w:szCs w:val="32"/>
            </w:rPr>
            <w:fldChar w:fldCharType="separate"/>
          </w:r>
          <w:r>
            <w:rPr>
              <w:color w:val="auto"/>
              <w:sz w:val="32"/>
              <w:szCs w:val="32"/>
            </w:rPr>
            <w:t>15</w:t>
          </w:r>
          <w:r>
            <w:rPr>
              <w:color w:val="auto"/>
              <w:sz w:val="32"/>
              <w:szCs w:val="32"/>
            </w:rPr>
            <w:fldChar w:fldCharType="end"/>
          </w:r>
          <w:r>
            <w:rPr>
              <w:color w:val="auto"/>
              <w:sz w:val="32"/>
              <w:szCs w:val="32"/>
            </w:rPr>
            <w:fldChar w:fldCharType="end"/>
          </w:r>
        </w:p>
        <w:p>
          <w:pPr>
            <w:pStyle w:val="12"/>
            <w:tabs>
              <w:tab w:val="right" w:leader="dot" w:pos="8845"/>
            </w:tabs>
            <w:spacing w:line="560" w:lineRule="exact"/>
            <w:rPr>
              <w:color w:val="auto"/>
              <w:sz w:val="32"/>
              <w:szCs w:val="32"/>
            </w:rPr>
          </w:pPr>
          <w:r>
            <w:rPr>
              <w:color w:val="auto"/>
            </w:rPr>
            <w:fldChar w:fldCharType="begin"/>
          </w:r>
          <w:r>
            <w:rPr>
              <w:color w:val="auto"/>
            </w:rPr>
            <w:instrText xml:space="preserve"> HYPERLINK \l "_Toc18134" </w:instrText>
          </w:r>
          <w:r>
            <w:rPr>
              <w:color w:val="auto"/>
            </w:rPr>
            <w:fldChar w:fldCharType="separate"/>
          </w:r>
          <w:r>
            <w:rPr>
              <w:rFonts w:hint="eastAsia" w:ascii="Times New Roman" w:hAnsi="Times New Roman" w:eastAsia="仿宋_GB2312" w:cs="Times New Roman"/>
              <w:bCs/>
              <w:color w:val="auto"/>
              <w:sz w:val="32"/>
              <w:szCs w:val="32"/>
            </w:rPr>
            <w:t>1.低空文旅消费与运营服务极核</w:t>
          </w:r>
          <w:r>
            <w:rPr>
              <w:color w:val="auto"/>
              <w:sz w:val="32"/>
              <w:szCs w:val="32"/>
            </w:rPr>
            <w:tab/>
          </w:r>
          <w:r>
            <w:rPr>
              <w:rStyle w:val="53"/>
              <w:color w:val="auto"/>
            </w:rPr>
            <w:fldChar w:fldCharType="begin"/>
          </w:r>
          <w:r>
            <w:rPr>
              <w:rStyle w:val="53"/>
              <w:color w:val="auto"/>
            </w:rPr>
            <w:instrText xml:space="preserve"> PAGEREF _Toc18134 \h </w:instrText>
          </w:r>
          <w:r>
            <w:rPr>
              <w:rStyle w:val="53"/>
              <w:color w:val="auto"/>
            </w:rPr>
            <w:fldChar w:fldCharType="separate"/>
          </w:r>
          <w:r>
            <w:rPr>
              <w:rStyle w:val="53"/>
              <w:color w:val="auto"/>
            </w:rPr>
            <w:t>15</w:t>
          </w:r>
          <w:r>
            <w:rPr>
              <w:rStyle w:val="53"/>
              <w:color w:val="auto"/>
            </w:rPr>
            <w:fldChar w:fldCharType="end"/>
          </w:r>
          <w:r>
            <w:rPr>
              <w:color w:val="auto"/>
              <w:sz w:val="32"/>
              <w:szCs w:val="32"/>
            </w:rPr>
            <w:fldChar w:fldCharType="end"/>
          </w:r>
        </w:p>
        <w:p>
          <w:pPr>
            <w:pStyle w:val="12"/>
            <w:tabs>
              <w:tab w:val="right" w:leader="dot" w:pos="8845"/>
            </w:tabs>
            <w:spacing w:line="560" w:lineRule="exact"/>
            <w:rPr>
              <w:color w:val="auto"/>
              <w:sz w:val="32"/>
              <w:szCs w:val="32"/>
            </w:rPr>
          </w:pPr>
          <w:r>
            <w:rPr>
              <w:color w:val="auto"/>
            </w:rPr>
            <w:fldChar w:fldCharType="begin"/>
          </w:r>
          <w:r>
            <w:rPr>
              <w:color w:val="auto"/>
            </w:rPr>
            <w:instrText xml:space="preserve"> HYPERLINK \l "_Toc8201" </w:instrText>
          </w:r>
          <w:r>
            <w:rPr>
              <w:color w:val="auto"/>
            </w:rPr>
            <w:fldChar w:fldCharType="separate"/>
          </w:r>
          <w:r>
            <w:rPr>
              <w:rFonts w:hint="eastAsia" w:ascii="Times New Roman" w:hAnsi="Times New Roman" w:eastAsia="仿宋_GB2312" w:cs="Times New Roman"/>
              <w:bCs/>
              <w:color w:val="auto"/>
              <w:sz w:val="32"/>
              <w:szCs w:val="32"/>
            </w:rPr>
            <w:t>2.低空先进材料与装备研制极核</w:t>
          </w:r>
          <w:r>
            <w:rPr>
              <w:color w:val="auto"/>
              <w:sz w:val="32"/>
              <w:szCs w:val="32"/>
            </w:rPr>
            <w:tab/>
          </w:r>
          <w:r>
            <w:rPr>
              <w:color w:val="auto"/>
              <w:sz w:val="32"/>
              <w:szCs w:val="32"/>
            </w:rPr>
            <w:fldChar w:fldCharType="begin"/>
          </w:r>
          <w:r>
            <w:rPr>
              <w:color w:val="auto"/>
              <w:sz w:val="32"/>
              <w:szCs w:val="32"/>
            </w:rPr>
            <w:instrText xml:space="preserve"> PAGEREF _Toc8201 \h </w:instrText>
          </w:r>
          <w:r>
            <w:rPr>
              <w:color w:val="auto"/>
              <w:sz w:val="32"/>
              <w:szCs w:val="32"/>
            </w:rPr>
            <w:fldChar w:fldCharType="separate"/>
          </w:r>
          <w:r>
            <w:rPr>
              <w:color w:val="auto"/>
              <w:sz w:val="32"/>
              <w:szCs w:val="32"/>
            </w:rPr>
            <w:t>17</w:t>
          </w:r>
          <w:r>
            <w:rPr>
              <w:color w:val="auto"/>
              <w:sz w:val="32"/>
              <w:szCs w:val="32"/>
            </w:rPr>
            <w:fldChar w:fldCharType="end"/>
          </w:r>
          <w:r>
            <w:rPr>
              <w:color w:val="auto"/>
              <w:sz w:val="32"/>
              <w:szCs w:val="32"/>
            </w:rPr>
            <w:fldChar w:fldCharType="end"/>
          </w:r>
        </w:p>
        <w:p>
          <w:pPr>
            <w:pStyle w:val="12"/>
            <w:tabs>
              <w:tab w:val="right" w:leader="dot" w:pos="8845"/>
            </w:tabs>
            <w:spacing w:line="560" w:lineRule="exact"/>
            <w:rPr>
              <w:color w:val="auto"/>
              <w:sz w:val="32"/>
              <w:szCs w:val="32"/>
            </w:rPr>
          </w:pPr>
          <w:r>
            <w:rPr>
              <w:color w:val="auto"/>
            </w:rPr>
            <w:fldChar w:fldCharType="begin"/>
          </w:r>
          <w:r>
            <w:rPr>
              <w:color w:val="auto"/>
            </w:rPr>
            <w:instrText xml:space="preserve"> HYPERLINK \l "_Toc8302" </w:instrText>
          </w:r>
          <w:r>
            <w:rPr>
              <w:color w:val="auto"/>
            </w:rPr>
            <w:fldChar w:fldCharType="separate"/>
          </w:r>
          <w:r>
            <w:rPr>
              <w:rFonts w:hint="eastAsia" w:ascii="Times New Roman" w:hAnsi="Times New Roman" w:eastAsia="仿宋_GB2312" w:cs="Times New Roman"/>
              <w:bCs/>
              <w:color w:val="auto"/>
              <w:sz w:val="32"/>
              <w:szCs w:val="32"/>
            </w:rPr>
            <w:t>3.低空经济多元产业融合发展区</w:t>
          </w:r>
          <w:r>
            <w:rPr>
              <w:color w:val="auto"/>
              <w:sz w:val="32"/>
              <w:szCs w:val="32"/>
            </w:rPr>
            <w:tab/>
          </w:r>
          <w:r>
            <w:rPr>
              <w:color w:val="auto"/>
              <w:sz w:val="32"/>
              <w:szCs w:val="32"/>
            </w:rPr>
            <w:fldChar w:fldCharType="begin"/>
          </w:r>
          <w:r>
            <w:rPr>
              <w:color w:val="auto"/>
              <w:sz w:val="32"/>
              <w:szCs w:val="32"/>
            </w:rPr>
            <w:instrText xml:space="preserve"> PAGEREF _Toc8302 \h </w:instrText>
          </w:r>
          <w:r>
            <w:rPr>
              <w:color w:val="auto"/>
              <w:sz w:val="32"/>
              <w:szCs w:val="32"/>
            </w:rPr>
            <w:fldChar w:fldCharType="separate"/>
          </w:r>
          <w:r>
            <w:rPr>
              <w:color w:val="auto"/>
              <w:sz w:val="32"/>
              <w:szCs w:val="32"/>
            </w:rPr>
            <w:t>20</w:t>
          </w:r>
          <w:r>
            <w:rPr>
              <w:color w:val="auto"/>
              <w:sz w:val="32"/>
              <w:szCs w:val="32"/>
            </w:rPr>
            <w:fldChar w:fldCharType="end"/>
          </w:r>
          <w:r>
            <w:rPr>
              <w:color w:val="auto"/>
              <w:sz w:val="32"/>
              <w:szCs w:val="32"/>
            </w:rPr>
            <w:fldChar w:fldCharType="end"/>
          </w:r>
        </w:p>
        <w:p>
          <w:pPr>
            <w:pStyle w:val="12"/>
            <w:tabs>
              <w:tab w:val="right" w:leader="dot" w:pos="8845"/>
            </w:tabs>
            <w:spacing w:line="560" w:lineRule="exact"/>
            <w:rPr>
              <w:color w:val="auto"/>
              <w:sz w:val="32"/>
              <w:szCs w:val="32"/>
            </w:rPr>
          </w:pPr>
          <w:r>
            <w:rPr>
              <w:color w:val="auto"/>
            </w:rPr>
            <w:fldChar w:fldCharType="begin"/>
          </w:r>
          <w:r>
            <w:rPr>
              <w:color w:val="auto"/>
            </w:rPr>
            <w:instrText xml:space="preserve"> HYPERLINK \l "_Toc26866" </w:instrText>
          </w:r>
          <w:r>
            <w:rPr>
              <w:color w:val="auto"/>
            </w:rPr>
            <w:fldChar w:fldCharType="separate"/>
          </w:r>
          <w:r>
            <w:rPr>
              <w:rFonts w:hint="eastAsia" w:ascii="Times New Roman" w:hAnsi="Times New Roman" w:eastAsia="仿宋_GB2312" w:cs="Times New Roman"/>
              <w:bCs/>
              <w:color w:val="auto"/>
              <w:sz w:val="32"/>
              <w:szCs w:val="32"/>
            </w:rPr>
            <w:t>4.低空经济生产应用示范区</w:t>
          </w:r>
          <w:r>
            <w:rPr>
              <w:color w:val="auto"/>
              <w:sz w:val="32"/>
              <w:szCs w:val="32"/>
            </w:rPr>
            <w:tab/>
          </w:r>
          <w:r>
            <w:rPr>
              <w:color w:val="auto"/>
              <w:sz w:val="32"/>
              <w:szCs w:val="32"/>
            </w:rPr>
            <w:fldChar w:fldCharType="begin"/>
          </w:r>
          <w:r>
            <w:rPr>
              <w:color w:val="auto"/>
              <w:sz w:val="32"/>
              <w:szCs w:val="32"/>
            </w:rPr>
            <w:instrText xml:space="preserve"> PAGEREF _Toc26866 \h </w:instrText>
          </w:r>
          <w:r>
            <w:rPr>
              <w:color w:val="auto"/>
              <w:sz w:val="32"/>
              <w:szCs w:val="32"/>
            </w:rPr>
            <w:fldChar w:fldCharType="separate"/>
          </w:r>
          <w:r>
            <w:rPr>
              <w:color w:val="auto"/>
              <w:sz w:val="32"/>
              <w:szCs w:val="32"/>
            </w:rPr>
            <w:t>21</w:t>
          </w:r>
          <w:r>
            <w:rPr>
              <w:color w:val="auto"/>
              <w:sz w:val="32"/>
              <w:szCs w:val="32"/>
            </w:rPr>
            <w:fldChar w:fldCharType="end"/>
          </w:r>
          <w:r>
            <w:rPr>
              <w:color w:val="auto"/>
              <w:sz w:val="32"/>
              <w:szCs w:val="32"/>
            </w:rPr>
            <w:fldChar w:fldCharType="end"/>
          </w:r>
        </w:p>
        <w:p>
          <w:pPr>
            <w:pStyle w:val="15"/>
            <w:tabs>
              <w:tab w:val="right" w:leader="dot" w:pos="8845"/>
            </w:tabs>
            <w:spacing w:line="560" w:lineRule="exact"/>
            <w:rPr>
              <w:color w:val="auto"/>
              <w:sz w:val="32"/>
              <w:szCs w:val="32"/>
            </w:rPr>
          </w:pPr>
          <w:r>
            <w:rPr>
              <w:color w:val="auto"/>
            </w:rPr>
            <w:fldChar w:fldCharType="begin"/>
          </w:r>
          <w:r>
            <w:rPr>
              <w:color w:val="auto"/>
            </w:rPr>
            <w:instrText xml:space="preserve"> HYPERLINK \l "_Toc10563" </w:instrText>
          </w:r>
          <w:r>
            <w:rPr>
              <w:color w:val="auto"/>
            </w:rPr>
            <w:fldChar w:fldCharType="separate"/>
          </w:r>
          <w:r>
            <w:rPr>
              <w:rFonts w:hint="eastAsia" w:ascii="Times New Roman" w:hAnsi="Times New Roman" w:eastAsia="黑体" w:cs="Times New Roman"/>
              <w:color w:val="auto"/>
              <w:sz w:val="32"/>
              <w:szCs w:val="32"/>
              <w:shd w:val="clear" w:color="auto" w:fill="FFFFFF"/>
            </w:rPr>
            <w:t>三、重点任务</w:t>
          </w:r>
          <w:r>
            <w:rPr>
              <w:color w:val="auto"/>
              <w:sz w:val="32"/>
              <w:szCs w:val="32"/>
            </w:rPr>
            <w:tab/>
          </w:r>
          <w:r>
            <w:rPr>
              <w:color w:val="auto"/>
              <w:sz w:val="32"/>
              <w:szCs w:val="32"/>
            </w:rPr>
            <w:fldChar w:fldCharType="begin"/>
          </w:r>
          <w:r>
            <w:rPr>
              <w:color w:val="auto"/>
              <w:sz w:val="32"/>
              <w:szCs w:val="32"/>
            </w:rPr>
            <w:instrText xml:space="preserve"> PAGEREF _Toc10563 \h </w:instrText>
          </w:r>
          <w:r>
            <w:rPr>
              <w:color w:val="auto"/>
              <w:sz w:val="32"/>
              <w:szCs w:val="32"/>
            </w:rPr>
            <w:fldChar w:fldCharType="separate"/>
          </w:r>
          <w:r>
            <w:rPr>
              <w:color w:val="auto"/>
              <w:sz w:val="32"/>
              <w:szCs w:val="32"/>
            </w:rPr>
            <w:t>24</w:t>
          </w:r>
          <w:r>
            <w:rPr>
              <w:color w:val="auto"/>
              <w:sz w:val="32"/>
              <w:szCs w:val="32"/>
            </w:rPr>
            <w:fldChar w:fldCharType="end"/>
          </w:r>
          <w:r>
            <w:rPr>
              <w:color w:val="auto"/>
              <w:sz w:val="32"/>
              <w:szCs w:val="32"/>
            </w:rPr>
            <w:fldChar w:fldCharType="end"/>
          </w:r>
        </w:p>
        <w:p>
          <w:pPr>
            <w:pStyle w:val="18"/>
            <w:tabs>
              <w:tab w:val="right" w:leader="dot" w:pos="8845"/>
            </w:tabs>
            <w:spacing w:line="560" w:lineRule="exact"/>
            <w:rPr>
              <w:color w:val="auto"/>
              <w:sz w:val="32"/>
              <w:szCs w:val="32"/>
            </w:rPr>
          </w:pPr>
          <w:r>
            <w:rPr>
              <w:color w:val="auto"/>
            </w:rPr>
            <w:fldChar w:fldCharType="begin"/>
          </w:r>
          <w:r>
            <w:rPr>
              <w:color w:val="auto"/>
            </w:rPr>
            <w:instrText xml:space="preserve"> HYPERLINK \l "_Toc30183" </w:instrText>
          </w:r>
          <w:r>
            <w:rPr>
              <w:color w:val="auto"/>
            </w:rPr>
            <w:fldChar w:fldCharType="separate"/>
          </w:r>
          <w:r>
            <w:rPr>
              <w:rFonts w:hint="eastAsia" w:ascii="Times New Roman" w:hAnsi="Times New Roman" w:eastAsia="楷体_GB2312" w:cs="Times New Roman"/>
              <w:color w:val="auto"/>
              <w:spacing w:val="6"/>
              <w:sz w:val="32"/>
              <w:szCs w:val="32"/>
            </w:rPr>
            <w:t>（一）发挥材料能源优势，推动低空制造集链成群</w:t>
          </w:r>
          <w:r>
            <w:rPr>
              <w:color w:val="auto"/>
              <w:sz w:val="32"/>
              <w:szCs w:val="32"/>
            </w:rPr>
            <w:tab/>
          </w:r>
          <w:r>
            <w:rPr>
              <w:color w:val="auto"/>
              <w:sz w:val="32"/>
              <w:szCs w:val="32"/>
            </w:rPr>
            <w:fldChar w:fldCharType="begin"/>
          </w:r>
          <w:r>
            <w:rPr>
              <w:color w:val="auto"/>
              <w:sz w:val="32"/>
              <w:szCs w:val="32"/>
            </w:rPr>
            <w:instrText xml:space="preserve"> PAGEREF _Toc30183 \h </w:instrText>
          </w:r>
          <w:r>
            <w:rPr>
              <w:color w:val="auto"/>
              <w:sz w:val="32"/>
              <w:szCs w:val="32"/>
            </w:rPr>
            <w:fldChar w:fldCharType="separate"/>
          </w:r>
          <w:r>
            <w:rPr>
              <w:color w:val="auto"/>
              <w:sz w:val="32"/>
              <w:szCs w:val="32"/>
            </w:rPr>
            <w:t>24</w:t>
          </w:r>
          <w:r>
            <w:rPr>
              <w:color w:val="auto"/>
              <w:sz w:val="32"/>
              <w:szCs w:val="32"/>
            </w:rPr>
            <w:fldChar w:fldCharType="end"/>
          </w:r>
          <w:r>
            <w:rPr>
              <w:color w:val="auto"/>
              <w:sz w:val="32"/>
              <w:szCs w:val="32"/>
            </w:rPr>
            <w:fldChar w:fldCharType="end"/>
          </w:r>
        </w:p>
        <w:p>
          <w:pPr>
            <w:pStyle w:val="12"/>
            <w:tabs>
              <w:tab w:val="right" w:leader="dot" w:pos="8845"/>
            </w:tabs>
            <w:spacing w:line="560" w:lineRule="exact"/>
            <w:rPr>
              <w:color w:val="auto"/>
              <w:sz w:val="32"/>
              <w:szCs w:val="32"/>
            </w:rPr>
          </w:pPr>
          <w:bookmarkStart w:id="19" w:name="OLE_LINK24"/>
          <w:r>
            <w:rPr>
              <w:rFonts w:ascii="Times New Roman" w:hAnsi="Times New Roman" w:eastAsia="仿宋_GB2312" w:cs="Times New Roman"/>
              <w:color w:val="auto"/>
              <w:sz w:val="32"/>
              <w:szCs w:val="32"/>
              <w:lang w:val="zh-TW" w:eastAsia="zh-TW"/>
            </w:rPr>
            <w:fldChar w:fldCharType="begin"/>
          </w:r>
          <w:r>
            <w:rPr>
              <w:rFonts w:ascii="Times New Roman" w:hAnsi="Times New Roman" w:eastAsia="仿宋_GB2312" w:cs="Times New Roman"/>
              <w:color w:val="auto"/>
              <w:sz w:val="32"/>
              <w:szCs w:val="32"/>
              <w:lang w:val="zh-TW" w:eastAsia="zh-TW"/>
            </w:rPr>
            <w:instrText xml:space="preserve"> HYPERLINK \l _Toc5536 </w:instrText>
          </w:r>
          <w:r>
            <w:rPr>
              <w:rFonts w:ascii="Times New Roman" w:hAnsi="Times New Roman" w:eastAsia="仿宋_GB2312" w:cs="Times New Roman"/>
              <w:color w:val="auto"/>
              <w:sz w:val="32"/>
              <w:szCs w:val="32"/>
              <w:lang w:val="zh-TW" w:eastAsia="zh-TW"/>
            </w:rPr>
            <w:fldChar w:fldCharType="separate"/>
          </w:r>
          <w:r>
            <w:rPr>
              <w:rFonts w:hint="eastAsia" w:ascii="Times New Roman" w:hAnsi="Times New Roman" w:eastAsia="仿宋_GB2312" w:cs="Times New Roman"/>
              <w:bCs/>
              <w:color w:val="auto"/>
              <w:sz w:val="32"/>
              <w:szCs w:val="32"/>
            </w:rPr>
            <w:t>1.做强</w:t>
          </w:r>
          <w:r>
            <w:rPr>
              <w:rFonts w:hint="eastAsia" w:ascii="Times New Roman" w:hAnsi="Times New Roman" w:eastAsia="仿宋_GB2312" w:cs="Times New Roman"/>
              <w:color w:val="auto"/>
              <w:sz w:val="32"/>
              <w:szCs w:val="32"/>
            </w:rPr>
            <w:t>低空先进材料产业</w:t>
          </w:r>
          <w:r>
            <w:rPr>
              <w:color w:val="auto"/>
              <w:sz w:val="32"/>
              <w:szCs w:val="32"/>
            </w:rPr>
            <w:tab/>
          </w:r>
          <w:r>
            <w:rPr>
              <w:color w:val="auto"/>
              <w:sz w:val="32"/>
              <w:szCs w:val="32"/>
            </w:rPr>
            <w:fldChar w:fldCharType="begin"/>
          </w:r>
          <w:r>
            <w:rPr>
              <w:color w:val="auto"/>
              <w:sz w:val="32"/>
              <w:szCs w:val="32"/>
            </w:rPr>
            <w:instrText xml:space="preserve"> PAGEREF _Toc5536 \h </w:instrText>
          </w:r>
          <w:r>
            <w:rPr>
              <w:color w:val="auto"/>
              <w:sz w:val="32"/>
              <w:szCs w:val="32"/>
            </w:rPr>
            <w:fldChar w:fldCharType="separate"/>
          </w:r>
          <w:r>
            <w:rPr>
              <w:color w:val="auto"/>
              <w:sz w:val="32"/>
              <w:szCs w:val="32"/>
            </w:rPr>
            <w:t>24</w:t>
          </w:r>
          <w:r>
            <w:rPr>
              <w:color w:val="auto"/>
              <w:sz w:val="32"/>
              <w:szCs w:val="32"/>
            </w:rPr>
            <w:fldChar w:fldCharType="end"/>
          </w:r>
          <w:r>
            <w:rPr>
              <w:rFonts w:ascii="Times New Roman" w:hAnsi="Times New Roman" w:eastAsia="仿宋_GB2312" w:cs="Times New Roman"/>
              <w:color w:val="auto"/>
              <w:sz w:val="32"/>
              <w:szCs w:val="32"/>
              <w:lang w:val="zh-TW" w:eastAsia="zh-TW"/>
            </w:rPr>
            <w:fldChar w:fldCharType="end"/>
          </w:r>
        </w:p>
        <w:p>
          <w:pPr>
            <w:pStyle w:val="12"/>
            <w:tabs>
              <w:tab w:val="right" w:leader="dot" w:pos="8845"/>
            </w:tabs>
            <w:spacing w:line="560" w:lineRule="exact"/>
            <w:rPr>
              <w:color w:val="auto"/>
              <w:sz w:val="32"/>
              <w:szCs w:val="32"/>
            </w:rPr>
          </w:pPr>
          <w:r>
            <w:rPr>
              <w:color w:val="auto"/>
            </w:rPr>
            <w:fldChar w:fldCharType="begin"/>
          </w:r>
          <w:r>
            <w:rPr>
              <w:color w:val="auto"/>
            </w:rPr>
            <w:instrText xml:space="preserve"> HYPERLINK \l "_Toc23095" </w:instrText>
          </w:r>
          <w:r>
            <w:rPr>
              <w:color w:val="auto"/>
            </w:rPr>
            <w:fldChar w:fldCharType="separate"/>
          </w:r>
          <w:r>
            <w:rPr>
              <w:rFonts w:hint="eastAsia" w:ascii="Times New Roman" w:hAnsi="Times New Roman" w:eastAsia="仿宋_GB2312" w:cs="Times New Roman"/>
              <w:bCs/>
              <w:color w:val="auto"/>
              <w:sz w:val="32"/>
              <w:szCs w:val="32"/>
            </w:rPr>
            <w:t>2.做大整机研发制造规模</w:t>
          </w:r>
          <w:r>
            <w:rPr>
              <w:color w:val="auto"/>
              <w:sz w:val="32"/>
              <w:szCs w:val="32"/>
            </w:rPr>
            <w:tab/>
          </w:r>
          <w:r>
            <w:rPr>
              <w:color w:val="auto"/>
              <w:sz w:val="32"/>
              <w:szCs w:val="32"/>
            </w:rPr>
            <w:fldChar w:fldCharType="begin"/>
          </w:r>
          <w:r>
            <w:rPr>
              <w:color w:val="auto"/>
              <w:sz w:val="32"/>
              <w:szCs w:val="32"/>
            </w:rPr>
            <w:instrText xml:space="preserve"> PAGEREF _Toc23095 \h </w:instrText>
          </w:r>
          <w:r>
            <w:rPr>
              <w:color w:val="auto"/>
              <w:sz w:val="32"/>
              <w:szCs w:val="32"/>
            </w:rPr>
            <w:fldChar w:fldCharType="separate"/>
          </w:r>
          <w:r>
            <w:rPr>
              <w:color w:val="auto"/>
              <w:sz w:val="32"/>
              <w:szCs w:val="32"/>
            </w:rPr>
            <w:t>25</w:t>
          </w:r>
          <w:r>
            <w:rPr>
              <w:color w:val="auto"/>
              <w:sz w:val="32"/>
              <w:szCs w:val="32"/>
            </w:rPr>
            <w:fldChar w:fldCharType="end"/>
          </w:r>
          <w:r>
            <w:rPr>
              <w:color w:val="auto"/>
              <w:sz w:val="32"/>
              <w:szCs w:val="32"/>
            </w:rPr>
            <w:fldChar w:fldCharType="end"/>
          </w:r>
        </w:p>
        <w:p>
          <w:pPr>
            <w:pStyle w:val="12"/>
            <w:tabs>
              <w:tab w:val="right" w:leader="dot" w:pos="8845"/>
            </w:tabs>
            <w:spacing w:line="560" w:lineRule="exact"/>
            <w:rPr>
              <w:color w:val="auto"/>
              <w:sz w:val="32"/>
              <w:szCs w:val="32"/>
            </w:rPr>
          </w:pPr>
          <w:r>
            <w:rPr>
              <w:color w:val="auto"/>
            </w:rPr>
            <w:fldChar w:fldCharType="begin"/>
          </w:r>
          <w:r>
            <w:rPr>
              <w:color w:val="auto"/>
            </w:rPr>
            <w:instrText xml:space="preserve"> HYPERLINK \l "_Toc17185" </w:instrText>
          </w:r>
          <w:r>
            <w:rPr>
              <w:color w:val="auto"/>
            </w:rPr>
            <w:fldChar w:fldCharType="separate"/>
          </w:r>
          <w:r>
            <w:rPr>
              <w:rFonts w:ascii="Times New Roman" w:hAnsi="Times New Roman" w:eastAsia="仿宋_GB2312" w:cs="Times New Roman"/>
              <w:color w:val="auto"/>
              <w:sz w:val="32"/>
              <w:szCs w:val="32"/>
            </w:rPr>
            <w:t>3.</w:t>
          </w:r>
          <w:r>
            <w:rPr>
              <w:rFonts w:hint="eastAsia" w:ascii="Times New Roman" w:hAnsi="Times New Roman" w:eastAsia="仿宋_GB2312" w:cs="Times New Roman"/>
              <w:bCs/>
              <w:color w:val="auto"/>
              <w:sz w:val="32"/>
              <w:szCs w:val="32"/>
            </w:rPr>
            <w:t>培育</w:t>
          </w:r>
          <w:r>
            <w:rPr>
              <w:rFonts w:hint="eastAsia" w:ascii="Times New Roman" w:hAnsi="Times New Roman" w:eastAsia="仿宋_GB2312" w:cs="Times New Roman"/>
              <w:color w:val="auto"/>
              <w:sz w:val="32"/>
              <w:szCs w:val="32"/>
            </w:rPr>
            <w:t>系统和零部件集群</w:t>
          </w:r>
          <w:r>
            <w:rPr>
              <w:color w:val="auto"/>
              <w:sz w:val="32"/>
              <w:szCs w:val="32"/>
            </w:rPr>
            <w:tab/>
          </w:r>
          <w:r>
            <w:rPr>
              <w:color w:val="auto"/>
              <w:sz w:val="32"/>
              <w:szCs w:val="32"/>
            </w:rPr>
            <w:fldChar w:fldCharType="begin"/>
          </w:r>
          <w:r>
            <w:rPr>
              <w:color w:val="auto"/>
              <w:sz w:val="32"/>
              <w:szCs w:val="32"/>
            </w:rPr>
            <w:instrText xml:space="preserve"> PAGEREF _Toc17185 \h </w:instrText>
          </w:r>
          <w:r>
            <w:rPr>
              <w:color w:val="auto"/>
              <w:sz w:val="32"/>
              <w:szCs w:val="32"/>
            </w:rPr>
            <w:fldChar w:fldCharType="separate"/>
          </w:r>
          <w:r>
            <w:rPr>
              <w:color w:val="auto"/>
              <w:sz w:val="32"/>
              <w:szCs w:val="32"/>
            </w:rPr>
            <w:t>27</w:t>
          </w:r>
          <w:r>
            <w:rPr>
              <w:color w:val="auto"/>
              <w:sz w:val="32"/>
              <w:szCs w:val="32"/>
            </w:rPr>
            <w:fldChar w:fldCharType="end"/>
          </w:r>
          <w:r>
            <w:rPr>
              <w:color w:val="auto"/>
              <w:sz w:val="32"/>
              <w:szCs w:val="32"/>
            </w:rPr>
            <w:fldChar w:fldCharType="end"/>
          </w:r>
        </w:p>
        <w:p>
          <w:pPr>
            <w:pStyle w:val="12"/>
            <w:tabs>
              <w:tab w:val="right" w:leader="dot" w:pos="8845"/>
            </w:tabs>
            <w:spacing w:line="560" w:lineRule="exact"/>
            <w:rPr>
              <w:color w:val="auto"/>
              <w:sz w:val="32"/>
              <w:szCs w:val="32"/>
            </w:rPr>
          </w:pPr>
          <w:r>
            <w:rPr>
              <w:color w:val="auto"/>
            </w:rPr>
            <w:fldChar w:fldCharType="begin"/>
          </w:r>
          <w:r>
            <w:rPr>
              <w:color w:val="auto"/>
            </w:rPr>
            <w:instrText xml:space="preserve"> HYPERLINK \l "_Toc16000" </w:instrText>
          </w:r>
          <w:r>
            <w:rPr>
              <w:color w:val="auto"/>
            </w:rPr>
            <w:fldChar w:fldCharType="separate"/>
          </w:r>
          <w:r>
            <w:rPr>
              <w:rFonts w:hint="eastAsia" w:ascii="Times New Roman" w:hAnsi="Times New Roman" w:eastAsia="仿宋_GB2312" w:cs="Times New Roman"/>
              <w:color w:val="auto"/>
              <w:sz w:val="32"/>
              <w:szCs w:val="32"/>
            </w:rPr>
            <w:t>4.探索多元产业融合创新</w:t>
          </w:r>
          <w:r>
            <w:rPr>
              <w:color w:val="auto"/>
              <w:sz w:val="32"/>
              <w:szCs w:val="32"/>
            </w:rPr>
            <w:tab/>
          </w:r>
          <w:r>
            <w:rPr>
              <w:color w:val="auto"/>
              <w:sz w:val="32"/>
              <w:szCs w:val="32"/>
            </w:rPr>
            <w:fldChar w:fldCharType="begin"/>
          </w:r>
          <w:r>
            <w:rPr>
              <w:color w:val="auto"/>
              <w:sz w:val="32"/>
              <w:szCs w:val="32"/>
            </w:rPr>
            <w:instrText xml:space="preserve"> PAGEREF _Toc16000 \h </w:instrText>
          </w:r>
          <w:r>
            <w:rPr>
              <w:color w:val="auto"/>
              <w:sz w:val="32"/>
              <w:szCs w:val="32"/>
            </w:rPr>
            <w:fldChar w:fldCharType="separate"/>
          </w:r>
          <w:r>
            <w:rPr>
              <w:color w:val="auto"/>
              <w:sz w:val="32"/>
              <w:szCs w:val="32"/>
            </w:rPr>
            <w:t>29</w:t>
          </w:r>
          <w:r>
            <w:rPr>
              <w:color w:val="auto"/>
              <w:sz w:val="32"/>
              <w:szCs w:val="32"/>
            </w:rPr>
            <w:fldChar w:fldCharType="end"/>
          </w:r>
          <w:r>
            <w:rPr>
              <w:color w:val="auto"/>
              <w:sz w:val="32"/>
              <w:szCs w:val="32"/>
            </w:rPr>
            <w:fldChar w:fldCharType="end"/>
          </w:r>
        </w:p>
        <w:p>
          <w:pPr>
            <w:pStyle w:val="18"/>
            <w:tabs>
              <w:tab w:val="right" w:leader="dot" w:pos="8845"/>
            </w:tabs>
            <w:spacing w:line="560" w:lineRule="exact"/>
            <w:rPr>
              <w:color w:val="auto"/>
              <w:sz w:val="32"/>
              <w:szCs w:val="32"/>
            </w:rPr>
          </w:pPr>
          <w:r>
            <w:rPr>
              <w:color w:val="auto"/>
            </w:rPr>
            <w:fldChar w:fldCharType="begin"/>
          </w:r>
          <w:r>
            <w:rPr>
              <w:color w:val="auto"/>
            </w:rPr>
            <w:instrText xml:space="preserve"> HYPERLINK \l "_Toc23419" </w:instrText>
          </w:r>
          <w:r>
            <w:rPr>
              <w:color w:val="auto"/>
            </w:rPr>
            <w:fldChar w:fldCharType="separate"/>
          </w:r>
          <w:r>
            <w:rPr>
              <w:rFonts w:hint="eastAsia" w:ascii="Times New Roman" w:hAnsi="Times New Roman" w:eastAsia="楷体_GB2312" w:cs="Times New Roman"/>
              <w:color w:val="auto"/>
              <w:spacing w:val="6"/>
              <w:sz w:val="32"/>
              <w:szCs w:val="32"/>
            </w:rPr>
            <w:t>（二）突出文旅山地特色，推动低空场景规模应用</w:t>
          </w:r>
          <w:r>
            <w:rPr>
              <w:color w:val="auto"/>
              <w:sz w:val="32"/>
              <w:szCs w:val="32"/>
            </w:rPr>
            <w:tab/>
          </w:r>
          <w:r>
            <w:rPr>
              <w:color w:val="auto"/>
              <w:sz w:val="32"/>
              <w:szCs w:val="32"/>
            </w:rPr>
            <w:fldChar w:fldCharType="begin"/>
          </w:r>
          <w:r>
            <w:rPr>
              <w:color w:val="auto"/>
              <w:sz w:val="32"/>
              <w:szCs w:val="32"/>
            </w:rPr>
            <w:instrText xml:space="preserve"> PAGEREF _Toc23419 \h </w:instrText>
          </w:r>
          <w:r>
            <w:rPr>
              <w:color w:val="auto"/>
              <w:sz w:val="32"/>
              <w:szCs w:val="32"/>
            </w:rPr>
            <w:fldChar w:fldCharType="separate"/>
          </w:r>
          <w:r>
            <w:rPr>
              <w:color w:val="auto"/>
              <w:sz w:val="32"/>
              <w:szCs w:val="32"/>
            </w:rPr>
            <w:t>30</w:t>
          </w:r>
          <w:r>
            <w:rPr>
              <w:color w:val="auto"/>
              <w:sz w:val="32"/>
              <w:szCs w:val="32"/>
            </w:rPr>
            <w:fldChar w:fldCharType="end"/>
          </w:r>
          <w:r>
            <w:rPr>
              <w:color w:val="auto"/>
              <w:sz w:val="32"/>
              <w:szCs w:val="32"/>
            </w:rPr>
            <w:fldChar w:fldCharType="end"/>
          </w:r>
        </w:p>
        <w:p>
          <w:pPr>
            <w:pStyle w:val="12"/>
            <w:tabs>
              <w:tab w:val="right" w:leader="dot" w:pos="8845"/>
            </w:tabs>
            <w:spacing w:line="560" w:lineRule="exact"/>
            <w:rPr>
              <w:color w:val="auto"/>
              <w:sz w:val="32"/>
              <w:szCs w:val="32"/>
            </w:rPr>
          </w:pPr>
          <w:r>
            <w:rPr>
              <w:color w:val="auto"/>
            </w:rPr>
            <w:fldChar w:fldCharType="begin"/>
          </w:r>
          <w:r>
            <w:rPr>
              <w:color w:val="auto"/>
            </w:rPr>
            <w:instrText xml:space="preserve"> HYPERLINK \l "_Toc756" </w:instrText>
          </w:r>
          <w:r>
            <w:rPr>
              <w:color w:val="auto"/>
            </w:rPr>
            <w:fldChar w:fldCharType="separate"/>
          </w:r>
          <w:r>
            <w:rPr>
              <w:rFonts w:hint="eastAsia" w:ascii="Times New Roman" w:hAnsi="Times New Roman" w:eastAsia="仿宋_GB2312" w:cs="Times New Roman"/>
              <w:color w:val="auto"/>
              <w:sz w:val="32"/>
              <w:szCs w:val="32"/>
            </w:rPr>
            <w:t>1.大力培育文体旅新消费</w:t>
          </w:r>
          <w:r>
            <w:rPr>
              <w:color w:val="auto"/>
              <w:sz w:val="32"/>
              <w:szCs w:val="32"/>
            </w:rPr>
            <w:tab/>
          </w:r>
          <w:r>
            <w:rPr>
              <w:color w:val="auto"/>
              <w:sz w:val="32"/>
              <w:szCs w:val="32"/>
            </w:rPr>
            <w:fldChar w:fldCharType="begin"/>
          </w:r>
          <w:r>
            <w:rPr>
              <w:color w:val="auto"/>
              <w:sz w:val="32"/>
              <w:szCs w:val="32"/>
            </w:rPr>
            <w:instrText xml:space="preserve"> PAGEREF _Toc756 \h </w:instrText>
          </w:r>
          <w:r>
            <w:rPr>
              <w:color w:val="auto"/>
              <w:sz w:val="32"/>
              <w:szCs w:val="32"/>
            </w:rPr>
            <w:fldChar w:fldCharType="separate"/>
          </w:r>
          <w:r>
            <w:rPr>
              <w:color w:val="auto"/>
              <w:sz w:val="32"/>
              <w:szCs w:val="32"/>
            </w:rPr>
            <w:t>30</w:t>
          </w:r>
          <w:r>
            <w:rPr>
              <w:color w:val="auto"/>
              <w:sz w:val="32"/>
              <w:szCs w:val="32"/>
            </w:rPr>
            <w:fldChar w:fldCharType="end"/>
          </w:r>
          <w:r>
            <w:rPr>
              <w:color w:val="auto"/>
              <w:sz w:val="32"/>
              <w:szCs w:val="32"/>
            </w:rPr>
            <w:fldChar w:fldCharType="end"/>
          </w:r>
        </w:p>
        <w:p>
          <w:pPr>
            <w:pStyle w:val="12"/>
            <w:tabs>
              <w:tab w:val="right" w:leader="dot" w:pos="8845"/>
            </w:tabs>
            <w:spacing w:line="560" w:lineRule="exact"/>
            <w:rPr>
              <w:color w:val="auto"/>
              <w:sz w:val="32"/>
              <w:szCs w:val="32"/>
            </w:rPr>
          </w:pPr>
          <w:r>
            <w:rPr>
              <w:color w:val="auto"/>
            </w:rPr>
            <w:fldChar w:fldCharType="begin"/>
          </w:r>
          <w:r>
            <w:rPr>
              <w:color w:val="auto"/>
            </w:rPr>
            <w:instrText xml:space="preserve"> HYPERLINK \l "_Toc20026" </w:instrText>
          </w:r>
          <w:r>
            <w:rPr>
              <w:color w:val="auto"/>
            </w:rPr>
            <w:fldChar w:fldCharType="separate"/>
          </w:r>
          <w:r>
            <w:rPr>
              <w:rFonts w:hint="eastAsia" w:ascii="Times New Roman" w:hAnsi="Times New Roman" w:eastAsia="仿宋_GB2312" w:cs="Times New Roman"/>
              <w:color w:val="auto"/>
              <w:sz w:val="32"/>
              <w:szCs w:val="32"/>
            </w:rPr>
            <w:t>2.推广山区农林生产作业</w:t>
          </w:r>
          <w:r>
            <w:rPr>
              <w:color w:val="auto"/>
              <w:sz w:val="32"/>
              <w:szCs w:val="32"/>
            </w:rPr>
            <w:tab/>
          </w:r>
          <w:r>
            <w:rPr>
              <w:color w:val="auto"/>
              <w:sz w:val="32"/>
              <w:szCs w:val="32"/>
            </w:rPr>
            <w:fldChar w:fldCharType="begin"/>
          </w:r>
          <w:r>
            <w:rPr>
              <w:color w:val="auto"/>
              <w:sz w:val="32"/>
              <w:szCs w:val="32"/>
            </w:rPr>
            <w:instrText xml:space="preserve"> PAGEREF _Toc20026 \h </w:instrText>
          </w:r>
          <w:r>
            <w:rPr>
              <w:color w:val="auto"/>
              <w:sz w:val="32"/>
              <w:szCs w:val="32"/>
            </w:rPr>
            <w:fldChar w:fldCharType="separate"/>
          </w:r>
          <w:r>
            <w:rPr>
              <w:color w:val="auto"/>
              <w:sz w:val="32"/>
              <w:szCs w:val="32"/>
            </w:rPr>
            <w:t>34</w:t>
          </w:r>
          <w:r>
            <w:rPr>
              <w:color w:val="auto"/>
              <w:sz w:val="32"/>
              <w:szCs w:val="32"/>
            </w:rPr>
            <w:fldChar w:fldCharType="end"/>
          </w:r>
          <w:r>
            <w:rPr>
              <w:color w:val="auto"/>
              <w:sz w:val="32"/>
              <w:szCs w:val="32"/>
            </w:rPr>
            <w:fldChar w:fldCharType="end"/>
          </w:r>
        </w:p>
        <w:p>
          <w:pPr>
            <w:pStyle w:val="12"/>
            <w:tabs>
              <w:tab w:val="right" w:leader="dot" w:pos="8845"/>
            </w:tabs>
            <w:spacing w:line="560" w:lineRule="exact"/>
            <w:rPr>
              <w:color w:val="auto"/>
              <w:sz w:val="32"/>
              <w:szCs w:val="32"/>
            </w:rPr>
          </w:pPr>
          <w:r>
            <w:rPr>
              <w:color w:val="auto"/>
            </w:rPr>
            <w:fldChar w:fldCharType="begin"/>
          </w:r>
          <w:r>
            <w:rPr>
              <w:color w:val="auto"/>
            </w:rPr>
            <w:instrText xml:space="preserve"> HYPERLINK \l "_Toc12422" </w:instrText>
          </w:r>
          <w:r>
            <w:rPr>
              <w:color w:val="auto"/>
            </w:rPr>
            <w:fldChar w:fldCharType="separate"/>
          </w:r>
          <w:r>
            <w:rPr>
              <w:rFonts w:hint="eastAsia" w:ascii="Times New Roman" w:hAnsi="Times New Roman" w:eastAsia="仿宋_GB2312" w:cs="Times New Roman"/>
              <w:color w:val="auto"/>
              <w:sz w:val="32"/>
              <w:szCs w:val="32"/>
            </w:rPr>
            <w:t>3.丰富低空公共服务领域</w:t>
          </w:r>
          <w:r>
            <w:rPr>
              <w:color w:val="auto"/>
              <w:sz w:val="32"/>
              <w:szCs w:val="32"/>
            </w:rPr>
            <w:tab/>
          </w:r>
          <w:r>
            <w:rPr>
              <w:color w:val="auto"/>
              <w:sz w:val="32"/>
              <w:szCs w:val="32"/>
            </w:rPr>
            <w:fldChar w:fldCharType="begin"/>
          </w:r>
          <w:r>
            <w:rPr>
              <w:color w:val="auto"/>
              <w:sz w:val="32"/>
              <w:szCs w:val="32"/>
            </w:rPr>
            <w:instrText xml:space="preserve"> PAGEREF _Toc12422 \h </w:instrText>
          </w:r>
          <w:r>
            <w:rPr>
              <w:color w:val="auto"/>
              <w:sz w:val="32"/>
              <w:szCs w:val="32"/>
            </w:rPr>
            <w:fldChar w:fldCharType="separate"/>
          </w:r>
          <w:r>
            <w:rPr>
              <w:color w:val="auto"/>
              <w:sz w:val="32"/>
              <w:szCs w:val="32"/>
            </w:rPr>
            <w:t>37</w:t>
          </w:r>
          <w:r>
            <w:rPr>
              <w:color w:val="auto"/>
              <w:sz w:val="32"/>
              <w:szCs w:val="32"/>
            </w:rPr>
            <w:fldChar w:fldCharType="end"/>
          </w:r>
          <w:r>
            <w:rPr>
              <w:color w:val="auto"/>
              <w:sz w:val="32"/>
              <w:szCs w:val="32"/>
            </w:rPr>
            <w:fldChar w:fldCharType="end"/>
          </w:r>
        </w:p>
        <w:p>
          <w:pPr>
            <w:pStyle w:val="12"/>
            <w:tabs>
              <w:tab w:val="right" w:leader="dot" w:pos="8845"/>
            </w:tabs>
            <w:spacing w:line="560" w:lineRule="exact"/>
            <w:rPr>
              <w:color w:val="auto"/>
              <w:sz w:val="32"/>
              <w:szCs w:val="32"/>
            </w:rPr>
          </w:pPr>
          <w:r>
            <w:rPr>
              <w:color w:val="auto"/>
            </w:rPr>
            <w:fldChar w:fldCharType="begin"/>
          </w:r>
          <w:r>
            <w:rPr>
              <w:color w:val="auto"/>
            </w:rPr>
            <w:instrText xml:space="preserve"> HYPERLINK \l "_Toc25017" </w:instrText>
          </w:r>
          <w:r>
            <w:rPr>
              <w:color w:val="auto"/>
            </w:rPr>
            <w:fldChar w:fldCharType="separate"/>
          </w:r>
          <w:r>
            <w:rPr>
              <w:rFonts w:hint="eastAsia" w:ascii="Times New Roman" w:hAnsi="Times New Roman" w:eastAsia="仿宋_GB2312" w:cs="Times New Roman"/>
              <w:color w:val="auto"/>
              <w:sz w:val="32"/>
              <w:szCs w:val="32"/>
            </w:rPr>
            <w:t>4.布局低空交通运输服务</w:t>
          </w:r>
          <w:r>
            <w:rPr>
              <w:color w:val="auto"/>
              <w:sz w:val="32"/>
              <w:szCs w:val="32"/>
            </w:rPr>
            <w:tab/>
          </w:r>
          <w:r>
            <w:rPr>
              <w:color w:val="auto"/>
              <w:sz w:val="32"/>
              <w:szCs w:val="32"/>
            </w:rPr>
            <w:fldChar w:fldCharType="begin"/>
          </w:r>
          <w:r>
            <w:rPr>
              <w:color w:val="auto"/>
              <w:sz w:val="32"/>
              <w:szCs w:val="32"/>
            </w:rPr>
            <w:instrText xml:space="preserve"> PAGEREF _Toc25017 \h </w:instrText>
          </w:r>
          <w:r>
            <w:rPr>
              <w:color w:val="auto"/>
              <w:sz w:val="32"/>
              <w:szCs w:val="32"/>
            </w:rPr>
            <w:fldChar w:fldCharType="separate"/>
          </w:r>
          <w:r>
            <w:rPr>
              <w:color w:val="auto"/>
              <w:sz w:val="32"/>
              <w:szCs w:val="32"/>
            </w:rPr>
            <w:t>41</w:t>
          </w:r>
          <w:r>
            <w:rPr>
              <w:color w:val="auto"/>
              <w:sz w:val="32"/>
              <w:szCs w:val="32"/>
            </w:rPr>
            <w:fldChar w:fldCharType="end"/>
          </w:r>
          <w:r>
            <w:rPr>
              <w:color w:val="auto"/>
              <w:sz w:val="32"/>
              <w:szCs w:val="32"/>
            </w:rPr>
            <w:fldChar w:fldCharType="end"/>
          </w:r>
        </w:p>
        <w:p>
          <w:pPr>
            <w:pStyle w:val="18"/>
            <w:tabs>
              <w:tab w:val="right" w:leader="dot" w:pos="8845"/>
            </w:tabs>
            <w:spacing w:line="560" w:lineRule="exact"/>
            <w:rPr>
              <w:color w:val="auto"/>
              <w:sz w:val="32"/>
              <w:szCs w:val="32"/>
            </w:rPr>
          </w:pPr>
          <w:r>
            <w:rPr>
              <w:color w:val="auto"/>
            </w:rPr>
            <w:fldChar w:fldCharType="begin"/>
          </w:r>
          <w:r>
            <w:rPr>
              <w:color w:val="auto"/>
            </w:rPr>
            <w:instrText xml:space="preserve"> HYPERLINK \l "_Toc6289" </w:instrText>
          </w:r>
          <w:r>
            <w:rPr>
              <w:color w:val="auto"/>
            </w:rPr>
            <w:fldChar w:fldCharType="separate"/>
          </w:r>
          <w:r>
            <w:rPr>
              <w:rFonts w:hint="eastAsia" w:ascii="Times New Roman" w:hAnsi="Times New Roman" w:eastAsia="楷体_GB2312" w:cs="Times New Roman"/>
              <w:color w:val="auto"/>
              <w:spacing w:val="6"/>
              <w:sz w:val="32"/>
              <w:szCs w:val="32"/>
            </w:rPr>
            <w:t>（三）探索两业融合路径，培育低空生产性服务业</w:t>
          </w:r>
          <w:r>
            <w:rPr>
              <w:color w:val="auto"/>
              <w:sz w:val="32"/>
              <w:szCs w:val="32"/>
            </w:rPr>
            <w:tab/>
          </w:r>
          <w:r>
            <w:rPr>
              <w:color w:val="auto"/>
              <w:sz w:val="32"/>
              <w:szCs w:val="32"/>
            </w:rPr>
            <w:fldChar w:fldCharType="begin"/>
          </w:r>
          <w:r>
            <w:rPr>
              <w:color w:val="auto"/>
              <w:sz w:val="32"/>
              <w:szCs w:val="32"/>
            </w:rPr>
            <w:instrText xml:space="preserve"> PAGEREF _Toc6289 \h </w:instrText>
          </w:r>
          <w:r>
            <w:rPr>
              <w:color w:val="auto"/>
              <w:sz w:val="32"/>
              <w:szCs w:val="32"/>
            </w:rPr>
            <w:fldChar w:fldCharType="separate"/>
          </w:r>
          <w:r>
            <w:rPr>
              <w:color w:val="auto"/>
              <w:sz w:val="32"/>
              <w:szCs w:val="32"/>
            </w:rPr>
            <w:t>44</w:t>
          </w:r>
          <w:r>
            <w:rPr>
              <w:color w:val="auto"/>
              <w:sz w:val="32"/>
              <w:szCs w:val="32"/>
            </w:rPr>
            <w:fldChar w:fldCharType="end"/>
          </w:r>
          <w:r>
            <w:rPr>
              <w:color w:val="auto"/>
              <w:sz w:val="32"/>
              <w:szCs w:val="32"/>
            </w:rPr>
            <w:fldChar w:fldCharType="end"/>
          </w:r>
        </w:p>
        <w:p>
          <w:pPr>
            <w:pStyle w:val="12"/>
            <w:tabs>
              <w:tab w:val="right" w:leader="dot" w:pos="8845"/>
            </w:tabs>
            <w:spacing w:line="560" w:lineRule="exact"/>
            <w:rPr>
              <w:color w:val="auto"/>
              <w:sz w:val="32"/>
              <w:szCs w:val="32"/>
            </w:rPr>
          </w:pPr>
          <w:r>
            <w:rPr>
              <w:color w:val="auto"/>
            </w:rPr>
            <w:fldChar w:fldCharType="begin"/>
          </w:r>
          <w:r>
            <w:rPr>
              <w:color w:val="auto"/>
            </w:rPr>
            <w:instrText xml:space="preserve"> HYPERLINK \l "_Toc23717" </w:instrText>
          </w:r>
          <w:r>
            <w:rPr>
              <w:color w:val="auto"/>
            </w:rPr>
            <w:fldChar w:fldCharType="separate"/>
          </w:r>
          <w:r>
            <w:rPr>
              <w:rFonts w:hint="eastAsia" w:ascii="Times New Roman" w:hAnsi="Times New Roman" w:eastAsia="仿宋_GB2312" w:cs="Times New Roman"/>
              <w:color w:val="auto"/>
              <w:sz w:val="32"/>
              <w:szCs w:val="32"/>
            </w:rPr>
            <w:t>1.培育低空测试试飞服务</w:t>
          </w:r>
          <w:r>
            <w:rPr>
              <w:color w:val="auto"/>
              <w:sz w:val="32"/>
              <w:szCs w:val="32"/>
            </w:rPr>
            <w:tab/>
          </w:r>
          <w:r>
            <w:rPr>
              <w:color w:val="auto"/>
              <w:sz w:val="32"/>
              <w:szCs w:val="32"/>
            </w:rPr>
            <w:fldChar w:fldCharType="begin"/>
          </w:r>
          <w:r>
            <w:rPr>
              <w:color w:val="auto"/>
              <w:sz w:val="32"/>
              <w:szCs w:val="32"/>
            </w:rPr>
            <w:instrText xml:space="preserve"> PAGEREF _Toc23717 \h </w:instrText>
          </w:r>
          <w:r>
            <w:rPr>
              <w:color w:val="auto"/>
              <w:sz w:val="32"/>
              <w:szCs w:val="32"/>
            </w:rPr>
            <w:fldChar w:fldCharType="separate"/>
          </w:r>
          <w:r>
            <w:rPr>
              <w:color w:val="auto"/>
              <w:sz w:val="32"/>
              <w:szCs w:val="32"/>
            </w:rPr>
            <w:t>44</w:t>
          </w:r>
          <w:r>
            <w:rPr>
              <w:color w:val="auto"/>
              <w:sz w:val="32"/>
              <w:szCs w:val="32"/>
            </w:rPr>
            <w:fldChar w:fldCharType="end"/>
          </w:r>
          <w:r>
            <w:rPr>
              <w:color w:val="auto"/>
              <w:sz w:val="32"/>
              <w:szCs w:val="32"/>
            </w:rPr>
            <w:fldChar w:fldCharType="end"/>
          </w:r>
        </w:p>
        <w:p>
          <w:pPr>
            <w:pStyle w:val="12"/>
            <w:tabs>
              <w:tab w:val="right" w:leader="dot" w:pos="8845"/>
            </w:tabs>
            <w:spacing w:line="560" w:lineRule="exact"/>
            <w:rPr>
              <w:color w:val="auto"/>
              <w:sz w:val="32"/>
              <w:szCs w:val="32"/>
            </w:rPr>
          </w:pPr>
          <w:r>
            <w:rPr>
              <w:color w:val="auto"/>
            </w:rPr>
            <w:fldChar w:fldCharType="begin"/>
          </w:r>
          <w:r>
            <w:rPr>
              <w:color w:val="auto"/>
            </w:rPr>
            <w:instrText xml:space="preserve"> HYPERLINK \l "_Toc16067" </w:instrText>
          </w:r>
          <w:r>
            <w:rPr>
              <w:color w:val="auto"/>
            </w:rPr>
            <w:fldChar w:fldCharType="separate"/>
          </w:r>
          <w:r>
            <w:rPr>
              <w:rFonts w:hint="eastAsia" w:ascii="Times New Roman" w:hAnsi="Times New Roman" w:eastAsia="仿宋_GB2312" w:cs="Times New Roman"/>
              <w:color w:val="auto"/>
              <w:sz w:val="32"/>
              <w:szCs w:val="32"/>
            </w:rPr>
            <w:t>2.培育低空检验检测服务</w:t>
          </w:r>
          <w:r>
            <w:rPr>
              <w:color w:val="auto"/>
              <w:sz w:val="32"/>
              <w:szCs w:val="32"/>
            </w:rPr>
            <w:tab/>
          </w:r>
          <w:r>
            <w:rPr>
              <w:color w:val="auto"/>
              <w:sz w:val="32"/>
              <w:szCs w:val="32"/>
            </w:rPr>
            <w:fldChar w:fldCharType="begin"/>
          </w:r>
          <w:r>
            <w:rPr>
              <w:color w:val="auto"/>
              <w:sz w:val="32"/>
              <w:szCs w:val="32"/>
            </w:rPr>
            <w:instrText xml:space="preserve"> PAGEREF _Toc16067 \h </w:instrText>
          </w:r>
          <w:r>
            <w:rPr>
              <w:color w:val="auto"/>
              <w:sz w:val="32"/>
              <w:szCs w:val="32"/>
            </w:rPr>
            <w:fldChar w:fldCharType="separate"/>
          </w:r>
          <w:r>
            <w:rPr>
              <w:color w:val="auto"/>
              <w:sz w:val="32"/>
              <w:szCs w:val="32"/>
            </w:rPr>
            <w:t>45</w:t>
          </w:r>
          <w:r>
            <w:rPr>
              <w:color w:val="auto"/>
              <w:sz w:val="32"/>
              <w:szCs w:val="32"/>
            </w:rPr>
            <w:fldChar w:fldCharType="end"/>
          </w:r>
          <w:r>
            <w:rPr>
              <w:color w:val="auto"/>
              <w:sz w:val="32"/>
              <w:szCs w:val="32"/>
            </w:rPr>
            <w:fldChar w:fldCharType="end"/>
          </w:r>
        </w:p>
        <w:p>
          <w:pPr>
            <w:pStyle w:val="12"/>
            <w:tabs>
              <w:tab w:val="right" w:leader="dot" w:pos="8845"/>
            </w:tabs>
            <w:spacing w:line="560" w:lineRule="exact"/>
            <w:rPr>
              <w:color w:val="auto"/>
              <w:sz w:val="32"/>
              <w:szCs w:val="32"/>
            </w:rPr>
          </w:pPr>
          <w:r>
            <w:rPr>
              <w:color w:val="auto"/>
            </w:rPr>
            <w:fldChar w:fldCharType="begin"/>
          </w:r>
          <w:r>
            <w:rPr>
              <w:color w:val="auto"/>
            </w:rPr>
            <w:instrText xml:space="preserve"> HYPERLINK \l "_Toc5319" </w:instrText>
          </w:r>
          <w:r>
            <w:rPr>
              <w:color w:val="auto"/>
            </w:rPr>
            <w:fldChar w:fldCharType="separate"/>
          </w:r>
          <w:r>
            <w:rPr>
              <w:rFonts w:hint="eastAsia" w:ascii="Times New Roman" w:hAnsi="Times New Roman" w:eastAsia="仿宋_GB2312" w:cs="Times New Roman"/>
              <w:color w:val="auto"/>
              <w:sz w:val="32"/>
              <w:szCs w:val="32"/>
            </w:rPr>
            <w:t>3.培育</w:t>
          </w:r>
          <w:r>
            <w:rPr>
              <w:rFonts w:hint="eastAsia" w:ascii="Times New Roman" w:hAnsi="Times New Roman" w:eastAsia="仿宋_GB2312" w:cs="Times New Roman"/>
              <w:bCs/>
              <w:color w:val="auto"/>
              <w:sz w:val="32"/>
              <w:szCs w:val="32"/>
            </w:rPr>
            <w:t>低空维修保障服务</w:t>
          </w:r>
          <w:r>
            <w:rPr>
              <w:color w:val="auto"/>
              <w:sz w:val="32"/>
              <w:szCs w:val="32"/>
            </w:rPr>
            <w:tab/>
          </w:r>
          <w:r>
            <w:rPr>
              <w:color w:val="auto"/>
              <w:sz w:val="32"/>
              <w:szCs w:val="32"/>
            </w:rPr>
            <w:fldChar w:fldCharType="begin"/>
          </w:r>
          <w:r>
            <w:rPr>
              <w:color w:val="auto"/>
              <w:sz w:val="32"/>
              <w:szCs w:val="32"/>
            </w:rPr>
            <w:instrText xml:space="preserve"> PAGEREF _Toc5319 \h </w:instrText>
          </w:r>
          <w:r>
            <w:rPr>
              <w:color w:val="auto"/>
              <w:sz w:val="32"/>
              <w:szCs w:val="32"/>
            </w:rPr>
            <w:fldChar w:fldCharType="separate"/>
          </w:r>
          <w:r>
            <w:rPr>
              <w:color w:val="auto"/>
              <w:sz w:val="32"/>
              <w:szCs w:val="32"/>
            </w:rPr>
            <w:t>46</w:t>
          </w:r>
          <w:r>
            <w:rPr>
              <w:color w:val="auto"/>
              <w:sz w:val="32"/>
              <w:szCs w:val="32"/>
            </w:rPr>
            <w:fldChar w:fldCharType="end"/>
          </w:r>
          <w:r>
            <w:rPr>
              <w:color w:val="auto"/>
              <w:sz w:val="32"/>
              <w:szCs w:val="32"/>
            </w:rPr>
            <w:fldChar w:fldCharType="end"/>
          </w:r>
        </w:p>
        <w:p>
          <w:pPr>
            <w:pStyle w:val="12"/>
            <w:tabs>
              <w:tab w:val="right" w:leader="dot" w:pos="8845"/>
            </w:tabs>
            <w:spacing w:line="560" w:lineRule="exact"/>
            <w:rPr>
              <w:color w:val="auto"/>
              <w:sz w:val="32"/>
              <w:szCs w:val="32"/>
            </w:rPr>
          </w:pPr>
          <w:r>
            <w:rPr>
              <w:color w:val="auto"/>
            </w:rPr>
            <w:fldChar w:fldCharType="begin"/>
          </w:r>
          <w:r>
            <w:rPr>
              <w:color w:val="auto"/>
            </w:rPr>
            <w:instrText xml:space="preserve"> HYPERLINK \l "_Toc18256" </w:instrText>
          </w:r>
          <w:r>
            <w:rPr>
              <w:color w:val="auto"/>
            </w:rPr>
            <w:fldChar w:fldCharType="separate"/>
          </w:r>
          <w:r>
            <w:rPr>
              <w:rFonts w:hint="eastAsia" w:ascii="Times New Roman" w:hAnsi="Times New Roman" w:eastAsia="仿宋_GB2312" w:cs="Times New Roman"/>
              <w:color w:val="auto"/>
              <w:sz w:val="32"/>
              <w:szCs w:val="32"/>
            </w:rPr>
            <w:t>4.探索适航认证技术服务</w:t>
          </w:r>
          <w:r>
            <w:rPr>
              <w:color w:val="auto"/>
              <w:sz w:val="32"/>
              <w:szCs w:val="32"/>
            </w:rPr>
            <w:tab/>
          </w:r>
          <w:r>
            <w:rPr>
              <w:color w:val="auto"/>
              <w:sz w:val="32"/>
              <w:szCs w:val="32"/>
            </w:rPr>
            <w:fldChar w:fldCharType="begin"/>
          </w:r>
          <w:r>
            <w:rPr>
              <w:color w:val="auto"/>
              <w:sz w:val="32"/>
              <w:szCs w:val="32"/>
            </w:rPr>
            <w:instrText xml:space="preserve"> PAGEREF _Toc18256 \h </w:instrText>
          </w:r>
          <w:r>
            <w:rPr>
              <w:color w:val="auto"/>
              <w:sz w:val="32"/>
              <w:szCs w:val="32"/>
            </w:rPr>
            <w:fldChar w:fldCharType="separate"/>
          </w:r>
          <w:r>
            <w:rPr>
              <w:color w:val="auto"/>
              <w:sz w:val="32"/>
              <w:szCs w:val="32"/>
            </w:rPr>
            <w:t>47</w:t>
          </w:r>
          <w:r>
            <w:rPr>
              <w:color w:val="auto"/>
              <w:sz w:val="32"/>
              <w:szCs w:val="32"/>
            </w:rPr>
            <w:fldChar w:fldCharType="end"/>
          </w:r>
          <w:r>
            <w:rPr>
              <w:color w:val="auto"/>
              <w:sz w:val="32"/>
              <w:szCs w:val="32"/>
            </w:rPr>
            <w:fldChar w:fldCharType="end"/>
          </w:r>
        </w:p>
        <w:p>
          <w:pPr>
            <w:pStyle w:val="18"/>
            <w:tabs>
              <w:tab w:val="right" w:leader="dot" w:pos="8845"/>
            </w:tabs>
            <w:spacing w:line="560" w:lineRule="exact"/>
            <w:rPr>
              <w:color w:val="auto"/>
              <w:sz w:val="32"/>
              <w:szCs w:val="32"/>
            </w:rPr>
          </w:pPr>
          <w:r>
            <w:rPr>
              <w:color w:val="auto"/>
            </w:rPr>
            <w:fldChar w:fldCharType="begin"/>
          </w:r>
          <w:r>
            <w:rPr>
              <w:color w:val="auto"/>
            </w:rPr>
            <w:instrText xml:space="preserve"> HYPERLINK \l "_Toc21738" </w:instrText>
          </w:r>
          <w:r>
            <w:rPr>
              <w:color w:val="auto"/>
            </w:rPr>
            <w:fldChar w:fldCharType="separate"/>
          </w:r>
          <w:r>
            <w:rPr>
              <w:rFonts w:hint="eastAsia" w:ascii="Times New Roman" w:hAnsi="Times New Roman" w:eastAsia="楷体_GB2312" w:cs="Times New Roman"/>
              <w:color w:val="auto"/>
              <w:spacing w:val="6"/>
              <w:sz w:val="32"/>
              <w:szCs w:val="32"/>
            </w:rPr>
            <w:t>（四）加大创新要素投入，强化低空科创引领作用</w:t>
          </w:r>
          <w:r>
            <w:rPr>
              <w:color w:val="auto"/>
              <w:sz w:val="32"/>
              <w:szCs w:val="32"/>
            </w:rPr>
            <w:tab/>
          </w:r>
          <w:r>
            <w:rPr>
              <w:color w:val="auto"/>
              <w:sz w:val="32"/>
              <w:szCs w:val="32"/>
            </w:rPr>
            <w:fldChar w:fldCharType="begin"/>
          </w:r>
          <w:r>
            <w:rPr>
              <w:color w:val="auto"/>
              <w:sz w:val="32"/>
              <w:szCs w:val="32"/>
            </w:rPr>
            <w:instrText xml:space="preserve"> PAGEREF _Toc21738 \h </w:instrText>
          </w:r>
          <w:r>
            <w:rPr>
              <w:color w:val="auto"/>
              <w:sz w:val="32"/>
              <w:szCs w:val="32"/>
            </w:rPr>
            <w:fldChar w:fldCharType="separate"/>
          </w:r>
          <w:r>
            <w:rPr>
              <w:color w:val="auto"/>
              <w:sz w:val="32"/>
              <w:szCs w:val="32"/>
            </w:rPr>
            <w:t>48</w:t>
          </w:r>
          <w:r>
            <w:rPr>
              <w:color w:val="auto"/>
              <w:sz w:val="32"/>
              <w:szCs w:val="32"/>
            </w:rPr>
            <w:fldChar w:fldCharType="end"/>
          </w:r>
          <w:r>
            <w:rPr>
              <w:color w:val="auto"/>
              <w:sz w:val="32"/>
              <w:szCs w:val="32"/>
            </w:rPr>
            <w:fldChar w:fldCharType="end"/>
          </w:r>
        </w:p>
        <w:p>
          <w:pPr>
            <w:pStyle w:val="12"/>
            <w:tabs>
              <w:tab w:val="right" w:leader="dot" w:pos="8845"/>
            </w:tabs>
            <w:spacing w:line="560" w:lineRule="exact"/>
            <w:rPr>
              <w:color w:val="auto"/>
              <w:sz w:val="32"/>
              <w:szCs w:val="32"/>
            </w:rPr>
          </w:pPr>
          <w:r>
            <w:rPr>
              <w:color w:val="auto"/>
            </w:rPr>
            <w:fldChar w:fldCharType="begin"/>
          </w:r>
          <w:r>
            <w:rPr>
              <w:color w:val="auto"/>
            </w:rPr>
            <w:instrText xml:space="preserve"> HYPERLINK \l "_Toc13232" </w:instrText>
          </w:r>
          <w:r>
            <w:rPr>
              <w:color w:val="auto"/>
            </w:rPr>
            <w:fldChar w:fldCharType="separate"/>
          </w:r>
          <w:r>
            <w:rPr>
              <w:rFonts w:hint="eastAsia" w:ascii="Times New Roman" w:hAnsi="Times New Roman" w:eastAsia="仿宋_GB2312" w:cs="Times New Roman"/>
              <w:color w:val="auto"/>
              <w:sz w:val="32"/>
              <w:szCs w:val="32"/>
            </w:rPr>
            <w:t>1.推进科技创新平台建设</w:t>
          </w:r>
          <w:r>
            <w:rPr>
              <w:color w:val="auto"/>
              <w:sz w:val="32"/>
              <w:szCs w:val="32"/>
            </w:rPr>
            <w:tab/>
          </w:r>
          <w:r>
            <w:rPr>
              <w:color w:val="auto"/>
              <w:sz w:val="32"/>
              <w:szCs w:val="32"/>
            </w:rPr>
            <w:fldChar w:fldCharType="begin"/>
          </w:r>
          <w:r>
            <w:rPr>
              <w:color w:val="auto"/>
              <w:sz w:val="32"/>
              <w:szCs w:val="32"/>
            </w:rPr>
            <w:instrText xml:space="preserve"> PAGEREF _Toc13232 \h </w:instrText>
          </w:r>
          <w:r>
            <w:rPr>
              <w:color w:val="auto"/>
              <w:sz w:val="32"/>
              <w:szCs w:val="32"/>
            </w:rPr>
            <w:fldChar w:fldCharType="separate"/>
          </w:r>
          <w:r>
            <w:rPr>
              <w:color w:val="auto"/>
              <w:sz w:val="32"/>
              <w:szCs w:val="32"/>
            </w:rPr>
            <w:t>48</w:t>
          </w:r>
          <w:r>
            <w:rPr>
              <w:color w:val="auto"/>
              <w:sz w:val="32"/>
              <w:szCs w:val="32"/>
            </w:rPr>
            <w:fldChar w:fldCharType="end"/>
          </w:r>
          <w:r>
            <w:rPr>
              <w:color w:val="auto"/>
              <w:sz w:val="32"/>
              <w:szCs w:val="32"/>
            </w:rPr>
            <w:fldChar w:fldCharType="end"/>
          </w:r>
        </w:p>
        <w:p>
          <w:pPr>
            <w:pStyle w:val="12"/>
            <w:tabs>
              <w:tab w:val="right" w:leader="dot" w:pos="8845"/>
            </w:tabs>
            <w:spacing w:line="560" w:lineRule="exact"/>
            <w:rPr>
              <w:color w:val="auto"/>
              <w:sz w:val="32"/>
              <w:szCs w:val="32"/>
            </w:rPr>
          </w:pPr>
          <w:r>
            <w:rPr>
              <w:color w:val="auto"/>
            </w:rPr>
            <w:fldChar w:fldCharType="begin"/>
          </w:r>
          <w:r>
            <w:rPr>
              <w:color w:val="auto"/>
            </w:rPr>
            <w:instrText xml:space="preserve"> HYPERLINK \l "_Toc23313" </w:instrText>
          </w:r>
          <w:r>
            <w:rPr>
              <w:color w:val="auto"/>
            </w:rPr>
            <w:fldChar w:fldCharType="separate"/>
          </w:r>
          <w:r>
            <w:rPr>
              <w:rFonts w:hint="eastAsia" w:ascii="Times New Roman" w:hAnsi="Times New Roman" w:eastAsia="仿宋_GB2312" w:cs="Times New Roman"/>
              <w:color w:val="auto"/>
              <w:sz w:val="32"/>
              <w:szCs w:val="32"/>
            </w:rPr>
            <w:t>2.推动低空关键技术攻关</w:t>
          </w:r>
          <w:r>
            <w:rPr>
              <w:color w:val="auto"/>
              <w:sz w:val="32"/>
              <w:szCs w:val="32"/>
            </w:rPr>
            <w:tab/>
          </w:r>
          <w:r>
            <w:rPr>
              <w:color w:val="auto"/>
              <w:sz w:val="32"/>
              <w:szCs w:val="32"/>
            </w:rPr>
            <w:fldChar w:fldCharType="begin"/>
          </w:r>
          <w:r>
            <w:rPr>
              <w:color w:val="auto"/>
              <w:sz w:val="32"/>
              <w:szCs w:val="32"/>
            </w:rPr>
            <w:instrText xml:space="preserve"> PAGEREF _Toc23313 \h </w:instrText>
          </w:r>
          <w:r>
            <w:rPr>
              <w:color w:val="auto"/>
              <w:sz w:val="32"/>
              <w:szCs w:val="32"/>
            </w:rPr>
            <w:fldChar w:fldCharType="separate"/>
          </w:r>
          <w:r>
            <w:rPr>
              <w:color w:val="auto"/>
              <w:sz w:val="32"/>
              <w:szCs w:val="32"/>
            </w:rPr>
            <w:t>50</w:t>
          </w:r>
          <w:r>
            <w:rPr>
              <w:color w:val="auto"/>
              <w:sz w:val="32"/>
              <w:szCs w:val="32"/>
            </w:rPr>
            <w:fldChar w:fldCharType="end"/>
          </w:r>
          <w:r>
            <w:rPr>
              <w:color w:val="auto"/>
              <w:sz w:val="32"/>
              <w:szCs w:val="32"/>
            </w:rPr>
            <w:fldChar w:fldCharType="end"/>
          </w:r>
        </w:p>
        <w:p>
          <w:pPr>
            <w:pStyle w:val="12"/>
            <w:tabs>
              <w:tab w:val="right" w:leader="dot" w:pos="8845"/>
            </w:tabs>
            <w:spacing w:line="560" w:lineRule="exact"/>
            <w:rPr>
              <w:color w:val="auto"/>
              <w:sz w:val="32"/>
              <w:szCs w:val="32"/>
            </w:rPr>
          </w:pPr>
          <w:r>
            <w:rPr>
              <w:color w:val="auto"/>
            </w:rPr>
            <w:fldChar w:fldCharType="begin"/>
          </w:r>
          <w:r>
            <w:rPr>
              <w:color w:val="auto"/>
            </w:rPr>
            <w:instrText xml:space="preserve"> HYPERLINK \l "_Toc19074" </w:instrText>
          </w:r>
          <w:r>
            <w:rPr>
              <w:color w:val="auto"/>
            </w:rPr>
            <w:fldChar w:fldCharType="separate"/>
          </w:r>
          <w:r>
            <w:rPr>
              <w:rFonts w:hint="eastAsia" w:ascii="Times New Roman" w:hAnsi="Times New Roman" w:eastAsia="仿宋_GB2312" w:cs="Times New Roman"/>
              <w:color w:val="auto"/>
              <w:sz w:val="32"/>
              <w:szCs w:val="32"/>
            </w:rPr>
            <w:t>3.增强企业自主创新能力</w:t>
          </w:r>
          <w:r>
            <w:rPr>
              <w:color w:val="auto"/>
              <w:sz w:val="32"/>
              <w:szCs w:val="32"/>
            </w:rPr>
            <w:tab/>
          </w:r>
          <w:r>
            <w:rPr>
              <w:color w:val="auto"/>
              <w:sz w:val="32"/>
              <w:szCs w:val="32"/>
            </w:rPr>
            <w:fldChar w:fldCharType="begin"/>
          </w:r>
          <w:r>
            <w:rPr>
              <w:color w:val="auto"/>
              <w:sz w:val="32"/>
              <w:szCs w:val="32"/>
            </w:rPr>
            <w:instrText xml:space="preserve"> PAGEREF _Toc19074 \h </w:instrText>
          </w:r>
          <w:r>
            <w:rPr>
              <w:color w:val="auto"/>
              <w:sz w:val="32"/>
              <w:szCs w:val="32"/>
            </w:rPr>
            <w:fldChar w:fldCharType="separate"/>
          </w:r>
          <w:r>
            <w:rPr>
              <w:color w:val="auto"/>
              <w:sz w:val="32"/>
              <w:szCs w:val="32"/>
            </w:rPr>
            <w:t>51</w:t>
          </w:r>
          <w:r>
            <w:rPr>
              <w:color w:val="auto"/>
              <w:sz w:val="32"/>
              <w:szCs w:val="32"/>
            </w:rPr>
            <w:fldChar w:fldCharType="end"/>
          </w:r>
          <w:r>
            <w:rPr>
              <w:color w:val="auto"/>
              <w:sz w:val="32"/>
              <w:szCs w:val="32"/>
            </w:rPr>
            <w:fldChar w:fldCharType="end"/>
          </w:r>
        </w:p>
        <w:p>
          <w:pPr>
            <w:pStyle w:val="12"/>
            <w:tabs>
              <w:tab w:val="right" w:leader="dot" w:pos="8845"/>
            </w:tabs>
            <w:spacing w:line="560" w:lineRule="exact"/>
            <w:rPr>
              <w:color w:val="auto"/>
              <w:sz w:val="32"/>
              <w:szCs w:val="32"/>
            </w:rPr>
          </w:pPr>
          <w:r>
            <w:rPr>
              <w:color w:val="auto"/>
            </w:rPr>
            <w:fldChar w:fldCharType="begin"/>
          </w:r>
          <w:r>
            <w:rPr>
              <w:color w:val="auto"/>
            </w:rPr>
            <w:instrText xml:space="preserve"> HYPERLINK \l "_Toc31077" </w:instrText>
          </w:r>
          <w:r>
            <w:rPr>
              <w:color w:val="auto"/>
            </w:rPr>
            <w:fldChar w:fldCharType="separate"/>
          </w:r>
          <w:r>
            <w:rPr>
              <w:rFonts w:hint="eastAsia" w:ascii="Times New Roman" w:hAnsi="Times New Roman" w:eastAsia="仿宋_GB2312" w:cs="Times New Roman"/>
              <w:color w:val="auto"/>
              <w:sz w:val="32"/>
              <w:szCs w:val="32"/>
            </w:rPr>
            <w:t>4.强化低空专业人才引育</w:t>
          </w:r>
          <w:r>
            <w:rPr>
              <w:color w:val="auto"/>
              <w:sz w:val="32"/>
              <w:szCs w:val="32"/>
            </w:rPr>
            <w:tab/>
          </w:r>
          <w:r>
            <w:rPr>
              <w:color w:val="auto"/>
              <w:sz w:val="32"/>
              <w:szCs w:val="32"/>
            </w:rPr>
            <w:fldChar w:fldCharType="begin"/>
          </w:r>
          <w:r>
            <w:rPr>
              <w:color w:val="auto"/>
              <w:sz w:val="32"/>
              <w:szCs w:val="32"/>
            </w:rPr>
            <w:instrText xml:space="preserve"> PAGEREF _Toc31077 \h </w:instrText>
          </w:r>
          <w:r>
            <w:rPr>
              <w:color w:val="auto"/>
              <w:sz w:val="32"/>
              <w:szCs w:val="32"/>
            </w:rPr>
            <w:fldChar w:fldCharType="separate"/>
          </w:r>
          <w:r>
            <w:rPr>
              <w:color w:val="auto"/>
              <w:sz w:val="32"/>
              <w:szCs w:val="32"/>
            </w:rPr>
            <w:t>52</w:t>
          </w:r>
          <w:r>
            <w:rPr>
              <w:color w:val="auto"/>
              <w:sz w:val="32"/>
              <w:szCs w:val="32"/>
            </w:rPr>
            <w:fldChar w:fldCharType="end"/>
          </w:r>
          <w:r>
            <w:rPr>
              <w:color w:val="auto"/>
              <w:sz w:val="32"/>
              <w:szCs w:val="32"/>
            </w:rPr>
            <w:fldChar w:fldCharType="end"/>
          </w:r>
        </w:p>
        <w:p>
          <w:pPr>
            <w:pStyle w:val="18"/>
            <w:tabs>
              <w:tab w:val="right" w:leader="dot" w:pos="8845"/>
            </w:tabs>
            <w:spacing w:line="560" w:lineRule="exact"/>
            <w:rPr>
              <w:color w:val="auto"/>
              <w:sz w:val="32"/>
              <w:szCs w:val="32"/>
            </w:rPr>
          </w:pPr>
          <w:r>
            <w:rPr>
              <w:color w:val="auto"/>
            </w:rPr>
            <w:fldChar w:fldCharType="begin"/>
          </w:r>
          <w:r>
            <w:rPr>
              <w:color w:val="auto"/>
            </w:rPr>
            <w:instrText xml:space="preserve"> HYPERLINK \l "_Toc11076" </w:instrText>
          </w:r>
          <w:r>
            <w:rPr>
              <w:color w:val="auto"/>
            </w:rPr>
            <w:fldChar w:fldCharType="separate"/>
          </w:r>
          <w:r>
            <w:rPr>
              <w:rFonts w:hint="eastAsia" w:ascii="Times New Roman" w:hAnsi="Times New Roman" w:eastAsia="楷体_GB2312" w:cs="Times New Roman"/>
              <w:color w:val="auto"/>
              <w:spacing w:val="6"/>
              <w:sz w:val="32"/>
              <w:szCs w:val="32"/>
            </w:rPr>
            <w:t>（五）统筹基础设施建设，建强低空飞行保障服务</w:t>
          </w:r>
          <w:r>
            <w:rPr>
              <w:color w:val="auto"/>
              <w:sz w:val="32"/>
              <w:szCs w:val="32"/>
            </w:rPr>
            <w:tab/>
          </w:r>
          <w:r>
            <w:rPr>
              <w:color w:val="auto"/>
              <w:sz w:val="32"/>
              <w:szCs w:val="32"/>
            </w:rPr>
            <w:fldChar w:fldCharType="begin"/>
          </w:r>
          <w:r>
            <w:rPr>
              <w:color w:val="auto"/>
              <w:sz w:val="32"/>
              <w:szCs w:val="32"/>
            </w:rPr>
            <w:instrText xml:space="preserve"> PAGEREF _Toc11076 \h </w:instrText>
          </w:r>
          <w:r>
            <w:rPr>
              <w:color w:val="auto"/>
              <w:sz w:val="32"/>
              <w:szCs w:val="32"/>
            </w:rPr>
            <w:fldChar w:fldCharType="separate"/>
          </w:r>
          <w:r>
            <w:rPr>
              <w:color w:val="auto"/>
              <w:sz w:val="32"/>
              <w:szCs w:val="32"/>
            </w:rPr>
            <w:t>55</w:t>
          </w:r>
          <w:r>
            <w:rPr>
              <w:color w:val="auto"/>
              <w:sz w:val="32"/>
              <w:szCs w:val="32"/>
            </w:rPr>
            <w:fldChar w:fldCharType="end"/>
          </w:r>
          <w:r>
            <w:rPr>
              <w:color w:val="auto"/>
              <w:sz w:val="32"/>
              <w:szCs w:val="32"/>
            </w:rPr>
            <w:fldChar w:fldCharType="end"/>
          </w:r>
        </w:p>
        <w:p>
          <w:pPr>
            <w:pStyle w:val="12"/>
            <w:tabs>
              <w:tab w:val="right" w:leader="dot" w:pos="8845"/>
            </w:tabs>
            <w:spacing w:line="560" w:lineRule="exact"/>
            <w:rPr>
              <w:color w:val="auto"/>
              <w:sz w:val="32"/>
              <w:szCs w:val="32"/>
            </w:rPr>
          </w:pPr>
          <w:r>
            <w:rPr>
              <w:color w:val="auto"/>
            </w:rPr>
            <w:fldChar w:fldCharType="begin"/>
          </w:r>
          <w:r>
            <w:rPr>
              <w:color w:val="auto"/>
            </w:rPr>
            <w:instrText xml:space="preserve"> HYPERLINK \l "_Toc30591" </w:instrText>
          </w:r>
          <w:r>
            <w:rPr>
              <w:color w:val="auto"/>
            </w:rPr>
            <w:fldChar w:fldCharType="separate"/>
          </w:r>
          <w:r>
            <w:rPr>
              <w:rFonts w:hint="eastAsia" w:ascii="Times New Roman" w:hAnsi="Times New Roman" w:eastAsia="仿宋_GB2312" w:cs="Times New Roman"/>
              <w:color w:val="auto"/>
              <w:sz w:val="32"/>
              <w:szCs w:val="32"/>
            </w:rPr>
            <w:t>1.规划完善低空起降设施</w:t>
          </w:r>
          <w:r>
            <w:rPr>
              <w:color w:val="auto"/>
              <w:sz w:val="32"/>
              <w:szCs w:val="32"/>
            </w:rPr>
            <w:tab/>
          </w:r>
          <w:r>
            <w:rPr>
              <w:color w:val="auto"/>
              <w:sz w:val="32"/>
              <w:szCs w:val="32"/>
            </w:rPr>
            <w:fldChar w:fldCharType="begin"/>
          </w:r>
          <w:r>
            <w:rPr>
              <w:color w:val="auto"/>
              <w:sz w:val="32"/>
              <w:szCs w:val="32"/>
            </w:rPr>
            <w:instrText xml:space="preserve"> PAGEREF _Toc30591 \h </w:instrText>
          </w:r>
          <w:r>
            <w:rPr>
              <w:color w:val="auto"/>
              <w:sz w:val="32"/>
              <w:szCs w:val="32"/>
            </w:rPr>
            <w:fldChar w:fldCharType="separate"/>
          </w:r>
          <w:r>
            <w:rPr>
              <w:color w:val="auto"/>
              <w:sz w:val="32"/>
              <w:szCs w:val="32"/>
            </w:rPr>
            <w:t>55</w:t>
          </w:r>
          <w:r>
            <w:rPr>
              <w:color w:val="auto"/>
              <w:sz w:val="32"/>
              <w:szCs w:val="32"/>
            </w:rPr>
            <w:fldChar w:fldCharType="end"/>
          </w:r>
          <w:r>
            <w:rPr>
              <w:color w:val="auto"/>
              <w:sz w:val="32"/>
              <w:szCs w:val="32"/>
            </w:rPr>
            <w:fldChar w:fldCharType="end"/>
          </w:r>
        </w:p>
        <w:p>
          <w:pPr>
            <w:pStyle w:val="12"/>
            <w:tabs>
              <w:tab w:val="right" w:leader="dot" w:pos="8845"/>
            </w:tabs>
            <w:spacing w:line="560" w:lineRule="exact"/>
            <w:rPr>
              <w:color w:val="auto"/>
              <w:sz w:val="32"/>
              <w:szCs w:val="32"/>
            </w:rPr>
          </w:pPr>
          <w:r>
            <w:rPr>
              <w:color w:val="auto"/>
            </w:rPr>
            <w:fldChar w:fldCharType="begin"/>
          </w:r>
          <w:r>
            <w:rPr>
              <w:color w:val="auto"/>
            </w:rPr>
            <w:instrText xml:space="preserve"> HYPERLINK \l "_Toc21755" </w:instrText>
          </w:r>
          <w:r>
            <w:rPr>
              <w:color w:val="auto"/>
            </w:rPr>
            <w:fldChar w:fldCharType="separate"/>
          </w:r>
          <w:r>
            <w:rPr>
              <w:rFonts w:hint="eastAsia" w:ascii="Times New Roman" w:hAnsi="Times New Roman" w:eastAsia="仿宋_GB2312" w:cs="Times New Roman"/>
              <w:color w:val="auto"/>
              <w:sz w:val="32"/>
              <w:szCs w:val="32"/>
            </w:rPr>
            <w:t>2.布局建设低空信息设施</w:t>
          </w:r>
          <w:r>
            <w:rPr>
              <w:color w:val="auto"/>
              <w:sz w:val="32"/>
              <w:szCs w:val="32"/>
            </w:rPr>
            <w:tab/>
          </w:r>
          <w:r>
            <w:rPr>
              <w:color w:val="auto"/>
              <w:sz w:val="32"/>
              <w:szCs w:val="32"/>
            </w:rPr>
            <w:fldChar w:fldCharType="begin"/>
          </w:r>
          <w:r>
            <w:rPr>
              <w:color w:val="auto"/>
              <w:sz w:val="32"/>
              <w:szCs w:val="32"/>
            </w:rPr>
            <w:instrText xml:space="preserve"> PAGEREF _Toc21755 \h </w:instrText>
          </w:r>
          <w:r>
            <w:rPr>
              <w:color w:val="auto"/>
              <w:sz w:val="32"/>
              <w:szCs w:val="32"/>
            </w:rPr>
            <w:fldChar w:fldCharType="separate"/>
          </w:r>
          <w:r>
            <w:rPr>
              <w:color w:val="auto"/>
              <w:sz w:val="32"/>
              <w:szCs w:val="32"/>
            </w:rPr>
            <w:t>58</w:t>
          </w:r>
          <w:r>
            <w:rPr>
              <w:color w:val="auto"/>
              <w:sz w:val="32"/>
              <w:szCs w:val="32"/>
            </w:rPr>
            <w:fldChar w:fldCharType="end"/>
          </w:r>
          <w:r>
            <w:rPr>
              <w:color w:val="auto"/>
              <w:sz w:val="32"/>
              <w:szCs w:val="32"/>
            </w:rPr>
            <w:fldChar w:fldCharType="end"/>
          </w:r>
        </w:p>
        <w:p>
          <w:pPr>
            <w:pStyle w:val="12"/>
            <w:tabs>
              <w:tab w:val="right" w:leader="dot" w:pos="8845"/>
            </w:tabs>
            <w:spacing w:line="560" w:lineRule="exact"/>
            <w:rPr>
              <w:color w:val="auto"/>
              <w:sz w:val="32"/>
              <w:szCs w:val="32"/>
            </w:rPr>
          </w:pPr>
          <w:r>
            <w:rPr>
              <w:color w:val="auto"/>
            </w:rPr>
            <w:fldChar w:fldCharType="begin"/>
          </w:r>
          <w:r>
            <w:rPr>
              <w:color w:val="auto"/>
            </w:rPr>
            <w:instrText xml:space="preserve"> HYPERLINK \l "_Toc32496" </w:instrText>
          </w:r>
          <w:r>
            <w:rPr>
              <w:color w:val="auto"/>
            </w:rPr>
            <w:fldChar w:fldCharType="separate"/>
          </w:r>
          <w:r>
            <w:rPr>
              <w:rFonts w:hint="eastAsia" w:ascii="Times New Roman" w:hAnsi="Times New Roman" w:eastAsia="仿宋_GB2312" w:cs="Times New Roman"/>
              <w:color w:val="auto"/>
              <w:sz w:val="32"/>
              <w:szCs w:val="32"/>
            </w:rPr>
            <w:t>3.搭建低空航路航线网络</w:t>
          </w:r>
          <w:r>
            <w:rPr>
              <w:color w:val="auto"/>
              <w:sz w:val="32"/>
              <w:szCs w:val="32"/>
            </w:rPr>
            <w:tab/>
          </w:r>
          <w:r>
            <w:rPr>
              <w:color w:val="auto"/>
              <w:sz w:val="32"/>
              <w:szCs w:val="32"/>
            </w:rPr>
            <w:fldChar w:fldCharType="begin"/>
          </w:r>
          <w:r>
            <w:rPr>
              <w:color w:val="auto"/>
              <w:sz w:val="32"/>
              <w:szCs w:val="32"/>
            </w:rPr>
            <w:instrText xml:space="preserve"> PAGEREF _Toc32496 \h </w:instrText>
          </w:r>
          <w:r>
            <w:rPr>
              <w:color w:val="auto"/>
              <w:sz w:val="32"/>
              <w:szCs w:val="32"/>
            </w:rPr>
            <w:fldChar w:fldCharType="separate"/>
          </w:r>
          <w:r>
            <w:rPr>
              <w:color w:val="auto"/>
              <w:sz w:val="32"/>
              <w:szCs w:val="32"/>
            </w:rPr>
            <w:t>60</w:t>
          </w:r>
          <w:r>
            <w:rPr>
              <w:color w:val="auto"/>
              <w:sz w:val="32"/>
              <w:szCs w:val="32"/>
            </w:rPr>
            <w:fldChar w:fldCharType="end"/>
          </w:r>
          <w:r>
            <w:rPr>
              <w:color w:val="auto"/>
              <w:sz w:val="32"/>
              <w:szCs w:val="32"/>
            </w:rPr>
            <w:fldChar w:fldCharType="end"/>
          </w:r>
        </w:p>
        <w:p>
          <w:pPr>
            <w:pStyle w:val="12"/>
            <w:tabs>
              <w:tab w:val="right" w:leader="dot" w:pos="8845"/>
            </w:tabs>
            <w:spacing w:line="560" w:lineRule="exact"/>
            <w:rPr>
              <w:color w:val="auto"/>
              <w:sz w:val="32"/>
              <w:szCs w:val="32"/>
            </w:rPr>
          </w:pPr>
          <w:r>
            <w:rPr>
              <w:color w:val="auto"/>
            </w:rPr>
            <w:fldChar w:fldCharType="begin"/>
          </w:r>
          <w:r>
            <w:rPr>
              <w:color w:val="auto"/>
            </w:rPr>
            <w:instrText xml:space="preserve"> HYPERLINK \l "_Toc24330" </w:instrText>
          </w:r>
          <w:r>
            <w:rPr>
              <w:color w:val="auto"/>
            </w:rPr>
            <w:fldChar w:fldCharType="separate"/>
          </w:r>
          <w:r>
            <w:rPr>
              <w:rFonts w:hint="eastAsia" w:ascii="Times New Roman" w:hAnsi="Times New Roman" w:eastAsia="仿宋_GB2312" w:cs="Times New Roman"/>
              <w:bCs/>
              <w:color w:val="auto"/>
              <w:sz w:val="32"/>
              <w:szCs w:val="32"/>
            </w:rPr>
            <w:t>4.建设低空飞行管服平台</w:t>
          </w:r>
          <w:r>
            <w:rPr>
              <w:color w:val="auto"/>
              <w:sz w:val="32"/>
              <w:szCs w:val="32"/>
            </w:rPr>
            <w:tab/>
          </w:r>
          <w:r>
            <w:rPr>
              <w:color w:val="auto"/>
              <w:sz w:val="32"/>
              <w:szCs w:val="32"/>
            </w:rPr>
            <w:fldChar w:fldCharType="begin"/>
          </w:r>
          <w:r>
            <w:rPr>
              <w:color w:val="auto"/>
              <w:sz w:val="32"/>
              <w:szCs w:val="32"/>
            </w:rPr>
            <w:instrText xml:space="preserve"> PAGEREF _Toc24330 \h </w:instrText>
          </w:r>
          <w:r>
            <w:rPr>
              <w:color w:val="auto"/>
              <w:sz w:val="32"/>
              <w:szCs w:val="32"/>
            </w:rPr>
            <w:fldChar w:fldCharType="separate"/>
          </w:r>
          <w:r>
            <w:rPr>
              <w:color w:val="auto"/>
              <w:sz w:val="32"/>
              <w:szCs w:val="32"/>
            </w:rPr>
            <w:t>62</w:t>
          </w:r>
          <w:r>
            <w:rPr>
              <w:color w:val="auto"/>
              <w:sz w:val="32"/>
              <w:szCs w:val="32"/>
            </w:rPr>
            <w:fldChar w:fldCharType="end"/>
          </w:r>
          <w:r>
            <w:rPr>
              <w:color w:val="auto"/>
              <w:sz w:val="32"/>
              <w:szCs w:val="32"/>
            </w:rPr>
            <w:fldChar w:fldCharType="end"/>
          </w:r>
        </w:p>
        <w:p>
          <w:pPr>
            <w:pStyle w:val="12"/>
            <w:tabs>
              <w:tab w:val="right" w:leader="dot" w:pos="8845"/>
            </w:tabs>
            <w:spacing w:line="560" w:lineRule="exact"/>
            <w:rPr>
              <w:color w:val="auto"/>
              <w:sz w:val="32"/>
              <w:szCs w:val="32"/>
            </w:rPr>
          </w:pPr>
          <w:r>
            <w:rPr>
              <w:color w:val="auto"/>
            </w:rPr>
            <w:fldChar w:fldCharType="begin"/>
          </w:r>
          <w:r>
            <w:rPr>
              <w:color w:val="auto"/>
            </w:rPr>
            <w:instrText xml:space="preserve"> HYPERLINK \l "_Toc30015" </w:instrText>
          </w:r>
          <w:r>
            <w:rPr>
              <w:color w:val="auto"/>
            </w:rPr>
            <w:fldChar w:fldCharType="separate"/>
          </w:r>
          <w:r>
            <w:rPr>
              <w:rFonts w:hint="eastAsia" w:ascii="Times New Roman" w:hAnsi="Times New Roman" w:eastAsia="仿宋_GB2312" w:cs="Times New Roman"/>
              <w:color w:val="auto"/>
              <w:sz w:val="32"/>
              <w:szCs w:val="32"/>
            </w:rPr>
            <w:t>5.打造高水平产业承载区</w:t>
          </w:r>
          <w:r>
            <w:rPr>
              <w:color w:val="auto"/>
              <w:sz w:val="32"/>
              <w:szCs w:val="32"/>
            </w:rPr>
            <w:tab/>
          </w:r>
          <w:r>
            <w:rPr>
              <w:color w:val="auto"/>
              <w:sz w:val="32"/>
              <w:szCs w:val="32"/>
            </w:rPr>
            <w:fldChar w:fldCharType="begin"/>
          </w:r>
          <w:r>
            <w:rPr>
              <w:color w:val="auto"/>
              <w:sz w:val="32"/>
              <w:szCs w:val="32"/>
            </w:rPr>
            <w:instrText xml:space="preserve"> PAGEREF _Toc30015 \h </w:instrText>
          </w:r>
          <w:r>
            <w:rPr>
              <w:color w:val="auto"/>
              <w:sz w:val="32"/>
              <w:szCs w:val="32"/>
            </w:rPr>
            <w:fldChar w:fldCharType="separate"/>
          </w:r>
          <w:r>
            <w:rPr>
              <w:color w:val="auto"/>
              <w:sz w:val="32"/>
              <w:szCs w:val="32"/>
            </w:rPr>
            <w:t>62</w:t>
          </w:r>
          <w:r>
            <w:rPr>
              <w:color w:val="auto"/>
              <w:sz w:val="32"/>
              <w:szCs w:val="32"/>
            </w:rPr>
            <w:fldChar w:fldCharType="end"/>
          </w:r>
          <w:r>
            <w:rPr>
              <w:color w:val="auto"/>
              <w:sz w:val="32"/>
              <w:szCs w:val="32"/>
            </w:rPr>
            <w:fldChar w:fldCharType="end"/>
          </w:r>
        </w:p>
        <w:p>
          <w:pPr>
            <w:pStyle w:val="18"/>
            <w:tabs>
              <w:tab w:val="right" w:leader="dot" w:pos="8845"/>
            </w:tabs>
            <w:spacing w:line="560" w:lineRule="exact"/>
            <w:rPr>
              <w:color w:val="auto"/>
              <w:sz w:val="32"/>
              <w:szCs w:val="32"/>
            </w:rPr>
          </w:pPr>
          <w:r>
            <w:rPr>
              <w:color w:val="auto"/>
            </w:rPr>
            <w:fldChar w:fldCharType="begin"/>
          </w:r>
          <w:r>
            <w:rPr>
              <w:color w:val="auto"/>
            </w:rPr>
            <w:instrText xml:space="preserve"> HYPERLINK \l "_Toc24003" </w:instrText>
          </w:r>
          <w:r>
            <w:rPr>
              <w:color w:val="auto"/>
            </w:rPr>
            <w:fldChar w:fldCharType="separate"/>
          </w:r>
          <w:r>
            <w:rPr>
              <w:rFonts w:hint="eastAsia" w:ascii="Times New Roman" w:hAnsi="Times New Roman" w:eastAsia="楷体_GB2312" w:cs="Times New Roman"/>
              <w:color w:val="auto"/>
              <w:spacing w:val="6"/>
              <w:sz w:val="32"/>
              <w:szCs w:val="32"/>
            </w:rPr>
            <w:t>（六）强化低空安全治理，</w:t>
          </w:r>
          <w:r>
            <w:rPr>
              <w:rFonts w:hint="eastAsia" w:ascii="Times New Roman" w:hAnsi="Times New Roman" w:eastAsia="楷体_GB2312" w:cs="Times New Roman"/>
              <w:color w:val="auto"/>
              <w:sz w:val="32"/>
              <w:szCs w:val="32"/>
              <w:shd w:val="clear" w:color="auto" w:fill="FFFFFF"/>
            </w:rPr>
            <w:t>筑牢低空安全发展底线</w:t>
          </w:r>
          <w:r>
            <w:rPr>
              <w:color w:val="auto"/>
              <w:sz w:val="32"/>
              <w:szCs w:val="32"/>
            </w:rPr>
            <w:tab/>
          </w:r>
          <w:r>
            <w:rPr>
              <w:color w:val="auto"/>
              <w:sz w:val="32"/>
              <w:szCs w:val="32"/>
            </w:rPr>
            <w:fldChar w:fldCharType="begin"/>
          </w:r>
          <w:r>
            <w:rPr>
              <w:color w:val="auto"/>
              <w:sz w:val="32"/>
              <w:szCs w:val="32"/>
            </w:rPr>
            <w:instrText xml:space="preserve"> PAGEREF _Toc24003 \h </w:instrText>
          </w:r>
          <w:r>
            <w:rPr>
              <w:color w:val="auto"/>
              <w:sz w:val="32"/>
              <w:szCs w:val="32"/>
            </w:rPr>
            <w:fldChar w:fldCharType="separate"/>
          </w:r>
          <w:r>
            <w:rPr>
              <w:color w:val="auto"/>
              <w:sz w:val="32"/>
              <w:szCs w:val="32"/>
            </w:rPr>
            <w:t>64</w:t>
          </w:r>
          <w:r>
            <w:rPr>
              <w:color w:val="auto"/>
              <w:sz w:val="32"/>
              <w:szCs w:val="32"/>
            </w:rPr>
            <w:fldChar w:fldCharType="end"/>
          </w:r>
          <w:r>
            <w:rPr>
              <w:color w:val="auto"/>
              <w:sz w:val="32"/>
              <w:szCs w:val="32"/>
            </w:rPr>
            <w:fldChar w:fldCharType="end"/>
          </w:r>
        </w:p>
        <w:p>
          <w:pPr>
            <w:pStyle w:val="12"/>
            <w:tabs>
              <w:tab w:val="right" w:leader="dot" w:pos="8845"/>
            </w:tabs>
            <w:spacing w:line="560" w:lineRule="exact"/>
            <w:rPr>
              <w:color w:val="auto"/>
              <w:sz w:val="32"/>
              <w:szCs w:val="32"/>
            </w:rPr>
          </w:pPr>
          <w:r>
            <w:rPr>
              <w:color w:val="auto"/>
            </w:rPr>
            <w:fldChar w:fldCharType="begin"/>
          </w:r>
          <w:r>
            <w:rPr>
              <w:color w:val="auto"/>
            </w:rPr>
            <w:instrText xml:space="preserve"> HYPERLINK \l "_Toc30396" </w:instrText>
          </w:r>
          <w:r>
            <w:rPr>
              <w:color w:val="auto"/>
            </w:rPr>
            <w:fldChar w:fldCharType="separate"/>
          </w:r>
          <w:r>
            <w:rPr>
              <w:rFonts w:ascii="仿宋_GB2312" w:eastAsia="仿宋_GB2312"/>
              <w:color w:val="auto"/>
              <w:sz w:val="32"/>
              <w:szCs w:val="32"/>
            </w:rPr>
            <w:t>1.</w:t>
          </w:r>
          <w:r>
            <w:rPr>
              <w:rFonts w:hint="eastAsia" w:ascii="仿宋_GB2312" w:eastAsia="仿宋_GB2312"/>
              <w:color w:val="auto"/>
              <w:sz w:val="32"/>
              <w:szCs w:val="32"/>
            </w:rPr>
            <w:t>加强低空飞行活动监管</w:t>
          </w:r>
          <w:r>
            <w:rPr>
              <w:color w:val="auto"/>
              <w:sz w:val="32"/>
              <w:szCs w:val="32"/>
            </w:rPr>
            <w:tab/>
          </w:r>
          <w:r>
            <w:rPr>
              <w:color w:val="auto"/>
              <w:sz w:val="32"/>
              <w:szCs w:val="32"/>
            </w:rPr>
            <w:fldChar w:fldCharType="begin"/>
          </w:r>
          <w:r>
            <w:rPr>
              <w:color w:val="auto"/>
              <w:sz w:val="32"/>
              <w:szCs w:val="32"/>
            </w:rPr>
            <w:instrText xml:space="preserve"> PAGEREF _Toc30396 \h </w:instrText>
          </w:r>
          <w:r>
            <w:rPr>
              <w:color w:val="auto"/>
              <w:sz w:val="32"/>
              <w:szCs w:val="32"/>
            </w:rPr>
            <w:fldChar w:fldCharType="separate"/>
          </w:r>
          <w:r>
            <w:rPr>
              <w:color w:val="auto"/>
              <w:sz w:val="32"/>
              <w:szCs w:val="32"/>
            </w:rPr>
            <w:t>64</w:t>
          </w:r>
          <w:r>
            <w:rPr>
              <w:color w:val="auto"/>
              <w:sz w:val="32"/>
              <w:szCs w:val="32"/>
            </w:rPr>
            <w:fldChar w:fldCharType="end"/>
          </w:r>
          <w:r>
            <w:rPr>
              <w:color w:val="auto"/>
              <w:sz w:val="32"/>
              <w:szCs w:val="32"/>
            </w:rPr>
            <w:fldChar w:fldCharType="end"/>
          </w:r>
        </w:p>
        <w:p>
          <w:pPr>
            <w:pStyle w:val="12"/>
            <w:tabs>
              <w:tab w:val="right" w:leader="dot" w:pos="8845"/>
            </w:tabs>
            <w:spacing w:line="560" w:lineRule="exact"/>
            <w:rPr>
              <w:color w:val="auto"/>
              <w:sz w:val="32"/>
              <w:szCs w:val="32"/>
            </w:rPr>
          </w:pPr>
          <w:r>
            <w:rPr>
              <w:color w:val="auto"/>
            </w:rPr>
            <w:fldChar w:fldCharType="begin"/>
          </w:r>
          <w:r>
            <w:rPr>
              <w:color w:val="auto"/>
            </w:rPr>
            <w:instrText xml:space="preserve"> HYPERLINK \l "_Toc30838" </w:instrText>
          </w:r>
          <w:r>
            <w:rPr>
              <w:color w:val="auto"/>
            </w:rPr>
            <w:fldChar w:fldCharType="separate"/>
          </w:r>
          <w:r>
            <w:rPr>
              <w:rFonts w:ascii="仿宋_GB2312" w:eastAsia="仿宋_GB2312"/>
              <w:color w:val="auto"/>
              <w:sz w:val="32"/>
              <w:szCs w:val="32"/>
            </w:rPr>
            <w:t>2.</w:t>
          </w:r>
          <w:r>
            <w:rPr>
              <w:rFonts w:hint="eastAsia" w:ascii="仿宋_GB2312" w:eastAsia="仿宋_GB2312"/>
              <w:color w:val="auto"/>
              <w:sz w:val="32"/>
              <w:szCs w:val="32"/>
            </w:rPr>
            <w:t>强化低空安全主动防御</w:t>
          </w:r>
          <w:r>
            <w:rPr>
              <w:color w:val="auto"/>
              <w:sz w:val="32"/>
              <w:szCs w:val="32"/>
            </w:rPr>
            <w:tab/>
          </w:r>
          <w:r>
            <w:rPr>
              <w:color w:val="auto"/>
              <w:sz w:val="32"/>
              <w:szCs w:val="32"/>
            </w:rPr>
            <w:fldChar w:fldCharType="begin"/>
          </w:r>
          <w:r>
            <w:rPr>
              <w:color w:val="auto"/>
              <w:sz w:val="32"/>
              <w:szCs w:val="32"/>
            </w:rPr>
            <w:instrText xml:space="preserve"> PAGEREF _Toc30838 \h </w:instrText>
          </w:r>
          <w:r>
            <w:rPr>
              <w:color w:val="auto"/>
              <w:sz w:val="32"/>
              <w:szCs w:val="32"/>
            </w:rPr>
            <w:fldChar w:fldCharType="separate"/>
          </w:r>
          <w:r>
            <w:rPr>
              <w:color w:val="auto"/>
              <w:sz w:val="32"/>
              <w:szCs w:val="32"/>
            </w:rPr>
            <w:t>64</w:t>
          </w:r>
          <w:r>
            <w:rPr>
              <w:color w:val="auto"/>
              <w:sz w:val="32"/>
              <w:szCs w:val="32"/>
            </w:rPr>
            <w:fldChar w:fldCharType="end"/>
          </w:r>
          <w:r>
            <w:rPr>
              <w:color w:val="auto"/>
              <w:sz w:val="32"/>
              <w:szCs w:val="32"/>
            </w:rPr>
            <w:fldChar w:fldCharType="end"/>
          </w:r>
        </w:p>
        <w:p>
          <w:pPr>
            <w:pStyle w:val="12"/>
            <w:tabs>
              <w:tab w:val="right" w:leader="dot" w:pos="8845"/>
            </w:tabs>
            <w:spacing w:line="560" w:lineRule="exact"/>
            <w:rPr>
              <w:color w:val="auto"/>
              <w:sz w:val="32"/>
              <w:szCs w:val="32"/>
            </w:rPr>
          </w:pPr>
          <w:r>
            <w:rPr>
              <w:color w:val="auto"/>
            </w:rPr>
            <w:fldChar w:fldCharType="begin"/>
          </w:r>
          <w:r>
            <w:rPr>
              <w:color w:val="auto"/>
            </w:rPr>
            <w:instrText xml:space="preserve"> HYPERLINK \l "_Toc198" </w:instrText>
          </w:r>
          <w:r>
            <w:rPr>
              <w:color w:val="auto"/>
            </w:rPr>
            <w:fldChar w:fldCharType="separate"/>
          </w:r>
          <w:r>
            <w:rPr>
              <w:rFonts w:hint="eastAsia" w:ascii="仿宋_GB2312" w:eastAsia="仿宋_GB2312"/>
              <w:color w:val="auto"/>
              <w:sz w:val="32"/>
              <w:szCs w:val="32"/>
            </w:rPr>
            <w:t>3.实施航空器全周期管理</w:t>
          </w:r>
          <w:r>
            <w:rPr>
              <w:color w:val="auto"/>
              <w:sz w:val="32"/>
              <w:szCs w:val="32"/>
            </w:rPr>
            <w:tab/>
          </w:r>
          <w:r>
            <w:rPr>
              <w:color w:val="auto"/>
              <w:sz w:val="32"/>
              <w:szCs w:val="32"/>
            </w:rPr>
            <w:fldChar w:fldCharType="begin"/>
          </w:r>
          <w:r>
            <w:rPr>
              <w:color w:val="auto"/>
              <w:sz w:val="32"/>
              <w:szCs w:val="32"/>
            </w:rPr>
            <w:instrText xml:space="preserve"> PAGEREF _Toc198 \h </w:instrText>
          </w:r>
          <w:r>
            <w:rPr>
              <w:color w:val="auto"/>
              <w:sz w:val="32"/>
              <w:szCs w:val="32"/>
            </w:rPr>
            <w:fldChar w:fldCharType="separate"/>
          </w:r>
          <w:r>
            <w:rPr>
              <w:color w:val="auto"/>
              <w:sz w:val="32"/>
              <w:szCs w:val="32"/>
            </w:rPr>
            <w:t>65</w:t>
          </w:r>
          <w:r>
            <w:rPr>
              <w:color w:val="auto"/>
              <w:sz w:val="32"/>
              <w:szCs w:val="32"/>
            </w:rPr>
            <w:fldChar w:fldCharType="end"/>
          </w:r>
          <w:r>
            <w:rPr>
              <w:color w:val="auto"/>
              <w:sz w:val="32"/>
              <w:szCs w:val="32"/>
            </w:rPr>
            <w:fldChar w:fldCharType="end"/>
          </w:r>
        </w:p>
        <w:p>
          <w:pPr>
            <w:pStyle w:val="12"/>
            <w:tabs>
              <w:tab w:val="right" w:leader="dot" w:pos="8845"/>
            </w:tabs>
            <w:spacing w:line="560" w:lineRule="exact"/>
            <w:rPr>
              <w:color w:val="auto"/>
              <w:sz w:val="32"/>
              <w:szCs w:val="32"/>
            </w:rPr>
          </w:pPr>
          <w:r>
            <w:rPr>
              <w:color w:val="auto"/>
            </w:rPr>
            <w:fldChar w:fldCharType="begin"/>
          </w:r>
          <w:r>
            <w:rPr>
              <w:color w:val="auto"/>
            </w:rPr>
            <w:instrText xml:space="preserve"> HYPERLINK \l "_Toc9486" </w:instrText>
          </w:r>
          <w:r>
            <w:rPr>
              <w:color w:val="auto"/>
            </w:rPr>
            <w:fldChar w:fldCharType="separate"/>
          </w:r>
          <w:r>
            <w:rPr>
              <w:rFonts w:hint="eastAsia" w:ascii="仿宋_GB2312" w:eastAsia="仿宋_GB2312"/>
              <w:color w:val="auto"/>
              <w:sz w:val="32"/>
              <w:szCs w:val="32"/>
            </w:rPr>
            <w:t>4.健全低空安全治理机制</w:t>
          </w:r>
          <w:r>
            <w:rPr>
              <w:color w:val="auto"/>
              <w:sz w:val="32"/>
              <w:szCs w:val="32"/>
            </w:rPr>
            <w:tab/>
          </w:r>
          <w:r>
            <w:rPr>
              <w:color w:val="auto"/>
              <w:sz w:val="32"/>
              <w:szCs w:val="32"/>
            </w:rPr>
            <w:fldChar w:fldCharType="begin"/>
          </w:r>
          <w:r>
            <w:rPr>
              <w:color w:val="auto"/>
              <w:sz w:val="32"/>
              <w:szCs w:val="32"/>
            </w:rPr>
            <w:instrText xml:space="preserve"> PAGEREF _Toc9486 \h </w:instrText>
          </w:r>
          <w:r>
            <w:rPr>
              <w:color w:val="auto"/>
              <w:sz w:val="32"/>
              <w:szCs w:val="32"/>
            </w:rPr>
            <w:fldChar w:fldCharType="separate"/>
          </w:r>
          <w:r>
            <w:rPr>
              <w:color w:val="auto"/>
              <w:sz w:val="32"/>
              <w:szCs w:val="32"/>
            </w:rPr>
            <w:t>65</w:t>
          </w:r>
          <w:r>
            <w:rPr>
              <w:color w:val="auto"/>
              <w:sz w:val="32"/>
              <w:szCs w:val="32"/>
            </w:rPr>
            <w:fldChar w:fldCharType="end"/>
          </w:r>
          <w:r>
            <w:rPr>
              <w:color w:val="auto"/>
              <w:sz w:val="32"/>
              <w:szCs w:val="32"/>
            </w:rPr>
            <w:fldChar w:fldCharType="end"/>
          </w:r>
        </w:p>
        <w:bookmarkEnd w:id="19"/>
        <w:p>
          <w:pPr>
            <w:pStyle w:val="15"/>
            <w:tabs>
              <w:tab w:val="right" w:leader="dot" w:pos="8845"/>
            </w:tabs>
            <w:spacing w:line="560" w:lineRule="exact"/>
            <w:rPr>
              <w:color w:val="auto"/>
              <w:sz w:val="32"/>
              <w:szCs w:val="32"/>
            </w:rPr>
          </w:pPr>
          <w:r>
            <w:rPr>
              <w:rFonts w:ascii="Times New Roman" w:hAnsi="Times New Roman" w:eastAsia="仿宋_GB2312" w:cs="Times New Roman"/>
              <w:color w:val="auto"/>
              <w:sz w:val="32"/>
              <w:szCs w:val="32"/>
              <w:lang w:val="zh-TW" w:eastAsia="zh-TW"/>
            </w:rPr>
            <w:fldChar w:fldCharType="begin"/>
          </w:r>
          <w:r>
            <w:rPr>
              <w:rFonts w:ascii="Times New Roman" w:hAnsi="Times New Roman" w:eastAsia="仿宋_GB2312" w:cs="Times New Roman"/>
              <w:color w:val="auto"/>
              <w:sz w:val="32"/>
              <w:szCs w:val="32"/>
              <w:lang w:val="zh-TW" w:eastAsia="zh-TW"/>
            </w:rPr>
            <w:instrText xml:space="preserve"> HYPERLINK \l _Toc3968 </w:instrText>
          </w:r>
          <w:r>
            <w:rPr>
              <w:rFonts w:ascii="Times New Roman" w:hAnsi="Times New Roman" w:eastAsia="仿宋_GB2312" w:cs="Times New Roman"/>
              <w:color w:val="auto"/>
              <w:sz w:val="32"/>
              <w:szCs w:val="32"/>
              <w:lang w:val="zh-TW" w:eastAsia="zh-TW"/>
            </w:rPr>
            <w:fldChar w:fldCharType="separate"/>
          </w:r>
          <w:r>
            <w:rPr>
              <w:rFonts w:hint="eastAsia" w:ascii="Times New Roman" w:hAnsi="Times New Roman" w:eastAsia="黑体" w:cs="Times New Roman"/>
              <w:color w:val="auto"/>
              <w:sz w:val="32"/>
              <w:szCs w:val="32"/>
              <w:shd w:val="clear" w:color="auto" w:fill="FFFFFF"/>
            </w:rPr>
            <w:t>四、保障措施</w:t>
          </w:r>
          <w:r>
            <w:rPr>
              <w:color w:val="auto"/>
              <w:sz w:val="32"/>
              <w:szCs w:val="32"/>
            </w:rPr>
            <w:tab/>
          </w:r>
          <w:r>
            <w:rPr>
              <w:color w:val="auto"/>
              <w:sz w:val="32"/>
              <w:szCs w:val="32"/>
            </w:rPr>
            <w:fldChar w:fldCharType="begin"/>
          </w:r>
          <w:r>
            <w:rPr>
              <w:color w:val="auto"/>
              <w:sz w:val="32"/>
              <w:szCs w:val="32"/>
            </w:rPr>
            <w:instrText xml:space="preserve"> PAGEREF _Toc3968 \h </w:instrText>
          </w:r>
          <w:r>
            <w:rPr>
              <w:color w:val="auto"/>
              <w:sz w:val="32"/>
              <w:szCs w:val="32"/>
            </w:rPr>
            <w:fldChar w:fldCharType="separate"/>
          </w:r>
          <w:r>
            <w:rPr>
              <w:color w:val="auto"/>
              <w:sz w:val="32"/>
              <w:szCs w:val="32"/>
            </w:rPr>
            <w:t>69</w:t>
          </w:r>
          <w:r>
            <w:rPr>
              <w:color w:val="auto"/>
              <w:sz w:val="32"/>
              <w:szCs w:val="32"/>
            </w:rPr>
            <w:fldChar w:fldCharType="end"/>
          </w:r>
          <w:r>
            <w:rPr>
              <w:rFonts w:ascii="Times New Roman" w:hAnsi="Times New Roman" w:eastAsia="仿宋_GB2312" w:cs="Times New Roman"/>
              <w:color w:val="auto"/>
              <w:sz w:val="32"/>
              <w:szCs w:val="32"/>
              <w:lang w:val="zh-TW" w:eastAsia="zh-TW"/>
            </w:rPr>
            <w:fldChar w:fldCharType="end"/>
          </w:r>
        </w:p>
        <w:p>
          <w:pPr>
            <w:pStyle w:val="18"/>
            <w:tabs>
              <w:tab w:val="right" w:leader="dot" w:pos="8845"/>
            </w:tabs>
            <w:spacing w:line="560" w:lineRule="exact"/>
            <w:rPr>
              <w:color w:val="auto"/>
              <w:sz w:val="32"/>
              <w:szCs w:val="32"/>
            </w:rPr>
          </w:pPr>
          <w:r>
            <w:rPr>
              <w:color w:val="auto"/>
            </w:rPr>
            <w:fldChar w:fldCharType="begin"/>
          </w:r>
          <w:r>
            <w:rPr>
              <w:color w:val="auto"/>
            </w:rPr>
            <w:instrText xml:space="preserve"> HYPERLINK \l "_Toc23929" </w:instrText>
          </w:r>
          <w:r>
            <w:rPr>
              <w:color w:val="auto"/>
            </w:rPr>
            <w:fldChar w:fldCharType="separate"/>
          </w:r>
          <w:r>
            <w:rPr>
              <w:rFonts w:hint="eastAsia" w:ascii="Times New Roman" w:hAnsi="Times New Roman" w:eastAsia="楷体_GB2312" w:cs="Times New Roman"/>
              <w:color w:val="auto"/>
              <w:sz w:val="32"/>
              <w:szCs w:val="32"/>
            </w:rPr>
            <w:t>（一）强化组织保障协同</w:t>
          </w:r>
          <w:r>
            <w:rPr>
              <w:color w:val="auto"/>
              <w:sz w:val="32"/>
              <w:szCs w:val="32"/>
            </w:rPr>
            <w:tab/>
          </w:r>
          <w:r>
            <w:rPr>
              <w:color w:val="auto"/>
              <w:sz w:val="32"/>
              <w:szCs w:val="32"/>
            </w:rPr>
            <w:fldChar w:fldCharType="begin"/>
          </w:r>
          <w:r>
            <w:rPr>
              <w:color w:val="auto"/>
              <w:sz w:val="32"/>
              <w:szCs w:val="32"/>
            </w:rPr>
            <w:instrText xml:space="preserve"> PAGEREF _Toc23929 \h </w:instrText>
          </w:r>
          <w:r>
            <w:rPr>
              <w:color w:val="auto"/>
              <w:sz w:val="32"/>
              <w:szCs w:val="32"/>
            </w:rPr>
            <w:fldChar w:fldCharType="separate"/>
          </w:r>
          <w:r>
            <w:rPr>
              <w:color w:val="auto"/>
              <w:sz w:val="32"/>
              <w:szCs w:val="32"/>
            </w:rPr>
            <w:t>69</w:t>
          </w:r>
          <w:r>
            <w:rPr>
              <w:color w:val="auto"/>
              <w:sz w:val="32"/>
              <w:szCs w:val="32"/>
            </w:rPr>
            <w:fldChar w:fldCharType="end"/>
          </w:r>
          <w:r>
            <w:rPr>
              <w:color w:val="auto"/>
              <w:sz w:val="32"/>
              <w:szCs w:val="32"/>
            </w:rPr>
            <w:fldChar w:fldCharType="end"/>
          </w:r>
        </w:p>
        <w:p>
          <w:pPr>
            <w:pStyle w:val="18"/>
            <w:tabs>
              <w:tab w:val="right" w:leader="dot" w:pos="8845"/>
            </w:tabs>
            <w:spacing w:line="560" w:lineRule="exact"/>
            <w:rPr>
              <w:color w:val="auto"/>
              <w:sz w:val="32"/>
              <w:szCs w:val="32"/>
            </w:rPr>
          </w:pPr>
          <w:r>
            <w:rPr>
              <w:color w:val="auto"/>
            </w:rPr>
            <w:fldChar w:fldCharType="begin"/>
          </w:r>
          <w:r>
            <w:rPr>
              <w:color w:val="auto"/>
            </w:rPr>
            <w:instrText xml:space="preserve"> HYPERLINK \l "_Toc21009" </w:instrText>
          </w:r>
          <w:r>
            <w:rPr>
              <w:color w:val="auto"/>
            </w:rPr>
            <w:fldChar w:fldCharType="separate"/>
          </w:r>
          <w:r>
            <w:rPr>
              <w:rFonts w:hint="eastAsia" w:ascii="Times New Roman" w:hAnsi="Times New Roman" w:eastAsia="楷体_GB2312" w:cs="Times New Roman"/>
              <w:color w:val="auto"/>
              <w:sz w:val="32"/>
              <w:szCs w:val="32"/>
            </w:rPr>
            <w:t>（二）</w:t>
          </w:r>
          <w:r>
            <w:rPr>
              <w:rFonts w:hint="eastAsia" w:ascii="Times New Roman" w:hAnsi="Times New Roman" w:eastAsia="楷体_GB2312" w:cs="Times New Roman"/>
              <w:color w:val="auto"/>
              <w:sz w:val="32"/>
              <w:szCs w:val="32"/>
              <w:shd w:val="clear" w:color="auto" w:fill="FFFFFF"/>
            </w:rPr>
            <w:t>加强要素资源保障</w:t>
          </w:r>
          <w:r>
            <w:rPr>
              <w:color w:val="auto"/>
              <w:sz w:val="32"/>
              <w:szCs w:val="32"/>
            </w:rPr>
            <w:tab/>
          </w:r>
          <w:r>
            <w:rPr>
              <w:color w:val="auto"/>
              <w:sz w:val="32"/>
              <w:szCs w:val="32"/>
            </w:rPr>
            <w:fldChar w:fldCharType="begin"/>
          </w:r>
          <w:r>
            <w:rPr>
              <w:color w:val="auto"/>
              <w:sz w:val="32"/>
              <w:szCs w:val="32"/>
            </w:rPr>
            <w:instrText xml:space="preserve"> PAGEREF _Toc21009 \h </w:instrText>
          </w:r>
          <w:r>
            <w:rPr>
              <w:color w:val="auto"/>
              <w:sz w:val="32"/>
              <w:szCs w:val="32"/>
            </w:rPr>
            <w:fldChar w:fldCharType="separate"/>
          </w:r>
          <w:r>
            <w:rPr>
              <w:color w:val="auto"/>
              <w:sz w:val="32"/>
              <w:szCs w:val="32"/>
            </w:rPr>
            <w:t>69</w:t>
          </w:r>
          <w:r>
            <w:rPr>
              <w:color w:val="auto"/>
              <w:sz w:val="32"/>
              <w:szCs w:val="32"/>
            </w:rPr>
            <w:fldChar w:fldCharType="end"/>
          </w:r>
          <w:r>
            <w:rPr>
              <w:color w:val="auto"/>
              <w:sz w:val="32"/>
              <w:szCs w:val="32"/>
            </w:rPr>
            <w:fldChar w:fldCharType="end"/>
          </w:r>
        </w:p>
        <w:p>
          <w:pPr>
            <w:pStyle w:val="18"/>
            <w:tabs>
              <w:tab w:val="right" w:leader="dot" w:pos="8845"/>
            </w:tabs>
            <w:spacing w:line="560" w:lineRule="exact"/>
            <w:rPr>
              <w:color w:val="auto"/>
              <w:sz w:val="32"/>
              <w:szCs w:val="32"/>
            </w:rPr>
          </w:pPr>
          <w:r>
            <w:rPr>
              <w:color w:val="auto"/>
            </w:rPr>
            <w:fldChar w:fldCharType="begin"/>
          </w:r>
          <w:r>
            <w:rPr>
              <w:color w:val="auto"/>
            </w:rPr>
            <w:instrText xml:space="preserve"> HYPERLINK \l "_Toc1390" </w:instrText>
          </w:r>
          <w:r>
            <w:rPr>
              <w:color w:val="auto"/>
            </w:rPr>
            <w:fldChar w:fldCharType="separate"/>
          </w:r>
          <w:r>
            <w:rPr>
              <w:rFonts w:hint="eastAsia" w:ascii="Times New Roman" w:hAnsi="Times New Roman" w:eastAsia="楷体_GB2312" w:cs="Times New Roman"/>
              <w:color w:val="auto"/>
              <w:sz w:val="32"/>
              <w:szCs w:val="32"/>
              <w:shd w:val="clear" w:color="auto" w:fill="FFFFFF"/>
            </w:rPr>
            <w:t>（三）加强动态监测评估</w:t>
          </w:r>
          <w:r>
            <w:rPr>
              <w:color w:val="auto"/>
              <w:sz w:val="32"/>
              <w:szCs w:val="32"/>
            </w:rPr>
            <w:tab/>
          </w:r>
          <w:r>
            <w:rPr>
              <w:color w:val="auto"/>
              <w:sz w:val="32"/>
              <w:szCs w:val="32"/>
            </w:rPr>
            <w:fldChar w:fldCharType="begin"/>
          </w:r>
          <w:r>
            <w:rPr>
              <w:color w:val="auto"/>
              <w:sz w:val="32"/>
              <w:szCs w:val="32"/>
            </w:rPr>
            <w:instrText xml:space="preserve"> PAGEREF _Toc1390 \h </w:instrText>
          </w:r>
          <w:r>
            <w:rPr>
              <w:color w:val="auto"/>
              <w:sz w:val="32"/>
              <w:szCs w:val="32"/>
            </w:rPr>
            <w:fldChar w:fldCharType="separate"/>
          </w:r>
          <w:r>
            <w:rPr>
              <w:color w:val="auto"/>
              <w:sz w:val="32"/>
              <w:szCs w:val="32"/>
            </w:rPr>
            <w:t>70</w:t>
          </w:r>
          <w:r>
            <w:rPr>
              <w:color w:val="auto"/>
              <w:sz w:val="32"/>
              <w:szCs w:val="32"/>
            </w:rPr>
            <w:fldChar w:fldCharType="end"/>
          </w:r>
          <w:r>
            <w:rPr>
              <w:color w:val="auto"/>
              <w:sz w:val="32"/>
              <w:szCs w:val="32"/>
            </w:rPr>
            <w:fldChar w:fldCharType="end"/>
          </w:r>
        </w:p>
        <w:p>
          <w:pPr>
            <w:pStyle w:val="18"/>
            <w:tabs>
              <w:tab w:val="right" w:leader="dot" w:pos="8845"/>
            </w:tabs>
            <w:spacing w:line="560" w:lineRule="exact"/>
            <w:rPr>
              <w:color w:val="auto"/>
              <w:sz w:val="32"/>
              <w:szCs w:val="32"/>
            </w:rPr>
          </w:pPr>
          <w:r>
            <w:rPr>
              <w:color w:val="auto"/>
            </w:rPr>
            <w:fldChar w:fldCharType="begin"/>
          </w:r>
          <w:r>
            <w:rPr>
              <w:color w:val="auto"/>
            </w:rPr>
            <w:instrText xml:space="preserve"> HYPERLINK \l "_Toc29142" </w:instrText>
          </w:r>
          <w:r>
            <w:rPr>
              <w:color w:val="auto"/>
            </w:rPr>
            <w:fldChar w:fldCharType="separate"/>
          </w:r>
          <w:r>
            <w:rPr>
              <w:rFonts w:hint="eastAsia" w:ascii="Times New Roman" w:hAnsi="Times New Roman" w:eastAsia="楷体_GB2312" w:cs="Times New Roman"/>
              <w:color w:val="auto"/>
              <w:sz w:val="32"/>
              <w:szCs w:val="32"/>
              <w:shd w:val="clear" w:color="auto" w:fill="FFFFFF"/>
            </w:rPr>
            <w:t>（四）营造良好发展氛围</w:t>
          </w:r>
          <w:r>
            <w:rPr>
              <w:color w:val="auto"/>
              <w:sz w:val="32"/>
              <w:szCs w:val="32"/>
            </w:rPr>
            <w:tab/>
          </w:r>
          <w:r>
            <w:rPr>
              <w:color w:val="auto"/>
              <w:sz w:val="32"/>
              <w:szCs w:val="32"/>
            </w:rPr>
            <w:fldChar w:fldCharType="begin"/>
          </w:r>
          <w:r>
            <w:rPr>
              <w:color w:val="auto"/>
              <w:sz w:val="32"/>
              <w:szCs w:val="32"/>
            </w:rPr>
            <w:instrText xml:space="preserve"> PAGEREF _Toc29142 \h </w:instrText>
          </w:r>
          <w:r>
            <w:rPr>
              <w:color w:val="auto"/>
              <w:sz w:val="32"/>
              <w:szCs w:val="32"/>
            </w:rPr>
            <w:fldChar w:fldCharType="separate"/>
          </w:r>
          <w:r>
            <w:rPr>
              <w:color w:val="auto"/>
              <w:sz w:val="32"/>
              <w:szCs w:val="32"/>
            </w:rPr>
            <w:t>70</w:t>
          </w:r>
          <w:r>
            <w:rPr>
              <w:color w:val="auto"/>
              <w:sz w:val="32"/>
              <w:szCs w:val="32"/>
            </w:rPr>
            <w:fldChar w:fldCharType="end"/>
          </w:r>
          <w:r>
            <w:rPr>
              <w:color w:val="auto"/>
              <w:sz w:val="32"/>
              <w:szCs w:val="32"/>
            </w:rPr>
            <w:fldChar w:fldCharType="end"/>
          </w:r>
        </w:p>
        <w:p>
          <w:pPr>
            <w:pStyle w:val="15"/>
            <w:tabs>
              <w:tab w:val="right" w:leader="dot" w:pos="8845"/>
            </w:tabs>
            <w:spacing w:line="560" w:lineRule="exact"/>
            <w:rPr>
              <w:color w:val="auto"/>
              <w:sz w:val="32"/>
              <w:szCs w:val="32"/>
            </w:rPr>
          </w:pPr>
          <w:r>
            <w:rPr>
              <w:color w:val="auto"/>
            </w:rPr>
            <w:fldChar w:fldCharType="begin"/>
          </w:r>
          <w:r>
            <w:rPr>
              <w:color w:val="auto"/>
            </w:rPr>
            <w:instrText xml:space="preserve"> HYPERLINK \l "_Toc11091" </w:instrText>
          </w:r>
          <w:r>
            <w:rPr>
              <w:color w:val="auto"/>
            </w:rPr>
            <w:fldChar w:fldCharType="separate"/>
          </w:r>
          <w:r>
            <w:rPr>
              <w:rFonts w:hint="eastAsia" w:ascii="Times New Roman" w:hAnsi="Times New Roman" w:eastAsia="黑体" w:cs="Times New Roman"/>
              <w:color w:val="auto"/>
              <w:sz w:val="32"/>
              <w:szCs w:val="32"/>
            </w:rPr>
            <w:t>附件1：规划依据</w:t>
          </w:r>
          <w:r>
            <w:rPr>
              <w:color w:val="auto"/>
              <w:sz w:val="32"/>
              <w:szCs w:val="32"/>
            </w:rPr>
            <w:tab/>
          </w:r>
          <w:r>
            <w:rPr>
              <w:color w:val="auto"/>
              <w:sz w:val="32"/>
              <w:szCs w:val="32"/>
            </w:rPr>
            <w:fldChar w:fldCharType="begin"/>
          </w:r>
          <w:r>
            <w:rPr>
              <w:color w:val="auto"/>
              <w:sz w:val="32"/>
              <w:szCs w:val="32"/>
            </w:rPr>
            <w:instrText xml:space="preserve"> PAGEREF _Toc11091 \h </w:instrText>
          </w:r>
          <w:r>
            <w:rPr>
              <w:color w:val="auto"/>
              <w:sz w:val="32"/>
              <w:szCs w:val="32"/>
            </w:rPr>
            <w:fldChar w:fldCharType="separate"/>
          </w:r>
          <w:r>
            <w:rPr>
              <w:color w:val="auto"/>
              <w:sz w:val="32"/>
              <w:szCs w:val="32"/>
            </w:rPr>
            <w:t>72</w:t>
          </w:r>
          <w:r>
            <w:rPr>
              <w:color w:val="auto"/>
              <w:sz w:val="32"/>
              <w:szCs w:val="32"/>
            </w:rPr>
            <w:fldChar w:fldCharType="end"/>
          </w:r>
          <w:r>
            <w:rPr>
              <w:color w:val="auto"/>
              <w:sz w:val="32"/>
              <w:szCs w:val="32"/>
            </w:rPr>
            <w:fldChar w:fldCharType="end"/>
          </w:r>
        </w:p>
        <w:p>
          <w:pPr>
            <w:pStyle w:val="15"/>
            <w:tabs>
              <w:tab w:val="right" w:leader="dot" w:pos="8845"/>
            </w:tabs>
            <w:spacing w:line="560" w:lineRule="exact"/>
            <w:rPr>
              <w:color w:val="auto"/>
              <w:sz w:val="32"/>
              <w:szCs w:val="32"/>
            </w:rPr>
          </w:pPr>
          <w:r>
            <w:rPr>
              <w:color w:val="auto"/>
            </w:rPr>
            <w:fldChar w:fldCharType="begin"/>
          </w:r>
          <w:r>
            <w:rPr>
              <w:color w:val="auto"/>
            </w:rPr>
            <w:instrText xml:space="preserve"> HYPERLINK \l "_Toc3121" </w:instrText>
          </w:r>
          <w:r>
            <w:rPr>
              <w:color w:val="auto"/>
            </w:rPr>
            <w:fldChar w:fldCharType="separate"/>
          </w:r>
          <w:r>
            <w:rPr>
              <w:rFonts w:hint="eastAsia" w:ascii="Times New Roman" w:hAnsi="Times New Roman" w:eastAsia="黑体" w:cs="Times New Roman"/>
              <w:color w:val="auto"/>
              <w:sz w:val="32"/>
              <w:szCs w:val="32"/>
            </w:rPr>
            <w:t>附件2：乐山市低空经济产业链重点企业培育清单</w:t>
          </w:r>
          <w:r>
            <w:rPr>
              <w:color w:val="auto"/>
              <w:sz w:val="32"/>
              <w:szCs w:val="32"/>
            </w:rPr>
            <w:tab/>
          </w:r>
          <w:r>
            <w:rPr>
              <w:color w:val="auto"/>
              <w:sz w:val="32"/>
              <w:szCs w:val="32"/>
            </w:rPr>
            <w:fldChar w:fldCharType="begin"/>
          </w:r>
          <w:r>
            <w:rPr>
              <w:color w:val="auto"/>
              <w:sz w:val="32"/>
              <w:szCs w:val="32"/>
            </w:rPr>
            <w:instrText xml:space="preserve"> PAGEREF _Toc3121 \h </w:instrText>
          </w:r>
          <w:r>
            <w:rPr>
              <w:color w:val="auto"/>
              <w:sz w:val="32"/>
              <w:szCs w:val="32"/>
            </w:rPr>
            <w:fldChar w:fldCharType="separate"/>
          </w:r>
          <w:r>
            <w:rPr>
              <w:color w:val="auto"/>
              <w:sz w:val="32"/>
              <w:szCs w:val="32"/>
            </w:rPr>
            <w:t>75</w:t>
          </w:r>
          <w:r>
            <w:rPr>
              <w:color w:val="auto"/>
              <w:sz w:val="32"/>
              <w:szCs w:val="32"/>
            </w:rPr>
            <w:fldChar w:fldCharType="end"/>
          </w:r>
          <w:r>
            <w:rPr>
              <w:color w:val="auto"/>
              <w:sz w:val="32"/>
              <w:szCs w:val="32"/>
            </w:rPr>
            <w:fldChar w:fldCharType="end"/>
          </w:r>
        </w:p>
        <w:p>
          <w:pPr>
            <w:pStyle w:val="15"/>
            <w:tabs>
              <w:tab w:val="right" w:leader="dot" w:pos="8845"/>
            </w:tabs>
            <w:spacing w:line="560" w:lineRule="exact"/>
            <w:rPr>
              <w:color w:val="auto"/>
              <w:sz w:val="32"/>
              <w:szCs w:val="32"/>
            </w:rPr>
          </w:pPr>
          <w:r>
            <w:rPr>
              <w:color w:val="auto"/>
            </w:rPr>
            <w:fldChar w:fldCharType="begin"/>
          </w:r>
          <w:r>
            <w:rPr>
              <w:color w:val="auto"/>
            </w:rPr>
            <w:instrText xml:space="preserve"> HYPERLINK \l "_Toc25928" </w:instrText>
          </w:r>
          <w:r>
            <w:rPr>
              <w:color w:val="auto"/>
            </w:rPr>
            <w:fldChar w:fldCharType="separate"/>
          </w:r>
          <w:r>
            <w:rPr>
              <w:rFonts w:hint="eastAsia" w:ascii="Times New Roman" w:hAnsi="Times New Roman" w:eastAsia="黑体" w:cs="Times New Roman"/>
              <w:color w:val="auto"/>
              <w:sz w:val="32"/>
              <w:szCs w:val="32"/>
            </w:rPr>
            <w:t>附件3：乐山市低空经济现有主要发展载体清单</w:t>
          </w:r>
          <w:r>
            <w:rPr>
              <w:color w:val="auto"/>
              <w:sz w:val="32"/>
              <w:szCs w:val="32"/>
            </w:rPr>
            <w:tab/>
          </w:r>
          <w:r>
            <w:rPr>
              <w:color w:val="auto"/>
              <w:sz w:val="32"/>
              <w:szCs w:val="32"/>
            </w:rPr>
            <w:fldChar w:fldCharType="begin"/>
          </w:r>
          <w:r>
            <w:rPr>
              <w:color w:val="auto"/>
              <w:sz w:val="32"/>
              <w:szCs w:val="32"/>
            </w:rPr>
            <w:instrText xml:space="preserve"> PAGEREF _Toc25928 \h </w:instrText>
          </w:r>
          <w:r>
            <w:rPr>
              <w:color w:val="auto"/>
              <w:sz w:val="32"/>
              <w:szCs w:val="32"/>
            </w:rPr>
            <w:fldChar w:fldCharType="separate"/>
          </w:r>
          <w:r>
            <w:rPr>
              <w:color w:val="auto"/>
              <w:sz w:val="32"/>
              <w:szCs w:val="32"/>
            </w:rPr>
            <w:t>79</w:t>
          </w:r>
          <w:r>
            <w:rPr>
              <w:color w:val="auto"/>
              <w:sz w:val="32"/>
              <w:szCs w:val="32"/>
            </w:rPr>
            <w:fldChar w:fldCharType="end"/>
          </w:r>
          <w:r>
            <w:rPr>
              <w:color w:val="auto"/>
              <w:sz w:val="32"/>
              <w:szCs w:val="32"/>
            </w:rPr>
            <w:fldChar w:fldCharType="end"/>
          </w:r>
        </w:p>
        <w:p>
          <w:pPr>
            <w:pStyle w:val="15"/>
            <w:tabs>
              <w:tab w:val="right" w:leader="dot" w:pos="8845"/>
            </w:tabs>
            <w:spacing w:line="560" w:lineRule="exact"/>
            <w:rPr>
              <w:color w:val="auto"/>
              <w:sz w:val="32"/>
              <w:szCs w:val="32"/>
            </w:rPr>
          </w:pPr>
          <w:r>
            <w:rPr>
              <w:color w:val="auto"/>
            </w:rPr>
            <w:fldChar w:fldCharType="begin"/>
          </w:r>
          <w:r>
            <w:rPr>
              <w:color w:val="auto"/>
            </w:rPr>
            <w:instrText xml:space="preserve"> HYPERLINK \l "_Toc15329" </w:instrText>
          </w:r>
          <w:r>
            <w:rPr>
              <w:color w:val="auto"/>
            </w:rPr>
            <w:fldChar w:fldCharType="separate"/>
          </w:r>
          <w:r>
            <w:rPr>
              <w:rFonts w:hint="eastAsia" w:ascii="Times New Roman" w:hAnsi="Times New Roman" w:eastAsia="黑体" w:cs="Times New Roman"/>
              <w:color w:val="auto"/>
              <w:sz w:val="32"/>
              <w:szCs w:val="32"/>
            </w:rPr>
            <w:t>附件4：乐山市低空起降设施布局表</w:t>
          </w:r>
          <w:r>
            <w:rPr>
              <w:color w:val="auto"/>
              <w:sz w:val="32"/>
              <w:szCs w:val="32"/>
            </w:rPr>
            <w:tab/>
          </w:r>
          <w:r>
            <w:rPr>
              <w:color w:val="auto"/>
              <w:sz w:val="32"/>
              <w:szCs w:val="32"/>
            </w:rPr>
            <w:fldChar w:fldCharType="begin"/>
          </w:r>
          <w:r>
            <w:rPr>
              <w:color w:val="auto"/>
              <w:sz w:val="32"/>
              <w:szCs w:val="32"/>
            </w:rPr>
            <w:instrText xml:space="preserve"> PAGEREF _Toc15329 \h </w:instrText>
          </w:r>
          <w:r>
            <w:rPr>
              <w:color w:val="auto"/>
              <w:sz w:val="32"/>
              <w:szCs w:val="32"/>
            </w:rPr>
            <w:fldChar w:fldCharType="separate"/>
          </w:r>
          <w:r>
            <w:rPr>
              <w:color w:val="auto"/>
              <w:sz w:val="32"/>
              <w:szCs w:val="32"/>
            </w:rPr>
            <w:t>86</w:t>
          </w:r>
          <w:r>
            <w:rPr>
              <w:color w:val="auto"/>
              <w:sz w:val="32"/>
              <w:szCs w:val="32"/>
            </w:rPr>
            <w:fldChar w:fldCharType="end"/>
          </w:r>
          <w:r>
            <w:rPr>
              <w:color w:val="auto"/>
              <w:sz w:val="32"/>
              <w:szCs w:val="32"/>
            </w:rPr>
            <w:fldChar w:fldCharType="end"/>
          </w:r>
        </w:p>
        <w:p>
          <w:pPr>
            <w:pStyle w:val="15"/>
            <w:tabs>
              <w:tab w:val="right" w:leader="dot" w:pos="8845"/>
            </w:tabs>
            <w:spacing w:line="560" w:lineRule="exact"/>
            <w:rPr>
              <w:color w:val="auto"/>
              <w:sz w:val="32"/>
              <w:szCs w:val="32"/>
            </w:rPr>
          </w:pPr>
          <w:r>
            <w:rPr>
              <w:color w:val="auto"/>
            </w:rPr>
            <w:fldChar w:fldCharType="begin"/>
          </w:r>
          <w:r>
            <w:rPr>
              <w:color w:val="auto"/>
            </w:rPr>
            <w:instrText xml:space="preserve"> HYPERLINK \l "_Toc21417" </w:instrText>
          </w:r>
          <w:r>
            <w:rPr>
              <w:color w:val="auto"/>
            </w:rPr>
            <w:fldChar w:fldCharType="separate"/>
          </w:r>
          <w:r>
            <w:rPr>
              <w:rFonts w:hint="eastAsia" w:ascii="Times New Roman" w:hAnsi="Times New Roman" w:eastAsia="黑体" w:cs="Times New Roman"/>
              <w:color w:val="auto"/>
              <w:sz w:val="32"/>
              <w:szCs w:val="32"/>
            </w:rPr>
            <w:t>附件5：</w:t>
          </w:r>
          <w:r>
            <w:rPr>
              <w:rFonts w:hint="eastAsia" w:ascii="Times New Roman" w:hAnsi="Times New Roman" w:eastAsia="黑体" w:cs="Times New Roman"/>
              <w:color w:val="auto"/>
              <w:sz w:val="32"/>
              <w:szCs w:val="32"/>
              <w:shd w:val="clear" w:color="auto" w:fill="FFFFFF"/>
            </w:rPr>
            <w:t>无人机检验检测体系发展报告</w:t>
          </w:r>
          <w:r>
            <w:rPr>
              <w:color w:val="auto"/>
              <w:sz w:val="32"/>
              <w:szCs w:val="32"/>
            </w:rPr>
            <w:tab/>
          </w:r>
          <w:r>
            <w:rPr>
              <w:color w:val="auto"/>
              <w:sz w:val="32"/>
              <w:szCs w:val="32"/>
            </w:rPr>
            <w:fldChar w:fldCharType="begin"/>
          </w:r>
          <w:r>
            <w:rPr>
              <w:color w:val="auto"/>
              <w:sz w:val="32"/>
              <w:szCs w:val="32"/>
            </w:rPr>
            <w:instrText xml:space="preserve"> PAGEREF _Toc21417 \h </w:instrText>
          </w:r>
          <w:r>
            <w:rPr>
              <w:color w:val="auto"/>
              <w:sz w:val="32"/>
              <w:szCs w:val="32"/>
            </w:rPr>
            <w:fldChar w:fldCharType="separate"/>
          </w:r>
          <w:r>
            <w:rPr>
              <w:color w:val="auto"/>
              <w:sz w:val="32"/>
              <w:szCs w:val="32"/>
            </w:rPr>
            <w:t>88</w:t>
          </w:r>
          <w:r>
            <w:rPr>
              <w:color w:val="auto"/>
              <w:sz w:val="32"/>
              <w:szCs w:val="32"/>
            </w:rPr>
            <w:fldChar w:fldCharType="end"/>
          </w:r>
          <w:r>
            <w:rPr>
              <w:color w:val="auto"/>
              <w:sz w:val="32"/>
              <w:szCs w:val="32"/>
            </w:rPr>
            <w:fldChar w:fldCharType="end"/>
          </w:r>
        </w:p>
        <w:p>
          <w:pPr>
            <w:pStyle w:val="15"/>
            <w:tabs>
              <w:tab w:val="right" w:leader="dot" w:pos="8845"/>
            </w:tabs>
            <w:spacing w:line="560" w:lineRule="exact"/>
            <w:rPr>
              <w:color w:val="auto"/>
              <w:sz w:val="32"/>
              <w:szCs w:val="32"/>
            </w:rPr>
          </w:pPr>
          <w:r>
            <w:rPr>
              <w:color w:val="auto"/>
            </w:rPr>
            <w:fldChar w:fldCharType="begin"/>
          </w:r>
          <w:r>
            <w:rPr>
              <w:color w:val="auto"/>
            </w:rPr>
            <w:instrText xml:space="preserve"> HYPERLINK \l "_Toc13830" </w:instrText>
          </w:r>
          <w:r>
            <w:rPr>
              <w:color w:val="auto"/>
            </w:rPr>
            <w:fldChar w:fldCharType="separate"/>
          </w:r>
          <w:r>
            <w:rPr>
              <w:rFonts w:hint="eastAsia" w:ascii="Times New Roman" w:hAnsi="Times New Roman" w:eastAsia="黑体" w:cs="Times New Roman"/>
              <w:color w:val="auto"/>
              <w:sz w:val="32"/>
              <w:szCs w:val="32"/>
              <w:shd w:val="clear" w:color="auto" w:fill="FFFFFF"/>
            </w:rPr>
            <w:t>附件6：无人机适航体系发展报告</w:t>
          </w:r>
          <w:r>
            <w:rPr>
              <w:color w:val="auto"/>
              <w:sz w:val="32"/>
              <w:szCs w:val="32"/>
            </w:rPr>
            <w:tab/>
          </w:r>
          <w:r>
            <w:rPr>
              <w:color w:val="auto"/>
              <w:sz w:val="32"/>
              <w:szCs w:val="32"/>
            </w:rPr>
            <w:fldChar w:fldCharType="begin"/>
          </w:r>
          <w:r>
            <w:rPr>
              <w:color w:val="auto"/>
              <w:sz w:val="32"/>
              <w:szCs w:val="32"/>
            </w:rPr>
            <w:instrText xml:space="preserve"> PAGEREF _Toc13830 \h </w:instrText>
          </w:r>
          <w:r>
            <w:rPr>
              <w:color w:val="auto"/>
              <w:sz w:val="32"/>
              <w:szCs w:val="32"/>
            </w:rPr>
            <w:fldChar w:fldCharType="separate"/>
          </w:r>
          <w:r>
            <w:rPr>
              <w:color w:val="auto"/>
              <w:sz w:val="32"/>
              <w:szCs w:val="32"/>
            </w:rPr>
            <w:t>104</w:t>
          </w:r>
          <w:r>
            <w:rPr>
              <w:color w:val="auto"/>
              <w:sz w:val="32"/>
              <w:szCs w:val="32"/>
            </w:rPr>
            <w:fldChar w:fldCharType="end"/>
          </w:r>
          <w:r>
            <w:rPr>
              <w:color w:val="auto"/>
              <w:sz w:val="32"/>
              <w:szCs w:val="32"/>
            </w:rPr>
            <w:fldChar w:fldCharType="end"/>
          </w:r>
        </w:p>
        <w:p>
          <w:pPr>
            <w:pStyle w:val="15"/>
            <w:tabs>
              <w:tab w:val="right" w:leader="dot" w:pos="8845"/>
            </w:tabs>
            <w:spacing w:line="560" w:lineRule="exact"/>
            <w:rPr>
              <w:color w:val="auto"/>
              <w:sz w:val="32"/>
              <w:szCs w:val="32"/>
            </w:rPr>
          </w:pPr>
          <w:r>
            <w:rPr>
              <w:color w:val="auto"/>
            </w:rPr>
            <w:fldChar w:fldCharType="begin"/>
          </w:r>
          <w:r>
            <w:rPr>
              <w:color w:val="auto"/>
            </w:rPr>
            <w:instrText xml:space="preserve"> HYPERLINK \l "_Toc23685" </w:instrText>
          </w:r>
          <w:r>
            <w:rPr>
              <w:color w:val="auto"/>
            </w:rPr>
            <w:fldChar w:fldCharType="separate"/>
          </w:r>
          <w:r>
            <w:rPr>
              <w:rFonts w:hint="eastAsia" w:ascii="Times New Roman" w:hAnsi="Times New Roman" w:eastAsia="黑体" w:cs="Times New Roman"/>
              <w:color w:val="auto"/>
              <w:sz w:val="32"/>
              <w:szCs w:val="32"/>
              <w:shd w:val="clear" w:color="auto" w:fill="FFFFFF"/>
            </w:rPr>
            <w:t>附件7：低空经济产业图谱及招商图谱（拟）</w:t>
          </w:r>
          <w:r>
            <w:rPr>
              <w:color w:val="auto"/>
              <w:sz w:val="32"/>
              <w:szCs w:val="32"/>
            </w:rPr>
            <w:tab/>
          </w:r>
          <w:r>
            <w:rPr>
              <w:color w:val="auto"/>
              <w:sz w:val="32"/>
              <w:szCs w:val="32"/>
            </w:rPr>
            <w:fldChar w:fldCharType="begin"/>
          </w:r>
          <w:r>
            <w:rPr>
              <w:color w:val="auto"/>
              <w:sz w:val="32"/>
              <w:szCs w:val="32"/>
            </w:rPr>
            <w:instrText xml:space="preserve"> PAGEREF _Toc23685 \h </w:instrText>
          </w:r>
          <w:r>
            <w:rPr>
              <w:color w:val="auto"/>
              <w:sz w:val="32"/>
              <w:szCs w:val="32"/>
            </w:rPr>
            <w:fldChar w:fldCharType="separate"/>
          </w:r>
          <w:r>
            <w:rPr>
              <w:color w:val="auto"/>
              <w:sz w:val="32"/>
              <w:szCs w:val="32"/>
            </w:rPr>
            <w:t>118</w:t>
          </w:r>
          <w:r>
            <w:rPr>
              <w:color w:val="auto"/>
              <w:sz w:val="32"/>
              <w:szCs w:val="32"/>
            </w:rPr>
            <w:fldChar w:fldCharType="end"/>
          </w:r>
          <w:r>
            <w:rPr>
              <w:color w:val="auto"/>
              <w:sz w:val="32"/>
              <w:szCs w:val="32"/>
            </w:rPr>
            <w:fldChar w:fldCharType="end"/>
          </w:r>
        </w:p>
        <w:p>
          <w:pPr>
            <w:spacing w:line="600" w:lineRule="exact"/>
            <w:rPr>
              <w:rFonts w:ascii="Times New Roman" w:hAnsi="Times New Roman" w:eastAsia="仿宋_GB2312" w:cs="Times New Roman"/>
              <w:color w:val="auto"/>
              <w:sz w:val="32"/>
              <w:szCs w:val="32"/>
              <w:lang w:val="zh-TW" w:eastAsia="zh-TW"/>
            </w:rPr>
            <w:sectPr>
              <w:pgSz w:w="11906" w:h="16838"/>
              <w:pgMar w:top="2098" w:right="1474" w:bottom="1984" w:left="1587" w:header="851" w:footer="992" w:gutter="0"/>
              <w:pgNumType w:fmt="upperRoman"/>
              <w:cols w:space="425" w:num="1"/>
              <w:docGrid w:type="lines" w:linePitch="312" w:charSpace="0"/>
            </w:sectPr>
          </w:pPr>
          <w:r>
            <w:rPr>
              <w:rFonts w:ascii="Times New Roman" w:hAnsi="Times New Roman" w:eastAsia="仿宋_GB2312" w:cs="Times New Roman"/>
              <w:color w:val="auto"/>
              <w:sz w:val="32"/>
              <w:szCs w:val="32"/>
              <w:lang w:val="zh-TW" w:eastAsia="zh-TW"/>
            </w:rPr>
            <w:fldChar w:fldCharType="end"/>
          </w:r>
        </w:p>
      </w:sdtContent>
    </w:sdt>
    <w:p>
      <w:pPr>
        <w:widowControl/>
        <w:spacing w:line="560" w:lineRule="exact"/>
        <w:ind w:firstLine="640" w:firstLineChars="200"/>
        <w:outlineLvl w:val="0"/>
        <w:rPr>
          <w:rFonts w:ascii="Times New Roman" w:hAnsi="Times New Roman" w:eastAsia="黑体" w:cs="Times New Roman"/>
          <w:color w:val="auto"/>
          <w:sz w:val="32"/>
          <w:szCs w:val="32"/>
          <w:shd w:val="clear" w:color="auto" w:fill="FFFFFF"/>
        </w:rPr>
      </w:pPr>
      <w:bookmarkStart w:id="20" w:name="_Toc198194784"/>
      <w:bookmarkStart w:id="21" w:name="_Toc31486"/>
      <w:bookmarkStart w:id="22" w:name="_Toc207125750"/>
      <w:bookmarkStart w:id="23" w:name="_Toc220270439"/>
      <w:bookmarkStart w:id="24" w:name="_Toc30489"/>
      <w:r>
        <w:rPr>
          <w:rFonts w:hint="eastAsia" w:ascii="Times New Roman" w:hAnsi="Times New Roman" w:eastAsia="黑体" w:cs="Times New Roman"/>
          <w:color w:val="auto"/>
          <w:sz w:val="32"/>
          <w:szCs w:val="32"/>
          <w:shd w:val="clear" w:color="auto" w:fill="FFFFFF"/>
        </w:rPr>
        <w:t>一、</w:t>
      </w:r>
      <w:bookmarkEnd w:id="20"/>
      <w:bookmarkEnd w:id="21"/>
      <w:r>
        <w:rPr>
          <w:rFonts w:hint="eastAsia" w:ascii="Times New Roman" w:hAnsi="Times New Roman" w:eastAsia="黑体" w:cs="Times New Roman"/>
          <w:color w:val="auto"/>
          <w:sz w:val="32"/>
          <w:szCs w:val="32"/>
          <w:shd w:val="clear" w:color="auto" w:fill="FFFFFF"/>
        </w:rPr>
        <w:t>规划背景</w:t>
      </w:r>
      <w:bookmarkEnd w:id="22"/>
      <w:bookmarkEnd w:id="23"/>
      <w:bookmarkEnd w:id="24"/>
    </w:p>
    <w:p>
      <w:pPr>
        <w:snapToGrid w:val="0"/>
        <w:spacing w:line="560" w:lineRule="exact"/>
        <w:ind w:firstLine="664" w:firstLineChars="200"/>
        <w:outlineLvl w:val="1"/>
        <w:rPr>
          <w:rFonts w:ascii="Times New Roman" w:hAnsi="Times New Roman" w:eastAsia="楷体_GB2312" w:cs="Times New Roman"/>
          <w:color w:val="auto"/>
          <w:spacing w:val="6"/>
          <w:sz w:val="32"/>
          <w:szCs w:val="32"/>
        </w:rPr>
      </w:pPr>
      <w:bookmarkStart w:id="25" w:name="_Toc257595468_WPSOffice_Level2"/>
      <w:bookmarkStart w:id="26" w:name="_Toc26212"/>
      <w:bookmarkStart w:id="27" w:name="_Toc19414"/>
      <w:bookmarkStart w:id="28" w:name="_Toc207125751"/>
      <w:bookmarkStart w:id="29" w:name="_Toc220270440"/>
      <w:r>
        <w:rPr>
          <w:rFonts w:hint="eastAsia" w:ascii="Times New Roman" w:hAnsi="Times New Roman" w:eastAsia="楷体_GB2312" w:cs="Times New Roman"/>
          <w:color w:val="auto"/>
          <w:spacing w:val="6"/>
          <w:sz w:val="32"/>
          <w:szCs w:val="32"/>
        </w:rPr>
        <w:t>（一）发展</w:t>
      </w:r>
      <w:bookmarkEnd w:id="25"/>
      <w:bookmarkEnd w:id="26"/>
      <w:r>
        <w:rPr>
          <w:rFonts w:hint="eastAsia" w:ascii="Times New Roman" w:hAnsi="Times New Roman" w:eastAsia="楷体_GB2312" w:cs="Times New Roman"/>
          <w:color w:val="auto"/>
          <w:spacing w:val="6"/>
          <w:sz w:val="32"/>
          <w:szCs w:val="32"/>
        </w:rPr>
        <w:t>基础</w:t>
      </w:r>
      <w:bookmarkEnd w:id="27"/>
      <w:bookmarkEnd w:id="28"/>
      <w:bookmarkEnd w:id="29"/>
    </w:p>
    <w:p>
      <w:pPr>
        <w:spacing w:line="560" w:lineRule="exact"/>
        <w:ind w:firstLine="640" w:firstLineChars="200"/>
        <w:rPr>
          <w:rFonts w:ascii="Times New Roman" w:hAnsi="Times New Roman" w:eastAsia="仿宋_GB2312" w:cs="Times New Roman"/>
          <w:color w:val="auto"/>
          <w:sz w:val="32"/>
          <w:szCs w:val="32"/>
        </w:rPr>
      </w:pPr>
      <w:r>
        <w:rPr>
          <w:rFonts w:hint="eastAsia" w:ascii="Times New Roman" w:hAnsi="Times New Roman" w:eastAsia="仿宋_GB2312" w:cs="Times New Roman"/>
          <w:color w:val="auto"/>
          <w:sz w:val="32"/>
          <w:szCs w:val="32"/>
          <w:lang w:val="zh-TW" w:eastAsia="zh-TW"/>
        </w:rPr>
        <w:t>乐山是</w:t>
      </w:r>
      <w:r>
        <w:rPr>
          <w:rFonts w:hint="eastAsia" w:ascii="Times New Roman" w:hAnsi="Times New Roman" w:eastAsia="仿宋_GB2312" w:cs="Times New Roman"/>
          <w:color w:val="auto"/>
          <w:sz w:val="32"/>
          <w:szCs w:val="32"/>
          <w:lang w:val="zh-TW"/>
        </w:rPr>
        <w:t>全省区域中心城市、国家历史文化名城、国家文化和旅游消费试点城市、国家首批对外开放城市</w:t>
      </w:r>
      <w:r>
        <w:rPr>
          <w:rFonts w:hint="eastAsia" w:ascii="Times New Roman" w:hAnsi="Times New Roman" w:eastAsia="仿宋_GB2312" w:cs="Times New Roman"/>
          <w:color w:val="auto"/>
          <w:sz w:val="32"/>
          <w:szCs w:val="32"/>
          <w:lang w:val="zh-TW" w:eastAsia="zh-TW"/>
        </w:rPr>
        <w:t>，</w:t>
      </w:r>
      <w:bookmarkStart w:id="30" w:name="OLE_LINK13"/>
      <w:r>
        <w:rPr>
          <w:rFonts w:hint="eastAsia" w:ascii="Times New Roman" w:hAnsi="Times New Roman" w:eastAsia="仿宋_GB2312" w:cs="Times New Roman"/>
          <w:color w:val="auto"/>
          <w:sz w:val="32"/>
          <w:szCs w:val="32"/>
        </w:rPr>
        <w:t>拥有</w:t>
      </w:r>
      <w:r>
        <w:rPr>
          <w:rFonts w:hint="eastAsia" w:ascii="Times New Roman" w:hAnsi="Times New Roman" w:eastAsia="仿宋_GB2312" w:cs="Times New Roman"/>
          <w:color w:val="auto"/>
          <w:sz w:val="32"/>
          <w:szCs w:val="32"/>
          <w:lang w:val="zh-TW" w:eastAsia="zh-TW"/>
        </w:rPr>
        <w:t>国家级高</w:t>
      </w:r>
      <w:r>
        <w:rPr>
          <w:rFonts w:hint="eastAsia" w:ascii="Times New Roman" w:hAnsi="Times New Roman" w:eastAsia="仿宋_GB2312" w:cs="Times New Roman"/>
          <w:color w:val="auto"/>
          <w:sz w:val="32"/>
          <w:szCs w:val="32"/>
          <w:lang w:val="zh-TW"/>
        </w:rPr>
        <w:t>新</w:t>
      </w:r>
      <w:r>
        <w:rPr>
          <w:rFonts w:hint="eastAsia" w:ascii="Times New Roman" w:hAnsi="Times New Roman" w:eastAsia="仿宋_GB2312" w:cs="Times New Roman"/>
          <w:color w:val="auto"/>
          <w:sz w:val="32"/>
          <w:szCs w:val="32"/>
          <w:lang w:val="zh-TW" w:eastAsia="zh-TW"/>
        </w:rPr>
        <w:t>区1个、省级经济开发区6个</w:t>
      </w:r>
      <w:bookmarkEnd w:id="30"/>
      <w:r>
        <w:rPr>
          <w:rFonts w:hint="eastAsia" w:ascii="Times New Roman" w:hAnsi="Times New Roman" w:eastAsia="仿宋_GB2312" w:cs="Times New Roman"/>
          <w:color w:val="auto"/>
          <w:sz w:val="32"/>
          <w:szCs w:val="32"/>
          <w:lang w:val="zh-TW" w:eastAsia="zh-TW"/>
        </w:rPr>
        <w:t>，是全省</w:t>
      </w:r>
      <w:r>
        <w:rPr>
          <w:rFonts w:hint="eastAsia" w:ascii="Times New Roman" w:hAnsi="Times New Roman" w:eastAsia="仿宋_GB2312" w:cs="Times New Roman"/>
          <w:color w:val="auto"/>
          <w:sz w:val="32"/>
          <w:szCs w:val="32"/>
          <w:lang w:val="zh-TW"/>
        </w:rPr>
        <w:t>3条重点产业链主要承载地，国家科技型中小企业和高新技术企业超600户，</w:t>
      </w:r>
      <w:r>
        <w:rPr>
          <w:rFonts w:hint="eastAsia" w:ascii="Times New Roman" w:hAnsi="Times New Roman" w:eastAsia="仿宋_GB2312" w:cs="Times New Roman"/>
          <w:color w:val="auto"/>
          <w:sz w:val="32"/>
          <w:szCs w:val="32"/>
        </w:rPr>
        <w:t>为低空经济发展提供了良好基础和广阔空间。</w:t>
      </w:r>
    </w:p>
    <w:p>
      <w:pPr>
        <w:spacing w:line="560" w:lineRule="exact"/>
        <w:ind w:firstLine="642" w:firstLineChars="200"/>
        <w:rPr>
          <w:rFonts w:ascii="Times New Roman" w:hAnsi="Times New Roman" w:eastAsia="仿宋_GB2312" w:cs="Times New Roman"/>
          <w:color w:val="auto"/>
          <w:sz w:val="32"/>
          <w:szCs w:val="32"/>
          <w:lang w:val="zh-TW" w:eastAsia="zh-TW"/>
        </w:rPr>
      </w:pPr>
      <w:r>
        <w:rPr>
          <w:rFonts w:hint="eastAsia" w:ascii="Times New Roman" w:hAnsi="Times New Roman" w:eastAsia="仿宋_GB2312" w:cs="Times New Roman"/>
          <w:b/>
          <w:bCs/>
          <w:color w:val="auto"/>
          <w:sz w:val="32"/>
          <w:szCs w:val="32"/>
        </w:rPr>
        <w:t>地理区位</w:t>
      </w:r>
      <w:r>
        <w:rPr>
          <w:rFonts w:hint="eastAsia" w:ascii="Times New Roman" w:hAnsi="Times New Roman" w:eastAsia="仿宋_GB2312" w:cs="Times New Roman"/>
          <w:b/>
          <w:bCs/>
          <w:color w:val="auto"/>
          <w:sz w:val="32"/>
          <w:szCs w:val="32"/>
          <w:lang w:val="zh-TW" w:eastAsia="zh-TW"/>
        </w:rPr>
        <w:t>优势</w:t>
      </w:r>
      <w:r>
        <w:rPr>
          <w:rFonts w:hint="eastAsia" w:ascii="Times New Roman" w:hAnsi="Times New Roman" w:eastAsia="仿宋_GB2312" w:cs="Times New Roman"/>
          <w:b/>
          <w:bCs/>
          <w:color w:val="auto"/>
          <w:sz w:val="32"/>
          <w:szCs w:val="32"/>
        </w:rPr>
        <w:t>显著</w:t>
      </w:r>
      <w:r>
        <w:rPr>
          <w:rFonts w:hint="eastAsia" w:ascii="Times New Roman" w:hAnsi="Times New Roman" w:eastAsia="仿宋_GB2312" w:cs="Times New Roman"/>
          <w:b/>
          <w:bCs/>
          <w:color w:val="auto"/>
          <w:sz w:val="32"/>
          <w:szCs w:val="32"/>
          <w:lang w:val="zh-TW" w:eastAsia="zh-TW"/>
        </w:rPr>
        <w:t>。</w:t>
      </w:r>
      <w:r>
        <w:rPr>
          <w:rFonts w:hint="eastAsia" w:ascii="Times New Roman" w:hAnsi="Times New Roman" w:eastAsia="仿宋_GB2312" w:cs="Times New Roman"/>
          <w:color w:val="auto"/>
          <w:sz w:val="32"/>
          <w:szCs w:val="32"/>
          <w:lang w:val="zh-TW" w:eastAsia="zh-TW"/>
        </w:rPr>
        <w:t>乐山地处四川盆地西南缘，坐拥岷江、青衣江、大渡河三江汇流之利，位于我国南丝绸之路与长江经济带的交汇节点，是成渝城市群规划建设的成都平原中心城市之一</w:t>
      </w:r>
      <w:r>
        <w:rPr>
          <w:rFonts w:hint="eastAsia" w:ascii="Times New Roman" w:hAnsi="Times New Roman" w:eastAsia="仿宋_GB2312" w:cs="Times New Roman"/>
          <w:color w:val="auto"/>
          <w:sz w:val="32"/>
          <w:szCs w:val="32"/>
          <w:lang w:val="zh-TW"/>
        </w:rPr>
        <w:t>，</w:t>
      </w:r>
      <w:r>
        <w:rPr>
          <w:rFonts w:hint="eastAsia" w:ascii="Times New Roman" w:hAnsi="Times New Roman" w:eastAsia="仿宋_GB2312" w:cs="Times New Roman"/>
          <w:color w:val="auto"/>
          <w:sz w:val="32"/>
          <w:szCs w:val="32"/>
          <w:lang w:val="zh-TW" w:eastAsia="zh-TW"/>
        </w:rPr>
        <w:t>兼具连接川西南、辐射滇黔的</w:t>
      </w:r>
      <w:r>
        <w:rPr>
          <w:rFonts w:hint="eastAsia" w:ascii="Times New Roman" w:hAnsi="Times New Roman" w:eastAsia="仿宋_GB2312" w:cs="Times New Roman"/>
          <w:color w:val="auto"/>
          <w:sz w:val="32"/>
          <w:szCs w:val="32"/>
        </w:rPr>
        <w:t>区位</w:t>
      </w:r>
      <w:r>
        <w:rPr>
          <w:rFonts w:hint="eastAsia" w:ascii="Times New Roman" w:hAnsi="Times New Roman" w:eastAsia="仿宋_GB2312" w:cs="Times New Roman"/>
          <w:color w:val="auto"/>
          <w:sz w:val="32"/>
          <w:szCs w:val="32"/>
          <w:lang w:val="zh-TW" w:eastAsia="zh-TW"/>
        </w:rPr>
        <w:t>功能</w:t>
      </w:r>
      <w:r>
        <w:rPr>
          <w:rFonts w:hint="eastAsia" w:ascii="Times New Roman" w:hAnsi="Times New Roman" w:eastAsia="仿宋_GB2312" w:cs="Times New Roman"/>
          <w:color w:val="auto"/>
          <w:sz w:val="32"/>
          <w:szCs w:val="32"/>
          <w:lang w:val="zh-TW"/>
        </w:rPr>
        <w:t>。</w:t>
      </w:r>
      <w:r>
        <w:rPr>
          <w:rFonts w:hint="eastAsia" w:ascii="Times New Roman" w:hAnsi="Times New Roman" w:eastAsia="仿宋_GB2312" w:cs="Times New Roman"/>
          <w:color w:val="auto"/>
          <w:sz w:val="32"/>
          <w:szCs w:val="32"/>
          <w:lang w:val="zh-TW" w:eastAsia="zh-TW"/>
        </w:rPr>
        <w:t>立足省内，乐山是联动成都平原经济区与川南经济区发展的关键纽带，可深度融入全省低空经济发展布局，与成都、</w:t>
      </w:r>
      <w:r>
        <w:rPr>
          <w:rFonts w:hint="eastAsia" w:ascii="Times New Roman" w:hAnsi="Times New Roman" w:eastAsia="仿宋_GB2312" w:cs="Times New Roman"/>
          <w:color w:val="auto"/>
          <w:sz w:val="32"/>
          <w:szCs w:val="32"/>
        </w:rPr>
        <w:t>绵阳、</w:t>
      </w:r>
      <w:r>
        <w:rPr>
          <w:rFonts w:hint="eastAsia" w:ascii="Times New Roman" w:hAnsi="Times New Roman" w:eastAsia="仿宋_GB2312" w:cs="Times New Roman"/>
          <w:color w:val="auto"/>
          <w:sz w:val="32"/>
          <w:szCs w:val="32"/>
          <w:lang w:val="zh-TW" w:eastAsia="zh-TW"/>
        </w:rPr>
        <w:t>自贡等低空经济重点城市协同，</w:t>
      </w:r>
      <w:r>
        <w:rPr>
          <w:rFonts w:hint="eastAsia" w:ascii="Times New Roman" w:hAnsi="Times New Roman" w:eastAsia="仿宋_GB2312" w:cs="Times New Roman"/>
          <w:color w:val="auto"/>
          <w:sz w:val="32"/>
          <w:szCs w:val="32"/>
        </w:rPr>
        <w:t>参与成渝低空经济带建设，</w:t>
      </w:r>
      <w:r>
        <w:rPr>
          <w:rFonts w:hint="eastAsia" w:ascii="Times New Roman" w:hAnsi="Times New Roman" w:eastAsia="仿宋_GB2312" w:cs="Times New Roman"/>
          <w:color w:val="auto"/>
          <w:sz w:val="32"/>
          <w:szCs w:val="32"/>
          <w:lang w:val="zh-TW" w:eastAsia="zh-TW"/>
        </w:rPr>
        <w:t>推动</w:t>
      </w:r>
      <w:r>
        <w:rPr>
          <w:rFonts w:hint="eastAsia" w:ascii="Times New Roman" w:hAnsi="Times New Roman" w:eastAsia="仿宋_GB2312" w:cs="Times New Roman"/>
          <w:color w:val="auto"/>
          <w:sz w:val="32"/>
          <w:szCs w:val="32"/>
        </w:rPr>
        <w:t>低空</w:t>
      </w:r>
      <w:r>
        <w:rPr>
          <w:rFonts w:hint="eastAsia" w:ascii="Times New Roman" w:hAnsi="Times New Roman" w:eastAsia="仿宋_GB2312" w:cs="Times New Roman"/>
          <w:color w:val="auto"/>
          <w:sz w:val="32"/>
          <w:szCs w:val="32"/>
          <w:lang w:val="zh-TW" w:eastAsia="zh-TW"/>
        </w:rPr>
        <w:t>产业链供应链互联互促。面向西南地区，乐山是四川通往云南及华南地区的重要</w:t>
      </w:r>
      <w:r>
        <w:rPr>
          <w:rFonts w:hint="eastAsia" w:ascii="Times New Roman" w:hAnsi="Times New Roman" w:eastAsia="仿宋_GB2312" w:cs="Times New Roman"/>
          <w:color w:val="auto"/>
          <w:sz w:val="32"/>
          <w:szCs w:val="32"/>
        </w:rPr>
        <w:t>门户</w:t>
      </w:r>
      <w:r>
        <w:rPr>
          <w:rFonts w:hint="eastAsia" w:ascii="Times New Roman" w:hAnsi="Times New Roman" w:eastAsia="仿宋_GB2312" w:cs="Times New Roman"/>
          <w:color w:val="auto"/>
          <w:sz w:val="32"/>
          <w:szCs w:val="32"/>
          <w:lang w:val="zh-TW" w:eastAsia="zh-TW"/>
        </w:rPr>
        <w:t>，</w:t>
      </w:r>
      <w:r>
        <w:rPr>
          <w:rFonts w:hint="eastAsia" w:ascii="Times New Roman" w:hAnsi="Times New Roman" w:eastAsia="仿宋_GB2312" w:cs="Times New Roman"/>
          <w:color w:val="auto"/>
          <w:sz w:val="32"/>
          <w:szCs w:val="32"/>
        </w:rPr>
        <w:t>随着乐山机场通航，可在更大范围内</w:t>
      </w:r>
      <w:r>
        <w:rPr>
          <w:rFonts w:hint="eastAsia" w:ascii="Times New Roman" w:hAnsi="Times New Roman" w:eastAsia="仿宋_GB2312" w:cs="Times New Roman"/>
          <w:color w:val="auto"/>
          <w:sz w:val="32"/>
          <w:szCs w:val="32"/>
          <w:lang w:val="zh-TW" w:eastAsia="zh-TW"/>
        </w:rPr>
        <w:t>联动低空经济要素资源，参与构建西南低空</w:t>
      </w:r>
      <w:r>
        <w:rPr>
          <w:rFonts w:hint="eastAsia" w:ascii="Times New Roman" w:hAnsi="Times New Roman" w:eastAsia="仿宋_GB2312" w:cs="Times New Roman"/>
          <w:color w:val="auto"/>
          <w:sz w:val="32"/>
          <w:szCs w:val="32"/>
        </w:rPr>
        <w:t>经济</w:t>
      </w:r>
      <w:r>
        <w:rPr>
          <w:rFonts w:hint="eastAsia" w:ascii="Times New Roman" w:hAnsi="Times New Roman" w:eastAsia="仿宋_GB2312" w:cs="Times New Roman"/>
          <w:color w:val="auto"/>
          <w:sz w:val="32"/>
          <w:szCs w:val="32"/>
          <w:lang w:val="zh-TW" w:eastAsia="zh-TW"/>
        </w:rPr>
        <w:t>协作网络，为跨区域物流配送、应急救援等场景提供通道支撑。</w:t>
      </w:r>
    </w:p>
    <w:p>
      <w:pPr>
        <w:spacing w:line="560" w:lineRule="exact"/>
        <w:ind w:firstLine="642" w:firstLineChars="200"/>
        <w:rPr>
          <w:rFonts w:ascii="Times New Roman" w:hAnsi="Times New Roman" w:eastAsia="仿宋_GB2312" w:cs="Times New Roman"/>
          <w:color w:val="auto"/>
          <w:sz w:val="32"/>
          <w:szCs w:val="32"/>
          <w:highlight w:val="none"/>
          <w:lang w:val="zh-TW"/>
        </w:rPr>
      </w:pPr>
      <w:r>
        <w:rPr>
          <w:rFonts w:hint="eastAsia" w:ascii="Times New Roman" w:hAnsi="Times New Roman" w:eastAsia="仿宋_GB2312" w:cs="Times New Roman"/>
          <w:b/>
          <w:bCs/>
          <w:color w:val="auto"/>
          <w:sz w:val="32"/>
          <w:szCs w:val="32"/>
          <w:lang w:val="zh-TW" w:eastAsia="zh-TW"/>
        </w:rPr>
        <w:t>经济发展动能</w:t>
      </w:r>
      <w:r>
        <w:rPr>
          <w:rFonts w:hint="eastAsia" w:ascii="Times New Roman" w:hAnsi="Times New Roman" w:eastAsia="仿宋_GB2312" w:cs="Times New Roman"/>
          <w:b/>
          <w:bCs/>
          <w:color w:val="auto"/>
          <w:sz w:val="32"/>
          <w:szCs w:val="32"/>
        </w:rPr>
        <w:t>强劲</w:t>
      </w:r>
      <w:r>
        <w:rPr>
          <w:rFonts w:hint="eastAsia" w:ascii="Times New Roman" w:hAnsi="Times New Roman" w:eastAsia="仿宋_GB2312" w:cs="Times New Roman"/>
          <w:b/>
          <w:bCs/>
          <w:color w:val="auto"/>
          <w:sz w:val="32"/>
          <w:szCs w:val="32"/>
          <w:lang w:val="zh-TW" w:eastAsia="zh-TW"/>
        </w:rPr>
        <w:t>。</w:t>
      </w:r>
      <w:r>
        <w:rPr>
          <w:rFonts w:hint="eastAsia" w:ascii="Times New Roman" w:hAnsi="Times New Roman" w:eastAsia="仿宋_GB2312" w:cs="Times New Roman"/>
          <w:color w:val="auto"/>
          <w:sz w:val="32"/>
          <w:szCs w:val="32"/>
        </w:rPr>
        <w:t>乐山</w:t>
      </w:r>
      <w:r>
        <w:rPr>
          <w:rFonts w:hint="eastAsia" w:ascii="Times New Roman" w:hAnsi="Times New Roman" w:eastAsia="仿宋_GB2312" w:cs="Times New Roman"/>
          <w:color w:val="auto"/>
          <w:sz w:val="32"/>
          <w:szCs w:val="32"/>
          <w:lang w:val="zh-TW"/>
        </w:rPr>
        <w:t>紧扣</w:t>
      </w:r>
      <w:r>
        <w:rPr>
          <w:rFonts w:hint="eastAsia" w:ascii="Times New Roman" w:hAnsi="Times New Roman" w:eastAsia="仿宋_GB2312" w:cs="Times New Roman"/>
          <w:color w:val="auto"/>
          <w:sz w:val="32"/>
          <w:szCs w:val="32"/>
          <w:lang w:val="zh-TW" w:eastAsia="zh-TW"/>
        </w:rPr>
        <w:t>省委省政府赋予的</w:t>
      </w:r>
      <w:r>
        <w:rPr>
          <w:rFonts w:hint="eastAsia" w:ascii="仿宋_GB2312" w:hAnsi="仿宋_GB2312" w:eastAsia="仿宋_GB2312" w:cs="仿宋_GB2312"/>
          <w:color w:val="auto"/>
          <w:sz w:val="32"/>
          <w:szCs w:val="32"/>
          <w:lang w:val="zh-TW" w:eastAsia="zh-TW"/>
        </w:rPr>
        <w:t>“三大使命任务”，全面融入成渝地区双城经济圈建设和成都平原经济区一体化发展</w:t>
      </w:r>
      <w:r>
        <w:rPr>
          <w:rFonts w:hint="eastAsia" w:ascii="仿宋_GB2312" w:hAnsi="仿宋_GB2312" w:eastAsia="仿宋_GB2312" w:cs="仿宋_GB2312"/>
          <w:color w:val="auto"/>
          <w:sz w:val="32"/>
          <w:szCs w:val="32"/>
          <w:lang w:val="zh-TW"/>
        </w:rPr>
        <w:t>，</w:t>
      </w:r>
      <w:r>
        <w:rPr>
          <w:rFonts w:hint="eastAsia" w:ascii="仿宋_GB2312" w:hAnsi="仿宋_GB2312" w:eastAsia="仿宋_GB2312" w:cs="仿宋_GB2312"/>
          <w:color w:val="auto"/>
          <w:sz w:val="32"/>
          <w:szCs w:val="32"/>
          <w:highlight w:val="none"/>
          <w:lang w:val="zh-TW"/>
        </w:rPr>
        <w:t>十四五”以来，工业增加值总量保持全省前六位，规上工业增加值年均增速超过4.1%；2025年规上工业企业利润达102.6亿元，位居全省第9位；2025年工业用电量达210.6亿千瓦时，位居全省第2位；乐山高新区营业收入利润率跻身2024年全国高新区榜单第一。</w:t>
      </w:r>
      <w:r>
        <w:rPr>
          <w:rFonts w:hint="eastAsia" w:ascii="Times New Roman" w:hAnsi="Times New Roman" w:eastAsia="仿宋_GB2312" w:cs="Times New Roman"/>
          <w:color w:val="auto"/>
          <w:sz w:val="32"/>
          <w:szCs w:val="32"/>
          <w:highlight w:val="none"/>
          <w:lang w:val="zh-TW"/>
        </w:rPr>
        <w:t>同时，乐山全力打造享誉全球的世界重要旅游目的地，202</w:t>
      </w:r>
      <w:r>
        <w:rPr>
          <w:rFonts w:hint="eastAsia" w:ascii="Times New Roman" w:hAnsi="Times New Roman" w:eastAsia="仿宋_GB2312" w:cs="Times New Roman"/>
          <w:color w:val="auto"/>
          <w:sz w:val="32"/>
          <w:szCs w:val="32"/>
          <w:highlight w:val="none"/>
          <w:lang w:val="en-US" w:eastAsia="zh-CN"/>
        </w:rPr>
        <w:t>5</w:t>
      </w:r>
      <w:r>
        <w:rPr>
          <w:rFonts w:hint="eastAsia" w:ascii="Times New Roman" w:hAnsi="Times New Roman" w:eastAsia="仿宋_GB2312" w:cs="Times New Roman"/>
          <w:color w:val="auto"/>
          <w:sz w:val="32"/>
          <w:szCs w:val="32"/>
          <w:highlight w:val="none"/>
          <w:lang w:val="zh-TW"/>
        </w:rPr>
        <w:t>年全市接待游客突破1</w:t>
      </w:r>
      <w:r>
        <w:rPr>
          <w:rFonts w:hint="eastAsia" w:ascii="Times New Roman" w:hAnsi="Times New Roman" w:eastAsia="仿宋_GB2312" w:cs="Times New Roman"/>
          <w:color w:val="auto"/>
          <w:sz w:val="32"/>
          <w:szCs w:val="32"/>
          <w:highlight w:val="none"/>
          <w:lang w:val="en-US" w:eastAsia="zh-CN"/>
        </w:rPr>
        <w:t>.2</w:t>
      </w:r>
      <w:r>
        <w:rPr>
          <w:rFonts w:hint="eastAsia" w:ascii="Times New Roman" w:hAnsi="Times New Roman" w:eastAsia="仿宋_GB2312" w:cs="Times New Roman"/>
          <w:color w:val="auto"/>
          <w:sz w:val="32"/>
          <w:szCs w:val="32"/>
          <w:highlight w:val="none"/>
          <w:lang w:val="zh-TW"/>
        </w:rPr>
        <w:t>亿人次、旅游综合收入超过</w:t>
      </w:r>
      <w:r>
        <w:rPr>
          <w:rFonts w:hint="eastAsia" w:ascii="Times New Roman" w:hAnsi="Times New Roman" w:eastAsia="仿宋_GB2312" w:cs="Times New Roman"/>
          <w:color w:val="auto"/>
          <w:sz w:val="32"/>
          <w:szCs w:val="32"/>
          <w:highlight w:val="none"/>
          <w:lang w:val="en-US" w:eastAsia="zh-CN"/>
        </w:rPr>
        <w:t>1600</w:t>
      </w:r>
      <w:r>
        <w:rPr>
          <w:rFonts w:hint="eastAsia" w:ascii="Times New Roman" w:hAnsi="Times New Roman" w:eastAsia="仿宋_GB2312" w:cs="Times New Roman"/>
          <w:color w:val="auto"/>
          <w:sz w:val="32"/>
          <w:szCs w:val="32"/>
          <w:highlight w:val="none"/>
          <w:lang w:val="zh-TW"/>
        </w:rPr>
        <w:t>亿元，市场活力持续释放。经济的稳健增长</w:t>
      </w:r>
      <w:r>
        <w:rPr>
          <w:rFonts w:hint="eastAsia" w:ascii="Times New Roman" w:hAnsi="Times New Roman" w:eastAsia="仿宋_GB2312" w:cs="Times New Roman"/>
          <w:color w:val="auto"/>
          <w:sz w:val="32"/>
          <w:szCs w:val="32"/>
          <w:highlight w:val="none"/>
        </w:rPr>
        <w:t>和</w:t>
      </w:r>
      <w:r>
        <w:rPr>
          <w:rFonts w:hint="eastAsia" w:ascii="Times New Roman" w:hAnsi="Times New Roman" w:eastAsia="仿宋_GB2312" w:cs="Times New Roman"/>
          <w:color w:val="auto"/>
          <w:sz w:val="32"/>
          <w:szCs w:val="32"/>
          <w:highlight w:val="none"/>
          <w:lang w:val="zh-TW"/>
        </w:rPr>
        <w:t>高度活跃，既催生了低空</w:t>
      </w:r>
      <w:r>
        <w:rPr>
          <w:rFonts w:hint="eastAsia" w:ascii="Times New Roman" w:hAnsi="Times New Roman" w:eastAsia="仿宋_GB2312" w:cs="Times New Roman"/>
          <w:color w:val="auto"/>
          <w:sz w:val="32"/>
          <w:szCs w:val="32"/>
          <w:highlight w:val="none"/>
        </w:rPr>
        <w:t>文旅</w:t>
      </w:r>
      <w:r>
        <w:rPr>
          <w:rFonts w:hint="eastAsia" w:ascii="Times New Roman" w:hAnsi="Times New Roman" w:eastAsia="仿宋_GB2312" w:cs="Times New Roman"/>
          <w:color w:val="auto"/>
          <w:sz w:val="32"/>
          <w:szCs w:val="32"/>
          <w:highlight w:val="none"/>
          <w:lang w:val="zh-TW"/>
        </w:rPr>
        <w:t>、生产作业等新兴业态的广泛需求，又为低空经济发展</w:t>
      </w:r>
      <w:r>
        <w:rPr>
          <w:rFonts w:hint="eastAsia" w:ascii="Times New Roman" w:hAnsi="Times New Roman" w:eastAsia="仿宋_GB2312" w:cs="Times New Roman"/>
          <w:color w:val="auto"/>
          <w:sz w:val="32"/>
          <w:szCs w:val="32"/>
          <w:highlight w:val="none"/>
        </w:rPr>
        <w:t>奠定了资金等</w:t>
      </w:r>
      <w:r>
        <w:rPr>
          <w:rFonts w:hint="eastAsia" w:ascii="Times New Roman" w:hAnsi="Times New Roman" w:eastAsia="仿宋_GB2312" w:cs="Times New Roman"/>
          <w:color w:val="auto"/>
          <w:sz w:val="32"/>
          <w:szCs w:val="32"/>
          <w:highlight w:val="none"/>
          <w:lang w:val="zh-TW"/>
        </w:rPr>
        <w:t>要素保障基础。</w:t>
      </w:r>
    </w:p>
    <w:p>
      <w:pPr>
        <w:spacing w:line="560" w:lineRule="exact"/>
        <w:ind w:firstLine="642" w:firstLineChars="200"/>
        <w:rPr>
          <w:rFonts w:ascii="Times New Roman" w:hAnsi="Times New Roman" w:eastAsia="仿宋_GB2312" w:cs="Times New Roman"/>
          <w:color w:val="auto"/>
          <w:sz w:val="32"/>
          <w:szCs w:val="32"/>
        </w:rPr>
      </w:pPr>
      <w:r>
        <w:rPr>
          <w:rFonts w:hint="eastAsia" w:ascii="Times New Roman" w:hAnsi="Times New Roman" w:eastAsia="仿宋_GB2312" w:cs="Times New Roman"/>
          <w:b/>
          <w:bCs/>
          <w:color w:val="auto"/>
          <w:sz w:val="32"/>
          <w:szCs w:val="32"/>
          <w:highlight w:val="none"/>
          <w:lang w:val="zh-TW"/>
        </w:rPr>
        <w:t>产业体系特色鲜明。</w:t>
      </w:r>
      <w:r>
        <w:rPr>
          <w:rFonts w:hint="eastAsia" w:ascii="Times New Roman" w:hAnsi="Times New Roman" w:eastAsia="仿宋_GB2312" w:cs="Times New Roman"/>
          <w:color w:val="auto"/>
          <w:sz w:val="32"/>
          <w:szCs w:val="32"/>
          <w:highlight w:val="none"/>
          <w:lang w:val="zh-TW"/>
        </w:rPr>
        <w:t>乐山围绕</w:t>
      </w:r>
      <w:r>
        <w:rPr>
          <w:rFonts w:hint="eastAsia" w:ascii="仿宋_GB2312" w:hAnsi="仿宋_GB2312" w:eastAsia="仿宋_GB2312" w:cs="仿宋_GB2312"/>
          <w:color w:val="auto"/>
          <w:sz w:val="32"/>
          <w:szCs w:val="32"/>
          <w:highlight w:val="none"/>
          <w:lang w:val="zh-TW"/>
        </w:rPr>
        <w:t>“工业强市、文旅兴市”</w:t>
      </w:r>
      <w:r>
        <w:rPr>
          <w:rFonts w:hint="eastAsia" w:ascii="Times New Roman" w:hAnsi="Times New Roman" w:eastAsia="仿宋_GB2312" w:cs="Times New Roman"/>
          <w:color w:val="auto"/>
          <w:sz w:val="32"/>
          <w:szCs w:val="32"/>
          <w:highlight w:val="none"/>
          <w:lang w:val="zh-TW"/>
        </w:rPr>
        <w:t>发展战略，着力构建“241”现代工业产业体系，已成为</w:t>
      </w:r>
      <w:r>
        <w:rPr>
          <w:rFonts w:hint="eastAsia" w:ascii="Times New Roman" w:hAnsi="Times New Roman" w:eastAsia="仿宋_GB2312" w:cs="Times New Roman"/>
          <w:color w:val="auto"/>
          <w:sz w:val="32"/>
          <w:szCs w:val="32"/>
          <w:highlight w:val="none"/>
        </w:rPr>
        <w:t>四川</w:t>
      </w:r>
      <w:r>
        <w:rPr>
          <w:rFonts w:hint="eastAsia" w:ascii="Times New Roman" w:hAnsi="Times New Roman" w:eastAsia="仿宋_GB2312" w:cs="Times New Roman"/>
          <w:color w:val="auto"/>
          <w:sz w:val="32"/>
          <w:szCs w:val="32"/>
          <w:highlight w:val="none"/>
          <w:lang w:val="zh-TW"/>
        </w:rPr>
        <w:t>省新能源、农产品精深加工、文化旅游3条重点产业链</w:t>
      </w:r>
      <w:r>
        <w:rPr>
          <w:rFonts w:hint="eastAsia" w:ascii="Times New Roman" w:hAnsi="Times New Roman" w:eastAsia="仿宋_GB2312" w:cs="Times New Roman"/>
          <w:color w:val="auto"/>
          <w:sz w:val="32"/>
          <w:szCs w:val="32"/>
          <w:highlight w:val="none"/>
        </w:rPr>
        <w:t>的</w:t>
      </w:r>
      <w:r>
        <w:rPr>
          <w:rFonts w:hint="eastAsia" w:ascii="Times New Roman" w:hAnsi="Times New Roman" w:eastAsia="仿宋_GB2312" w:cs="Times New Roman"/>
          <w:color w:val="auto"/>
          <w:sz w:val="32"/>
          <w:szCs w:val="32"/>
          <w:highlight w:val="none"/>
          <w:lang w:val="zh-TW"/>
        </w:rPr>
        <w:t>主要承载地，</w:t>
      </w:r>
      <w:r>
        <w:rPr>
          <w:rFonts w:hint="eastAsia" w:ascii="Times New Roman" w:hAnsi="Times New Roman" w:eastAsia="仿宋_GB2312" w:cs="Times New Roman"/>
          <w:color w:val="auto"/>
          <w:sz w:val="32"/>
          <w:szCs w:val="32"/>
          <w:highlight w:val="none"/>
        </w:rPr>
        <w:t>以及</w:t>
      </w:r>
      <w:r>
        <w:rPr>
          <w:rFonts w:hint="eastAsia" w:ascii="Times New Roman" w:hAnsi="Times New Roman" w:eastAsia="仿宋_GB2312" w:cs="Times New Roman"/>
          <w:color w:val="auto"/>
          <w:sz w:val="32"/>
          <w:szCs w:val="32"/>
          <w:highlight w:val="none"/>
          <w:lang w:val="zh-TW"/>
        </w:rPr>
        <w:t>人工智能、航空航天、绿色建材</w:t>
      </w:r>
      <w:r>
        <w:rPr>
          <w:rFonts w:hint="eastAsia" w:ascii="Times New Roman" w:hAnsi="Times New Roman" w:eastAsia="仿宋_GB2312" w:cs="Times New Roman"/>
          <w:color w:val="auto"/>
          <w:sz w:val="32"/>
          <w:szCs w:val="32"/>
          <w:highlight w:val="none"/>
          <w:lang w:val="zh-TW" w:eastAsia="zh-CN"/>
        </w:rPr>
        <w:t>、先进材料</w:t>
      </w:r>
      <w:r>
        <w:rPr>
          <w:rFonts w:hint="eastAsia" w:ascii="Times New Roman" w:hAnsi="Times New Roman" w:eastAsia="仿宋_GB2312" w:cs="Times New Roman"/>
          <w:color w:val="auto"/>
          <w:sz w:val="32"/>
          <w:szCs w:val="32"/>
          <w:highlight w:val="none"/>
          <w:lang w:val="zh-TW"/>
        </w:rPr>
        <w:t>等</w:t>
      </w:r>
      <w:r>
        <w:rPr>
          <w:rFonts w:hint="eastAsia" w:ascii="Times New Roman" w:hAnsi="Times New Roman" w:eastAsia="仿宋_GB2312" w:cs="Times New Roman"/>
          <w:color w:val="auto"/>
          <w:sz w:val="32"/>
          <w:szCs w:val="32"/>
          <w:highlight w:val="none"/>
          <w:lang w:val="en-US" w:eastAsia="zh-CN"/>
        </w:rPr>
        <w:t>8</w:t>
      </w:r>
      <w:r>
        <w:rPr>
          <w:rFonts w:hint="eastAsia" w:ascii="Times New Roman" w:hAnsi="Times New Roman" w:eastAsia="仿宋_GB2312" w:cs="Times New Roman"/>
          <w:color w:val="auto"/>
          <w:sz w:val="32"/>
          <w:szCs w:val="32"/>
          <w:highlight w:val="none"/>
          <w:lang w:val="zh-TW"/>
        </w:rPr>
        <w:t>条重点产业链的协同发展地。</w:t>
      </w:r>
      <w:r>
        <w:rPr>
          <w:rFonts w:hint="eastAsia" w:ascii="Times New Roman" w:hAnsi="Times New Roman" w:eastAsia="仿宋_GB2312" w:cs="Times New Roman"/>
          <w:color w:val="auto"/>
          <w:sz w:val="32"/>
          <w:szCs w:val="32"/>
          <w:highlight w:val="none"/>
        </w:rPr>
        <w:t>截至2025年底，乐山拥有34个工业门类，占全国41个工业门类的83%；主板上市企业6家、新三板挂牌企业5家、专精特新企业105家、省级瞪羚企业2家。乐</w:t>
      </w:r>
      <w:r>
        <w:rPr>
          <w:rFonts w:hint="eastAsia" w:ascii="Times New Roman" w:hAnsi="Times New Roman" w:eastAsia="仿宋_GB2312" w:cs="Times New Roman"/>
          <w:color w:val="auto"/>
          <w:sz w:val="32"/>
          <w:szCs w:val="32"/>
        </w:rPr>
        <w:t>山</w:t>
      </w:r>
      <w:r>
        <w:rPr>
          <w:rFonts w:hint="eastAsia" w:ascii="Times New Roman" w:hAnsi="Times New Roman" w:eastAsia="仿宋_GB2312" w:cs="Times New Roman"/>
          <w:color w:val="auto"/>
          <w:sz w:val="32"/>
          <w:szCs w:val="32"/>
          <w:lang w:val="zh-TW"/>
        </w:rPr>
        <w:t>在</w:t>
      </w:r>
      <w:r>
        <w:rPr>
          <w:rFonts w:hint="eastAsia" w:ascii="Times New Roman" w:hAnsi="Times New Roman" w:eastAsia="仿宋_GB2312" w:cs="Times New Roman"/>
          <w:color w:val="auto"/>
          <w:sz w:val="32"/>
          <w:szCs w:val="32"/>
        </w:rPr>
        <w:t>碳纤维复合材料</w:t>
      </w:r>
      <w:r>
        <w:rPr>
          <w:rFonts w:hint="eastAsia" w:ascii="Times New Roman" w:hAnsi="Times New Roman" w:eastAsia="仿宋_GB2312" w:cs="Times New Roman"/>
          <w:color w:val="auto"/>
          <w:sz w:val="32"/>
          <w:szCs w:val="32"/>
          <w:lang w:val="zh-TW"/>
        </w:rPr>
        <w:t>研发、智能制造等领域积累了扎实的</w:t>
      </w:r>
      <w:r>
        <w:rPr>
          <w:rFonts w:hint="eastAsia" w:ascii="Times New Roman" w:hAnsi="Times New Roman" w:eastAsia="仿宋_GB2312" w:cs="Times New Roman"/>
          <w:color w:val="auto"/>
          <w:sz w:val="32"/>
          <w:szCs w:val="32"/>
        </w:rPr>
        <w:t>产业基础</w:t>
      </w:r>
      <w:r>
        <w:rPr>
          <w:rFonts w:hint="eastAsia" w:ascii="Times New Roman" w:hAnsi="Times New Roman" w:eastAsia="仿宋_GB2312" w:cs="Times New Roman"/>
          <w:color w:val="auto"/>
          <w:sz w:val="32"/>
          <w:szCs w:val="32"/>
          <w:lang w:val="zh-TW"/>
        </w:rPr>
        <w:t>，可为</w:t>
      </w:r>
      <w:r>
        <w:rPr>
          <w:rFonts w:hint="eastAsia" w:ascii="Times New Roman" w:hAnsi="Times New Roman" w:eastAsia="仿宋_GB2312" w:cs="Times New Roman"/>
          <w:color w:val="auto"/>
          <w:sz w:val="32"/>
          <w:szCs w:val="32"/>
        </w:rPr>
        <w:t>低空航空器</w:t>
      </w:r>
      <w:r>
        <w:rPr>
          <w:rFonts w:hint="eastAsia" w:ascii="Times New Roman" w:hAnsi="Times New Roman" w:eastAsia="仿宋_GB2312" w:cs="Times New Roman"/>
          <w:color w:val="auto"/>
          <w:sz w:val="32"/>
          <w:szCs w:val="32"/>
          <w:lang w:val="zh-TW"/>
        </w:rPr>
        <w:t>零部件制造、无人机研发等提供</w:t>
      </w:r>
      <w:r>
        <w:rPr>
          <w:rFonts w:hint="eastAsia" w:ascii="Times New Roman" w:hAnsi="Times New Roman" w:eastAsia="仿宋_GB2312" w:cs="Times New Roman"/>
          <w:color w:val="auto"/>
          <w:sz w:val="32"/>
          <w:szCs w:val="32"/>
        </w:rPr>
        <w:t>有力配套与技术支撑；同时，</w:t>
      </w:r>
      <w:r>
        <w:rPr>
          <w:rFonts w:hint="eastAsia" w:ascii="Times New Roman" w:hAnsi="Times New Roman" w:eastAsia="仿宋_GB2312" w:cs="Times New Roman"/>
          <w:color w:val="auto"/>
          <w:sz w:val="32"/>
          <w:szCs w:val="32"/>
          <w:lang w:val="zh-TW"/>
        </w:rPr>
        <w:t>依托丰富的文旅资源和活跃的消费市场，</w:t>
      </w:r>
      <w:r>
        <w:rPr>
          <w:rFonts w:hint="eastAsia" w:ascii="Times New Roman" w:hAnsi="Times New Roman" w:eastAsia="仿宋_GB2312" w:cs="Times New Roman"/>
          <w:color w:val="auto"/>
          <w:sz w:val="32"/>
          <w:szCs w:val="32"/>
        </w:rPr>
        <w:t>可为低空消费新产品开发提供丰沃土壤。</w:t>
      </w:r>
    </w:p>
    <w:p>
      <w:pPr>
        <w:spacing w:line="560" w:lineRule="exact"/>
        <w:ind w:firstLine="642" w:firstLineChars="200"/>
        <w:rPr>
          <w:rFonts w:ascii="Times New Roman" w:hAnsi="Times New Roman" w:eastAsia="仿宋_GB2312" w:cs="Times New Roman"/>
          <w:color w:val="auto"/>
          <w:sz w:val="32"/>
          <w:szCs w:val="32"/>
        </w:rPr>
      </w:pPr>
      <w:r>
        <w:rPr>
          <w:rFonts w:hint="eastAsia" w:ascii="Times New Roman" w:hAnsi="Times New Roman" w:eastAsia="仿宋_GB2312" w:cs="Times New Roman"/>
          <w:b/>
          <w:bCs/>
          <w:color w:val="auto"/>
          <w:sz w:val="32"/>
          <w:szCs w:val="32"/>
        </w:rPr>
        <w:t>低空场景需求丰富。</w:t>
      </w:r>
      <w:r>
        <w:rPr>
          <w:rFonts w:hint="eastAsia" w:ascii="Times New Roman" w:hAnsi="Times New Roman" w:eastAsia="仿宋_GB2312" w:cs="Times New Roman"/>
          <w:color w:val="auto"/>
          <w:sz w:val="32"/>
          <w:szCs w:val="32"/>
        </w:rPr>
        <w:t>乐山是四川文旅大市，拥有峨眉山—乐山大佛世界文化和自然遗产及东风堰世界灌溉工程遗产，是全国唯一拥有三处世界遗产的地级市，旅游经济总量仅次于成都、居四川省第2位，适宜开展空中游览、航空运动、景区接驳等低空飞行活动。作为长江上游重要的水源涵养地和生态屏障，乐山境内江河纵横、森林覆盖率高，利用低空技术进行生态监测、森林防灭火、河道巡查可大幅提升生态治理效能。矿产、农林、水资源丰富，矿山巡查、农林植保、水域监测、山地吊运等需求较大，使用低空航空器可显著提升生产作业效率。乐山地处四川盆地与川西南山地接壤部位，地形以山地、丘陵为主，易受滑坡、泥石流、洪涝、地震等灾害威胁，应急救援、地质灾害预警等对低空经济有现实需求。</w:t>
      </w:r>
    </w:p>
    <w:p>
      <w:pPr>
        <w:snapToGrid w:val="0"/>
        <w:spacing w:line="560" w:lineRule="exact"/>
        <w:ind w:firstLine="664" w:firstLineChars="200"/>
        <w:outlineLvl w:val="1"/>
        <w:rPr>
          <w:rFonts w:ascii="Times New Roman" w:hAnsi="Times New Roman" w:eastAsia="楷体_GB2312" w:cs="Times New Roman"/>
          <w:color w:val="auto"/>
          <w:spacing w:val="6"/>
          <w:sz w:val="32"/>
          <w:szCs w:val="32"/>
        </w:rPr>
      </w:pPr>
      <w:bookmarkStart w:id="31" w:name="_Toc207125752"/>
      <w:bookmarkStart w:id="32" w:name="_Toc220270441"/>
      <w:bookmarkStart w:id="33" w:name="_Toc4835"/>
      <w:r>
        <w:rPr>
          <w:rFonts w:hint="eastAsia" w:ascii="Times New Roman" w:hAnsi="Times New Roman" w:eastAsia="楷体_GB2312" w:cs="Times New Roman"/>
          <w:color w:val="auto"/>
          <w:spacing w:val="6"/>
          <w:sz w:val="32"/>
          <w:szCs w:val="32"/>
        </w:rPr>
        <w:t>（二）发展现状</w:t>
      </w:r>
      <w:bookmarkEnd w:id="31"/>
      <w:bookmarkEnd w:id="32"/>
      <w:bookmarkEnd w:id="33"/>
    </w:p>
    <w:p>
      <w:pPr>
        <w:pStyle w:val="32"/>
        <w:ind w:firstLine="640" w:firstLineChars="200"/>
        <w:rPr>
          <w:rFonts w:ascii="Times New Roman" w:cs="Times New Roman"/>
          <w:color w:val="auto"/>
          <w:szCs w:val="32"/>
        </w:rPr>
      </w:pPr>
      <w:r>
        <w:rPr>
          <w:rFonts w:hint="eastAsia" w:ascii="Times New Roman" w:cs="Times New Roman"/>
          <w:color w:val="auto"/>
          <w:szCs w:val="32"/>
        </w:rPr>
        <w:t>2024年10月，乐山市委办、市政府办印发《关于建立重点产业链链长</w:t>
      </w:r>
      <w:bookmarkStart w:id="332" w:name="_GoBack"/>
      <w:bookmarkEnd w:id="332"/>
      <w:r>
        <w:rPr>
          <w:rFonts w:hint="eastAsia" w:ascii="Times New Roman" w:cs="Times New Roman"/>
          <w:color w:val="auto"/>
          <w:szCs w:val="32"/>
        </w:rPr>
        <w:t>制的通知》，明确乐山市低空经济产业链链长、主要承载地、牵头部门等推进机制，助力乐山市低空经济</w:t>
      </w:r>
      <w:r>
        <w:rPr>
          <w:rFonts w:hint="eastAsia" w:hAnsi="仿宋_GB2312" w:cs="仿宋_GB2312"/>
          <w:color w:val="auto"/>
          <w:szCs w:val="32"/>
        </w:rPr>
        <w:t>“蓄势起飞”</w:t>
      </w:r>
      <w:r>
        <w:rPr>
          <w:rFonts w:hint="eastAsia" w:ascii="Times New Roman" w:cs="Times New Roman"/>
          <w:color w:val="auto"/>
          <w:szCs w:val="32"/>
        </w:rPr>
        <w:t>。</w:t>
      </w:r>
    </w:p>
    <w:p>
      <w:pPr>
        <w:pStyle w:val="32"/>
        <w:ind w:firstLine="0" w:firstLineChars="0"/>
        <w:rPr>
          <w:rFonts w:ascii="Times New Roman" w:cs="Times New Roman"/>
          <w:color w:val="auto"/>
          <w:szCs w:val="32"/>
        </w:rPr>
      </w:pPr>
      <w:r>
        <w:rPr>
          <w:rFonts w:hint="eastAsia" w:ascii="Times New Roman" w:cs="Times New Roman"/>
          <w:color w:val="auto"/>
          <w:szCs w:val="32"/>
        </w:rPr>
        <w:t>202</w:t>
      </w:r>
      <w:r>
        <w:rPr>
          <w:rFonts w:hint="eastAsia" w:ascii="Times New Roman" w:cs="Times New Roman"/>
          <w:color w:val="auto"/>
          <w:szCs w:val="32"/>
          <w:lang w:val="en-US" w:eastAsia="zh-CN"/>
        </w:rPr>
        <w:t>5</w:t>
      </w:r>
      <w:r>
        <w:rPr>
          <w:rFonts w:hint="eastAsia" w:ascii="Times New Roman" w:cs="Times New Roman"/>
          <w:color w:val="auto"/>
          <w:szCs w:val="32"/>
        </w:rPr>
        <w:t>年1</w:t>
      </w:r>
      <w:r>
        <w:rPr>
          <w:rFonts w:hint="eastAsia" w:ascii="Times New Roman" w:cs="Times New Roman"/>
          <w:color w:val="auto"/>
          <w:szCs w:val="32"/>
          <w:lang w:val="en-US" w:eastAsia="zh-CN"/>
        </w:rPr>
        <w:t>2</w:t>
      </w:r>
      <w:r>
        <w:rPr>
          <w:rFonts w:hint="eastAsia" w:ascii="Times New Roman" w:cs="Times New Roman"/>
          <w:color w:val="auto"/>
          <w:szCs w:val="32"/>
        </w:rPr>
        <w:t>月，中共乐山市委八届十</w:t>
      </w:r>
      <w:r>
        <w:rPr>
          <w:rFonts w:hint="eastAsia" w:ascii="Times New Roman" w:cs="Times New Roman"/>
          <w:color w:val="auto"/>
          <w:szCs w:val="32"/>
          <w:lang w:eastAsia="zh-CN"/>
        </w:rPr>
        <w:t>二</w:t>
      </w:r>
      <w:r>
        <w:rPr>
          <w:rFonts w:hint="eastAsia" w:ascii="Times New Roman" w:cs="Times New Roman"/>
          <w:color w:val="auto"/>
          <w:szCs w:val="32"/>
        </w:rPr>
        <w:t>次全会将低空经济列入</w:t>
      </w:r>
      <w:r>
        <w:rPr>
          <w:rFonts w:hint="eastAsia" w:hAnsi="仿宋_GB2312" w:cs="仿宋_GB2312"/>
          <w:color w:val="auto"/>
          <w:szCs w:val="32"/>
        </w:rPr>
        <w:t>“</w:t>
      </w:r>
      <w:r>
        <w:rPr>
          <w:rFonts w:hint="eastAsia" w:ascii="Times New Roman" w:cs="Times New Roman"/>
          <w:color w:val="auto"/>
          <w:szCs w:val="32"/>
        </w:rPr>
        <w:t>241</w:t>
      </w:r>
      <w:r>
        <w:rPr>
          <w:rFonts w:hint="eastAsia" w:hAnsi="仿宋_GB2312" w:cs="仿宋_GB2312"/>
          <w:color w:val="auto"/>
          <w:szCs w:val="32"/>
        </w:rPr>
        <w:t>”</w:t>
      </w:r>
      <w:r>
        <w:rPr>
          <w:rFonts w:hint="eastAsia" w:ascii="Times New Roman" w:cs="Times New Roman"/>
          <w:color w:val="auto"/>
          <w:szCs w:val="32"/>
        </w:rPr>
        <w:t>现代工业产业体系中</w:t>
      </w:r>
      <w:r>
        <w:rPr>
          <w:rFonts w:hint="eastAsia" w:hAnsi="仿宋_GB2312" w:cs="仿宋_GB2312"/>
          <w:color w:val="auto"/>
          <w:szCs w:val="32"/>
        </w:rPr>
        <w:t>“突破发展的一批新兴产业</w:t>
      </w:r>
      <w:r>
        <w:rPr>
          <w:rFonts w:hint="eastAsia" w:hAnsi="仿宋_GB2312" w:cs="仿宋_GB2312"/>
          <w:color w:val="auto"/>
          <w:szCs w:val="32"/>
          <w:lang w:eastAsia="zh-CN"/>
        </w:rPr>
        <w:t>和未来产业</w:t>
      </w:r>
      <w:r>
        <w:rPr>
          <w:rFonts w:hint="eastAsia" w:hAnsi="仿宋_GB2312" w:cs="仿宋_GB2312"/>
          <w:color w:val="auto"/>
          <w:szCs w:val="32"/>
        </w:rPr>
        <w:t>集群”</w:t>
      </w:r>
      <w:r>
        <w:rPr>
          <w:rFonts w:hint="eastAsia" w:ascii="Times New Roman" w:cs="Times New Roman"/>
          <w:color w:val="auto"/>
          <w:szCs w:val="32"/>
        </w:rPr>
        <w:t>；</w:t>
      </w:r>
    </w:p>
    <w:p>
      <w:pPr>
        <w:pStyle w:val="32"/>
        <w:ind w:firstLine="643"/>
        <w:rPr>
          <w:rFonts w:ascii="Times New Roman" w:cs="Times New Roman"/>
          <w:color w:val="auto"/>
          <w:szCs w:val="32"/>
        </w:rPr>
      </w:pPr>
      <w:r>
        <w:rPr>
          <w:rFonts w:hint="eastAsia" w:ascii="Times New Roman" w:cs="Times New Roman"/>
          <w:b/>
          <w:bCs/>
          <w:color w:val="auto"/>
          <w:szCs w:val="32"/>
        </w:rPr>
        <w:t>低空制造加速入局。</w:t>
      </w:r>
      <w:r>
        <w:rPr>
          <w:rFonts w:hint="eastAsia" w:ascii="Times New Roman" w:cs="Times New Roman"/>
          <w:color w:val="auto"/>
          <w:szCs w:val="32"/>
        </w:rPr>
        <w:t>2024年12月，乐山市成功引进光启技术，规划建设先进低空无人机产业链总部基地。发挥</w:t>
      </w:r>
      <w:r>
        <w:rPr>
          <w:rFonts w:hint="eastAsia" w:hAnsi="仿宋_GB2312" w:cs="仿宋_GB2312"/>
          <w:color w:val="auto"/>
          <w:szCs w:val="32"/>
        </w:rPr>
        <w:t>“链主”</w:t>
      </w:r>
      <w:r>
        <w:rPr>
          <w:rFonts w:hint="eastAsia" w:ascii="Times New Roman" w:cs="Times New Roman"/>
          <w:color w:val="auto"/>
          <w:szCs w:val="32"/>
        </w:rPr>
        <w:t>牵引作用，已招引经芯达、经纬达、海泰智能、达启未来等多家产业链上下游企业落地，初步形成涵盖超材料研发、配套零部件生产、无人机整机制造的产业链条。同时，乐山3家本土民营企业已切入低空制造赛道，目前主要聚焦航空航天复合材料领域：新万兴碳纤维复合材料公司已成为西部最大的民营航空复合材料厂商，年产值达6亿元，正加速提升由单结构零件加工到大部件组装以及无人机整机平台装配的自主生产能力；四川兴宇航科技有限公司投资约7亿元建设低空经济产品生产车间，建成后年产高性能航空零部件300吨，年装配大型无人机机身可达30架；四川动思新材料科技有限公司投资5亿元新建高性能纤维卷材生产线、碳纤维车圈生产线等，已具备无人机零备件和整机组装能力。</w:t>
      </w:r>
    </w:p>
    <w:p>
      <w:pPr>
        <w:pStyle w:val="32"/>
        <w:ind w:firstLine="643"/>
        <w:rPr>
          <w:rFonts w:ascii="Times New Roman" w:cs="Times New Roman"/>
          <w:color w:val="auto"/>
          <w:szCs w:val="32"/>
        </w:rPr>
      </w:pPr>
      <w:r>
        <w:rPr>
          <w:rFonts w:hint="eastAsia" w:ascii="Times New Roman" w:cs="Times New Roman"/>
          <w:b/>
          <w:bCs/>
          <w:color w:val="auto"/>
          <w:szCs w:val="32"/>
        </w:rPr>
        <w:t>低空场景不断拓展。</w:t>
      </w:r>
      <w:r>
        <w:rPr>
          <w:rFonts w:hint="eastAsia" w:ascii="Times New Roman" w:cs="Times New Roman"/>
          <w:color w:val="auto"/>
          <w:szCs w:val="32"/>
        </w:rPr>
        <w:t>乐山市低空应用场景已覆盖低空消费、生产作业、公共服务、飞行培训等多个领域。</w:t>
      </w:r>
      <w:r>
        <w:rPr>
          <w:rFonts w:hint="eastAsia" w:ascii="Times New Roman" w:cs="Times New Roman"/>
          <w:b/>
          <w:bCs/>
          <w:color w:val="auto"/>
          <w:szCs w:val="32"/>
        </w:rPr>
        <w:t>低空消费</w:t>
      </w:r>
      <w:r>
        <w:rPr>
          <w:rFonts w:hint="eastAsia" w:ascii="Times New Roman" w:cs="Times New Roman"/>
          <w:color w:val="auto"/>
          <w:szCs w:val="32"/>
        </w:rPr>
        <w:t>：峨眉山市蒲公英滑翔伞俱乐部运营占地18亩的航空运动基地，可提供滑翔伞等航空运动与飞行体验服务；拓展“低空+康养”业态，黑竹沟景区推进航空运动基地建设前期工作，可开展滑翔伞、热气球等休闲运动项目；</w:t>
      </w:r>
      <w:r>
        <w:rPr>
          <w:rFonts w:hint="eastAsia" w:hAnsi="仿宋_GB2312" w:cs="仿宋_GB2312"/>
          <w:color w:val="auto"/>
          <w:szCs w:val="32"/>
        </w:rPr>
        <w:t>“峨眉山—乐山大佛”</w:t>
      </w:r>
      <w:r>
        <w:rPr>
          <w:rFonts w:hint="eastAsia" w:ascii="Times New Roman" w:cs="Times New Roman"/>
          <w:color w:val="auto"/>
          <w:szCs w:val="32"/>
        </w:rPr>
        <w:t>低空观光旅游已于2025年4月成功试飞，可实现</w:t>
      </w:r>
      <w:r>
        <w:rPr>
          <w:rFonts w:hint="eastAsia" w:hAnsi="仿宋_GB2312" w:cs="仿宋_GB2312"/>
          <w:color w:val="auto"/>
          <w:szCs w:val="32"/>
        </w:rPr>
        <w:t>“峨眉山—乐山大佛”</w:t>
      </w:r>
      <w:r>
        <w:rPr>
          <w:rFonts w:hint="eastAsia" w:ascii="Times New Roman" w:cs="Times New Roman"/>
          <w:color w:val="auto"/>
          <w:szCs w:val="32"/>
        </w:rPr>
        <w:t>跨域转场飞行。</w:t>
      </w:r>
      <w:r>
        <w:rPr>
          <w:rFonts w:hint="eastAsia" w:ascii="Times New Roman" w:cs="Times New Roman"/>
          <w:b/>
          <w:bCs/>
          <w:color w:val="auto"/>
          <w:szCs w:val="32"/>
        </w:rPr>
        <w:t>生产作业</w:t>
      </w:r>
      <w:r>
        <w:rPr>
          <w:rFonts w:hint="eastAsia" w:ascii="Times New Roman" w:cs="Times New Roman"/>
          <w:color w:val="auto"/>
          <w:szCs w:val="32"/>
        </w:rPr>
        <w:t>：夹江县已有近十年无人机植保应用经验，是全省范围内最早应用无人机植保的区域；沐川县无人机吊运林竹应用快速发展，吊运无人机数量从2024年10架激增至2025年超80架；井研县将无人机应用于柑橘飞防作业，覆盖率达50%以上；峨边彝族自治县通过无人机运输竹笋，实现新林镇、大堡镇、杨河乡等竹笋主产区50%覆盖率</w:t>
      </w:r>
      <w:r>
        <w:rPr>
          <w:rFonts w:hint="eastAsia" w:ascii="Times New Roman" w:cs="Times New Roman"/>
          <w:color w:val="auto"/>
        </w:rPr>
        <w:t>；犍为县获批2025年度省农业厅低空农业场景应用示范和农机熟化推广项目，承担林竹吊运、粮食吊运、水果吊运、中药材吊运、粮油作物飞防植保省级示范推广工作，推动四川省农业无人机地方标准建设与技术应用推广。</w:t>
      </w:r>
      <w:r>
        <w:rPr>
          <w:rFonts w:hint="eastAsia" w:ascii="Times New Roman" w:cs="Times New Roman"/>
          <w:b/>
          <w:bCs/>
          <w:color w:val="auto"/>
          <w:szCs w:val="32"/>
        </w:rPr>
        <w:t>公共服务</w:t>
      </w:r>
      <w:r>
        <w:rPr>
          <w:rFonts w:hint="eastAsia" w:ascii="Times New Roman" w:cs="Times New Roman"/>
          <w:color w:val="auto"/>
          <w:szCs w:val="32"/>
        </w:rPr>
        <w:t>：以国投集团下属四川三汇安防科技有限公司为代表，已初步建成覆盖市中区、夹江县、五通桥区、沐川县的无人机集群管理平台，主要将无人机应用于公安巡防、森林防火、电力巡查等领域。</w:t>
      </w:r>
      <w:r>
        <w:rPr>
          <w:rFonts w:hint="eastAsia" w:ascii="Times New Roman" w:cs="Times New Roman"/>
          <w:b/>
          <w:bCs/>
          <w:color w:val="auto"/>
          <w:szCs w:val="32"/>
        </w:rPr>
        <w:t>飞行培训</w:t>
      </w:r>
      <w:r>
        <w:rPr>
          <w:rFonts w:hint="eastAsia" w:ascii="Times New Roman" w:cs="Times New Roman"/>
          <w:color w:val="auto"/>
          <w:szCs w:val="32"/>
        </w:rPr>
        <w:t>：成立民用无人驾驶航空器系统驾驶员培训机构夹江羽翼科技发展有限公司；九鼎驾校翼翔无人机飞行学院年培训学员超250人；峨眉山首家民航授权无人机培训基地于2025年4月挂牌成立；四川星穹智控科技有限公司于2025年8月开始开展中国民航局（CAAC）认证的无人机执照培训。</w:t>
      </w:r>
    </w:p>
    <w:p>
      <w:pPr>
        <w:pStyle w:val="32"/>
        <w:ind w:firstLine="643"/>
        <w:rPr>
          <w:rFonts w:ascii="Times New Roman" w:cs="Times New Roman"/>
          <w:color w:val="auto"/>
          <w:szCs w:val="32"/>
        </w:rPr>
      </w:pPr>
      <w:r>
        <w:rPr>
          <w:rFonts w:hint="eastAsia" w:ascii="Times New Roman" w:cs="Times New Roman"/>
          <w:b/>
          <w:bCs/>
          <w:color w:val="auto"/>
          <w:szCs w:val="32"/>
        </w:rPr>
        <w:t>低空基建加速推进。</w:t>
      </w:r>
      <w:r>
        <w:rPr>
          <w:rFonts w:hint="eastAsia" w:ascii="Times New Roman" w:cs="Times New Roman"/>
          <w:color w:val="auto"/>
          <w:szCs w:val="32"/>
        </w:rPr>
        <w:t>乐山市现有在建民航4C级支线机场（乐山机场），建成后可兼容通用航空功能；以及峨眉山蒲公英滑翔伞基地、铜河银滩航模基地等运动类起降场地。市中区天街、峨眉张坝村两处垂直起降设施已于2025年4月建成投用，保障直升机执飞大佛景区至峨眉山景区低空观光航线；峨边彝族自治县黑竹沟、马边彝族自治县红旗广场、沙湾区葫芦镇祝村</w:t>
      </w:r>
      <w:r>
        <w:rPr>
          <w:rFonts w:ascii="Times New Roman" w:cs="Times New Roman"/>
          <w:color w:val="auto"/>
          <w:szCs w:val="32"/>
        </w:rPr>
        <w:t>3</w:t>
      </w:r>
      <w:r>
        <w:rPr>
          <w:rFonts w:hint="eastAsia" w:ascii="Times New Roman" w:cs="Times New Roman"/>
          <w:color w:val="auto"/>
          <w:szCs w:val="32"/>
        </w:rPr>
        <w:t>处临时起降点，主要用于保障直升机、滑翔伞执行抢险救援、航空护林和低空旅游等通用飞行任务。同时，沙湾区、峨眉山市、峨边彝族自治县、马边彝族自治县四地通用机场项目已纳入《四川省通用机场布局规划（修编）》，为后续申建通用机场提供了重要规划支撑。</w:t>
      </w:r>
    </w:p>
    <w:p>
      <w:pPr>
        <w:snapToGrid w:val="0"/>
        <w:spacing w:line="560" w:lineRule="exact"/>
        <w:ind w:firstLine="664" w:firstLineChars="200"/>
        <w:outlineLvl w:val="1"/>
        <w:rPr>
          <w:rFonts w:ascii="Times New Roman" w:hAnsi="Times New Roman" w:eastAsia="楷体_GB2312" w:cs="Times New Roman"/>
          <w:color w:val="auto"/>
          <w:spacing w:val="6"/>
          <w:sz w:val="32"/>
          <w:szCs w:val="32"/>
        </w:rPr>
      </w:pPr>
      <w:bookmarkStart w:id="34" w:name="_Toc207125753"/>
      <w:bookmarkStart w:id="35" w:name="_Toc220270442"/>
      <w:bookmarkStart w:id="36" w:name="_Toc11546"/>
      <w:r>
        <w:rPr>
          <w:rFonts w:hint="eastAsia" w:ascii="Times New Roman" w:hAnsi="Times New Roman" w:eastAsia="楷体_GB2312" w:cs="Times New Roman"/>
          <w:color w:val="auto"/>
          <w:spacing w:val="6"/>
          <w:sz w:val="32"/>
          <w:szCs w:val="32"/>
        </w:rPr>
        <w:t>（三）面临形势</w:t>
      </w:r>
      <w:bookmarkEnd w:id="34"/>
      <w:bookmarkEnd w:id="35"/>
      <w:bookmarkEnd w:id="36"/>
    </w:p>
    <w:p>
      <w:pPr>
        <w:pStyle w:val="32"/>
        <w:rPr>
          <w:rFonts w:ascii="Times New Roman" w:cs="Times New Roman"/>
          <w:color w:val="auto"/>
          <w:szCs w:val="32"/>
        </w:rPr>
      </w:pPr>
      <w:r>
        <w:rPr>
          <w:rFonts w:hint="eastAsia" w:ascii="Times New Roman" w:cs="Times New Roman"/>
          <w:color w:val="auto"/>
          <w:szCs w:val="32"/>
        </w:rPr>
        <w:t>从全球看，</w:t>
      </w:r>
      <w:r>
        <w:rPr>
          <w:rFonts w:hint="eastAsia" w:hAnsi="仿宋_GB2312" w:cs="仿宋_GB2312"/>
          <w:color w:val="auto"/>
          <w:szCs w:val="32"/>
        </w:rPr>
        <w:t>“十五五”</w:t>
      </w:r>
      <w:r>
        <w:rPr>
          <w:rFonts w:hint="eastAsia" w:ascii="Times New Roman" w:cs="Times New Roman"/>
          <w:color w:val="auto"/>
          <w:szCs w:val="32"/>
        </w:rPr>
        <w:t>时期，世界百年变局加速演进，国际环境更趋复杂严峻。伴随世界经济增速放缓、增长动能减弱，不确定和不稳定因素显著增多，培育新的经济增长引擎成为发展关键。低空经济正成为全球经济重要增长点，是新一轮科技革命和产业变革下国际竞争的新赛道，主要国家与国际组织纷纷加紧战略布局。凭借传统通航产业先发优势，美国、英国、欧盟等主要发达经济体正密集推出空域管理、适航创新、基础设施建设及试点运行等举措，加快低空领域布局。当前，全球低空经济整体处于发展起步阶段，我国在无人机、eVTOL等领域已建立起一定优势，颁发全球首张载人eVTOL适航证，连续多年稳居全球最大民用无人机出口国地位，这为我国引领新一轮全球发展提供了可能，也为乐山融入全球低空产业分工体系创造了宝贵机遇。</w:t>
      </w:r>
    </w:p>
    <w:p>
      <w:pPr>
        <w:pStyle w:val="32"/>
        <w:rPr>
          <w:rFonts w:ascii="Times New Roman" w:cs="Times New Roman"/>
          <w:color w:val="auto"/>
          <w:szCs w:val="32"/>
        </w:rPr>
      </w:pPr>
      <w:r>
        <w:rPr>
          <w:rFonts w:hint="eastAsia" w:ascii="Times New Roman" w:cs="Times New Roman"/>
          <w:color w:val="auto"/>
          <w:szCs w:val="32"/>
        </w:rPr>
        <w:t>从全国看，国家高度重视低空经济发展，自2021年首度纳入国家顶层设计，到2023年12月被中央经济工作会列为战略性新兴产业，再到党的二十届三中全会明确</w:t>
      </w:r>
      <w:r>
        <w:rPr>
          <w:rFonts w:hint="eastAsia" w:hAnsi="仿宋_GB2312" w:cs="仿宋_GB2312"/>
          <w:color w:val="auto"/>
          <w:szCs w:val="32"/>
        </w:rPr>
        <w:t>“发展通用航空和低空经济”、四中全会提出“加快低空经济等战略性新兴产业集群发展”</w:t>
      </w:r>
      <w:r>
        <w:rPr>
          <w:rFonts w:hint="eastAsia" w:ascii="Times New Roman" w:cs="Times New Roman"/>
          <w:color w:val="auto"/>
          <w:szCs w:val="32"/>
        </w:rPr>
        <w:t>，我国低空经济发展已形成全面布局态势，各地正因地制宜发展低空经济。上海基于大飞机技术积累，以eVTOL、新能源通航飞机等低空航空器研制为重点，打造“世界eVTOL之都”；深圳依托消费级无人机产业全球领先的优势，通过改革创新管理模式，打造</w:t>
      </w:r>
      <w:r>
        <w:rPr>
          <w:rFonts w:hint="eastAsia" w:hAnsi="仿宋_GB2312" w:cs="仿宋_GB2312"/>
          <w:color w:val="auto"/>
          <w:szCs w:val="32"/>
        </w:rPr>
        <w:t>“天空之城”</w:t>
      </w:r>
      <w:r>
        <w:rPr>
          <w:rFonts w:hint="eastAsia" w:ascii="Times New Roman" w:cs="Times New Roman"/>
          <w:color w:val="auto"/>
          <w:szCs w:val="32"/>
        </w:rPr>
        <w:t>；合肥依托国内首个全空间无人体系应用场景，加速探索创新低空经济商业模式，打造商业应用、运营服务新示范。低空经济凭借产业链条长、成长空间广、应用场景多、带动作用强的突出特点，展现出巨大潜力，在全国统一大市场建设背景下，随着低空经济产业链、供应链、创新链的深度融合与持续完善，将为乐山培育新引擎注入强劲动能。</w:t>
      </w:r>
    </w:p>
    <w:p>
      <w:pPr>
        <w:pStyle w:val="32"/>
        <w:rPr>
          <w:rFonts w:ascii="Times New Roman" w:cs="Times New Roman"/>
          <w:color w:val="auto"/>
          <w:szCs w:val="32"/>
        </w:rPr>
      </w:pPr>
      <w:r>
        <w:rPr>
          <w:rFonts w:hint="eastAsia" w:ascii="Times New Roman" w:cs="Times New Roman"/>
          <w:color w:val="auto"/>
          <w:szCs w:val="32"/>
        </w:rPr>
        <w:t>从全省看，四川省是全国重要的航空研发制造基地，兼具飞机整机与发动机的研发制造能力，中大型无人机产业规模居全国领先水平，拥有打造低空装备制造产业集群的坚实基础。作为全国首批低空空域协同管理改革试点省份，四川于2024年6月发布了《关于促进低空经济发展的指导意见》，提出到2030年，全面建成布局合理、功能完善、覆盖广泛的飞行起降基础设施网络，空域管理和服务水平更好适应飞行活动需求，通航装备制造能力、产业配套协作水平国内领先，形成一批具有全球影响力的品牌产品。相较成都、绵阳、自贡地区，乐山发展低空经济起步稍晚，亟需在外部挑战与区域竞合中找准定位，加速融入全省低空经济发展格局，服务并支撑四川省打造西部低空经济产业高地。</w:t>
      </w:r>
    </w:p>
    <w:p>
      <w:pPr>
        <w:pStyle w:val="32"/>
        <w:rPr>
          <w:rFonts w:hint="eastAsia" w:hAnsi="仿宋_GB2312" w:cs="仿宋_GB2312"/>
          <w:color w:val="auto"/>
          <w:szCs w:val="32"/>
        </w:rPr>
      </w:pPr>
      <w:r>
        <w:rPr>
          <w:rFonts w:hint="eastAsia" w:hAnsi="仿宋_GB2312" w:cs="仿宋_GB2312"/>
          <w:color w:val="auto"/>
          <w:szCs w:val="32"/>
        </w:rPr>
        <w:t>从全市看，低空经济是乐山推动产业转型升级、塑造发展新优势的战略抓手。乐山市具备航空先进材料等领域优势，拥有丰富的应用场景资源和强劲的内生发展动力，发展低空经济有助于打造经济增长新引擎、培育高质量发展新动能。乐山市发展低空经济，是对文旅、材料、核技术应用、装备制造、新型储能、氢能等产业的一次全面整合与升级，可显著提升产业结构层次和整体能级。乐山市呈“七山二丘一平”地貌特征，利用无人机、直升机等低空航空器能够高效破解山区物流“最后一公里”难题，实现农特产品、应急物资的快速转运，显著降低传统山地运输成本与风险，提升农林作业生产效率。低空新技术新产品在应急救援、交通治理、生态监测与保护等领域的深化应用，可有效提升公共服务效能与社会治理现代化水平，增进民生福祉，维护社会和谐稳定，实现经济效益与社会效益互促共进。</w:t>
      </w:r>
    </w:p>
    <w:p>
      <w:pPr>
        <w:snapToGrid w:val="0"/>
        <w:spacing w:line="560" w:lineRule="exact"/>
        <w:ind w:firstLine="664" w:firstLineChars="200"/>
        <w:outlineLvl w:val="1"/>
        <w:rPr>
          <w:rFonts w:ascii="Times New Roman" w:hAnsi="Times New Roman" w:eastAsia="楷体_GB2312" w:cs="Times New Roman"/>
          <w:color w:val="auto"/>
          <w:spacing w:val="6"/>
          <w:sz w:val="32"/>
          <w:szCs w:val="32"/>
        </w:rPr>
      </w:pPr>
      <w:bookmarkStart w:id="37" w:name="_Toc220270443"/>
      <w:bookmarkStart w:id="38" w:name="_Toc207125754"/>
      <w:bookmarkStart w:id="39" w:name="_Toc4813"/>
      <w:r>
        <w:rPr>
          <w:rFonts w:hint="eastAsia" w:ascii="Times New Roman" w:hAnsi="Times New Roman" w:eastAsia="楷体_GB2312" w:cs="Times New Roman"/>
          <w:color w:val="auto"/>
          <w:spacing w:val="6"/>
          <w:sz w:val="32"/>
          <w:szCs w:val="32"/>
        </w:rPr>
        <w:t>（四）存在问题</w:t>
      </w:r>
      <w:bookmarkEnd w:id="37"/>
      <w:bookmarkEnd w:id="38"/>
      <w:bookmarkEnd w:id="39"/>
    </w:p>
    <w:p>
      <w:pPr>
        <w:pStyle w:val="32"/>
        <w:rPr>
          <w:rFonts w:ascii="Times New Roman" w:cs="Times New Roman"/>
          <w:color w:val="auto"/>
          <w:szCs w:val="32"/>
        </w:rPr>
      </w:pPr>
      <w:r>
        <w:rPr>
          <w:rFonts w:hint="eastAsia" w:ascii="Times New Roman" w:cs="Times New Roman"/>
          <w:color w:val="auto"/>
          <w:szCs w:val="32"/>
        </w:rPr>
        <w:t>“十四五”以来，乐山市低空经济发展虽取得了一定成效，但面对新形势新要求，仍存在一些短板和不足。</w:t>
      </w:r>
      <w:r>
        <w:rPr>
          <w:rFonts w:hint="eastAsia" w:ascii="Times New Roman" w:cs="Times New Roman"/>
          <w:b/>
          <w:bCs/>
          <w:color w:val="auto"/>
          <w:szCs w:val="32"/>
        </w:rPr>
        <w:t>一是产业能级有待提高。</w:t>
      </w:r>
      <w:r>
        <w:rPr>
          <w:rFonts w:hint="eastAsia" w:ascii="Times New Roman" w:cs="Times New Roman"/>
          <w:color w:val="auto"/>
          <w:szCs w:val="32"/>
        </w:rPr>
        <w:t>相较先发地区，乐山市低空经济领域链主企业缺乏，产业链存在多处空白，产业规模小，整体仍处于起步阶段。</w:t>
      </w:r>
      <w:r>
        <w:rPr>
          <w:rFonts w:hint="eastAsia" w:ascii="Times New Roman" w:cs="Times New Roman"/>
          <w:b/>
          <w:bCs/>
          <w:color w:val="auto"/>
          <w:szCs w:val="32"/>
        </w:rPr>
        <w:t>二是低空空域有待进一步开放。</w:t>
      </w:r>
      <w:r>
        <w:rPr>
          <w:rFonts w:hint="eastAsia" w:ascii="Times New Roman" w:cs="Times New Roman"/>
          <w:color w:val="auto"/>
          <w:szCs w:val="32"/>
        </w:rPr>
        <w:t>乐山市主要位于成都区域25扇区，部分区域处于成都进近管制区内，周边200公里内建有多个军民航机场，空域环境复杂，且目前未纳入全省7个低空改革试点空域，低空飞行活动相对受限。</w:t>
      </w:r>
      <w:r>
        <w:rPr>
          <w:rFonts w:hint="eastAsia" w:ascii="Times New Roman" w:cs="Times New Roman"/>
          <w:b/>
          <w:bCs/>
          <w:color w:val="auto"/>
          <w:szCs w:val="32"/>
        </w:rPr>
        <w:t>三是基础设施薄弱。</w:t>
      </w:r>
      <w:r>
        <w:rPr>
          <w:rFonts w:hint="eastAsia" w:ascii="Times New Roman" w:cs="Times New Roman"/>
          <w:color w:val="auto"/>
          <w:szCs w:val="32"/>
        </w:rPr>
        <w:t>乐山市尚无民航局在册的通用机场，临时起降点利用效率低，低空通信、导航、监视、气象等低空飞行管理服务保障设施以及低空安全防护设施设备缺口较大，低空飞行服务保障能力亟待加强。</w:t>
      </w:r>
      <w:r>
        <w:rPr>
          <w:rFonts w:hint="eastAsia" w:ascii="Times New Roman" w:cs="Times New Roman"/>
          <w:b/>
          <w:bCs/>
          <w:color w:val="auto"/>
          <w:szCs w:val="32"/>
        </w:rPr>
        <w:t>四是场景培育不足。</w:t>
      </w:r>
      <w:r>
        <w:rPr>
          <w:rFonts w:hint="eastAsia" w:ascii="Times New Roman" w:cs="Times New Roman"/>
          <w:color w:val="auto"/>
          <w:szCs w:val="32"/>
        </w:rPr>
        <w:t>乐山市低空经济现有应用场景分散、规模小、收益低，在低空物流、生产作业、文旅消费等重点领域应用较少，尚未形成对低空装备研发制造的牵引效应。</w:t>
      </w:r>
    </w:p>
    <w:p>
      <w:pPr>
        <w:pStyle w:val="32"/>
        <w:rPr>
          <w:rFonts w:ascii="Times New Roman" w:cs="Times New Roman"/>
          <w:color w:val="auto"/>
          <w:szCs w:val="32"/>
        </w:rPr>
      </w:pPr>
    </w:p>
    <w:p>
      <w:pPr>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br w:type="page"/>
      </w:r>
    </w:p>
    <w:p>
      <w:pPr>
        <w:widowControl/>
        <w:spacing w:line="560" w:lineRule="exact"/>
        <w:ind w:firstLine="640" w:firstLineChars="200"/>
        <w:outlineLvl w:val="0"/>
        <w:rPr>
          <w:rFonts w:ascii="Times New Roman" w:hAnsi="Times New Roman" w:eastAsia="黑体" w:cs="Times New Roman"/>
          <w:color w:val="auto"/>
          <w:sz w:val="32"/>
          <w:szCs w:val="32"/>
          <w:shd w:val="clear" w:color="auto" w:fill="FFFFFF"/>
        </w:rPr>
      </w:pPr>
      <w:bookmarkStart w:id="40" w:name="_Toc207125755"/>
      <w:bookmarkStart w:id="41" w:name="_Toc32096"/>
      <w:bookmarkStart w:id="42" w:name="_Toc220270444"/>
      <w:r>
        <w:rPr>
          <w:rFonts w:hint="eastAsia" w:ascii="Times New Roman" w:hAnsi="Times New Roman" w:eastAsia="黑体" w:cs="Times New Roman"/>
          <w:color w:val="auto"/>
          <w:sz w:val="32"/>
          <w:szCs w:val="32"/>
          <w:shd w:val="clear" w:color="auto" w:fill="FFFFFF"/>
        </w:rPr>
        <w:t>二、总体要求</w:t>
      </w:r>
      <w:bookmarkEnd w:id="40"/>
      <w:bookmarkEnd w:id="41"/>
      <w:bookmarkEnd w:id="42"/>
    </w:p>
    <w:p>
      <w:pPr>
        <w:snapToGrid w:val="0"/>
        <w:spacing w:line="560" w:lineRule="exact"/>
        <w:ind w:firstLine="664" w:firstLineChars="200"/>
        <w:outlineLvl w:val="1"/>
        <w:rPr>
          <w:rFonts w:ascii="Times New Roman" w:hAnsi="Times New Roman" w:eastAsia="楷体_GB2312" w:cs="Times New Roman"/>
          <w:color w:val="auto"/>
          <w:spacing w:val="6"/>
          <w:sz w:val="32"/>
          <w:szCs w:val="32"/>
        </w:rPr>
      </w:pPr>
      <w:bookmarkStart w:id="43" w:name="_Toc220270445"/>
      <w:bookmarkStart w:id="44" w:name="_Toc144"/>
      <w:bookmarkStart w:id="45" w:name="_Toc207125756"/>
      <w:r>
        <w:rPr>
          <w:rFonts w:hint="eastAsia" w:ascii="Times New Roman" w:hAnsi="Times New Roman" w:eastAsia="楷体_GB2312" w:cs="Times New Roman"/>
          <w:color w:val="auto"/>
          <w:spacing w:val="6"/>
          <w:sz w:val="32"/>
          <w:szCs w:val="32"/>
        </w:rPr>
        <w:t>（一）总体思路</w:t>
      </w:r>
      <w:bookmarkEnd w:id="43"/>
      <w:bookmarkEnd w:id="44"/>
      <w:bookmarkEnd w:id="45"/>
    </w:p>
    <w:p>
      <w:pPr>
        <w:spacing w:line="560" w:lineRule="exact"/>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坚持以习近平新时代中国特色社会主义思想为指导，贯彻落实党的二十大和二十届历次全会精神及习近平总书记对四川工作系列重要指示精神，完整准确全面贯彻新发展理念，积极融入和服务构建新发展格局，围绕省委“四化同步、城乡融合、五区共兴”发展战略和省委省政府赋予乐山的“三大使命任务”，坚持“工业强市、文旅兴市”，着力“低空先进制造、低空场景示范”双轮驱动，推动低空生产性服务业和先进制造业深度融合，力争在低空经济领域突破新技术、开发新产品、发展新业态、创造新价值，全力打造具有乐山辨识度的低空经济发展高地。</w:t>
      </w:r>
    </w:p>
    <w:p>
      <w:pPr>
        <w:snapToGrid w:val="0"/>
        <w:spacing w:line="560" w:lineRule="exact"/>
        <w:ind w:firstLine="664" w:firstLineChars="200"/>
        <w:outlineLvl w:val="1"/>
        <w:rPr>
          <w:rFonts w:ascii="Times New Roman" w:hAnsi="Times New Roman" w:eastAsia="楷体_GB2312" w:cs="Times New Roman"/>
          <w:color w:val="auto"/>
          <w:spacing w:val="6"/>
          <w:sz w:val="32"/>
          <w:szCs w:val="32"/>
        </w:rPr>
      </w:pPr>
      <w:bookmarkStart w:id="46" w:name="_Toc220270446"/>
      <w:bookmarkStart w:id="47" w:name="_Toc207125757"/>
      <w:bookmarkStart w:id="48" w:name="_Toc11379"/>
      <w:r>
        <w:rPr>
          <w:rFonts w:hint="eastAsia" w:ascii="Times New Roman" w:hAnsi="Times New Roman" w:eastAsia="楷体_GB2312" w:cs="Times New Roman"/>
          <w:color w:val="auto"/>
          <w:spacing w:val="6"/>
          <w:sz w:val="32"/>
          <w:szCs w:val="32"/>
        </w:rPr>
        <w:t>（二）发展原则</w:t>
      </w:r>
      <w:bookmarkEnd w:id="46"/>
      <w:bookmarkEnd w:id="47"/>
      <w:bookmarkEnd w:id="48"/>
    </w:p>
    <w:p>
      <w:pPr>
        <w:spacing w:line="560" w:lineRule="exact"/>
        <w:ind w:firstLine="642" w:firstLineChars="200"/>
        <w:rPr>
          <w:rFonts w:ascii="Times New Roman" w:hAnsi="Times New Roman" w:eastAsia="仿宋_GB2312" w:cs="Times New Roman"/>
          <w:color w:val="auto"/>
          <w:sz w:val="32"/>
          <w:szCs w:val="32"/>
        </w:rPr>
      </w:pPr>
      <w:r>
        <w:rPr>
          <w:rFonts w:hint="eastAsia" w:ascii="Times New Roman" w:hAnsi="Times New Roman" w:eastAsia="仿宋_GB2312" w:cs="Times New Roman"/>
          <w:b/>
          <w:bCs/>
          <w:color w:val="auto"/>
          <w:sz w:val="32"/>
          <w:szCs w:val="32"/>
        </w:rPr>
        <w:t>因地制宜，特色发展。</w:t>
      </w:r>
      <w:bookmarkStart w:id="49" w:name="OLE_LINK18"/>
      <w:r>
        <w:rPr>
          <w:rFonts w:hint="eastAsia" w:ascii="Times New Roman" w:hAnsi="Times New Roman" w:eastAsia="仿宋_GB2312" w:cs="Times New Roman"/>
          <w:color w:val="auto"/>
          <w:sz w:val="32"/>
          <w:szCs w:val="32"/>
        </w:rPr>
        <w:t>立足乐山、面向全省、放眼全国，发挥航空先进材料和文旅资源的独特禀赋优势，</w:t>
      </w:r>
      <w:bookmarkEnd w:id="49"/>
      <w:r>
        <w:rPr>
          <w:rFonts w:hint="eastAsia" w:ascii="Times New Roman" w:hAnsi="Times New Roman" w:eastAsia="仿宋_GB2312" w:cs="Times New Roman"/>
          <w:color w:val="auto"/>
          <w:sz w:val="32"/>
          <w:szCs w:val="32"/>
        </w:rPr>
        <w:t>聚焦低空产业发展趋势和省内低空产业链短板，</w:t>
      </w:r>
      <w:bookmarkStart w:id="50" w:name="OLE_LINK19"/>
      <w:r>
        <w:rPr>
          <w:rFonts w:hint="eastAsia" w:ascii="Times New Roman" w:hAnsi="Times New Roman" w:eastAsia="仿宋_GB2312" w:cs="Times New Roman"/>
          <w:color w:val="auto"/>
          <w:sz w:val="32"/>
          <w:szCs w:val="32"/>
        </w:rPr>
        <w:t>重点发展服务领域广、带动作用强、综合效益好的低空研发制造、文体旅游消费、生产性服务业等低空特色产业</w:t>
      </w:r>
      <w:bookmarkEnd w:id="50"/>
      <w:r>
        <w:rPr>
          <w:rFonts w:hint="eastAsia" w:ascii="Times New Roman" w:hAnsi="Times New Roman" w:eastAsia="仿宋_GB2312" w:cs="Times New Roman"/>
          <w:color w:val="auto"/>
          <w:sz w:val="32"/>
          <w:szCs w:val="32"/>
        </w:rPr>
        <w:t>，着力强化产业链协同，推进产业集聚发展，推动低空产业研发端、制造端、应用端融合互促，构建特色鲜明、优势突出、规模集聚的低空经济产业体系。</w:t>
      </w:r>
    </w:p>
    <w:p>
      <w:pPr>
        <w:spacing w:line="560" w:lineRule="exact"/>
        <w:ind w:firstLine="642" w:firstLineChars="200"/>
        <w:rPr>
          <w:rFonts w:ascii="Times New Roman" w:hAnsi="Times New Roman" w:eastAsia="仿宋_GB2312" w:cs="Times New Roman"/>
          <w:color w:val="auto"/>
          <w:sz w:val="32"/>
          <w:szCs w:val="32"/>
        </w:rPr>
      </w:pPr>
      <w:r>
        <w:rPr>
          <w:rFonts w:hint="eastAsia" w:ascii="Times New Roman" w:hAnsi="Times New Roman" w:eastAsia="仿宋_GB2312" w:cs="Times New Roman"/>
          <w:b/>
          <w:bCs/>
          <w:color w:val="auto"/>
          <w:sz w:val="32"/>
          <w:szCs w:val="32"/>
        </w:rPr>
        <w:t>场景驱动，创新发展。</w:t>
      </w:r>
      <w:r>
        <w:rPr>
          <w:rFonts w:hint="eastAsia" w:ascii="Times New Roman" w:hAnsi="Times New Roman" w:eastAsia="仿宋_GB2312" w:cs="Times New Roman"/>
          <w:color w:val="auto"/>
          <w:sz w:val="32"/>
          <w:szCs w:val="32"/>
        </w:rPr>
        <w:t>聚焦低空文旅消费、山区低空货运物流、公共服务等领域，推动场景示范引领和规模化应用。深度挖掘乐山市在推进新型工业化、城镇化、信息化、农业农村现代化等进程中产生的丰富需求与场景，强化应用牵引，激发市场活力。</w:t>
      </w:r>
      <w:bookmarkStart w:id="51" w:name="OLE_LINK17"/>
      <w:r>
        <w:rPr>
          <w:rFonts w:hint="eastAsia" w:ascii="Times New Roman" w:hAnsi="Times New Roman" w:eastAsia="仿宋_GB2312" w:cs="Times New Roman"/>
          <w:color w:val="auto"/>
          <w:sz w:val="32"/>
          <w:szCs w:val="32"/>
        </w:rPr>
        <w:t>坚持以产业发展与应用场景需求为导向</w:t>
      </w:r>
      <w:bookmarkEnd w:id="51"/>
      <w:r>
        <w:rPr>
          <w:rFonts w:hint="eastAsia" w:ascii="Times New Roman" w:hAnsi="Times New Roman" w:eastAsia="仿宋_GB2312" w:cs="Times New Roman"/>
          <w:color w:val="auto"/>
          <w:sz w:val="32"/>
          <w:szCs w:val="32"/>
        </w:rPr>
        <w:t>，夯实低空空域、起降设施、信息设施、智能网联系统等低空飞行保障体系，持续培育新场景、探索新业态，为低空经济发展注入持久动能。</w:t>
      </w:r>
    </w:p>
    <w:p>
      <w:pPr>
        <w:spacing w:line="560" w:lineRule="exact"/>
        <w:ind w:firstLine="642" w:firstLineChars="200"/>
        <w:rPr>
          <w:rFonts w:ascii="Times New Roman" w:hAnsi="Times New Roman" w:eastAsia="仿宋_GB2312" w:cs="Times New Roman"/>
          <w:color w:val="auto"/>
          <w:sz w:val="32"/>
          <w:szCs w:val="32"/>
        </w:rPr>
      </w:pPr>
      <w:r>
        <w:rPr>
          <w:rFonts w:hint="eastAsia" w:ascii="Times New Roman" w:hAnsi="Times New Roman" w:eastAsia="仿宋_GB2312" w:cs="Times New Roman"/>
          <w:b/>
          <w:bCs/>
          <w:color w:val="auto"/>
          <w:sz w:val="32"/>
          <w:szCs w:val="32"/>
        </w:rPr>
        <w:t>开放合作，协同发展</w:t>
      </w:r>
      <w:r>
        <w:rPr>
          <w:rFonts w:hint="eastAsia" w:ascii="Times New Roman" w:hAnsi="Times New Roman" w:eastAsia="仿宋_GB2312" w:cs="Times New Roman"/>
          <w:color w:val="auto"/>
          <w:sz w:val="32"/>
          <w:szCs w:val="32"/>
        </w:rPr>
        <w:t>。立足乐山市区位优势，深度联动省内成都、绵阳、自贡等地低空产业资源，主动融入成渝低空经济带建设；依托绍兴与乐山东西部协作机制，深化与长三角等先发地区的交流合作。以低空生产性服务业为突破口，拓展低空服务配套，集成低空产业链条，推动跨区域产业协作、平台共享、场景共建，提升乐山在区域低空经济生态中的嵌入度与影响力，实现优势互补、合作共赢的发展局面。</w:t>
      </w:r>
    </w:p>
    <w:p>
      <w:pPr>
        <w:spacing w:line="560" w:lineRule="exact"/>
        <w:ind w:firstLine="642" w:firstLineChars="200"/>
        <w:rPr>
          <w:rFonts w:ascii="Times New Roman" w:hAnsi="Times New Roman" w:eastAsia="仿宋_GB2312" w:cs="Times New Roman"/>
          <w:color w:val="auto"/>
          <w:sz w:val="32"/>
          <w:szCs w:val="32"/>
        </w:rPr>
      </w:pPr>
      <w:r>
        <w:rPr>
          <w:rFonts w:hint="eastAsia" w:ascii="Times New Roman" w:hAnsi="Times New Roman" w:eastAsia="仿宋_GB2312" w:cs="Times New Roman"/>
          <w:b/>
          <w:bCs/>
          <w:color w:val="auto"/>
          <w:sz w:val="32"/>
          <w:szCs w:val="32"/>
        </w:rPr>
        <w:t>安全为本，健康发展。</w:t>
      </w:r>
      <w:r>
        <w:rPr>
          <w:rFonts w:hint="eastAsia" w:ascii="Times New Roman" w:hAnsi="Times New Roman" w:eastAsia="仿宋_GB2312" w:cs="Times New Roman"/>
          <w:color w:val="auto"/>
          <w:kern w:val="0"/>
          <w:sz w:val="32"/>
          <w:szCs w:val="32"/>
        </w:rPr>
        <w:t>统筹发展和安全的关系，</w:t>
      </w:r>
      <w:bookmarkStart w:id="52" w:name="OLE_LINK22"/>
      <w:r>
        <w:rPr>
          <w:rFonts w:hint="eastAsia" w:ascii="Times New Roman" w:hAnsi="Times New Roman" w:eastAsia="仿宋_GB2312" w:cs="Times New Roman"/>
          <w:color w:val="auto"/>
          <w:kern w:val="0"/>
          <w:sz w:val="32"/>
          <w:szCs w:val="32"/>
        </w:rPr>
        <w:t>坚持底线思维，</w:t>
      </w:r>
      <w:r>
        <w:rPr>
          <w:rFonts w:hint="eastAsia" w:ascii="Times New Roman" w:hAnsi="Times New Roman" w:eastAsia="仿宋_GB2312" w:cs="Times New Roman"/>
          <w:color w:val="auto"/>
          <w:sz w:val="32"/>
          <w:szCs w:val="32"/>
        </w:rPr>
        <w:t>牢固树立安全发展理念，</w:t>
      </w:r>
      <w:bookmarkEnd w:id="52"/>
      <w:r>
        <w:rPr>
          <w:rFonts w:hint="eastAsia" w:ascii="Times New Roman" w:hAnsi="Times New Roman" w:eastAsia="仿宋_GB2312" w:cs="Times New Roman"/>
          <w:color w:val="auto"/>
          <w:sz w:val="32"/>
          <w:szCs w:val="32"/>
        </w:rPr>
        <w:t>严格遵循低空安全法律法规和制度标准要求，构建管理科学、技术先进、综合防御、积极防范的低空经济安全保障体系，保障低空空域使用安全有序，引导低空飞行活动合法合规。坚持低空经济和低空安全同步建设、统筹发展，在维护飞行安全、公共安全、空防安全、信息安全等基础上，促进低空经济高质量发展和高水平安全良性互动。</w:t>
      </w:r>
    </w:p>
    <w:p>
      <w:pPr>
        <w:snapToGrid w:val="0"/>
        <w:spacing w:line="560" w:lineRule="exact"/>
        <w:ind w:firstLine="664" w:firstLineChars="200"/>
        <w:outlineLvl w:val="1"/>
        <w:rPr>
          <w:rFonts w:ascii="Times New Roman" w:hAnsi="Times New Roman" w:eastAsia="楷体_GB2312" w:cs="Times New Roman"/>
          <w:color w:val="auto"/>
          <w:spacing w:val="6"/>
          <w:sz w:val="32"/>
          <w:szCs w:val="32"/>
        </w:rPr>
      </w:pPr>
      <w:bookmarkStart w:id="53" w:name="_Toc19940"/>
      <w:bookmarkStart w:id="54" w:name="_Toc220270447"/>
      <w:bookmarkStart w:id="55" w:name="_Toc207125758"/>
      <w:r>
        <w:rPr>
          <w:rFonts w:hint="eastAsia" w:ascii="Times New Roman" w:hAnsi="Times New Roman" w:eastAsia="楷体_GB2312" w:cs="Times New Roman"/>
          <w:color w:val="auto"/>
          <w:spacing w:val="6"/>
          <w:sz w:val="32"/>
          <w:szCs w:val="32"/>
        </w:rPr>
        <w:t>（三）发展定位</w:t>
      </w:r>
      <w:bookmarkEnd w:id="53"/>
      <w:bookmarkEnd w:id="54"/>
      <w:bookmarkEnd w:id="55"/>
    </w:p>
    <w:p>
      <w:pPr>
        <w:spacing w:line="560" w:lineRule="exact"/>
        <w:ind w:firstLine="640" w:firstLineChars="200"/>
        <w:rPr>
          <w:rFonts w:ascii="Times New Roman" w:hAnsi="Times New Roman" w:eastAsia="仿宋_GB2312" w:cs="Times New Roman"/>
          <w:color w:val="auto"/>
          <w:sz w:val="32"/>
          <w:szCs w:val="32"/>
        </w:rPr>
      </w:pPr>
      <w:bookmarkStart w:id="56" w:name="OLE_LINK15"/>
      <w:r>
        <w:rPr>
          <w:rFonts w:hint="eastAsia" w:ascii="Times New Roman" w:hAnsi="Times New Roman" w:eastAsia="仿宋_GB2312" w:cs="Times New Roman"/>
          <w:color w:val="auto"/>
          <w:sz w:val="32"/>
          <w:szCs w:val="32"/>
        </w:rPr>
        <w:t>推动乐山优势产业与低空经济深度融合</w:t>
      </w:r>
      <w:bookmarkEnd w:id="56"/>
      <w:r>
        <w:rPr>
          <w:rFonts w:hint="eastAsia" w:ascii="Times New Roman" w:hAnsi="Times New Roman" w:eastAsia="仿宋_GB2312" w:cs="Times New Roman"/>
          <w:color w:val="auto"/>
          <w:sz w:val="32"/>
          <w:szCs w:val="32"/>
        </w:rPr>
        <w:t>，围绕低空生产制造及服务、特色场景应用示范两条主线，加快推动全省低空装备制造集聚地、西部地区低空先进材料核心地、全国低空交旅融合示范地建设。</w:t>
      </w:r>
    </w:p>
    <w:p>
      <w:pPr>
        <w:spacing w:line="560" w:lineRule="exact"/>
        <w:ind w:firstLine="642" w:firstLineChars="200"/>
        <w:rPr>
          <w:rFonts w:ascii="Times New Roman" w:hAnsi="Times New Roman" w:eastAsia="仿宋_GB2312" w:cs="Times New Roman"/>
          <w:color w:val="auto"/>
          <w:sz w:val="32"/>
          <w:szCs w:val="32"/>
        </w:rPr>
      </w:pPr>
      <w:r>
        <w:rPr>
          <w:rFonts w:hint="eastAsia" w:ascii="Times New Roman" w:hAnsi="Times New Roman" w:eastAsia="仿宋_GB2312" w:cs="Times New Roman"/>
          <w:b/>
          <w:bCs/>
          <w:color w:val="auto"/>
          <w:sz w:val="32"/>
          <w:szCs w:val="32"/>
        </w:rPr>
        <w:t>全省低空装备制造集聚地</w:t>
      </w:r>
      <w:r>
        <w:rPr>
          <w:rFonts w:hint="eastAsia" w:ascii="Times New Roman" w:hAnsi="Times New Roman" w:eastAsia="仿宋_GB2312" w:cs="Times New Roman"/>
          <w:color w:val="auto"/>
          <w:sz w:val="32"/>
          <w:szCs w:val="32"/>
        </w:rPr>
        <w:t>。积极融入四川省建设西部低空经济发展高地的战略布局，依托材料优势拓展低空研发制造产业链条，重点发展丘陵山区低空飞行农业装备、长续航大载重物流无人机、洪涝灾情感知无人机系统装备、多场景应急侦测搜索智能无人机装备以及先进构型eVTOL等整机产品，大力引育链主企业，强化产业链上下游配套，建设完善检验检测、测试试飞等公共服务平台，推动生产性服务业与先进制造业深度融合、互促共进，打造特色鲜明、集聚效应突出的低空先进制造集群。</w:t>
      </w:r>
    </w:p>
    <w:p>
      <w:pPr>
        <w:spacing w:line="560" w:lineRule="exact"/>
        <w:ind w:firstLine="642" w:firstLineChars="200"/>
        <w:rPr>
          <w:rFonts w:ascii="Times New Roman" w:hAnsi="Times New Roman" w:eastAsia="仿宋_GB2312" w:cs="Times New Roman"/>
          <w:color w:val="auto"/>
          <w:sz w:val="32"/>
          <w:szCs w:val="32"/>
        </w:rPr>
      </w:pPr>
      <w:r>
        <w:rPr>
          <w:rFonts w:hint="eastAsia" w:ascii="Times New Roman" w:hAnsi="Times New Roman" w:eastAsia="仿宋_GB2312" w:cs="Times New Roman"/>
          <w:b/>
          <w:bCs/>
          <w:color w:val="auto"/>
          <w:sz w:val="32"/>
          <w:szCs w:val="32"/>
        </w:rPr>
        <w:t>西部地区低空先进材料核心地</w:t>
      </w:r>
      <w:r>
        <w:rPr>
          <w:rFonts w:hint="eastAsia" w:ascii="Times New Roman" w:hAnsi="Times New Roman" w:eastAsia="仿宋_GB2312" w:cs="Times New Roman"/>
          <w:color w:val="auto"/>
          <w:sz w:val="32"/>
          <w:szCs w:val="32"/>
        </w:rPr>
        <w:t>。依托乐山在航空复合材料、高温合金、特种金属等领域的先发优势和产业基础，面向低空航空器对轻量化、高强度、耐极端环境材料的需求，高水平建设低空先进材料研发中心、概念验证中心、成果转化基地，加速本土材料企业技术能级跃升，推动与西部地区乃至全国航空制造企业深度合作，聚力突破关键材料制备技术瓶颈，提升高性能材料自主保障能力与规模化应用水平，持续增强低空先进材料供给力与技术引领力。</w:t>
      </w:r>
    </w:p>
    <w:p>
      <w:pPr>
        <w:spacing w:line="560" w:lineRule="exact"/>
        <w:ind w:firstLine="642" w:firstLineChars="200"/>
        <w:rPr>
          <w:rFonts w:hint="eastAsia" w:ascii="仿宋_GB2312" w:hAnsi="仿宋_GB2312" w:eastAsia="仿宋_GB2312" w:cs="仿宋_GB2312"/>
          <w:color w:val="auto"/>
          <w:sz w:val="32"/>
          <w:szCs w:val="32"/>
        </w:rPr>
      </w:pPr>
      <w:r>
        <w:rPr>
          <w:rFonts w:hint="eastAsia" w:ascii="Times New Roman" w:hAnsi="Times New Roman" w:eastAsia="仿宋_GB2312" w:cs="Times New Roman"/>
          <w:b/>
          <w:bCs/>
          <w:color w:val="auto"/>
          <w:sz w:val="32"/>
          <w:szCs w:val="32"/>
        </w:rPr>
        <w:t>全国低空交旅融合示范地。</w:t>
      </w:r>
      <w:r>
        <w:rPr>
          <w:rFonts w:hint="eastAsia" w:ascii="Times New Roman" w:hAnsi="Times New Roman" w:eastAsia="仿宋_GB2312" w:cs="Times New Roman"/>
          <w:color w:val="auto"/>
          <w:sz w:val="32"/>
          <w:szCs w:val="32"/>
        </w:rPr>
        <w:t>抢抓四川省打造交旅融合发展示范区的战略机遇，依托峨眉山、乐山大佛等世界级文旅资源，深度融合低空新技术新产品，创新打造具有全国标杆示范意义的低空交旅融合新模式，大力开发空中游览、飞行体验、科普研学、航空运动等特色产品，推动共同开发串联九寨沟、都江堰、青城山等景区的低空观光旅游航线，</w:t>
      </w:r>
      <w:r>
        <w:rPr>
          <w:rFonts w:hint="eastAsia" w:ascii="仿宋_GB2312" w:hAnsi="仿宋_GB2312" w:eastAsia="仿宋_GB2312" w:cs="仿宋_GB2312"/>
          <w:color w:val="auto"/>
          <w:sz w:val="32"/>
          <w:szCs w:val="32"/>
        </w:rPr>
        <w:t>构建“空景联动、快旅慢游”的低空航线网络，探索低空交旅融合标准体系，打造交旅融合示范在低空维度的“乐山样板”。</w:t>
      </w:r>
    </w:p>
    <w:p>
      <w:pPr>
        <w:snapToGrid w:val="0"/>
        <w:spacing w:line="560" w:lineRule="exact"/>
        <w:ind w:firstLine="664" w:firstLineChars="200"/>
        <w:outlineLvl w:val="1"/>
        <w:rPr>
          <w:rFonts w:ascii="Times New Roman" w:hAnsi="Times New Roman" w:eastAsia="楷体_GB2312" w:cs="Times New Roman"/>
          <w:color w:val="auto"/>
          <w:spacing w:val="6"/>
          <w:sz w:val="32"/>
          <w:szCs w:val="32"/>
        </w:rPr>
      </w:pPr>
      <w:bookmarkStart w:id="57" w:name="_Toc27127"/>
      <w:bookmarkStart w:id="58" w:name="_Toc207125759"/>
      <w:bookmarkStart w:id="59" w:name="_Toc220270448"/>
      <w:r>
        <w:rPr>
          <w:rFonts w:hint="eastAsia" w:ascii="Times New Roman" w:hAnsi="Times New Roman" w:eastAsia="楷体_GB2312" w:cs="Times New Roman"/>
          <w:color w:val="auto"/>
          <w:spacing w:val="6"/>
          <w:sz w:val="32"/>
          <w:szCs w:val="32"/>
        </w:rPr>
        <w:t>（四）发展目标</w:t>
      </w:r>
      <w:bookmarkEnd w:id="57"/>
      <w:bookmarkEnd w:id="58"/>
      <w:bookmarkEnd w:id="59"/>
    </w:p>
    <w:p>
      <w:pPr>
        <w:spacing w:line="560" w:lineRule="exact"/>
        <w:ind w:firstLine="642" w:firstLineChars="200"/>
        <w:outlineLvl w:val="2"/>
        <w:rPr>
          <w:rFonts w:ascii="Times New Roman" w:hAnsi="Times New Roman" w:eastAsia="仿宋_GB2312" w:cs="Times New Roman"/>
          <w:b/>
          <w:bCs/>
          <w:color w:val="auto"/>
          <w:sz w:val="32"/>
          <w:szCs w:val="32"/>
        </w:rPr>
      </w:pPr>
      <w:bookmarkStart w:id="60" w:name="_Toc207125760"/>
      <w:bookmarkStart w:id="61" w:name="_Toc220270449"/>
      <w:bookmarkStart w:id="62" w:name="_Toc1400"/>
      <w:r>
        <w:rPr>
          <w:rFonts w:hint="eastAsia" w:ascii="Times New Roman" w:hAnsi="Times New Roman" w:eastAsia="仿宋_GB2312" w:cs="Times New Roman"/>
          <w:b/>
          <w:bCs/>
          <w:color w:val="auto"/>
          <w:sz w:val="32"/>
          <w:szCs w:val="32"/>
        </w:rPr>
        <w:t>1.近期：2027年发展目标</w:t>
      </w:r>
      <w:bookmarkEnd w:id="60"/>
      <w:bookmarkEnd w:id="61"/>
      <w:bookmarkEnd w:id="62"/>
    </w:p>
    <w:p>
      <w:pPr>
        <w:spacing w:line="560" w:lineRule="exact"/>
        <w:ind w:firstLine="640" w:firstLineChars="200"/>
        <w:rPr>
          <w:rFonts w:ascii="Times New Roman" w:hAnsi="Times New Roman" w:eastAsia="仿宋_GB2312" w:cs="Times New Roman"/>
          <w:color w:val="auto"/>
          <w:sz w:val="32"/>
          <w:szCs w:val="32"/>
        </w:rPr>
      </w:pPr>
      <w:r>
        <w:rPr>
          <w:rFonts w:hint="eastAsia" w:ascii="Times New Roman" w:hAnsi="Times New Roman" w:eastAsia="仿宋_GB2312" w:cs="Times New Roman"/>
          <w:color w:val="auto"/>
          <w:sz w:val="32"/>
          <w:szCs w:val="32"/>
        </w:rPr>
        <w:t>到2027年，以先进材料、整机集成等为特色的低空制造体系基本建成，全市低空基础设施基本完善，</w:t>
      </w:r>
      <w:r>
        <w:rPr>
          <w:rFonts w:hint="eastAsia" w:ascii="Times New Roman" w:hAnsi="Times New Roman" w:eastAsia="仿宋_GB2312" w:cs="Times New Roman"/>
          <w:color w:val="auto"/>
          <w:kern w:val="0"/>
          <w:sz w:val="32"/>
          <w:szCs w:val="32"/>
        </w:rPr>
        <w:t>低空应用场景持续拓展，“全省低空装备制造集聚地、西部地区低空先进材料核心地、全国低空交旅融合示范地”建设取得初步成效</w:t>
      </w:r>
      <w:r>
        <w:rPr>
          <w:rFonts w:hint="eastAsia" w:ascii="Times New Roman" w:hAnsi="Times New Roman" w:eastAsia="仿宋_GB2312" w:cs="Times New Roman"/>
          <w:color w:val="auto"/>
          <w:sz w:val="32"/>
          <w:szCs w:val="32"/>
        </w:rPr>
        <w:t>。</w:t>
      </w:r>
    </w:p>
    <w:p>
      <w:pPr>
        <w:spacing w:line="560" w:lineRule="exact"/>
        <w:ind w:firstLine="642" w:firstLineChars="200"/>
        <w:rPr>
          <w:rFonts w:ascii="Times New Roman" w:hAnsi="Times New Roman" w:eastAsia="仿宋_GB2312" w:cs="Times New Roman"/>
          <w:color w:val="auto"/>
          <w:sz w:val="32"/>
          <w:szCs w:val="32"/>
        </w:rPr>
      </w:pPr>
      <w:r>
        <w:rPr>
          <w:rFonts w:hint="eastAsia" w:ascii="Times New Roman" w:hAnsi="Times New Roman" w:eastAsia="仿宋_GB2312" w:cs="Times New Roman"/>
          <w:b/>
          <w:bCs/>
          <w:color w:val="auto"/>
          <w:sz w:val="32"/>
          <w:szCs w:val="32"/>
        </w:rPr>
        <w:t>——产业规模快速增长。</w:t>
      </w:r>
      <w:r>
        <w:rPr>
          <w:rFonts w:hint="eastAsia" w:ascii="Times New Roman" w:hAnsi="Times New Roman" w:eastAsia="仿宋_GB2312" w:cs="Times New Roman"/>
          <w:color w:val="auto"/>
          <w:sz w:val="32"/>
          <w:szCs w:val="32"/>
        </w:rPr>
        <w:t>低空先进材料供给竞争力持续提升，力争全市低空航空器整机研制企业不少于3家、</w:t>
      </w:r>
      <w:r>
        <w:rPr>
          <w:rFonts w:hint="eastAsia" w:ascii="仿宋_GB2312" w:hAnsi="仿宋_GB2312" w:eastAsia="仿宋_GB2312" w:cs="仿宋_GB2312"/>
          <w:color w:val="auto"/>
          <w:kern w:val="0"/>
          <w:sz w:val="32"/>
          <w:szCs w:val="32"/>
        </w:rPr>
        <w:t>“链主”</w:t>
      </w:r>
      <w:r>
        <w:rPr>
          <w:rFonts w:hint="eastAsia" w:ascii="Times New Roman" w:hAnsi="Times New Roman" w:eastAsia="仿宋_GB2312" w:cs="Times New Roman"/>
          <w:color w:val="auto"/>
          <w:kern w:val="0"/>
          <w:sz w:val="32"/>
          <w:szCs w:val="32"/>
        </w:rPr>
        <w:t>企业1家、</w:t>
      </w:r>
      <w:r>
        <w:rPr>
          <w:rFonts w:hint="eastAsia" w:ascii="Times New Roman" w:hAnsi="Times New Roman" w:eastAsia="仿宋_GB2312" w:cs="Times New Roman"/>
          <w:color w:val="auto"/>
          <w:sz w:val="32"/>
          <w:szCs w:val="32"/>
        </w:rPr>
        <w:t>链上企业数量突破50家、产业规模达到</w:t>
      </w:r>
      <w:r>
        <w:rPr>
          <w:rFonts w:ascii="Times New Roman" w:hAnsi="Times New Roman" w:eastAsia="仿宋_GB2312" w:cs="Times New Roman"/>
          <w:color w:val="auto"/>
          <w:sz w:val="32"/>
          <w:szCs w:val="32"/>
        </w:rPr>
        <w:t>1</w:t>
      </w:r>
      <w:r>
        <w:rPr>
          <w:rFonts w:hint="eastAsia" w:ascii="Times New Roman" w:hAnsi="Times New Roman" w:eastAsia="仿宋_GB2312" w:cs="Times New Roman"/>
          <w:color w:val="auto"/>
          <w:sz w:val="32"/>
          <w:szCs w:val="32"/>
        </w:rPr>
        <w:t>00亿元。</w:t>
      </w:r>
    </w:p>
    <w:p>
      <w:pPr>
        <w:spacing w:line="560" w:lineRule="exact"/>
        <w:ind w:firstLine="642" w:firstLineChars="200"/>
        <w:rPr>
          <w:rFonts w:ascii="Times New Roman" w:hAnsi="Times New Roman" w:eastAsia="仿宋_GB2312" w:cs="Times New Roman"/>
          <w:color w:val="auto"/>
          <w:sz w:val="32"/>
          <w:szCs w:val="32"/>
        </w:rPr>
      </w:pPr>
      <w:r>
        <w:rPr>
          <w:rFonts w:hint="eastAsia" w:ascii="Times New Roman" w:hAnsi="Times New Roman" w:eastAsia="仿宋_GB2312" w:cs="Times New Roman"/>
          <w:b/>
          <w:bCs/>
          <w:color w:val="auto"/>
          <w:sz w:val="32"/>
          <w:szCs w:val="32"/>
        </w:rPr>
        <w:t>——基础设施基本完善。</w:t>
      </w:r>
      <w:r>
        <w:rPr>
          <w:rFonts w:hint="eastAsia" w:ascii="Times New Roman" w:hAnsi="Times New Roman" w:eastAsia="仿宋_GB2312" w:cs="Times New Roman"/>
          <w:color w:val="auto"/>
          <w:sz w:val="32"/>
          <w:szCs w:val="32"/>
        </w:rPr>
        <w:t>服务产业发展和典型应用场景需求，累计建成各类无人机、直升机、eVTOL起降设施不少于</w:t>
      </w:r>
      <w:r>
        <w:rPr>
          <w:rFonts w:ascii="Times New Roman" w:hAnsi="Times New Roman" w:eastAsia="仿宋_GB2312" w:cs="Times New Roman"/>
          <w:color w:val="auto"/>
          <w:sz w:val="32"/>
          <w:szCs w:val="32"/>
        </w:rPr>
        <w:t>100</w:t>
      </w:r>
      <w:r>
        <w:rPr>
          <w:rFonts w:hint="eastAsia" w:ascii="Times New Roman" w:hAnsi="Times New Roman" w:eastAsia="仿宋_GB2312" w:cs="Times New Roman"/>
          <w:color w:val="auto"/>
          <w:sz w:val="32"/>
          <w:szCs w:val="32"/>
        </w:rPr>
        <w:t>个，低空航空器测试试飞基地2个，低空智能网联设施体系初步搭建。</w:t>
      </w:r>
    </w:p>
    <w:p>
      <w:pPr>
        <w:spacing w:line="560" w:lineRule="exact"/>
        <w:ind w:firstLine="642" w:firstLineChars="200"/>
        <w:rPr>
          <w:rFonts w:ascii="Times New Roman" w:hAnsi="Times New Roman" w:eastAsia="仿宋_GB2312" w:cs="Times New Roman"/>
          <w:color w:val="auto"/>
          <w:sz w:val="32"/>
          <w:szCs w:val="32"/>
        </w:rPr>
      </w:pPr>
      <w:r>
        <w:rPr>
          <w:rFonts w:hint="eastAsia" w:ascii="Times New Roman" w:hAnsi="Times New Roman" w:eastAsia="仿宋_GB2312" w:cs="Times New Roman"/>
          <w:b/>
          <w:bCs/>
          <w:color w:val="auto"/>
          <w:sz w:val="32"/>
          <w:szCs w:val="32"/>
        </w:rPr>
        <w:t>——应用场景形成示范</w:t>
      </w:r>
      <w:r>
        <w:rPr>
          <w:rFonts w:hint="eastAsia" w:ascii="Times New Roman" w:hAnsi="Times New Roman" w:eastAsia="仿宋_GB2312" w:cs="Times New Roman"/>
          <w:color w:val="auto"/>
          <w:sz w:val="32"/>
          <w:szCs w:val="32"/>
        </w:rPr>
        <w:t>。重点围绕文旅消费、生产作业、公共服务、低空交通等领域开展场景创新、商业验证和大规模应用，打造交通运输与旅游融合发展、</w:t>
      </w:r>
      <w:r>
        <w:rPr>
          <w:rFonts w:hint="eastAsia" w:ascii="仿宋_GB2312" w:hAnsi="仿宋_GB2312" w:eastAsia="仿宋_GB2312" w:cs="仿宋_GB2312"/>
          <w:color w:val="auto"/>
          <w:sz w:val="32"/>
          <w:szCs w:val="32"/>
        </w:rPr>
        <w:t>公共数据“跑起来”、农用无人机大载重吊运、“农用无人机+植保、播种、施肥”、</w:t>
      </w:r>
      <w:r>
        <w:rPr>
          <w:rFonts w:hint="eastAsia" w:ascii="Times New Roman" w:hAnsi="Times New Roman" w:eastAsia="仿宋_GB2312" w:cs="Times New Roman"/>
          <w:color w:val="auto"/>
          <w:sz w:val="32"/>
          <w:szCs w:val="32"/>
        </w:rPr>
        <w:t>无人机物流运输配送等5个省级乃至国家级示范场景。</w:t>
      </w:r>
      <w:r>
        <w:rPr>
          <w:rFonts w:hint="eastAsia" w:ascii="Times New Roman" w:hAnsi="Times New Roman" w:eastAsia="仿宋_GB2312" w:cs="Times New Roman"/>
          <w:color w:val="auto"/>
          <w:kern w:val="0"/>
          <w:sz w:val="32"/>
          <w:szCs w:val="32"/>
        </w:rPr>
        <w:t>围绕低空文旅消费，开通4条</w:t>
      </w:r>
      <w:r>
        <w:rPr>
          <w:rFonts w:hint="eastAsia" w:ascii="Times New Roman" w:hAnsi="Times New Roman" w:eastAsia="仿宋_GB2312" w:cs="Times New Roman"/>
          <w:color w:val="auto"/>
          <w:sz w:val="32"/>
          <w:szCs w:val="32"/>
        </w:rPr>
        <w:t>低空通景航线、打造6个以上低空文旅精品项目；围绕低空物流，开通6条常态化运营的无人机货运航线。</w:t>
      </w:r>
    </w:p>
    <w:p>
      <w:pPr>
        <w:spacing w:line="560" w:lineRule="exact"/>
        <w:ind w:firstLine="642" w:firstLineChars="200"/>
        <w:outlineLvl w:val="2"/>
        <w:rPr>
          <w:rFonts w:ascii="Times New Roman" w:hAnsi="Times New Roman" w:eastAsia="仿宋_GB2312" w:cs="Times New Roman"/>
          <w:b/>
          <w:bCs/>
          <w:color w:val="auto"/>
          <w:sz w:val="32"/>
          <w:szCs w:val="32"/>
        </w:rPr>
      </w:pPr>
      <w:bookmarkStart w:id="63" w:name="_Toc220270450"/>
      <w:bookmarkStart w:id="64" w:name="_Toc207125761"/>
      <w:bookmarkStart w:id="65" w:name="_Toc20727"/>
      <w:r>
        <w:rPr>
          <w:rFonts w:hint="eastAsia" w:ascii="Times New Roman" w:hAnsi="Times New Roman" w:eastAsia="仿宋_GB2312" w:cs="Times New Roman"/>
          <w:b/>
          <w:bCs/>
          <w:color w:val="auto"/>
          <w:sz w:val="32"/>
          <w:szCs w:val="32"/>
        </w:rPr>
        <w:t>2.中期：2030年发展目标</w:t>
      </w:r>
      <w:bookmarkEnd w:id="63"/>
      <w:bookmarkEnd w:id="64"/>
      <w:bookmarkEnd w:id="65"/>
    </w:p>
    <w:p>
      <w:pPr>
        <w:spacing w:line="560" w:lineRule="exact"/>
        <w:ind w:firstLine="640" w:firstLineChars="200"/>
        <w:rPr>
          <w:rFonts w:ascii="Times New Roman" w:hAnsi="Times New Roman" w:eastAsia="仿宋_GB2312" w:cs="Times New Roman"/>
          <w:color w:val="auto"/>
          <w:kern w:val="0"/>
          <w:sz w:val="32"/>
          <w:szCs w:val="32"/>
        </w:rPr>
      </w:pPr>
      <w:r>
        <w:rPr>
          <w:rFonts w:hint="eastAsia" w:ascii="Times New Roman" w:hAnsi="Times New Roman" w:eastAsia="仿宋_GB2312" w:cs="Times New Roman"/>
          <w:color w:val="auto"/>
          <w:kern w:val="0"/>
          <w:sz w:val="32"/>
          <w:szCs w:val="32"/>
        </w:rPr>
        <w:t>到2030年，培育形成一批具有乐山辨识度的场景创新解决方案和低空经济链主企业，建成运行高效、保障有力的低空飞行服务保障体系，</w:t>
      </w:r>
      <w:r>
        <w:rPr>
          <w:rFonts w:hint="eastAsia" w:ascii="仿宋_GB2312" w:hAnsi="仿宋_GB2312" w:eastAsia="仿宋_GB2312" w:cs="仿宋_GB2312"/>
          <w:color w:val="auto"/>
          <w:kern w:val="0"/>
          <w:sz w:val="32"/>
          <w:szCs w:val="32"/>
        </w:rPr>
        <w:t>“全省低空装备制造集聚地、西部地区低空先进材料核心地、全国低空交旅融合示范地”</w:t>
      </w:r>
      <w:r>
        <w:rPr>
          <w:rFonts w:hint="eastAsia" w:ascii="Times New Roman" w:hAnsi="Times New Roman" w:eastAsia="仿宋_GB2312" w:cs="Times New Roman"/>
          <w:color w:val="auto"/>
          <w:sz w:val="32"/>
          <w:szCs w:val="32"/>
        </w:rPr>
        <w:t>三个发展定位的引领作用全面凸显</w:t>
      </w:r>
      <w:r>
        <w:rPr>
          <w:rFonts w:hint="eastAsia" w:ascii="Times New Roman" w:hAnsi="Times New Roman" w:eastAsia="仿宋_GB2312" w:cs="Times New Roman"/>
          <w:color w:val="auto"/>
          <w:kern w:val="0"/>
          <w:sz w:val="32"/>
          <w:szCs w:val="32"/>
        </w:rPr>
        <w:t>，低空经济成为乐山高质量发展重要支柱。</w:t>
      </w:r>
    </w:p>
    <w:p>
      <w:pPr>
        <w:spacing w:line="560" w:lineRule="exact"/>
        <w:ind w:firstLine="642" w:firstLineChars="200"/>
        <w:rPr>
          <w:rFonts w:ascii="Times New Roman" w:hAnsi="Times New Roman" w:eastAsia="仿宋_GB2312" w:cs="Times New Roman"/>
          <w:color w:val="auto"/>
          <w:sz w:val="32"/>
          <w:szCs w:val="32"/>
        </w:rPr>
      </w:pPr>
      <w:r>
        <w:rPr>
          <w:rFonts w:hint="eastAsia" w:ascii="Times New Roman" w:hAnsi="Times New Roman" w:eastAsia="仿宋_GB2312" w:cs="Times New Roman"/>
          <w:b/>
          <w:bCs/>
          <w:color w:val="auto"/>
          <w:sz w:val="32"/>
          <w:szCs w:val="32"/>
        </w:rPr>
        <w:t>——产业能级显著提升。</w:t>
      </w:r>
      <w:r>
        <w:rPr>
          <w:rFonts w:hint="eastAsia" w:ascii="Times New Roman" w:hAnsi="Times New Roman" w:eastAsia="仿宋_GB2312" w:cs="Times New Roman"/>
          <w:color w:val="auto"/>
          <w:kern w:val="0"/>
          <w:sz w:val="32"/>
          <w:szCs w:val="32"/>
        </w:rPr>
        <w:t>低空先进材料产业具有全球竞争力，装备制造集群效应凸显，低空产业链条更加完善并向高端延伸，</w:t>
      </w:r>
      <w:r>
        <w:rPr>
          <w:rFonts w:hint="eastAsia" w:ascii="Times New Roman" w:hAnsi="Times New Roman" w:eastAsia="仿宋_GB2312" w:cs="Times New Roman"/>
          <w:color w:val="auto"/>
          <w:sz w:val="32"/>
          <w:szCs w:val="32"/>
        </w:rPr>
        <w:t>力争全市低空航空器整机研制企业不少于6家、</w:t>
      </w:r>
      <w:r>
        <w:rPr>
          <w:rFonts w:hint="eastAsia" w:ascii="仿宋_GB2312" w:hAnsi="仿宋_GB2312" w:eastAsia="仿宋_GB2312" w:cs="仿宋_GB2312"/>
          <w:color w:val="auto"/>
          <w:kern w:val="0"/>
          <w:sz w:val="32"/>
          <w:szCs w:val="32"/>
        </w:rPr>
        <w:t>“链主”</w:t>
      </w:r>
      <w:r>
        <w:rPr>
          <w:rFonts w:hint="eastAsia" w:ascii="Times New Roman" w:hAnsi="Times New Roman" w:eastAsia="仿宋_GB2312" w:cs="Times New Roman"/>
          <w:color w:val="auto"/>
          <w:kern w:val="0"/>
          <w:sz w:val="32"/>
          <w:szCs w:val="32"/>
        </w:rPr>
        <w:t>企业3家、</w:t>
      </w:r>
      <w:r>
        <w:rPr>
          <w:rFonts w:hint="eastAsia" w:ascii="Times New Roman" w:hAnsi="Times New Roman" w:eastAsia="仿宋_GB2312" w:cs="Times New Roman"/>
          <w:color w:val="auto"/>
          <w:sz w:val="32"/>
          <w:szCs w:val="32"/>
        </w:rPr>
        <w:t>链上企业数量突破100家、产业规模</w:t>
      </w:r>
      <w:r>
        <w:rPr>
          <w:rFonts w:hint="eastAsia" w:ascii="Times New Roman" w:hAnsi="Times New Roman" w:eastAsia="仿宋_GB2312" w:cs="Times New Roman"/>
          <w:color w:val="auto"/>
          <w:kern w:val="0"/>
          <w:sz w:val="32"/>
          <w:szCs w:val="32"/>
        </w:rPr>
        <w:t>突破200亿元</w:t>
      </w:r>
      <w:r>
        <w:rPr>
          <w:rFonts w:hint="eastAsia" w:ascii="Times New Roman" w:hAnsi="Times New Roman" w:eastAsia="仿宋_GB2312" w:cs="Times New Roman"/>
          <w:color w:val="auto"/>
          <w:sz w:val="32"/>
          <w:szCs w:val="32"/>
        </w:rPr>
        <w:t>。</w:t>
      </w:r>
    </w:p>
    <w:p>
      <w:pPr>
        <w:spacing w:line="560" w:lineRule="exact"/>
        <w:ind w:firstLine="642" w:firstLineChars="200"/>
        <w:rPr>
          <w:rFonts w:ascii="Times New Roman" w:hAnsi="Times New Roman" w:eastAsia="仿宋_GB2312" w:cs="Times New Roman"/>
          <w:b/>
          <w:bCs/>
          <w:color w:val="auto"/>
          <w:sz w:val="32"/>
          <w:szCs w:val="32"/>
        </w:rPr>
      </w:pPr>
      <w:r>
        <w:rPr>
          <w:rFonts w:hint="eastAsia" w:ascii="Times New Roman" w:hAnsi="Times New Roman" w:eastAsia="仿宋_GB2312" w:cs="Times New Roman"/>
          <w:b/>
          <w:bCs/>
          <w:color w:val="auto"/>
          <w:sz w:val="32"/>
          <w:szCs w:val="32"/>
        </w:rPr>
        <w:t>——基础设施高效支撑。</w:t>
      </w:r>
      <w:r>
        <w:rPr>
          <w:rFonts w:hint="eastAsia" w:ascii="Times New Roman" w:hAnsi="Times New Roman" w:eastAsia="仿宋_GB2312" w:cs="Times New Roman"/>
          <w:color w:val="auto"/>
          <w:kern w:val="0"/>
          <w:sz w:val="32"/>
          <w:szCs w:val="32"/>
        </w:rPr>
        <w:t>建成各级各类起降设施不少于300处，力争建成通用机场1个，低空航空器测试试飞基地功能完备、服务能力全国领先，</w:t>
      </w:r>
      <w:r>
        <w:rPr>
          <w:rFonts w:hint="eastAsia" w:ascii="Times New Roman" w:hAnsi="Times New Roman" w:eastAsia="仿宋_GB2312" w:cs="Times New Roman"/>
          <w:color w:val="auto"/>
          <w:sz w:val="32"/>
          <w:szCs w:val="32"/>
        </w:rPr>
        <w:t>低空新型基础设施覆盖范围和保障能力大幅提升、低空航路互联互通，</w:t>
      </w:r>
      <w:r>
        <w:rPr>
          <w:rFonts w:hint="eastAsia" w:ascii="Times New Roman" w:hAnsi="Times New Roman" w:eastAsia="仿宋_GB2312" w:cs="Times New Roman"/>
          <w:color w:val="auto"/>
          <w:kern w:val="0"/>
          <w:sz w:val="32"/>
          <w:szCs w:val="32"/>
        </w:rPr>
        <w:t>有效支撑各类场景规模化常态化运行。</w:t>
      </w:r>
    </w:p>
    <w:p>
      <w:pPr>
        <w:spacing w:line="560" w:lineRule="exact"/>
        <w:ind w:firstLine="642" w:firstLineChars="200"/>
        <w:rPr>
          <w:rFonts w:ascii="Times New Roman" w:hAnsi="Times New Roman" w:eastAsia="仿宋_GB2312" w:cs="Times New Roman"/>
          <w:color w:val="auto"/>
          <w:kern w:val="0"/>
          <w:sz w:val="32"/>
          <w:szCs w:val="32"/>
        </w:rPr>
      </w:pPr>
      <w:r>
        <w:rPr>
          <w:rFonts w:hint="eastAsia" w:ascii="Times New Roman" w:hAnsi="Times New Roman" w:eastAsia="仿宋_GB2312" w:cs="Times New Roman"/>
          <w:b/>
          <w:bCs/>
          <w:color w:val="auto"/>
          <w:kern w:val="0"/>
          <w:sz w:val="32"/>
          <w:szCs w:val="32"/>
        </w:rPr>
        <w:t>——场景示范成效显著。</w:t>
      </w:r>
      <w:r>
        <w:rPr>
          <w:rFonts w:hint="eastAsia" w:ascii="Times New Roman" w:hAnsi="Times New Roman" w:eastAsia="仿宋_GB2312" w:cs="Times New Roman"/>
          <w:color w:val="auto"/>
          <w:sz w:val="32"/>
          <w:szCs w:val="32"/>
        </w:rPr>
        <w:t>在文旅消费、生产作业、低空交通等领域实现商业化大规模应用，形成可复制、可推广的经验做法和运行规范，参与国家标准、行业标准制定；稳慎试点使用eVTOL开展空中游览、短途运输等城市空中交通业态；累计打造10个省级乃至国家级示范场景。</w:t>
      </w:r>
      <w:r>
        <w:rPr>
          <w:rFonts w:hint="eastAsia" w:ascii="Times New Roman" w:hAnsi="Times New Roman" w:eastAsia="仿宋_GB2312" w:cs="Times New Roman"/>
          <w:color w:val="auto"/>
          <w:kern w:val="0"/>
          <w:sz w:val="32"/>
          <w:szCs w:val="32"/>
        </w:rPr>
        <w:t>围绕低空文旅消费，开通10条</w:t>
      </w:r>
      <w:r>
        <w:rPr>
          <w:rFonts w:hint="eastAsia" w:ascii="Times New Roman" w:hAnsi="Times New Roman" w:eastAsia="仿宋_GB2312" w:cs="Times New Roman"/>
          <w:color w:val="auto"/>
          <w:sz w:val="32"/>
          <w:szCs w:val="32"/>
        </w:rPr>
        <w:t>低空通景航线、打造20个以上低空文旅精品项目；围绕低空物流，开通20条常态化运营的无人机货运航线。</w:t>
      </w:r>
    </w:p>
    <w:p>
      <w:pPr>
        <w:spacing w:line="560" w:lineRule="exact"/>
        <w:ind w:firstLine="642" w:firstLineChars="200"/>
        <w:outlineLvl w:val="2"/>
        <w:rPr>
          <w:rFonts w:ascii="Times New Roman" w:hAnsi="Times New Roman" w:eastAsia="仿宋_GB2312" w:cs="Times New Roman"/>
          <w:b/>
          <w:bCs/>
          <w:color w:val="auto"/>
          <w:sz w:val="32"/>
          <w:szCs w:val="32"/>
        </w:rPr>
      </w:pPr>
      <w:bookmarkStart w:id="66" w:name="_Toc220270451"/>
      <w:bookmarkStart w:id="67" w:name="_Toc207125762"/>
      <w:bookmarkStart w:id="68" w:name="_Toc3297"/>
      <w:r>
        <w:rPr>
          <w:rFonts w:hint="eastAsia" w:ascii="Times New Roman" w:hAnsi="Times New Roman" w:eastAsia="仿宋_GB2312" w:cs="Times New Roman"/>
          <w:b/>
          <w:bCs/>
          <w:color w:val="auto"/>
          <w:sz w:val="32"/>
          <w:szCs w:val="32"/>
        </w:rPr>
        <w:t>3.远期：2035年远景展望</w:t>
      </w:r>
      <w:bookmarkEnd w:id="66"/>
      <w:bookmarkEnd w:id="67"/>
      <w:bookmarkEnd w:id="68"/>
    </w:p>
    <w:p>
      <w:pPr>
        <w:pStyle w:val="32"/>
        <w:rPr>
          <w:rFonts w:ascii="Times New Roman" w:cs="Times New Roman"/>
          <w:color w:val="auto"/>
        </w:rPr>
      </w:pPr>
      <w:r>
        <w:rPr>
          <w:rFonts w:hint="eastAsia" w:ascii="Times New Roman" w:cs="Times New Roman"/>
          <w:color w:val="auto"/>
          <w:kern w:val="0"/>
          <w:szCs w:val="32"/>
        </w:rPr>
        <w:t>到2035年，全面建成智能网联、全域协同的低空新型基础设施体系，低空应用深度融入城市运行和产业发展，</w:t>
      </w:r>
      <w:bookmarkStart w:id="69" w:name="OLE_LINK16"/>
      <w:r>
        <w:rPr>
          <w:rFonts w:hint="eastAsia" w:ascii="Times New Roman" w:cs="Times New Roman"/>
          <w:color w:val="auto"/>
          <w:kern w:val="0"/>
          <w:szCs w:val="32"/>
        </w:rPr>
        <w:t>形成</w:t>
      </w:r>
      <w:r>
        <w:rPr>
          <w:rFonts w:hint="eastAsia" w:hAnsi="仿宋_GB2312" w:cs="仿宋_GB2312"/>
          <w:color w:val="auto"/>
          <w:kern w:val="0"/>
          <w:szCs w:val="32"/>
        </w:rPr>
        <w:t>“先进材料—核心部件—整机制造—场景应用—服务保障”全链条贯通、</w:t>
      </w:r>
      <w:r>
        <w:rPr>
          <w:rFonts w:hint="eastAsia" w:ascii="Times New Roman" w:cs="Times New Roman"/>
          <w:color w:val="auto"/>
          <w:kern w:val="0"/>
          <w:szCs w:val="32"/>
        </w:rPr>
        <w:t>跨领域融合的低空经济生态</w:t>
      </w:r>
      <w:bookmarkEnd w:id="69"/>
      <w:r>
        <w:rPr>
          <w:rFonts w:hint="eastAsia" w:ascii="Times New Roman" w:cs="Times New Roman"/>
          <w:color w:val="auto"/>
          <w:kern w:val="0"/>
          <w:szCs w:val="32"/>
        </w:rPr>
        <w:t>，低空经济产业规模突破500亿元，低空经济新质生产力对区域经济社会发展的驱动效应充分释放，持续输出乐山低空经济新技术、新产品、新标准、新模式，</w:t>
      </w:r>
      <w:r>
        <w:rPr>
          <w:rFonts w:hint="eastAsia" w:ascii="Times New Roman" w:cs="Times New Roman"/>
          <w:color w:val="auto"/>
          <w:szCs w:val="32"/>
        </w:rPr>
        <w:t>力争</w:t>
      </w:r>
      <w:r>
        <w:rPr>
          <w:rFonts w:hint="eastAsia" w:ascii="Times New Roman" w:cs="Times New Roman"/>
          <w:color w:val="auto"/>
          <w:kern w:val="0"/>
          <w:szCs w:val="32"/>
        </w:rPr>
        <w:t>成为全国低空经济高质量发展示范标杆</w:t>
      </w:r>
      <w:r>
        <w:rPr>
          <w:rFonts w:hint="eastAsia" w:ascii="Times New Roman" w:cs="Times New Roman"/>
          <w:color w:val="auto"/>
        </w:rPr>
        <w:t>。</w:t>
      </w:r>
    </w:p>
    <w:p>
      <w:pPr>
        <w:widowControl/>
        <w:spacing w:before="156" w:beforeLines="50"/>
        <w:jc w:val="center"/>
        <w:rPr>
          <w:rFonts w:ascii="Times New Roman" w:hAnsi="Times New Roman" w:eastAsia="黑体" w:cs="Times New Roman"/>
          <w:color w:val="auto"/>
          <w:sz w:val="28"/>
          <w:szCs w:val="36"/>
        </w:rPr>
      </w:pPr>
      <w:r>
        <w:rPr>
          <w:rFonts w:hint="eastAsia" w:ascii="Times New Roman" w:hAnsi="Times New Roman" w:eastAsia="黑体" w:cs="Times New Roman"/>
          <w:color w:val="auto"/>
          <w:sz w:val="28"/>
          <w:szCs w:val="36"/>
        </w:rPr>
        <w:t>表1  乐山市低空经济发展主要预期目标一览表</w:t>
      </w:r>
    </w:p>
    <w:tbl>
      <w:tblPr>
        <w:tblStyle w:val="24"/>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776"/>
        <w:gridCol w:w="1336"/>
        <w:gridCol w:w="4136"/>
        <w:gridCol w:w="1126"/>
        <w:gridCol w:w="112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l2br w:val="nil"/>
              <w:tr2bl w:val="nil"/>
            </w:tcBorders>
            <w:vAlign w:val="center"/>
          </w:tcPr>
          <w:p>
            <w:pPr>
              <w:adjustRightInd w:val="0"/>
              <w:snapToGrid w:val="0"/>
              <w:spacing w:line="520" w:lineRule="exact"/>
              <w:jc w:val="center"/>
              <w:rPr>
                <w:rFonts w:ascii="Times New Roman" w:hAnsi="Times New Roman" w:eastAsia="黑体" w:cs="Times New Roman"/>
                <w:color w:val="auto"/>
                <w:sz w:val="28"/>
                <w:szCs w:val="28"/>
              </w:rPr>
            </w:pPr>
            <w:r>
              <w:rPr>
                <w:rFonts w:hint="eastAsia" w:ascii="Times New Roman" w:hAnsi="Times New Roman" w:eastAsia="黑体" w:cs="Times New Roman"/>
                <w:color w:val="auto"/>
                <w:sz w:val="28"/>
                <w:szCs w:val="28"/>
              </w:rPr>
              <w:t>序号</w:t>
            </w:r>
          </w:p>
        </w:tc>
        <w:tc>
          <w:tcPr>
            <w:tcW w:w="0" w:type="auto"/>
            <w:tcBorders>
              <w:tl2br w:val="nil"/>
              <w:tr2bl w:val="nil"/>
            </w:tcBorders>
            <w:vAlign w:val="center"/>
          </w:tcPr>
          <w:p>
            <w:pPr>
              <w:adjustRightInd w:val="0"/>
              <w:snapToGrid w:val="0"/>
              <w:spacing w:line="520" w:lineRule="exact"/>
              <w:jc w:val="center"/>
              <w:rPr>
                <w:rFonts w:ascii="Times New Roman" w:hAnsi="Times New Roman" w:eastAsia="黑体" w:cs="Times New Roman"/>
                <w:color w:val="auto"/>
                <w:sz w:val="28"/>
                <w:szCs w:val="28"/>
              </w:rPr>
            </w:pPr>
            <w:r>
              <w:rPr>
                <w:rFonts w:hint="eastAsia" w:ascii="Times New Roman" w:hAnsi="Times New Roman" w:eastAsia="黑体" w:cs="Times New Roman"/>
                <w:color w:val="auto"/>
                <w:sz w:val="28"/>
                <w:szCs w:val="28"/>
              </w:rPr>
              <w:t>类别</w:t>
            </w:r>
          </w:p>
        </w:tc>
        <w:tc>
          <w:tcPr>
            <w:tcW w:w="0" w:type="auto"/>
            <w:tcBorders>
              <w:tl2br w:val="nil"/>
              <w:tr2bl w:val="nil"/>
            </w:tcBorders>
            <w:vAlign w:val="center"/>
          </w:tcPr>
          <w:p>
            <w:pPr>
              <w:adjustRightInd w:val="0"/>
              <w:snapToGrid w:val="0"/>
              <w:spacing w:line="520" w:lineRule="exact"/>
              <w:jc w:val="center"/>
              <w:rPr>
                <w:rFonts w:ascii="Times New Roman" w:hAnsi="Times New Roman" w:eastAsia="黑体" w:cs="Times New Roman"/>
                <w:color w:val="auto"/>
                <w:sz w:val="28"/>
                <w:szCs w:val="28"/>
              </w:rPr>
            </w:pPr>
            <w:r>
              <w:rPr>
                <w:rFonts w:hint="eastAsia" w:ascii="Times New Roman" w:hAnsi="Times New Roman" w:eastAsia="黑体" w:cs="Times New Roman"/>
                <w:color w:val="auto"/>
                <w:sz w:val="28"/>
                <w:szCs w:val="28"/>
              </w:rPr>
              <w:t>指标内容</w:t>
            </w:r>
          </w:p>
        </w:tc>
        <w:tc>
          <w:tcPr>
            <w:tcW w:w="0" w:type="auto"/>
            <w:tcBorders>
              <w:tl2br w:val="nil"/>
              <w:tr2bl w:val="nil"/>
            </w:tcBorders>
            <w:vAlign w:val="center"/>
          </w:tcPr>
          <w:p>
            <w:pPr>
              <w:adjustRightInd w:val="0"/>
              <w:snapToGrid w:val="0"/>
              <w:spacing w:line="520" w:lineRule="exact"/>
              <w:jc w:val="center"/>
              <w:rPr>
                <w:rFonts w:ascii="Times New Roman" w:hAnsi="Times New Roman" w:eastAsia="黑体" w:cs="Times New Roman"/>
                <w:color w:val="auto"/>
                <w:sz w:val="28"/>
                <w:szCs w:val="28"/>
              </w:rPr>
            </w:pPr>
            <w:r>
              <w:rPr>
                <w:rFonts w:hint="eastAsia" w:ascii="Times New Roman" w:hAnsi="Times New Roman" w:eastAsia="黑体" w:cs="Times New Roman"/>
                <w:color w:val="auto"/>
                <w:sz w:val="28"/>
                <w:szCs w:val="28"/>
              </w:rPr>
              <w:t>2027年</w:t>
            </w:r>
          </w:p>
        </w:tc>
        <w:tc>
          <w:tcPr>
            <w:tcW w:w="0" w:type="auto"/>
            <w:tcBorders>
              <w:tl2br w:val="nil"/>
              <w:tr2bl w:val="nil"/>
            </w:tcBorders>
            <w:vAlign w:val="center"/>
          </w:tcPr>
          <w:p>
            <w:pPr>
              <w:adjustRightInd w:val="0"/>
              <w:snapToGrid w:val="0"/>
              <w:spacing w:line="520" w:lineRule="exact"/>
              <w:jc w:val="center"/>
              <w:rPr>
                <w:rFonts w:ascii="Times New Roman" w:hAnsi="Times New Roman" w:eastAsia="黑体" w:cs="Times New Roman"/>
                <w:color w:val="auto"/>
                <w:sz w:val="28"/>
                <w:szCs w:val="28"/>
              </w:rPr>
            </w:pPr>
            <w:r>
              <w:rPr>
                <w:rFonts w:hint="eastAsia" w:ascii="Times New Roman" w:hAnsi="Times New Roman" w:eastAsia="黑体" w:cs="Times New Roman"/>
                <w:color w:val="auto"/>
                <w:sz w:val="28"/>
                <w:szCs w:val="28"/>
              </w:rPr>
              <w:t>2030年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l2br w:val="nil"/>
              <w:tr2bl w:val="nil"/>
            </w:tcBorders>
            <w:vAlign w:val="center"/>
          </w:tcPr>
          <w:p>
            <w:pPr>
              <w:adjustRightInd w:val="0"/>
              <w:snapToGrid w:val="0"/>
              <w:spacing w:line="520" w:lineRule="exact"/>
              <w:jc w:val="center"/>
              <w:rPr>
                <w:rFonts w:ascii="Times New Roman" w:hAnsi="Times New Roman" w:eastAsia="仿宋_GB2312" w:cs="Times New Roman"/>
                <w:color w:val="auto"/>
                <w:sz w:val="28"/>
                <w:szCs w:val="28"/>
              </w:rPr>
            </w:pPr>
            <w:r>
              <w:rPr>
                <w:rFonts w:hint="eastAsia" w:ascii="Times New Roman" w:hAnsi="Times New Roman" w:eastAsia="仿宋_GB2312" w:cs="Times New Roman"/>
                <w:color w:val="auto"/>
                <w:sz w:val="28"/>
                <w:szCs w:val="28"/>
              </w:rPr>
              <w:t>1</w:t>
            </w:r>
          </w:p>
        </w:tc>
        <w:tc>
          <w:tcPr>
            <w:tcW w:w="0" w:type="auto"/>
            <w:vMerge w:val="restart"/>
            <w:tcBorders>
              <w:tl2br w:val="nil"/>
              <w:tr2bl w:val="nil"/>
            </w:tcBorders>
            <w:vAlign w:val="center"/>
          </w:tcPr>
          <w:p>
            <w:pPr>
              <w:adjustRightInd w:val="0"/>
              <w:snapToGrid w:val="0"/>
              <w:spacing w:line="520" w:lineRule="exact"/>
              <w:jc w:val="center"/>
              <w:rPr>
                <w:rFonts w:ascii="Times New Roman" w:hAnsi="Times New Roman" w:eastAsia="黑体" w:cs="Times New Roman"/>
                <w:color w:val="auto"/>
                <w:sz w:val="28"/>
                <w:szCs w:val="28"/>
              </w:rPr>
            </w:pPr>
            <w:r>
              <w:rPr>
                <w:rFonts w:hint="eastAsia" w:ascii="Times New Roman" w:hAnsi="Times New Roman" w:eastAsia="仿宋_GB2312" w:cs="Times New Roman"/>
                <w:color w:val="auto"/>
                <w:sz w:val="28"/>
                <w:szCs w:val="28"/>
              </w:rPr>
              <w:t>产业能级</w:t>
            </w:r>
          </w:p>
        </w:tc>
        <w:tc>
          <w:tcPr>
            <w:tcW w:w="0" w:type="auto"/>
            <w:tcBorders>
              <w:tl2br w:val="nil"/>
              <w:tr2bl w:val="nil"/>
            </w:tcBorders>
            <w:vAlign w:val="center"/>
          </w:tcPr>
          <w:p>
            <w:pPr>
              <w:adjustRightInd w:val="0"/>
              <w:snapToGrid w:val="0"/>
              <w:spacing w:line="520" w:lineRule="exact"/>
              <w:jc w:val="left"/>
              <w:rPr>
                <w:rFonts w:ascii="Times New Roman" w:hAnsi="Times New Roman" w:eastAsia="黑体" w:cs="Times New Roman"/>
                <w:color w:val="auto"/>
                <w:sz w:val="28"/>
                <w:szCs w:val="28"/>
              </w:rPr>
            </w:pPr>
            <w:r>
              <w:rPr>
                <w:rFonts w:hint="eastAsia" w:ascii="Times New Roman" w:hAnsi="Times New Roman" w:eastAsia="仿宋_GB2312" w:cs="Times New Roman"/>
                <w:color w:val="auto"/>
                <w:sz w:val="28"/>
                <w:szCs w:val="28"/>
              </w:rPr>
              <w:t>产业规模（亿元）</w:t>
            </w:r>
          </w:p>
        </w:tc>
        <w:tc>
          <w:tcPr>
            <w:tcW w:w="0" w:type="auto"/>
            <w:tcBorders>
              <w:tl2br w:val="nil"/>
              <w:tr2bl w:val="nil"/>
            </w:tcBorders>
            <w:vAlign w:val="center"/>
          </w:tcPr>
          <w:p>
            <w:pPr>
              <w:adjustRightInd w:val="0"/>
              <w:snapToGrid w:val="0"/>
              <w:spacing w:line="520" w:lineRule="exact"/>
              <w:jc w:val="center"/>
              <w:rPr>
                <w:rFonts w:ascii="Times New Roman" w:hAnsi="Times New Roman" w:eastAsia="仿宋_GB2312" w:cs="Times New Roman"/>
                <w:color w:val="auto"/>
                <w:sz w:val="28"/>
                <w:szCs w:val="28"/>
              </w:rPr>
            </w:pPr>
            <w:r>
              <w:rPr>
                <w:rFonts w:hint="eastAsia" w:ascii="Times New Roman" w:hAnsi="Times New Roman" w:eastAsia="仿宋_GB2312" w:cs="Times New Roman"/>
                <w:color w:val="auto"/>
                <w:sz w:val="28"/>
                <w:szCs w:val="28"/>
              </w:rPr>
              <w:t>100</w:t>
            </w:r>
          </w:p>
        </w:tc>
        <w:tc>
          <w:tcPr>
            <w:tcW w:w="0" w:type="auto"/>
            <w:tcBorders>
              <w:tl2br w:val="nil"/>
              <w:tr2bl w:val="nil"/>
            </w:tcBorders>
            <w:vAlign w:val="center"/>
          </w:tcPr>
          <w:p>
            <w:pPr>
              <w:adjustRightInd w:val="0"/>
              <w:snapToGrid w:val="0"/>
              <w:spacing w:line="520" w:lineRule="exact"/>
              <w:jc w:val="center"/>
              <w:rPr>
                <w:rFonts w:ascii="Times New Roman" w:hAnsi="Times New Roman" w:eastAsia="仿宋_GB2312" w:cs="Times New Roman"/>
                <w:color w:val="auto"/>
                <w:sz w:val="28"/>
                <w:szCs w:val="28"/>
              </w:rPr>
            </w:pPr>
            <w:r>
              <w:rPr>
                <w:rFonts w:hint="eastAsia" w:ascii="Times New Roman" w:hAnsi="Times New Roman" w:eastAsia="仿宋_GB2312" w:cs="Times New Roman"/>
                <w:color w:val="auto"/>
                <w:sz w:val="28"/>
                <w:szCs w:val="28"/>
              </w:rPr>
              <w:t>200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l2br w:val="nil"/>
              <w:tr2bl w:val="nil"/>
            </w:tcBorders>
            <w:vAlign w:val="center"/>
          </w:tcPr>
          <w:p>
            <w:pPr>
              <w:adjustRightInd w:val="0"/>
              <w:snapToGrid w:val="0"/>
              <w:spacing w:line="520" w:lineRule="exact"/>
              <w:jc w:val="center"/>
              <w:rPr>
                <w:rFonts w:ascii="Times New Roman" w:hAnsi="Times New Roman" w:eastAsia="仿宋_GB2312" w:cs="Times New Roman"/>
                <w:color w:val="auto"/>
                <w:sz w:val="28"/>
                <w:szCs w:val="28"/>
              </w:rPr>
            </w:pPr>
            <w:r>
              <w:rPr>
                <w:rFonts w:hint="eastAsia" w:ascii="Times New Roman" w:hAnsi="Times New Roman" w:eastAsia="仿宋_GB2312" w:cs="Times New Roman"/>
                <w:color w:val="auto"/>
                <w:sz w:val="28"/>
                <w:szCs w:val="28"/>
              </w:rPr>
              <w:t>2</w:t>
            </w:r>
          </w:p>
        </w:tc>
        <w:tc>
          <w:tcPr>
            <w:tcW w:w="0" w:type="auto"/>
            <w:vMerge w:val="continue"/>
            <w:tcBorders>
              <w:tl2br w:val="nil"/>
              <w:tr2bl w:val="nil"/>
            </w:tcBorders>
            <w:vAlign w:val="center"/>
          </w:tcPr>
          <w:p>
            <w:pPr>
              <w:adjustRightInd w:val="0"/>
              <w:snapToGrid w:val="0"/>
              <w:spacing w:line="520" w:lineRule="exact"/>
              <w:jc w:val="center"/>
              <w:rPr>
                <w:rFonts w:ascii="Times New Roman" w:hAnsi="Times New Roman" w:eastAsia="黑体" w:cs="Times New Roman"/>
                <w:color w:val="auto"/>
                <w:sz w:val="28"/>
                <w:szCs w:val="28"/>
              </w:rPr>
            </w:pPr>
          </w:p>
        </w:tc>
        <w:tc>
          <w:tcPr>
            <w:tcW w:w="0" w:type="auto"/>
            <w:tcBorders>
              <w:tl2br w:val="nil"/>
              <w:tr2bl w:val="nil"/>
            </w:tcBorders>
            <w:vAlign w:val="center"/>
          </w:tcPr>
          <w:p>
            <w:pPr>
              <w:adjustRightInd w:val="0"/>
              <w:snapToGrid w:val="0"/>
              <w:spacing w:line="520" w:lineRule="exact"/>
              <w:jc w:val="left"/>
              <w:rPr>
                <w:rFonts w:ascii="Times New Roman" w:hAnsi="Times New Roman" w:eastAsia="黑体" w:cs="Times New Roman"/>
                <w:color w:val="auto"/>
                <w:sz w:val="28"/>
                <w:szCs w:val="28"/>
              </w:rPr>
            </w:pPr>
            <w:r>
              <w:rPr>
                <w:rFonts w:hint="eastAsia" w:ascii="Times New Roman" w:hAnsi="Times New Roman" w:eastAsia="仿宋_GB2312" w:cs="Times New Roman"/>
                <w:color w:val="auto"/>
                <w:sz w:val="28"/>
                <w:szCs w:val="28"/>
              </w:rPr>
              <w:t>低空航空器整机研制企业（家）</w:t>
            </w:r>
          </w:p>
        </w:tc>
        <w:tc>
          <w:tcPr>
            <w:tcW w:w="0" w:type="auto"/>
            <w:tcBorders>
              <w:tl2br w:val="nil"/>
              <w:tr2bl w:val="nil"/>
            </w:tcBorders>
            <w:vAlign w:val="center"/>
          </w:tcPr>
          <w:p>
            <w:pPr>
              <w:adjustRightInd w:val="0"/>
              <w:snapToGrid w:val="0"/>
              <w:spacing w:line="520" w:lineRule="exact"/>
              <w:jc w:val="center"/>
              <w:rPr>
                <w:rFonts w:ascii="Times New Roman" w:hAnsi="Times New Roman" w:eastAsia="仿宋_GB2312" w:cs="Times New Roman"/>
                <w:color w:val="auto"/>
                <w:sz w:val="28"/>
                <w:szCs w:val="28"/>
              </w:rPr>
            </w:pPr>
            <w:r>
              <w:rPr>
                <w:rFonts w:hint="eastAsia" w:ascii="Times New Roman" w:hAnsi="Times New Roman" w:eastAsia="仿宋_GB2312" w:cs="Times New Roman"/>
                <w:color w:val="auto"/>
                <w:sz w:val="28"/>
                <w:szCs w:val="28"/>
              </w:rPr>
              <w:t>3</w:t>
            </w:r>
          </w:p>
        </w:tc>
        <w:tc>
          <w:tcPr>
            <w:tcW w:w="0" w:type="auto"/>
            <w:tcBorders>
              <w:tl2br w:val="nil"/>
              <w:tr2bl w:val="nil"/>
            </w:tcBorders>
            <w:vAlign w:val="center"/>
          </w:tcPr>
          <w:p>
            <w:pPr>
              <w:adjustRightInd w:val="0"/>
              <w:snapToGrid w:val="0"/>
              <w:spacing w:line="520" w:lineRule="exact"/>
              <w:jc w:val="center"/>
              <w:rPr>
                <w:rFonts w:ascii="Times New Roman" w:hAnsi="Times New Roman" w:eastAsia="仿宋_GB2312" w:cs="Times New Roman"/>
                <w:color w:val="auto"/>
                <w:sz w:val="28"/>
                <w:szCs w:val="28"/>
              </w:rPr>
            </w:pPr>
            <w:r>
              <w:rPr>
                <w:rFonts w:hint="eastAsia" w:ascii="Times New Roman" w:hAnsi="Times New Roman" w:eastAsia="仿宋_GB2312" w:cs="Times New Roman"/>
                <w:color w:val="auto"/>
                <w:sz w:val="28"/>
                <w:szCs w:val="28"/>
              </w:rPr>
              <w:t>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jc w:val="center"/>
        </w:trPr>
        <w:tc>
          <w:tcPr>
            <w:tcW w:w="0" w:type="auto"/>
            <w:tcBorders>
              <w:tl2br w:val="nil"/>
              <w:tr2bl w:val="nil"/>
            </w:tcBorders>
            <w:vAlign w:val="center"/>
          </w:tcPr>
          <w:p>
            <w:pPr>
              <w:adjustRightInd w:val="0"/>
              <w:snapToGrid w:val="0"/>
              <w:spacing w:line="520" w:lineRule="exact"/>
              <w:jc w:val="center"/>
              <w:rPr>
                <w:rFonts w:ascii="Times New Roman" w:hAnsi="Times New Roman" w:eastAsia="仿宋_GB2312" w:cs="Times New Roman"/>
                <w:color w:val="auto"/>
                <w:sz w:val="28"/>
                <w:szCs w:val="28"/>
              </w:rPr>
            </w:pPr>
            <w:r>
              <w:rPr>
                <w:rFonts w:hint="eastAsia" w:ascii="Times New Roman" w:hAnsi="Times New Roman" w:eastAsia="仿宋_GB2312" w:cs="Times New Roman"/>
                <w:color w:val="auto"/>
                <w:sz w:val="28"/>
                <w:szCs w:val="28"/>
              </w:rPr>
              <w:t>3</w:t>
            </w:r>
          </w:p>
        </w:tc>
        <w:tc>
          <w:tcPr>
            <w:tcW w:w="0" w:type="auto"/>
            <w:vMerge w:val="continue"/>
            <w:tcBorders>
              <w:tl2br w:val="nil"/>
              <w:tr2bl w:val="nil"/>
            </w:tcBorders>
            <w:vAlign w:val="center"/>
          </w:tcPr>
          <w:p>
            <w:pPr>
              <w:adjustRightInd w:val="0"/>
              <w:snapToGrid w:val="0"/>
              <w:spacing w:line="520" w:lineRule="exact"/>
              <w:jc w:val="center"/>
              <w:rPr>
                <w:rFonts w:ascii="Times New Roman" w:hAnsi="Times New Roman" w:eastAsia="黑体" w:cs="Times New Roman"/>
                <w:color w:val="auto"/>
                <w:sz w:val="28"/>
                <w:szCs w:val="28"/>
              </w:rPr>
            </w:pPr>
          </w:p>
        </w:tc>
        <w:tc>
          <w:tcPr>
            <w:tcW w:w="0" w:type="auto"/>
            <w:tcBorders>
              <w:tl2br w:val="nil"/>
              <w:tr2bl w:val="nil"/>
            </w:tcBorders>
            <w:vAlign w:val="center"/>
          </w:tcPr>
          <w:p>
            <w:pPr>
              <w:adjustRightInd w:val="0"/>
              <w:snapToGrid w:val="0"/>
              <w:spacing w:line="520" w:lineRule="exact"/>
              <w:jc w:val="left"/>
              <w:rPr>
                <w:rFonts w:ascii="Times New Roman" w:hAnsi="Times New Roman" w:eastAsia="黑体" w:cs="Times New Roman"/>
                <w:color w:val="auto"/>
                <w:sz w:val="28"/>
                <w:szCs w:val="28"/>
              </w:rPr>
            </w:pPr>
            <w:r>
              <w:rPr>
                <w:rFonts w:hint="eastAsia" w:ascii="仿宋_GB2312" w:hAnsi="仿宋_GB2312" w:eastAsia="仿宋_GB2312" w:cs="仿宋_GB2312"/>
                <w:color w:val="auto"/>
                <w:sz w:val="28"/>
                <w:szCs w:val="28"/>
              </w:rPr>
              <w:t>“链主”</w:t>
            </w:r>
            <w:r>
              <w:rPr>
                <w:rFonts w:hint="eastAsia" w:ascii="Times New Roman" w:hAnsi="Times New Roman" w:eastAsia="仿宋_GB2312" w:cs="Times New Roman"/>
                <w:color w:val="auto"/>
                <w:sz w:val="28"/>
                <w:szCs w:val="28"/>
              </w:rPr>
              <w:t>企业数量（家）</w:t>
            </w:r>
          </w:p>
        </w:tc>
        <w:tc>
          <w:tcPr>
            <w:tcW w:w="0" w:type="auto"/>
            <w:tcBorders>
              <w:tl2br w:val="nil"/>
              <w:tr2bl w:val="nil"/>
            </w:tcBorders>
            <w:vAlign w:val="center"/>
          </w:tcPr>
          <w:p>
            <w:pPr>
              <w:adjustRightInd w:val="0"/>
              <w:snapToGrid w:val="0"/>
              <w:spacing w:line="520" w:lineRule="exact"/>
              <w:jc w:val="center"/>
              <w:rPr>
                <w:rFonts w:ascii="Times New Roman" w:hAnsi="Times New Roman" w:eastAsia="仿宋_GB2312" w:cs="Times New Roman"/>
                <w:color w:val="auto"/>
                <w:sz w:val="28"/>
                <w:szCs w:val="28"/>
              </w:rPr>
            </w:pPr>
            <w:r>
              <w:rPr>
                <w:rFonts w:hint="eastAsia" w:ascii="Times New Roman" w:hAnsi="Times New Roman" w:eastAsia="仿宋_GB2312" w:cs="Times New Roman"/>
                <w:color w:val="auto"/>
                <w:sz w:val="28"/>
                <w:szCs w:val="28"/>
              </w:rPr>
              <w:t>1</w:t>
            </w:r>
          </w:p>
        </w:tc>
        <w:tc>
          <w:tcPr>
            <w:tcW w:w="0" w:type="auto"/>
            <w:tcBorders>
              <w:tl2br w:val="nil"/>
              <w:tr2bl w:val="nil"/>
            </w:tcBorders>
            <w:vAlign w:val="center"/>
          </w:tcPr>
          <w:p>
            <w:pPr>
              <w:adjustRightInd w:val="0"/>
              <w:snapToGrid w:val="0"/>
              <w:spacing w:line="520" w:lineRule="exact"/>
              <w:jc w:val="center"/>
              <w:rPr>
                <w:rFonts w:ascii="Times New Roman" w:hAnsi="Times New Roman" w:eastAsia="仿宋_GB2312" w:cs="Times New Roman"/>
                <w:color w:val="auto"/>
                <w:sz w:val="28"/>
                <w:szCs w:val="28"/>
              </w:rPr>
            </w:pPr>
            <w:r>
              <w:rPr>
                <w:rFonts w:hint="eastAsia" w:ascii="Times New Roman" w:hAnsi="Times New Roman" w:eastAsia="仿宋_GB2312" w:cs="Times New Roman"/>
                <w:color w:val="auto"/>
                <w:sz w:val="28"/>
                <w:szCs w:val="28"/>
              </w:rPr>
              <w:t>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l2br w:val="nil"/>
              <w:tr2bl w:val="nil"/>
            </w:tcBorders>
            <w:vAlign w:val="center"/>
          </w:tcPr>
          <w:p>
            <w:pPr>
              <w:adjustRightInd w:val="0"/>
              <w:snapToGrid w:val="0"/>
              <w:spacing w:line="520" w:lineRule="exact"/>
              <w:jc w:val="center"/>
              <w:rPr>
                <w:rFonts w:ascii="Times New Roman" w:hAnsi="Times New Roman" w:eastAsia="仿宋_GB2312" w:cs="Times New Roman"/>
                <w:color w:val="auto"/>
                <w:sz w:val="28"/>
                <w:szCs w:val="28"/>
              </w:rPr>
            </w:pPr>
            <w:r>
              <w:rPr>
                <w:rFonts w:hint="eastAsia" w:ascii="Times New Roman" w:hAnsi="Times New Roman" w:eastAsia="仿宋_GB2312" w:cs="Times New Roman"/>
                <w:color w:val="auto"/>
                <w:sz w:val="28"/>
                <w:szCs w:val="28"/>
              </w:rPr>
              <w:t>4</w:t>
            </w:r>
          </w:p>
        </w:tc>
        <w:tc>
          <w:tcPr>
            <w:tcW w:w="0" w:type="auto"/>
            <w:vMerge w:val="continue"/>
            <w:tcBorders>
              <w:tl2br w:val="nil"/>
              <w:tr2bl w:val="nil"/>
            </w:tcBorders>
            <w:vAlign w:val="center"/>
          </w:tcPr>
          <w:p>
            <w:pPr>
              <w:adjustRightInd w:val="0"/>
              <w:snapToGrid w:val="0"/>
              <w:spacing w:line="520" w:lineRule="exact"/>
              <w:jc w:val="center"/>
              <w:rPr>
                <w:rFonts w:ascii="Times New Roman" w:hAnsi="Times New Roman" w:eastAsia="黑体" w:cs="Times New Roman"/>
                <w:color w:val="auto"/>
                <w:sz w:val="28"/>
                <w:szCs w:val="28"/>
              </w:rPr>
            </w:pPr>
          </w:p>
        </w:tc>
        <w:tc>
          <w:tcPr>
            <w:tcW w:w="0" w:type="auto"/>
            <w:tcBorders>
              <w:tl2br w:val="nil"/>
              <w:tr2bl w:val="nil"/>
            </w:tcBorders>
            <w:vAlign w:val="center"/>
          </w:tcPr>
          <w:p>
            <w:pPr>
              <w:adjustRightInd w:val="0"/>
              <w:snapToGrid w:val="0"/>
              <w:spacing w:line="520" w:lineRule="exact"/>
              <w:jc w:val="left"/>
              <w:rPr>
                <w:rFonts w:ascii="Times New Roman" w:hAnsi="Times New Roman" w:eastAsia="仿宋_GB2312" w:cs="Times New Roman"/>
                <w:color w:val="auto"/>
                <w:sz w:val="28"/>
                <w:szCs w:val="28"/>
              </w:rPr>
            </w:pPr>
            <w:r>
              <w:rPr>
                <w:rFonts w:hint="eastAsia" w:ascii="Times New Roman" w:hAnsi="Times New Roman" w:eastAsia="仿宋_GB2312" w:cs="Times New Roman"/>
                <w:color w:val="auto"/>
                <w:sz w:val="28"/>
                <w:szCs w:val="28"/>
              </w:rPr>
              <w:t>链上企业数量（家）</w:t>
            </w:r>
          </w:p>
        </w:tc>
        <w:tc>
          <w:tcPr>
            <w:tcW w:w="0" w:type="auto"/>
            <w:tcBorders>
              <w:tl2br w:val="nil"/>
              <w:tr2bl w:val="nil"/>
            </w:tcBorders>
            <w:vAlign w:val="center"/>
          </w:tcPr>
          <w:p>
            <w:pPr>
              <w:adjustRightInd w:val="0"/>
              <w:snapToGrid w:val="0"/>
              <w:spacing w:line="520" w:lineRule="exact"/>
              <w:jc w:val="center"/>
              <w:rPr>
                <w:rFonts w:ascii="Times New Roman" w:hAnsi="Times New Roman" w:eastAsia="仿宋_GB2312" w:cs="Times New Roman"/>
                <w:color w:val="auto"/>
                <w:sz w:val="28"/>
                <w:szCs w:val="28"/>
              </w:rPr>
            </w:pPr>
            <w:r>
              <w:rPr>
                <w:rFonts w:hint="eastAsia" w:ascii="Times New Roman" w:hAnsi="Times New Roman" w:eastAsia="仿宋_GB2312" w:cs="Times New Roman"/>
                <w:color w:val="auto"/>
                <w:sz w:val="28"/>
                <w:szCs w:val="28"/>
              </w:rPr>
              <w:t>50</w:t>
            </w:r>
          </w:p>
        </w:tc>
        <w:tc>
          <w:tcPr>
            <w:tcW w:w="0" w:type="auto"/>
            <w:tcBorders>
              <w:tl2br w:val="nil"/>
              <w:tr2bl w:val="nil"/>
            </w:tcBorders>
            <w:vAlign w:val="center"/>
          </w:tcPr>
          <w:p>
            <w:pPr>
              <w:adjustRightInd w:val="0"/>
              <w:snapToGrid w:val="0"/>
              <w:spacing w:line="520" w:lineRule="exact"/>
              <w:jc w:val="center"/>
              <w:rPr>
                <w:rFonts w:ascii="Times New Roman" w:hAnsi="Times New Roman" w:eastAsia="仿宋_GB2312" w:cs="Times New Roman"/>
                <w:color w:val="auto"/>
                <w:sz w:val="28"/>
                <w:szCs w:val="28"/>
              </w:rPr>
            </w:pPr>
            <w:r>
              <w:rPr>
                <w:rFonts w:hint="eastAsia" w:ascii="Times New Roman" w:hAnsi="Times New Roman" w:eastAsia="仿宋_GB2312" w:cs="Times New Roman"/>
                <w:color w:val="auto"/>
                <w:sz w:val="28"/>
                <w:szCs w:val="28"/>
              </w:rPr>
              <w:t>100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blHeader/>
          <w:jc w:val="center"/>
        </w:trPr>
        <w:tc>
          <w:tcPr>
            <w:tcW w:w="0" w:type="auto"/>
            <w:vMerge w:val="restart"/>
            <w:tcBorders>
              <w:tl2br w:val="nil"/>
              <w:tr2bl w:val="nil"/>
            </w:tcBorders>
            <w:vAlign w:val="center"/>
          </w:tcPr>
          <w:p>
            <w:pPr>
              <w:adjustRightInd w:val="0"/>
              <w:snapToGrid w:val="0"/>
              <w:spacing w:line="520" w:lineRule="exact"/>
              <w:jc w:val="center"/>
              <w:rPr>
                <w:rFonts w:ascii="Times New Roman" w:hAnsi="Times New Roman" w:eastAsia="仿宋_GB2312" w:cs="Times New Roman"/>
                <w:color w:val="auto"/>
                <w:sz w:val="28"/>
                <w:szCs w:val="28"/>
              </w:rPr>
            </w:pPr>
            <w:r>
              <w:rPr>
                <w:rFonts w:hint="eastAsia" w:ascii="Times New Roman" w:hAnsi="Times New Roman" w:eastAsia="仿宋_GB2312" w:cs="Times New Roman"/>
                <w:color w:val="auto"/>
                <w:sz w:val="28"/>
                <w:szCs w:val="28"/>
              </w:rPr>
              <w:t>5</w:t>
            </w:r>
          </w:p>
        </w:tc>
        <w:tc>
          <w:tcPr>
            <w:tcW w:w="0" w:type="auto"/>
            <w:vMerge w:val="restart"/>
            <w:tcBorders>
              <w:tl2br w:val="nil"/>
              <w:tr2bl w:val="nil"/>
            </w:tcBorders>
            <w:vAlign w:val="center"/>
          </w:tcPr>
          <w:p>
            <w:pPr>
              <w:adjustRightInd w:val="0"/>
              <w:snapToGrid w:val="0"/>
              <w:spacing w:line="520" w:lineRule="exact"/>
              <w:jc w:val="center"/>
              <w:rPr>
                <w:rFonts w:ascii="Times New Roman" w:hAnsi="Times New Roman" w:eastAsia="仿宋_GB2312" w:cs="Times New Roman"/>
                <w:color w:val="auto"/>
                <w:sz w:val="28"/>
                <w:szCs w:val="28"/>
              </w:rPr>
            </w:pPr>
            <w:r>
              <w:rPr>
                <w:rFonts w:hint="eastAsia" w:ascii="Times New Roman" w:hAnsi="Times New Roman" w:eastAsia="仿宋_GB2312" w:cs="Times New Roman"/>
                <w:color w:val="auto"/>
                <w:sz w:val="28"/>
                <w:szCs w:val="28"/>
              </w:rPr>
              <w:t>基础设施</w:t>
            </w:r>
          </w:p>
        </w:tc>
        <w:tc>
          <w:tcPr>
            <w:tcW w:w="0" w:type="auto"/>
            <w:tcBorders>
              <w:tl2br w:val="nil"/>
              <w:tr2bl w:val="nil"/>
            </w:tcBorders>
            <w:vAlign w:val="center"/>
          </w:tcPr>
          <w:p>
            <w:pPr>
              <w:adjustRightInd w:val="0"/>
              <w:snapToGrid w:val="0"/>
              <w:spacing w:line="520" w:lineRule="exact"/>
              <w:jc w:val="left"/>
              <w:rPr>
                <w:rFonts w:ascii="Times New Roman" w:hAnsi="Times New Roman" w:eastAsia="仿宋_GB2312" w:cs="Times New Roman"/>
                <w:color w:val="auto"/>
                <w:sz w:val="28"/>
                <w:szCs w:val="28"/>
              </w:rPr>
            </w:pPr>
            <w:r>
              <w:rPr>
                <w:rFonts w:hint="eastAsia" w:ascii="Times New Roman" w:hAnsi="Times New Roman" w:eastAsia="仿宋_GB2312" w:cs="Times New Roman"/>
                <w:color w:val="auto"/>
                <w:sz w:val="28"/>
                <w:szCs w:val="28"/>
              </w:rPr>
              <w:t>机场数量（个）</w:t>
            </w:r>
          </w:p>
        </w:tc>
        <w:tc>
          <w:tcPr>
            <w:tcW w:w="0" w:type="auto"/>
            <w:tcBorders>
              <w:tl2br w:val="nil"/>
              <w:tr2bl w:val="nil"/>
            </w:tcBorders>
            <w:vAlign w:val="center"/>
          </w:tcPr>
          <w:p>
            <w:pPr>
              <w:adjustRightInd w:val="0"/>
              <w:snapToGrid w:val="0"/>
              <w:spacing w:line="520" w:lineRule="exact"/>
              <w:jc w:val="center"/>
              <w:rPr>
                <w:rFonts w:ascii="Times New Roman" w:hAnsi="Times New Roman" w:eastAsia="仿宋_GB2312" w:cs="Times New Roman"/>
                <w:color w:val="auto"/>
                <w:sz w:val="28"/>
                <w:szCs w:val="28"/>
              </w:rPr>
            </w:pPr>
            <w:r>
              <w:rPr>
                <w:rFonts w:hint="eastAsia" w:ascii="Times New Roman" w:hAnsi="Times New Roman" w:eastAsia="仿宋_GB2312" w:cs="Times New Roman"/>
                <w:color w:val="auto"/>
                <w:sz w:val="28"/>
                <w:szCs w:val="28"/>
              </w:rPr>
              <w:t>1</w:t>
            </w:r>
          </w:p>
        </w:tc>
        <w:tc>
          <w:tcPr>
            <w:tcW w:w="0" w:type="auto"/>
            <w:tcBorders>
              <w:tl2br w:val="nil"/>
              <w:tr2bl w:val="nil"/>
            </w:tcBorders>
            <w:vAlign w:val="center"/>
          </w:tcPr>
          <w:p>
            <w:pPr>
              <w:adjustRightInd w:val="0"/>
              <w:snapToGrid w:val="0"/>
              <w:spacing w:line="520" w:lineRule="exact"/>
              <w:jc w:val="center"/>
              <w:rPr>
                <w:rFonts w:ascii="Times New Roman" w:hAnsi="Times New Roman" w:eastAsia="仿宋_GB2312" w:cs="Times New Roman"/>
                <w:color w:val="auto"/>
                <w:sz w:val="28"/>
                <w:szCs w:val="28"/>
              </w:rPr>
            </w:pPr>
            <w:r>
              <w:rPr>
                <w:rFonts w:hint="eastAsia" w:ascii="Times New Roman" w:hAnsi="Times New Roman" w:eastAsia="仿宋_GB2312" w:cs="Times New Roman"/>
                <w:color w:val="auto"/>
                <w:sz w:val="28"/>
                <w:szCs w:val="28"/>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blHeader/>
          <w:jc w:val="center"/>
        </w:trPr>
        <w:tc>
          <w:tcPr>
            <w:tcW w:w="0" w:type="auto"/>
            <w:vMerge w:val="continue"/>
            <w:tcBorders>
              <w:tl2br w:val="nil"/>
              <w:tr2bl w:val="nil"/>
            </w:tcBorders>
            <w:vAlign w:val="center"/>
          </w:tcPr>
          <w:p>
            <w:pPr>
              <w:adjustRightInd w:val="0"/>
              <w:snapToGrid w:val="0"/>
              <w:spacing w:line="520" w:lineRule="exact"/>
              <w:jc w:val="center"/>
              <w:rPr>
                <w:rFonts w:ascii="Times New Roman" w:hAnsi="Times New Roman" w:eastAsia="仿宋_GB2312" w:cs="Times New Roman"/>
                <w:color w:val="auto"/>
                <w:sz w:val="28"/>
                <w:szCs w:val="28"/>
              </w:rPr>
            </w:pPr>
          </w:p>
        </w:tc>
        <w:tc>
          <w:tcPr>
            <w:tcW w:w="0" w:type="auto"/>
            <w:vMerge w:val="continue"/>
            <w:tcBorders>
              <w:tl2br w:val="nil"/>
              <w:tr2bl w:val="nil"/>
            </w:tcBorders>
            <w:vAlign w:val="center"/>
          </w:tcPr>
          <w:p>
            <w:pPr>
              <w:adjustRightInd w:val="0"/>
              <w:snapToGrid w:val="0"/>
              <w:spacing w:line="520" w:lineRule="exact"/>
              <w:jc w:val="center"/>
              <w:rPr>
                <w:rFonts w:ascii="Times New Roman" w:hAnsi="Times New Roman" w:eastAsia="仿宋_GB2312" w:cs="Times New Roman"/>
                <w:color w:val="auto"/>
                <w:sz w:val="28"/>
                <w:szCs w:val="28"/>
              </w:rPr>
            </w:pPr>
          </w:p>
        </w:tc>
        <w:tc>
          <w:tcPr>
            <w:tcW w:w="0" w:type="auto"/>
            <w:tcBorders>
              <w:tl2br w:val="nil"/>
              <w:tr2bl w:val="nil"/>
            </w:tcBorders>
            <w:vAlign w:val="center"/>
          </w:tcPr>
          <w:p>
            <w:pPr>
              <w:adjustRightInd w:val="0"/>
              <w:snapToGrid w:val="0"/>
              <w:spacing w:line="520" w:lineRule="exact"/>
              <w:ind w:firstLine="560" w:firstLineChars="200"/>
              <w:jc w:val="left"/>
              <w:rPr>
                <w:rFonts w:ascii="Times New Roman" w:hAnsi="Times New Roman" w:eastAsia="仿宋_GB2312" w:cs="Times New Roman"/>
                <w:color w:val="auto"/>
                <w:sz w:val="28"/>
                <w:szCs w:val="28"/>
              </w:rPr>
            </w:pPr>
            <w:r>
              <w:rPr>
                <w:rFonts w:hint="eastAsia" w:ascii="Times New Roman" w:hAnsi="Times New Roman" w:eastAsia="仿宋_GB2312" w:cs="Times New Roman"/>
                <w:color w:val="auto"/>
                <w:sz w:val="28"/>
                <w:szCs w:val="28"/>
              </w:rPr>
              <w:t>其中：运输机场</w:t>
            </w:r>
          </w:p>
        </w:tc>
        <w:tc>
          <w:tcPr>
            <w:tcW w:w="0" w:type="auto"/>
            <w:tcBorders>
              <w:tl2br w:val="nil"/>
              <w:tr2bl w:val="nil"/>
            </w:tcBorders>
            <w:vAlign w:val="center"/>
          </w:tcPr>
          <w:p>
            <w:pPr>
              <w:adjustRightInd w:val="0"/>
              <w:snapToGrid w:val="0"/>
              <w:spacing w:line="520" w:lineRule="exact"/>
              <w:jc w:val="center"/>
              <w:rPr>
                <w:rFonts w:ascii="Times New Roman" w:hAnsi="Times New Roman" w:eastAsia="仿宋_GB2312" w:cs="Times New Roman"/>
                <w:color w:val="auto"/>
                <w:sz w:val="28"/>
                <w:szCs w:val="28"/>
              </w:rPr>
            </w:pPr>
            <w:r>
              <w:rPr>
                <w:rFonts w:hint="eastAsia" w:ascii="Times New Roman" w:hAnsi="Times New Roman" w:eastAsia="仿宋_GB2312" w:cs="Times New Roman"/>
                <w:color w:val="auto"/>
                <w:sz w:val="28"/>
                <w:szCs w:val="28"/>
              </w:rPr>
              <w:t>1</w:t>
            </w:r>
          </w:p>
        </w:tc>
        <w:tc>
          <w:tcPr>
            <w:tcW w:w="0" w:type="auto"/>
            <w:tcBorders>
              <w:tl2br w:val="nil"/>
              <w:tr2bl w:val="nil"/>
            </w:tcBorders>
            <w:vAlign w:val="center"/>
          </w:tcPr>
          <w:p>
            <w:pPr>
              <w:adjustRightInd w:val="0"/>
              <w:snapToGrid w:val="0"/>
              <w:spacing w:line="520" w:lineRule="exact"/>
              <w:jc w:val="center"/>
              <w:rPr>
                <w:rFonts w:ascii="Times New Roman" w:hAnsi="Times New Roman" w:eastAsia="仿宋_GB2312" w:cs="Times New Roman"/>
                <w:color w:val="auto"/>
                <w:sz w:val="28"/>
                <w:szCs w:val="28"/>
              </w:rPr>
            </w:pPr>
            <w:r>
              <w:rPr>
                <w:rFonts w:hint="eastAsia" w:ascii="Times New Roman" w:hAnsi="Times New Roman" w:eastAsia="仿宋_GB2312" w:cs="Times New Roman"/>
                <w:color w:val="auto"/>
                <w:sz w:val="28"/>
                <w:szCs w:val="28"/>
              </w:rPr>
              <w:t>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blHeader/>
          <w:jc w:val="center"/>
        </w:trPr>
        <w:tc>
          <w:tcPr>
            <w:tcW w:w="0" w:type="auto"/>
            <w:tcBorders>
              <w:tl2br w:val="nil"/>
              <w:tr2bl w:val="nil"/>
            </w:tcBorders>
            <w:vAlign w:val="center"/>
          </w:tcPr>
          <w:p>
            <w:pPr>
              <w:adjustRightInd w:val="0"/>
              <w:snapToGrid w:val="0"/>
              <w:spacing w:line="520" w:lineRule="exact"/>
              <w:jc w:val="center"/>
              <w:rPr>
                <w:rFonts w:ascii="Times New Roman" w:hAnsi="Times New Roman" w:eastAsia="仿宋_GB2312" w:cs="Times New Roman"/>
                <w:color w:val="auto"/>
                <w:sz w:val="28"/>
                <w:szCs w:val="28"/>
              </w:rPr>
            </w:pPr>
            <w:r>
              <w:rPr>
                <w:rFonts w:hint="eastAsia" w:ascii="Times New Roman" w:hAnsi="Times New Roman" w:eastAsia="仿宋_GB2312" w:cs="Times New Roman"/>
                <w:color w:val="auto"/>
                <w:sz w:val="28"/>
                <w:szCs w:val="28"/>
              </w:rPr>
              <w:t>6</w:t>
            </w:r>
          </w:p>
        </w:tc>
        <w:tc>
          <w:tcPr>
            <w:tcW w:w="0" w:type="auto"/>
            <w:vMerge w:val="continue"/>
            <w:tcBorders>
              <w:tl2br w:val="nil"/>
              <w:tr2bl w:val="nil"/>
            </w:tcBorders>
            <w:vAlign w:val="center"/>
          </w:tcPr>
          <w:p>
            <w:pPr>
              <w:adjustRightInd w:val="0"/>
              <w:snapToGrid w:val="0"/>
              <w:spacing w:line="520" w:lineRule="exact"/>
              <w:jc w:val="center"/>
              <w:rPr>
                <w:rFonts w:ascii="Times New Roman" w:hAnsi="Times New Roman" w:eastAsia="仿宋_GB2312" w:cs="Times New Roman"/>
                <w:color w:val="auto"/>
                <w:sz w:val="28"/>
                <w:szCs w:val="28"/>
              </w:rPr>
            </w:pPr>
          </w:p>
        </w:tc>
        <w:tc>
          <w:tcPr>
            <w:tcW w:w="0" w:type="auto"/>
            <w:tcBorders>
              <w:tl2br w:val="nil"/>
              <w:tr2bl w:val="nil"/>
            </w:tcBorders>
            <w:vAlign w:val="center"/>
          </w:tcPr>
          <w:p>
            <w:pPr>
              <w:adjustRightInd w:val="0"/>
              <w:snapToGrid w:val="0"/>
              <w:spacing w:line="520" w:lineRule="exact"/>
              <w:ind w:firstLine="560" w:firstLineChars="200"/>
              <w:jc w:val="left"/>
              <w:rPr>
                <w:rFonts w:ascii="Times New Roman" w:hAnsi="Times New Roman" w:eastAsia="仿宋_GB2312" w:cs="Times New Roman"/>
                <w:color w:val="auto"/>
                <w:sz w:val="28"/>
                <w:szCs w:val="28"/>
              </w:rPr>
            </w:pPr>
            <w:r>
              <w:rPr>
                <w:rFonts w:ascii="Times New Roman" w:hAnsi="Times New Roman" w:eastAsia="仿宋_GB2312" w:cs="Times New Roman"/>
                <w:color w:val="auto"/>
                <w:sz w:val="28"/>
                <w:szCs w:val="28"/>
              </w:rPr>
              <w:t>其中：</w:t>
            </w:r>
            <w:r>
              <w:rPr>
                <w:rFonts w:hint="eastAsia" w:ascii="Times New Roman" w:hAnsi="Times New Roman" w:eastAsia="仿宋_GB2312" w:cs="Times New Roman"/>
                <w:color w:val="auto"/>
                <w:sz w:val="28"/>
                <w:szCs w:val="28"/>
              </w:rPr>
              <w:t>通用</w:t>
            </w:r>
            <w:r>
              <w:rPr>
                <w:rFonts w:ascii="Times New Roman" w:hAnsi="Times New Roman" w:eastAsia="仿宋_GB2312" w:cs="Times New Roman"/>
                <w:color w:val="auto"/>
                <w:sz w:val="28"/>
                <w:szCs w:val="28"/>
              </w:rPr>
              <w:t>机场</w:t>
            </w:r>
          </w:p>
        </w:tc>
        <w:tc>
          <w:tcPr>
            <w:tcW w:w="0" w:type="auto"/>
            <w:tcBorders>
              <w:tl2br w:val="nil"/>
              <w:tr2bl w:val="nil"/>
            </w:tcBorders>
            <w:vAlign w:val="center"/>
          </w:tcPr>
          <w:p>
            <w:pPr>
              <w:adjustRightInd w:val="0"/>
              <w:snapToGrid w:val="0"/>
              <w:spacing w:line="520" w:lineRule="exact"/>
              <w:jc w:val="center"/>
              <w:rPr>
                <w:rFonts w:ascii="Times New Roman" w:hAnsi="Times New Roman" w:eastAsia="仿宋_GB2312" w:cs="Times New Roman"/>
                <w:color w:val="auto"/>
                <w:sz w:val="28"/>
                <w:szCs w:val="28"/>
              </w:rPr>
            </w:pPr>
            <w:r>
              <w:rPr>
                <w:rFonts w:hint="eastAsia" w:ascii="Times New Roman" w:hAnsi="Times New Roman" w:eastAsia="仿宋_GB2312" w:cs="Times New Roman"/>
                <w:color w:val="auto"/>
                <w:sz w:val="28"/>
                <w:szCs w:val="28"/>
              </w:rPr>
              <w:t>0</w:t>
            </w:r>
          </w:p>
        </w:tc>
        <w:tc>
          <w:tcPr>
            <w:tcW w:w="0" w:type="auto"/>
            <w:tcBorders>
              <w:tl2br w:val="nil"/>
              <w:tr2bl w:val="nil"/>
            </w:tcBorders>
            <w:vAlign w:val="center"/>
          </w:tcPr>
          <w:p>
            <w:pPr>
              <w:adjustRightInd w:val="0"/>
              <w:snapToGrid w:val="0"/>
              <w:spacing w:line="520" w:lineRule="exact"/>
              <w:jc w:val="center"/>
              <w:rPr>
                <w:rFonts w:ascii="Times New Roman" w:hAnsi="Times New Roman" w:eastAsia="仿宋_GB2312" w:cs="Times New Roman"/>
                <w:color w:val="auto"/>
                <w:sz w:val="28"/>
                <w:szCs w:val="28"/>
              </w:rPr>
            </w:pPr>
            <w:r>
              <w:rPr>
                <w:rFonts w:hint="eastAsia" w:ascii="Times New Roman" w:hAnsi="Times New Roman" w:eastAsia="仿宋_GB2312" w:cs="Times New Roman"/>
                <w:color w:val="auto"/>
                <w:sz w:val="28"/>
                <w:szCs w:val="28"/>
              </w:rPr>
              <w:t>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blHeader/>
          <w:jc w:val="center"/>
        </w:trPr>
        <w:tc>
          <w:tcPr>
            <w:tcW w:w="0" w:type="auto"/>
            <w:tcBorders>
              <w:tl2br w:val="nil"/>
              <w:tr2bl w:val="nil"/>
            </w:tcBorders>
            <w:vAlign w:val="center"/>
          </w:tcPr>
          <w:p>
            <w:pPr>
              <w:adjustRightInd w:val="0"/>
              <w:snapToGrid w:val="0"/>
              <w:spacing w:line="520" w:lineRule="exact"/>
              <w:jc w:val="center"/>
              <w:rPr>
                <w:rFonts w:ascii="Times New Roman" w:hAnsi="Times New Roman" w:eastAsia="仿宋_GB2312" w:cs="Times New Roman"/>
                <w:color w:val="auto"/>
                <w:sz w:val="28"/>
                <w:szCs w:val="28"/>
              </w:rPr>
            </w:pPr>
            <w:r>
              <w:rPr>
                <w:rFonts w:hint="eastAsia" w:ascii="Times New Roman" w:hAnsi="Times New Roman" w:eastAsia="仿宋_GB2312" w:cs="Times New Roman"/>
                <w:color w:val="auto"/>
                <w:sz w:val="28"/>
                <w:szCs w:val="28"/>
              </w:rPr>
              <w:t>7</w:t>
            </w:r>
          </w:p>
        </w:tc>
        <w:tc>
          <w:tcPr>
            <w:tcW w:w="0" w:type="auto"/>
            <w:vMerge w:val="continue"/>
            <w:tcBorders>
              <w:tl2br w:val="nil"/>
              <w:tr2bl w:val="nil"/>
            </w:tcBorders>
            <w:vAlign w:val="center"/>
          </w:tcPr>
          <w:p>
            <w:pPr>
              <w:adjustRightInd w:val="0"/>
              <w:snapToGrid w:val="0"/>
              <w:spacing w:line="520" w:lineRule="exact"/>
              <w:jc w:val="center"/>
              <w:rPr>
                <w:rFonts w:ascii="Times New Roman" w:hAnsi="Times New Roman" w:eastAsia="仿宋_GB2312" w:cs="Times New Roman"/>
                <w:color w:val="auto"/>
                <w:sz w:val="28"/>
                <w:szCs w:val="28"/>
              </w:rPr>
            </w:pPr>
          </w:p>
        </w:tc>
        <w:tc>
          <w:tcPr>
            <w:tcW w:w="0" w:type="auto"/>
            <w:tcBorders>
              <w:tl2br w:val="nil"/>
              <w:tr2bl w:val="nil"/>
            </w:tcBorders>
            <w:vAlign w:val="center"/>
          </w:tcPr>
          <w:p>
            <w:pPr>
              <w:adjustRightInd w:val="0"/>
              <w:snapToGrid w:val="0"/>
              <w:spacing w:line="520" w:lineRule="exact"/>
              <w:jc w:val="left"/>
              <w:rPr>
                <w:rFonts w:ascii="Times New Roman" w:hAnsi="Times New Roman" w:eastAsia="仿宋_GB2312" w:cs="Times New Roman"/>
                <w:color w:val="auto"/>
                <w:sz w:val="28"/>
                <w:szCs w:val="28"/>
              </w:rPr>
            </w:pPr>
            <w:r>
              <w:rPr>
                <w:rFonts w:hint="eastAsia" w:ascii="Times New Roman" w:hAnsi="Times New Roman" w:eastAsia="仿宋_GB2312" w:cs="Times New Roman"/>
                <w:color w:val="auto"/>
                <w:sz w:val="28"/>
                <w:szCs w:val="28"/>
              </w:rPr>
              <w:t>各级各类起降设施数量（处）</w:t>
            </w:r>
          </w:p>
        </w:tc>
        <w:tc>
          <w:tcPr>
            <w:tcW w:w="0" w:type="auto"/>
            <w:tcBorders>
              <w:tl2br w:val="nil"/>
              <w:tr2bl w:val="nil"/>
            </w:tcBorders>
            <w:vAlign w:val="center"/>
          </w:tcPr>
          <w:p>
            <w:pPr>
              <w:adjustRightInd w:val="0"/>
              <w:snapToGrid w:val="0"/>
              <w:spacing w:line="520" w:lineRule="exact"/>
              <w:jc w:val="center"/>
              <w:rPr>
                <w:rFonts w:ascii="Times New Roman" w:hAnsi="Times New Roman" w:eastAsia="仿宋_GB2312" w:cs="Times New Roman"/>
                <w:color w:val="auto"/>
                <w:sz w:val="28"/>
                <w:szCs w:val="28"/>
              </w:rPr>
            </w:pPr>
            <w:r>
              <w:rPr>
                <w:rFonts w:hint="eastAsia" w:ascii="Times New Roman" w:hAnsi="Times New Roman" w:eastAsia="仿宋_GB2312" w:cs="Times New Roman"/>
                <w:color w:val="auto"/>
                <w:sz w:val="28"/>
                <w:szCs w:val="28"/>
              </w:rPr>
              <w:t>100</w:t>
            </w:r>
          </w:p>
        </w:tc>
        <w:tc>
          <w:tcPr>
            <w:tcW w:w="0" w:type="auto"/>
            <w:tcBorders>
              <w:tl2br w:val="nil"/>
              <w:tr2bl w:val="nil"/>
            </w:tcBorders>
            <w:vAlign w:val="center"/>
          </w:tcPr>
          <w:p>
            <w:pPr>
              <w:adjustRightInd w:val="0"/>
              <w:snapToGrid w:val="0"/>
              <w:spacing w:line="520" w:lineRule="exact"/>
              <w:jc w:val="center"/>
              <w:rPr>
                <w:rFonts w:ascii="Times New Roman" w:hAnsi="Times New Roman" w:eastAsia="仿宋_GB2312" w:cs="Times New Roman"/>
                <w:color w:val="auto"/>
                <w:sz w:val="28"/>
                <w:szCs w:val="28"/>
              </w:rPr>
            </w:pPr>
            <w:r>
              <w:rPr>
                <w:rFonts w:hint="eastAsia" w:ascii="Times New Roman" w:hAnsi="Times New Roman" w:eastAsia="仿宋_GB2312" w:cs="Times New Roman"/>
                <w:color w:val="auto"/>
                <w:sz w:val="28"/>
                <w:szCs w:val="28"/>
              </w:rPr>
              <w:t>300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blHeader/>
          <w:jc w:val="center"/>
        </w:trPr>
        <w:tc>
          <w:tcPr>
            <w:tcW w:w="0" w:type="auto"/>
            <w:tcBorders>
              <w:tl2br w:val="nil"/>
              <w:tr2bl w:val="nil"/>
            </w:tcBorders>
            <w:vAlign w:val="center"/>
          </w:tcPr>
          <w:p>
            <w:pPr>
              <w:adjustRightInd w:val="0"/>
              <w:snapToGrid w:val="0"/>
              <w:spacing w:line="520" w:lineRule="exact"/>
              <w:jc w:val="center"/>
              <w:rPr>
                <w:rFonts w:ascii="Times New Roman" w:hAnsi="Times New Roman" w:eastAsia="仿宋_GB2312" w:cs="Times New Roman"/>
                <w:color w:val="auto"/>
                <w:sz w:val="28"/>
                <w:szCs w:val="28"/>
              </w:rPr>
            </w:pPr>
            <w:r>
              <w:rPr>
                <w:rFonts w:hint="eastAsia" w:ascii="Times New Roman" w:hAnsi="Times New Roman" w:eastAsia="仿宋_GB2312" w:cs="Times New Roman"/>
                <w:color w:val="auto"/>
                <w:sz w:val="28"/>
                <w:szCs w:val="28"/>
              </w:rPr>
              <w:t>8</w:t>
            </w:r>
          </w:p>
        </w:tc>
        <w:tc>
          <w:tcPr>
            <w:tcW w:w="0" w:type="auto"/>
            <w:vMerge w:val="continue"/>
            <w:tcBorders>
              <w:tl2br w:val="nil"/>
              <w:tr2bl w:val="nil"/>
            </w:tcBorders>
            <w:vAlign w:val="center"/>
          </w:tcPr>
          <w:p>
            <w:pPr>
              <w:adjustRightInd w:val="0"/>
              <w:snapToGrid w:val="0"/>
              <w:spacing w:line="520" w:lineRule="exact"/>
              <w:jc w:val="center"/>
              <w:rPr>
                <w:rFonts w:ascii="Times New Roman" w:hAnsi="Times New Roman" w:eastAsia="仿宋_GB2312" w:cs="Times New Roman"/>
                <w:color w:val="auto"/>
                <w:sz w:val="28"/>
                <w:szCs w:val="28"/>
              </w:rPr>
            </w:pPr>
          </w:p>
        </w:tc>
        <w:tc>
          <w:tcPr>
            <w:tcW w:w="0" w:type="auto"/>
            <w:tcBorders>
              <w:tl2br w:val="nil"/>
              <w:tr2bl w:val="nil"/>
            </w:tcBorders>
            <w:vAlign w:val="center"/>
          </w:tcPr>
          <w:p>
            <w:pPr>
              <w:adjustRightInd w:val="0"/>
              <w:snapToGrid w:val="0"/>
              <w:spacing w:line="520" w:lineRule="exact"/>
              <w:jc w:val="left"/>
              <w:rPr>
                <w:rFonts w:ascii="Times New Roman" w:hAnsi="Times New Roman" w:eastAsia="仿宋_GB2312" w:cs="Times New Roman"/>
                <w:color w:val="auto"/>
                <w:sz w:val="28"/>
                <w:szCs w:val="28"/>
              </w:rPr>
            </w:pPr>
            <w:r>
              <w:rPr>
                <w:rFonts w:hint="eastAsia" w:ascii="Times New Roman" w:hAnsi="Times New Roman" w:eastAsia="仿宋_GB2312" w:cs="Times New Roman"/>
                <w:color w:val="auto"/>
                <w:sz w:val="28"/>
                <w:szCs w:val="28"/>
              </w:rPr>
              <w:t>测试试飞基地（个）</w:t>
            </w:r>
          </w:p>
        </w:tc>
        <w:tc>
          <w:tcPr>
            <w:tcW w:w="0" w:type="auto"/>
            <w:tcBorders>
              <w:tl2br w:val="nil"/>
              <w:tr2bl w:val="nil"/>
            </w:tcBorders>
            <w:vAlign w:val="center"/>
          </w:tcPr>
          <w:p>
            <w:pPr>
              <w:adjustRightInd w:val="0"/>
              <w:snapToGrid w:val="0"/>
              <w:spacing w:line="520" w:lineRule="exact"/>
              <w:jc w:val="center"/>
              <w:rPr>
                <w:rFonts w:ascii="Times New Roman" w:hAnsi="Times New Roman" w:eastAsia="仿宋_GB2312" w:cs="Times New Roman"/>
                <w:color w:val="auto"/>
                <w:sz w:val="28"/>
                <w:szCs w:val="28"/>
              </w:rPr>
            </w:pPr>
            <w:r>
              <w:rPr>
                <w:rFonts w:hint="eastAsia" w:ascii="Times New Roman" w:hAnsi="Times New Roman" w:eastAsia="仿宋_GB2312" w:cs="Times New Roman"/>
                <w:color w:val="auto"/>
                <w:sz w:val="28"/>
                <w:szCs w:val="28"/>
              </w:rPr>
              <w:t>2</w:t>
            </w:r>
          </w:p>
        </w:tc>
        <w:tc>
          <w:tcPr>
            <w:tcW w:w="0" w:type="auto"/>
            <w:tcBorders>
              <w:tl2br w:val="nil"/>
              <w:tr2bl w:val="nil"/>
            </w:tcBorders>
            <w:vAlign w:val="center"/>
          </w:tcPr>
          <w:p>
            <w:pPr>
              <w:adjustRightInd w:val="0"/>
              <w:snapToGrid w:val="0"/>
              <w:spacing w:line="520" w:lineRule="exact"/>
              <w:jc w:val="center"/>
              <w:rPr>
                <w:rFonts w:ascii="Times New Roman" w:hAnsi="Times New Roman" w:eastAsia="仿宋_GB2312" w:cs="Times New Roman"/>
                <w:color w:val="auto"/>
                <w:sz w:val="28"/>
                <w:szCs w:val="28"/>
              </w:rPr>
            </w:pPr>
            <w:r>
              <w:rPr>
                <w:rFonts w:hint="eastAsia" w:ascii="Times New Roman" w:hAnsi="Times New Roman" w:eastAsia="仿宋_GB2312" w:cs="Times New Roman"/>
                <w:color w:val="auto"/>
                <w:sz w:val="28"/>
                <w:szCs w:val="28"/>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blHeader/>
          <w:jc w:val="center"/>
        </w:trPr>
        <w:tc>
          <w:tcPr>
            <w:tcW w:w="0" w:type="auto"/>
            <w:tcBorders>
              <w:tl2br w:val="nil"/>
              <w:tr2bl w:val="nil"/>
            </w:tcBorders>
            <w:vAlign w:val="center"/>
          </w:tcPr>
          <w:p>
            <w:pPr>
              <w:adjustRightInd w:val="0"/>
              <w:snapToGrid w:val="0"/>
              <w:spacing w:line="520" w:lineRule="exact"/>
              <w:jc w:val="center"/>
              <w:rPr>
                <w:rFonts w:ascii="Times New Roman" w:hAnsi="Times New Roman" w:eastAsia="仿宋_GB2312" w:cs="Times New Roman"/>
                <w:color w:val="auto"/>
                <w:sz w:val="28"/>
                <w:szCs w:val="28"/>
              </w:rPr>
            </w:pPr>
            <w:r>
              <w:rPr>
                <w:rFonts w:hint="eastAsia" w:ascii="Times New Roman" w:hAnsi="Times New Roman" w:eastAsia="仿宋_GB2312" w:cs="Times New Roman"/>
                <w:color w:val="auto"/>
                <w:sz w:val="28"/>
                <w:szCs w:val="28"/>
              </w:rPr>
              <w:t>9</w:t>
            </w:r>
          </w:p>
        </w:tc>
        <w:tc>
          <w:tcPr>
            <w:tcW w:w="0" w:type="auto"/>
            <w:vMerge w:val="restart"/>
            <w:tcBorders>
              <w:tl2br w:val="nil"/>
              <w:tr2bl w:val="nil"/>
            </w:tcBorders>
            <w:vAlign w:val="center"/>
          </w:tcPr>
          <w:p>
            <w:pPr>
              <w:adjustRightInd w:val="0"/>
              <w:snapToGrid w:val="0"/>
              <w:spacing w:line="520" w:lineRule="exact"/>
              <w:jc w:val="center"/>
              <w:rPr>
                <w:rFonts w:ascii="Times New Roman" w:hAnsi="Times New Roman" w:eastAsia="仿宋_GB2312" w:cs="Times New Roman"/>
                <w:color w:val="auto"/>
                <w:sz w:val="28"/>
                <w:szCs w:val="28"/>
              </w:rPr>
            </w:pPr>
            <w:r>
              <w:rPr>
                <w:rFonts w:hint="eastAsia" w:ascii="Times New Roman" w:hAnsi="Times New Roman" w:eastAsia="仿宋_GB2312" w:cs="Times New Roman"/>
                <w:color w:val="auto"/>
                <w:sz w:val="28"/>
                <w:szCs w:val="28"/>
              </w:rPr>
              <w:t>应用场景</w:t>
            </w:r>
          </w:p>
        </w:tc>
        <w:tc>
          <w:tcPr>
            <w:tcW w:w="0" w:type="auto"/>
            <w:tcBorders>
              <w:tl2br w:val="nil"/>
              <w:tr2bl w:val="nil"/>
            </w:tcBorders>
            <w:vAlign w:val="center"/>
          </w:tcPr>
          <w:p>
            <w:pPr>
              <w:adjustRightInd w:val="0"/>
              <w:snapToGrid w:val="0"/>
              <w:spacing w:line="520" w:lineRule="exact"/>
              <w:jc w:val="left"/>
              <w:rPr>
                <w:rFonts w:ascii="Times New Roman" w:hAnsi="Times New Roman" w:eastAsia="仿宋_GB2312" w:cs="Times New Roman"/>
                <w:color w:val="auto"/>
                <w:sz w:val="28"/>
                <w:szCs w:val="28"/>
              </w:rPr>
            </w:pPr>
            <w:r>
              <w:rPr>
                <w:rFonts w:hint="eastAsia" w:ascii="Times New Roman" w:hAnsi="Times New Roman" w:eastAsia="仿宋_GB2312" w:cs="Times New Roman"/>
                <w:color w:val="auto"/>
                <w:sz w:val="28"/>
                <w:szCs w:val="28"/>
              </w:rPr>
              <w:t>省级以上示范场景（个）</w:t>
            </w:r>
          </w:p>
        </w:tc>
        <w:tc>
          <w:tcPr>
            <w:tcW w:w="0" w:type="auto"/>
            <w:tcBorders>
              <w:tl2br w:val="nil"/>
              <w:tr2bl w:val="nil"/>
            </w:tcBorders>
            <w:vAlign w:val="center"/>
          </w:tcPr>
          <w:p>
            <w:pPr>
              <w:adjustRightInd w:val="0"/>
              <w:snapToGrid w:val="0"/>
              <w:spacing w:line="520" w:lineRule="exact"/>
              <w:jc w:val="center"/>
              <w:rPr>
                <w:rFonts w:ascii="Times New Roman" w:hAnsi="Times New Roman" w:eastAsia="仿宋_GB2312" w:cs="Times New Roman"/>
                <w:color w:val="auto"/>
                <w:sz w:val="28"/>
                <w:szCs w:val="28"/>
              </w:rPr>
            </w:pPr>
            <w:r>
              <w:rPr>
                <w:rFonts w:hint="eastAsia" w:ascii="Times New Roman" w:hAnsi="Times New Roman" w:eastAsia="仿宋_GB2312" w:cs="Times New Roman"/>
                <w:color w:val="auto"/>
                <w:sz w:val="28"/>
                <w:szCs w:val="28"/>
              </w:rPr>
              <w:t>5</w:t>
            </w:r>
          </w:p>
        </w:tc>
        <w:tc>
          <w:tcPr>
            <w:tcW w:w="0" w:type="auto"/>
            <w:tcBorders>
              <w:tl2br w:val="nil"/>
              <w:tr2bl w:val="nil"/>
            </w:tcBorders>
            <w:vAlign w:val="center"/>
          </w:tcPr>
          <w:p>
            <w:pPr>
              <w:adjustRightInd w:val="0"/>
              <w:snapToGrid w:val="0"/>
              <w:spacing w:line="520" w:lineRule="exact"/>
              <w:jc w:val="center"/>
              <w:rPr>
                <w:rFonts w:ascii="Times New Roman" w:hAnsi="Times New Roman" w:eastAsia="仿宋_GB2312" w:cs="Times New Roman"/>
                <w:color w:val="auto"/>
                <w:sz w:val="28"/>
                <w:szCs w:val="28"/>
              </w:rPr>
            </w:pPr>
            <w:r>
              <w:rPr>
                <w:rFonts w:hint="eastAsia" w:ascii="Times New Roman" w:hAnsi="Times New Roman" w:eastAsia="仿宋_GB2312" w:cs="Times New Roman"/>
                <w:color w:val="auto"/>
                <w:sz w:val="28"/>
                <w:szCs w:val="28"/>
              </w:rPr>
              <w:t>10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blHeader/>
          <w:jc w:val="center"/>
        </w:trPr>
        <w:tc>
          <w:tcPr>
            <w:tcW w:w="0" w:type="auto"/>
            <w:tcBorders>
              <w:tl2br w:val="nil"/>
              <w:tr2bl w:val="nil"/>
            </w:tcBorders>
            <w:vAlign w:val="center"/>
          </w:tcPr>
          <w:p>
            <w:pPr>
              <w:adjustRightInd w:val="0"/>
              <w:snapToGrid w:val="0"/>
              <w:spacing w:line="520" w:lineRule="exact"/>
              <w:jc w:val="center"/>
              <w:rPr>
                <w:rFonts w:ascii="Times New Roman" w:hAnsi="Times New Roman" w:eastAsia="仿宋_GB2312" w:cs="Times New Roman"/>
                <w:color w:val="auto"/>
                <w:sz w:val="28"/>
                <w:szCs w:val="28"/>
              </w:rPr>
            </w:pPr>
            <w:r>
              <w:rPr>
                <w:rFonts w:hint="eastAsia" w:ascii="Times New Roman" w:hAnsi="Times New Roman" w:eastAsia="仿宋_GB2312" w:cs="Times New Roman"/>
                <w:color w:val="auto"/>
                <w:sz w:val="28"/>
                <w:szCs w:val="28"/>
              </w:rPr>
              <w:t>10</w:t>
            </w:r>
          </w:p>
        </w:tc>
        <w:tc>
          <w:tcPr>
            <w:tcW w:w="0" w:type="auto"/>
            <w:vMerge w:val="continue"/>
            <w:tcBorders>
              <w:tl2br w:val="nil"/>
              <w:tr2bl w:val="nil"/>
            </w:tcBorders>
            <w:vAlign w:val="center"/>
          </w:tcPr>
          <w:p>
            <w:pPr>
              <w:adjustRightInd w:val="0"/>
              <w:snapToGrid w:val="0"/>
              <w:spacing w:line="520" w:lineRule="exact"/>
              <w:jc w:val="center"/>
              <w:rPr>
                <w:rFonts w:ascii="Times New Roman" w:hAnsi="Times New Roman" w:eastAsia="仿宋_GB2312" w:cs="Times New Roman"/>
                <w:color w:val="auto"/>
                <w:sz w:val="28"/>
                <w:szCs w:val="28"/>
              </w:rPr>
            </w:pPr>
          </w:p>
        </w:tc>
        <w:tc>
          <w:tcPr>
            <w:tcW w:w="0" w:type="auto"/>
            <w:tcBorders>
              <w:tl2br w:val="nil"/>
              <w:tr2bl w:val="nil"/>
            </w:tcBorders>
            <w:vAlign w:val="center"/>
          </w:tcPr>
          <w:p>
            <w:pPr>
              <w:adjustRightInd w:val="0"/>
              <w:snapToGrid w:val="0"/>
              <w:spacing w:line="520" w:lineRule="exact"/>
              <w:jc w:val="left"/>
              <w:rPr>
                <w:rFonts w:ascii="Times New Roman" w:hAnsi="Times New Roman" w:eastAsia="仿宋_GB2312" w:cs="Times New Roman"/>
                <w:color w:val="auto"/>
                <w:sz w:val="28"/>
                <w:szCs w:val="28"/>
              </w:rPr>
            </w:pPr>
            <w:r>
              <w:rPr>
                <w:rFonts w:hint="eastAsia" w:ascii="Times New Roman" w:hAnsi="Times New Roman" w:eastAsia="仿宋_GB2312" w:cs="Times New Roman"/>
                <w:color w:val="auto"/>
                <w:sz w:val="28"/>
                <w:szCs w:val="28"/>
              </w:rPr>
              <w:t>低空通景航线（条）</w:t>
            </w:r>
          </w:p>
        </w:tc>
        <w:tc>
          <w:tcPr>
            <w:tcW w:w="0" w:type="auto"/>
            <w:tcBorders>
              <w:tl2br w:val="nil"/>
              <w:tr2bl w:val="nil"/>
            </w:tcBorders>
            <w:vAlign w:val="center"/>
          </w:tcPr>
          <w:p>
            <w:pPr>
              <w:adjustRightInd w:val="0"/>
              <w:snapToGrid w:val="0"/>
              <w:spacing w:line="520" w:lineRule="exact"/>
              <w:jc w:val="center"/>
              <w:rPr>
                <w:rFonts w:ascii="Times New Roman" w:hAnsi="Times New Roman" w:eastAsia="仿宋_GB2312" w:cs="Times New Roman"/>
                <w:color w:val="auto"/>
                <w:sz w:val="28"/>
                <w:szCs w:val="28"/>
              </w:rPr>
            </w:pPr>
            <w:r>
              <w:rPr>
                <w:rFonts w:hint="eastAsia" w:ascii="Times New Roman" w:hAnsi="Times New Roman" w:eastAsia="仿宋_GB2312" w:cs="Times New Roman"/>
                <w:color w:val="auto"/>
                <w:sz w:val="28"/>
                <w:szCs w:val="28"/>
              </w:rPr>
              <w:t>4</w:t>
            </w:r>
          </w:p>
        </w:tc>
        <w:tc>
          <w:tcPr>
            <w:tcW w:w="0" w:type="auto"/>
            <w:tcBorders>
              <w:tl2br w:val="nil"/>
              <w:tr2bl w:val="nil"/>
            </w:tcBorders>
            <w:vAlign w:val="center"/>
          </w:tcPr>
          <w:p>
            <w:pPr>
              <w:adjustRightInd w:val="0"/>
              <w:snapToGrid w:val="0"/>
              <w:spacing w:line="520" w:lineRule="exact"/>
              <w:jc w:val="center"/>
              <w:rPr>
                <w:rFonts w:ascii="Times New Roman" w:hAnsi="Times New Roman" w:eastAsia="仿宋_GB2312" w:cs="Times New Roman"/>
                <w:color w:val="auto"/>
                <w:sz w:val="28"/>
                <w:szCs w:val="28"/>
              </w:rPr>
            </w:pPr>
            <w:r>
              <w:rPr>
                <w:rFonts w:hint="eastAsia" w:ascii="Times New Roman" w:hAnsi="Times New Roman" w:eastAsia="仿宋_GB2312" w:cs="Times New Roman"/>
                <w:color w:val="auto"/>
                <w:sz w:val="28"/>
                <w:szCs w:val="28"/>
              </w:rPr>
              <w:t>10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blHeader/>
          <w:jc w:val="center"/>
        </w:trPr>
        <w:tc>
          <w:tcPr>
            <w:tcW w:w="0" w:type="auto"/>
            <w:tcBorders>
              <w:tl2br w:val="nil"/>
              <w:tr2bl w:val="nil"/>
            </w:tcBorders>
            <w:vAlign w:val="center"/>
          </w:tcPr>
          <w:p>
            <w:pPr>
              <w:adjustRightInd w:val="0"/>
              <w:snapToGrid w:val="0"/>
              <w:spacing w:line="520" w:lineRule="exact"/>
              <w:jc w:val="center"/>
              <w:rPr>
                <w:rFonts w:ascii="Times New Roman" w:hAnsi="Times New Roman" w:eastAsia="仿宋_GB2312" w:cs="Times New Roman"/>
                <w:color w:val="auto"/>
                <w:sz w:val="28"/>
                <w:szCs w:val="28"/>
              </w:rPr>
            </w:pPr>
            <w:r>
              <w:rPr>
                <w:rFonts w:hint="eastAsia" w:ascii="Times New Roman" w:hAnsi="Times New Roman" w:eastAsia="仿宋_GB2312" w:cs="Times New Roman"/>
                <w:color w:val="auto"/>
                <w:sz w:val="28"/>
                <w:szCs w:val="28"/>
              </w:rPr>
              <w:t>11</w:t>
            </w:r>
          </w:p>
        </w:tc>
        <w:tc>
          <w:tcPr>
            <w:tcW w:w="0" w:type="auto"/>
            <w:vMerge w:val="continue"/>
            <w:tcBorders>
              <w:tl2br w:val="nil"/>
              <w:tr2bl w:val="nil"/>
            </w:tcBorders>
            <w:vAlign w:val="center"/>
          </w:tcPr>
          <w:p>
            <w:pPr>
              <w:adjustRightInd w:val="0"/>
              <w:snapToGrid w:val="0"/>
              <w:spacing w:line="520" w:lineRule="exact"/>
              <w:jc w:val="center"/>
              <w:rPr>
                <w:rFonts w:ascii="Times New Roman" w:hAnsi="Times New Roman" w:eastAsia="仿宋_GB2312" w:cs="Times New Roman"/>
                <w:color w:val="auto"/>
                <w:sz w:val="28"/>
                <w:szCs w:val="28"/>
              </w:rPr>
            </w:pPr>
          </w:p>
        </w:tc>
        <w:tc>
          <w:tcPr>
            <w:tcW w:w="0" w:type="auto"/>
            <w:tcBorders>
              <w:tl2br w:val="nil"/>
              <w:tr2bl w:val="nil"/>
            </w:tcBorders>
            <w:vAlign w:val="center"/>
          </w:tcPr>
          <w:p>
            <w:pPr>
              <w:adjustRightInd w:val="0"/>
              <w:snapToGrid w:val="0"/>
              <w:spacing w:line="520" w:lineRule="exact"/>
              <w:jc w:val="left"/>
              <w:rPr>
                <w:rFonts w:ascii="Times New Roman" w:hAnsi="Times New Roman" w:eastAsia="仿宋_GB2312" w:cs="Times New Roman"/>
                <w:color w:val="auto"/>
                <w:sz w:val="28"/>
                <w:szCs w:val="28"/>
              </w:rPr>
            </w:pPr>
            <w:r>
              <w:rPr>
                <w:rFonts w:hint="eastAsia" w:ascii="Times New Roman" w:hAnsi="Times New Roman" w:eastAsia="仿宋_GB2312" w:cs="Times New Roman"/>
                <w:color w:val="auto"/>
                <w:sz w:val="28"/>
                <w:szCs w:val="28"/>
              </w:rPr>
              <w:t>低空文旅精品项目（个）</w:t>
            </w:r>
          </w:p>
        </w:tc>
        <w:tc>
          <w:tcPr>
            <w:tcW w:w="0" w:type="auto"/>
            <w:tcBorders>
              <w:tl2br w:val="nil"/>
              <w:tr2bl w:val="nil"/>
            </w:tcBorders>
            <w:vAlign w:val="center"/>
          </w:tcPr>
          <w:p>
            <w:pPr>
              <w:adjustRightInd w:val="0"/>
              <w:snapToGrid w:val="0"/>
              <w:spacing w:line="520" w:lineRule="exact"/>
              <w:jc w:val="center"/>
              <w:rPr>
                <w:rFonts w:ascii="Times New Roman" w:hAnsi="Times New Roman" w:eastAsia="仿宋_GB2312" w:cs="Times New Roman"/>
                <w:color w:val="auto"/>
                <w:sz w:val="28"/>
                <w:szCs w:val="28"/>
              </w:rPr>
            </w:pPr>
            <w:r>
              <w:rPr>
                <w:rFonts w:hint="eastAsia" w:ascii="Times New Roman" w:hAnsi="Times New Roman" w:eastAsia="仿宋_GB2312" w:cs="Times New Roman"/>
                <w:color w:val="auto"/>
                <w:sz w:val="28"/>
                <w:szCs w:val="28"/>
              </w:rPr>
              <w:t>6</w:t>
            </w:r>
          </w:p>
        </w:tc>
        <w:tc>
          <w:tcPr>
            <w:tcW w:w="0" w:type="auto"/>
            <w:tcBorders>
              <w:tl2br w:val="nil"/>
              <w:tr2bl w:val="nil"/>
            </w:tcBorders>
            <w:vAlign w:val="center"/>
          </w:tcPr>
          <w:p>
            <w:pPr>
              <w:adjustRightInd w:val="0"/>
              <w:snapToGrid w:val="0"/>
              <w:spacing w:line="520" w:lineRule="exact"/>
              <w:jc w:val="center"/>
              <w:rPr>
                <w:rFonts w:ascii="Times New Roman" w:hAnsi="Times New Roman" w:eastAsia="仿宋_GB2312" w:cs="Times New Roman"/>
                <w:color w:val="auto"/>
                <w:sz w:val="28"/>
                <w:szCs w:val="28"/>
              </w:rPr>
            </w:pPr>
            <w:r>
              <w:rPr>
                <w:rFonts w:hint="eastAsia" w:ascii="Times New Roman" w:hAnsi="Times New Roman" w:eastAsia="仿宋_GB2312" w:cs="Times New Roman"/>
                <w:color w:val="auto"/>
                <w:sz w:val="28"/>
                <w:szCs w:val="28"/>
              </w:rPr>
              <w:t>20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blHeader/>
          <w:jc w:val="center"/>
        </w:trPr>
        <w:tc>
          <w:tcPr>
            <w:tcW w:w="0" w:type="auto"/>
            <w:tcBorders>
              <w:tl2br w:val="nil"/>
              <w:tr2bl w:val="nil"/>
            </w:tcBorders>
            <w:vAlign w:val="center"/>
          </w:tcPr>
          <w:p>
            <w:pPr>
              <w:adjustRightInd w:val="0"/>
              <w:snapToGrid w:val="0"/>
              <w:spacing w:line="520" w:lineRule="exact"/>
              <w:jc w:val="center"/>
              <w:rPr>
                <w:rFonts w:ascii="Times New Roman" w:hAnsi="Times New Roman" w:eastAsia="仿宋_GB2312" w:cs="Times New Roman"/>
                <w:color w:val="auto"/>
                <w:sz w:val="28"/>
                <w:szCs w:val="28"/>
              </w:rPr>
            </w:pPr>
            <w:r>
              <w:rPr>
                <w:rFonts w:hint="eastAsia" w:ascii="Times New Roman" w:hAnsi="Times New Roman" w:eastAsia="仿宋_GB2312" w:cs="Times New Roman"/>
                <w:color w:val="auto"/>
                <w:sz w:val="28"/>
                <w:szCs w:val="28"/>
              </w:rPr>
              <w:t>12</w:t>
            </w:r>
          </w:p>
        </w:tc>
        <w:tc>
          <w:tcPr>
            <w:tcW w:w="0" w:type="auto"/>
            <w:vMerge w:val="continue"/>
            <w:tcBorders>
              <w:tl2br w:val="nil"/>
              <w:tr2bl w:val="nil"/>
            </w:tcBorders>
            <w:vAlign w:val="center"/>
          </w:tcPr>
          <w:p>
            <w:pPr>
              <w:adjustRightInd w:val="0"/>
              <w:snapToGrid w:val="0"/>
              <w:spacing w:line="520" w:lineRule="exact"/>
              <w:jc w:val="center"/>
              <w:rPr>
                <w:rFonts w:ascii="Times New Roman" w:hAnsi="Times New Roman" w:eastAsia="仿宋_GB2312" w:cs="Times New Roman"/>
                <w:color w:val="auto"/>
                <w:sz w:val="28"/>
                <w:szCs w:val="28"/>
              </w:rPr>
            </w:pPr>
          </w:p>
        </w:tc>
        <w:tc>
          <w:tcPr>
            <w:tcW w:w="0" w:type="auto"/>
            <w:tcBorders>
              <w:tl2br w:val="nil"/>
              <w:tr2bl w:val="nil"/>
            </w:tcBorders>
            <w:vAlign w:val="center"/>
          </w:tcPr>
          <w:p>
            <w:pPr>
              <w:adjustRightInd w:val="0"/>
              <w:snapToGrid w:val="0"/>
              <w:spacing w:line="520" w:lineRule="exact"/>
              <w:jc w:val="left"/>
              <w:rPr>
                <w:rFonts w:ascii="Times New Roman" w:hAnsi="Times New Roman" w:eastAsia="仿宋_GB2312" w:cs="Times New Roman"/>
                <w:color w:val="auto"/>
                <w:sz w:val="28"/>
                <w:szCs w:val="28"/>
              </w:rPr>
            </w:pPr>
            <w:r>
              <w:rPr>
                <w:rFonts w:hint="eastAsia" w:ascii="Times New Roman" w:hAnsi="Times New Roman" w:eastAsia="仿宋_GB2312" w:cs="Times New Roman"/>
                <w:color w:val="auto"/>
                <w:sz w:val="28"/>
                <w:szCs w:val="28"/>
              </w:rPr>
              <w:t>无人机物流配送航线（条）</w:t>
            </w:r>
          </w:p>
        </w:tc>
        <w:tc>
          <w:tcPr>
            <w:tcW w:w="0" w:type="auto"/>
            <w:tcBorders>
              <w:tl2br w:val="nil"/>
              <w:tr2bl w:val="nil"/>
            </w:tcBorders>
            <w:vAlign w:val="center"/>
          </w:tcPr>
          <w:p>
            <w:pPr>
              <w:adjustRightInd w:val="0"/>
              <w:snapToGrid w:val="0"/>
              <w:spacing w:line="520" w:lineRule="exact"/>
              <w:jc w:val="center"/>
              <w:rPr>
                <w:rFonts w:ascii="Times New Roman" w:hAnsi="Times New Roman" w:eastAsia="仿宋_GB2312" w:cs="Times New Roman"/>
                <w:color w:val="auto"/>
                <w:sz w:val="28"/>
                <w:szCs w:val="28"/>
              </w:rPr>
            </w:pPr>
            <w:r>
              <w:rPr>
                <w:rFonts w:hint="eastAsia" w:ascii="Times New Roman" w:hAnsi="Times New Roman" w:eastAsia="仿宋_GB2312" w:cs="Times New Roman"/>
                <w:color w:val="auto"/>
                <w:sz w:val="28"/>
                <w:szCs w:val="28"/>
              </w:rPr>
              <w:t>6</w:t>
            </w:r>
          </w:p>
        </w:tc>
        <w:tc>
          <w:tcPr>
            <w:tcW w:w="0" w:type="auto"/>
            <w:tcBorders>
              <w:tl2br w:val="nil"/>
              <w:tr2bl w:val="nil"/>
            </w:tcBorders>
            <w:vAlign w:val="center"/>
          </w:tcPr>
          <w:p>
            <w:pPr>
              <w:adjustRightInd w:val="0"/>
              <w:snapToGrid w:val="0"/>
              <w:spacing w:line="520" w:lineRule="exact"/>
              <w:jc w:val="center"/>
              <w:rPr>
                <w:rFonts w:ascii="Times New Roman" w:hAnsi="Times New Roman" w:eastAsia="仿宋_GB2312" w:cs="Times New Roman"/>
                <w:color w:val="auto"/>
                <w:sz w:val="28"/>
                <w:szCs w:val="28"/>
              </w:rPr>
            </w:pPr>
            <w:r>
              <w:rPr>
                <w:rFonts w:hint="eastAsia" w:ascii="Times New Roman" w:hAnsi="Times New Roman" w:eastAsia="仿宋_GB2312" w:cs="Times New Roman"/>
                <w:color w:val="auto"/>
                <w:sz w:val="28"/>
                <w:szCs w:val="28"/>
              </w:rPr>
              <w:t>20</w:t>
            </w:r>
          </w:p>
        </w:tc>
      </w:tr>
    </w:tbl>
    <w:p>
      <w:pPr>
        <w:snapToGrid w:val="0"/>
        <w:spacing w:line="560" w:lineRule="exact"/>
        <w:ind w:firstLine="664" w:firstLineChars="200"/>
        <w:outlineLvl w:val="1"/>
        <w:rPr>
          <w:rFonts w:ascii="Times New Roman" w:hAnsi="Times New Roman" w:eastAsia="楷体_GB2312" w:cs="Times New Roman"/>
          <w:color w:val="auto"/>
          <w:spacing w:val="6"/>
          <w:sz w:val="32"/>
          <w:szCs w:val="32"/>
        </w:rPr>
      </w:pPr>
      <w:bookmarkStart w:id="70" w:name="_Toc220270452"/>
      <w:bookmarkStart w:id="71" w:name="_Toc21665"/>
      <w:bookmarkStart w:id="72" w:name="_Toc207125763"/>
      <w:r>
        <w:rPr>
          <w:rFonts w:hint="eastAsia" w:ascii="Times New Roman" w:hAnsi="Times New Roman" w:eastAsia="楷体_GB2312" w:cs="Times New Roman"/>
          <w:color w:val="auto"/>
          <w:spacing w:val="6"/>
          <w:sz w:val="32"/>
          <w:szCs w:val="32"/>
        </w:rPr>
        <w:t>（五）空间布局</w:t>
      </w:r>
      <w:bookmarkEnd w:id="70"/>
      <w:bookmarkEnd w:id="71"/>
      <w:bookmarkEnd w:id="72"/>
    </w:p>
    <w:p>
      <w:pPr>
        <w:pStyle w:val="32"/>
        <w:rPr>
          <w:rFonts w:ascii="Times New Roman" w:cs="Times New Roman"/>
          <w:color w:val="auto"/>
          <w:kern w:val="0"/>
          <w:szCs w:val="32"/>
        </w:rPr>
      </w:pPr>
      <w:bookmarkStart w:id="73" w:name="OLE_LINK20"/>
      <w:r>
        <w:rPr>
          <w:rFonts w:hint="eastAsia" w:ascii="Times New Roman" w:cs="Times New Roman"/>
          <w:color w:val="auto"/>
          <w:kern w:val="0"/>
          <w:szCs w:val="32"/>
        </w:rPr>
        <w:t>立足</w:t>
      </w:r>
      <w:r>
        <w:rPr>
          <w:rFonts w:hint="eastAsia" w:ascii="Times New Roman" w:cs="Times New Roman"/>
          <w:color w:val="auto"/>
          <w:szCs w:val="32"/>
        </w:rPr>
        <w:t>各县（市、区）产业基础、资源禀赋</w:t>
      </w:r>
      <w:r>
        <w:rPr>
          <w:rFonts w:hint="eastAsia" w:ascii="Times New Roman" w:cs="Times New Roman"/>
          <w:color w:val="auto"/>
          <w:kern w:val="0"/>
          <w:szCs w:val="32"/>
        </w:rPr>
        <w:t>和</w:t>
      </w:r>
      <w:r>
        <w:rPr>
          <w:rFonts w:hint="eastAsia" w:ascii="Times New Roman" w:cs="Times New Roman"/>
          <w:color w:val="auto"/>
          <w:szCs w:val="32"/>
        </w:rPr>
        <w:t>项目储备，</w:t>
      </w:r>
      <w:r>
        <w:rPr>
          <w:rFonts w:hint="eastAsia" w:ascii="Times New Roman" w:cs="Times New Roman"/>
          <w:color w:val="auto"/>
          <w:kern w:val="0"/>
          <w:szCs w:val="32"/>
        </w:rPr>
        <w:t>按照</w:t>
      </w:r>
      <w:r>
        <w:rPr>
          <w:rFonts w:hint="eastAsia" w:hAnsi="仿宋_GB2312" w:cs="仿宋_GB2312"/>
          <w:color w:val="auto"/>
          <w:kern w:val="0"/>
          <w:szCs w:val="32"/>
        </w:rPr>
        <w:t>“</w:t>
      </w:r>
      <w:r>
        <w:rPr>
          <w:rFonts w:hint="eastAsia" w:hAnsi="仿宋_GB2312" w:cs="仿宋_GB2312"/>
          <w:color w:val="auto"/>
          <w:szCs w:val="32"/>
        </w:rPr>
        <w:t>因地制宜、</w:t>
      </w:r>
      <w:r>
        <w:rPr>
          <w:rFonts w:hint="eastAsia" w:hAnsi="仿宋_GB2312" w:cs="仿宋_GB2312"/>
          <w:color w:val="auto"/>
          <w:kern w:val="0"/>
          <w:szCs w:val="32"/>
        </w:rPr>
        <w:t>精准</w:t>
      </w:r>
      <w:r>
        <w:rPr>
          <w:rFonts w:hint="eastAsia" w:hAnsi="仿宋_GB2312" w:cs="仿宋_GB2312"/>
          <w:color w:val="auto"/>
          <w:szCs w:val="32"/>
        </w:rPr>
        <w:t>培育</w:t>
      </w:r>
      <w:r>
        <w:rPr>
          <w:rFonts w:hint="eastAsia" w:hAnsi="仿宋_GB2312" w:cs="仿宋_GB2312"/>
          <w:color w:val="auto"/>
          <w:kern w:val="0"/>
          <w:szCs w:val="32"/>
        </w:rPr>
        <w:t>、全域协作”发展思路，实施“一县一策”发展策略，着力打造低空文旅消费与运营服务极核、低空先进材料与装备研制极核、低空经济融合发展区、低空经济场景拓展区，构建“产业核心区引领、融合发展区协同、场景拓展区支撑”的低空经济发展格局。</w:t>
      </w:r>
    </w:p>
    <w:bookmarkEnd w:id="73"/>
    <w:p>
      <w:pPr>
        <w:spacing w:line="560" w:lineRule="exact"/>
        <w:ind w:firstLine="642" w:firstLineChars="200"/>
        <w:outlineLvl w:val="2"/>
        <w:rPr>
          <w:rFonts w:ascii="Times New Roman" w:hAnsi="Times New Roman" w:eastAsia="仿宋_GB2312" w:cs="Times New Roman"/>
          <w:b/>
          <w:bCs/>
          <w:color w:val="auto"/>
          <w:sz w:val="32"/>
          <w:szCs w:val="32"/>
        </w:rPr>
      </w:pPr>
      <w:bookmarkStart w:id="74" w:name="_Toc18134"/>
      <w:bookmarkStart w:id="75" w:name="_Toc220270453"/>
      <w:bookmarkStart w:id="76" w:name="_Toc207125764"/>
      <w:r>
        <w:rPr>
          <w:rFonts w:hint="eastAsia" w:ascii="Times New Roman" w:hAnsi="Times New Roman" w:eastAsia="仿宋_GB2312" w:cs="Times New Roman"/>
          <w:b/>
          <w:bCs/>
          <w:color w:val="auto"/>
          <w:sz w:val="32"/>
          <w:szCs w:val="32"/>
        </w:rPr>
        <w:t>1.低空文旅消费与运营服务极核</w:t>
      </w:r>
      <w:bookmarkEnd w:id="74"/>
      <w:bookmarkEnd w:id="75"/>
      <w:bookmarkEnd w:id="76"/>
    </w:p>
    <w:p>
      <w:pPr>
        <w:pStyle w:val="32"/>
        <w:spacing w:after="156" w:afterLines="50"/>
        <w:rPr>
          <w:rFonts w:ascii="Times New Roman" w:cs="Times New Roman"/>
          <w:color w:val="auto"/>
          <w:szCs w:val="32"/>
        </w:rPr>
      </w:pPr>
      <w:r>
        <w:rPr>
          <w:rFonts w:hint="eastAsia" w:ascii="Times New Roman" w:cs="Times New Roman"/>
          <w:color w:val="auto"/>
          <w:szCs w:val="32"/>
        </w:rPr>
        <w:t>以市中区、峨眉山市为主要承载地，依托乐山大佛、峨眉山等世界级文旅资源，加速完善低空基础设施体系，加快推进低空运营、服务保障资源集聚，培育</w:t>
      </w:r>
      <w:r>
        <w:rPr>
          <w:rFonts w:hint="eastAsia" w:hAnsi="仿宋_GB2312" w:cs="仿宋_GB2312"/>
          <w:color w:val="auto"/>
          <w:szCs w:val="32"/>
        </w:rPr>
        <w:t>“峨眉山—乐山大佛低空观光”“云端畅游双遗产”</w:t>
      </w:r>
      <w:r>
        <w:rPr>
          <w:rFonts w:hint="eastAsia" w:ascii="Times New Roman" w:cs="Times New Roman"/>
          <w:color w:val="auto"/>
          <w:szCs w:val="32"/>
        </w:rPr>
        <w:t>等世界级低空文旅消费品牌，打造国际知名的低空文旅消费核心区，有力支撑世界重要旅游目的地建设。</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8522" w:type="dxa"/>
          </w:tcPr>
          <w:p>
            <w:pPr>
              <w:pStyle w:val="9"/>
              <w:spacing w:line="480" w:lineRule="exact"/>
              <w:jc w:val="center"/>
              <w:rPr>
                <w:rFonts w:ascii="Times New Roman" w:hAnsi="Times New Roman" w:eastAsia="黑体" w:cs="Times New Roman"/>
                <w:color w:val="auto"/>
                <w:lang w:val="en-US" w:bidi="ar-SA"/>
              </w:rPr>
            </w:pPr>
            <w:r>
              <w:rPr>
                <w:rFonts w:hint="eastAsia" w:ascii="Times New Roman" w:hAnsi="Times New Roman" w:eastAsia="黑体" w:cs="Times New Roman"/>
                <w:color w:val="auto"/>
                <w:w w:val="90"/>
                <w:sz w:val="28"/>
                <w:szCs w:val="28"/>
                <w:lang w:bidi="ar"/>
              </w:rPr>
              <w:t>专栏1  低空文旅消费与运营服务极核</w:t>
            </w:r>
            <w:r>
              <w:rPr>
                <w:rFonts w:hint="eastAsia" w:ascii="Times New Roman" w:hAnsi="Times New Roman" w:eastAsia="黑体" w:cs="Times New Roman"/>
                <w:color w:val="auto"/>
                <w:w w:val="90"/>
                <w:sz w:val="28"/>
                <w:szCs w:val="28"/>
                <w:lang w:val="en-US" w:bidi="ar"/>
              </w:rPr>
              <w:t>涉及县（市、区）及</w:t>
            </w:r>
            <w:r>
              <w:rPr>
                <w:rFonts w:hint="eastAsia" w:ascii="Times New Roman" w:hAnsi="Times New Roman" w:eastAsia="黑体" w:cs="Times New Roman"/>
                <w:color w:val="auto"/>
                <w:w w:val="90"/>
                <w:sz w:val="28"/>
                <w:szCs w:val="32"/>
              </w:rPr>
              <w:t>发展重点方向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8522" w:type="dxa"/>
          </w:tcPr>
          <w:p>
            <w:pPr>
              <w:spacing w:line="480" w:lineRule="exact"/>
              <w:ind w:firstLine="562" w:firstLineChars="200"/>
              <w:rPr>
                <w:rFonts w:ascii="Times New Roman" w:hAnsi="Times New Roman" w:eastAsia="仿宋_GB2312" w:cs="Times New Roman"/>
                <w:color w:val="auto"/>
                <w:sz w:val="28"/>
                <w:szCs w:val="28"/>
              </w:rPr>
            </w:pPr>
            <w:r>
              <w:rPr>
                <w:rFonts w:hint="eastAsia" w:ascii="Times New Roman" w:hAnsi="Times New Roman" w:eastAsia="仿宋_GB2312" w:cs="Times New Roman"/>
                <w:b/>
                <w:bCs/>
                <w:color w:val="auto"/>
                <w:sz w:val="28"/>
                <w:szCs w:val="28"/>
              </w:rPr>
              <w:t>市中区。重点领域</w:t>
            </w:r>
            <w:r>
              <w:rPr>
                <w:rFonts w:ascii="仿宋_GB2312" w:hAnsi="仿宋_GB2312" w:eastAsia="仿宋_GB2312" w:cs="仿宋_GB2312"/>
                <w:b/>
                <w:bCs/>
                <w:color w:val="auto"/>
                <w:sz w:val="28"/>
                <w:szCs w:val="28"/>
              </w:rPr>
              <w:t>:</w:t>
            </w:r>
            <w:r>
              <w:rPr>
                <w:rFonts w:hint="eastAsia" w:ascii="Times New Roman" w:hAnsi="Times New Roman" w:eastAsia="仿宋_GB2312" w:cs="Times New Roman"/>
                <w:color w:val="auto"/>
                <w:sz w:val="28"/>
                <w:szCs w:val="28"/>
              </w:rPr>
              <w:t>重点发展低空文旅消费、低空物流、低空地理信息应用、低空智能制造、低空安防产业，打造低空安全管控标杆和产业创新要素输出地，支撑乐山打造全国低空交旅融合示范地。</w:t>
            </w:r>
            <w:r>
              <w:rPr>
                <w:rFonts w:hint="eastAsia" w:ascii="Times New Roman" w:hAnsi="Times New Roman" w:eastAsia="仿宋_GB2312" w:cs="Times New Roman"/>
                <w:b/>
                <w:bCs/>
                <w:color w:val="auto"/>
                <w:sz w:val="28"/>
                <w:szCs w:val="28"/>
              </w:rPr>
              <w:t>发展路径</w:t>
            </w:r>
            <w:r>
              <w:rPr>
                <w:rFonts w:ascii="仿宋_GB2312" w:hAnsi="仿宋_GB2312" w:eastAsia="仿宋_GB2312" w:cs="仿宋_GB2312"/>
                <w:b/>
                <w:bCs/>
                <w:color w:val="auto"/>
                <w:sz w:val="28"/>
                <w:szCs w:val="28"/>
              </w:rPr>
              <w:t>:</w:t>
            </w:r>
            <w:r>
              <w:rPr>
                <w:rFonts w:hint="eastAsia" w:ascii="Times New Roman" w:hAnsi="Times New Roman" w:eastAsia="仿宋_GB2312" w:cs="Times New Roman"/>
                <w:b/>
                <w:bCs/>
                <w:color w:val="auto"/>
                <w:sz w:val="28"/>
                <w:szCs w:val="28"/>
              </w:rPr>
              <w:t>低空文旅消费。</w:t>
            </w:r>
            <w:r>
              <w:rPr>
                <w:rFonts w:hint="eastAsia" w:ascii="Times New Roman" w:hAnsi="Times New Roman" w:eastAsia="仿宋_GB2312" w:cs="Times New Roman"/>
                <w:color w:val="auto"/>
                <w:sz w:val="28"/>
                <w:szCs w:val="28"/>
              </w:rPr>
              <w:t>依托乐山大佛等文旅资源，打造以乐山大佛为核心、链接苏稽古镇与平羌三峡、辐射全市的低空观光旅游航线，开发“空中礼佛”、航空研学、旅拍航演等低空文旅精品项目，深化区域合作，加强与峨眉山市、夹江县交流合作，共同开发乐山大佛—峨眉山、乐山大佛—东风堰世界遗产低空旅游航线，打造全域旅游新增长极。依托中心城区区位优势，支持建设乐山市低空经济运行管理与安全控制中心，集聚低空飞行服务、空域动态管理、无人机软硬反制、安全风险防控等高端服务功能。</w:t>
            </w:r>
            <w:r>
              <w:rPr>
                <w:rFonts w:hint="eastAsia" w:ascii="Times New Roman" w:hAnsi="Times New Roman" w:eastAsia="仿宋_GB2312" w:cs="Times New Roman"/>
                <w:b/>
                <w:bCs/>
                <w:color w:val="auto"/>
                <w:sz w:val="28"/>
                <w:szCs w:val="28"/>
              </w:rPr>
              <w:t>低空物流</w:t>
            </w:r>
            <w:r>
              <w:rPr>
                <w:rFonts w:hint="eastAsia" w:ascii="Times New Roman" w:hAnsi="Times New Roman" w:eastAsia="仿宋_GB2312" w:cs="Times New Roman"/>
                <w:color w:val="auto"/>
                <w:sz w:val="28"/>
                <w:szCs w:val="28"/>
              </w:rPr>
              <w:t>。基于市中区城市功能，支持在有条件的社区、商业圈、医院、景区等开展无人机末端配送；打造棉竹—苏稽快递专线试点项目；推动冷链运输与低空物流结合，提升生鲜、药品等高附加值产品运输效率。</w:t>
            </w:r>
            <w:r>
              <w:rPr>
                <w:rFonts w:hint="eastAsia" w:ascii="Times New Roman" w:hAnsi="Times New Roman" w:eastAsia="仿宋_GB2312" w:cs="Times New Roman"/>
                <w:b/>
                <w:bCs/>
                <w:color w:val="auto"/>
                <w:sz w:val="28"/>
                <w:szCs w:val="28"/>
              </w:rPr>
              <w:t>低空地理信息应用</w:t>
            </w:r>
            <w:r>
              <w:rPr>
                <w:rFonts w:hint="eastAsia" w:ascii="Times New Roman" w:hAnsi="Times New Roman" w:eastAsia="仿宋_GB2312" w:cs="Times New Roman"/>
                <w:color w:val="auto"/>
                <w:sz w:val="28"/>
                <w:szCs w:val="28"/>
              </w:rPr>
              <w:t>。</w:t>
            </w:r>
            <w:r>
              <w:rPr>
                <w:rFonts w:hint="eastAsia" w:ascii="仿宋_GB2312" w:hAnsi="仿宋_GB2312" w:eastAsia="仿宋_GB2312" w:cs="仿宋_GB2312"/>
                <w:color w:val="auto"/>
                <w:sz w:val="28"/>
                <w:szCs w:val="28"/>
              </w:rPr>
              <w:t>构建“空天地”</w:t>
            </w:r>
            <w:r>
              <w:rPr>
                <w:rFonts w:hint="eastAsia" w:ascii="Times New Roman" w:hAnsi="Times New Roman" w:eastAsia="仿宋_GB2312" w:cs="Times New Roman"/>
                <w:color w:val="auto"/>
                <w:sz w:val="28"/>
                <w:szCs w:val="28"/>
              </w:rPr>
              <w:t>一体监测网和时空数字底座，打造空地一体城市综合治理示范场景，打造低空地理信息产业示范。</w:t>
            </w:r>
            <w:r>
              <w:rPr>
                <w:rFonts w:hint="eastAsia" w:ascii="Times New Roman" w:hAnsi="Times New Roman" w:eastAsia="仿宋_GB2312" w:cs="Times New Roman"/>
                <w:b/>
                <w:bCs/>
                <w:color w:val="auto"/>
                <w:sz w:val="28"/>
                <w:szCs w:val="28"/>
              </w:rPr>
              <w:t>低空智能制造</w:t>
            </w:r>
            <w:r>
              <w:rPr>
                <w:rFonts w:hint="eastAsia" w:ascii="Times New Roman" w:hAnsi="Times New Roman" w:eastAsia="仿宋_GB2312" w:cs="Times New Roman"/>
                <w:color w:val="auto"/>
                <w:sz w:val="28"/>
                <w:szCs w:val="28"/>
              </w:rPr>
              <w:t>。依托四川乐山嘉州经济开发区等载体，以无人机核心零部件生产入手，瞄准轻量化机身结构件、长续航电池、高精度导航系统、避障传感器等细分领域，招引“链主”企业落户。</w:t>
            </w:r>
            <w:r>
              <w:rPr>
                <w:rFonts w:hint="eastAsia" w:ascii="Times New Roman" w:hAnsi="Times New Roman" w:eastAsia="仿宋_GB2312" w:cs="Times New Roman"/>
                <w:b/>
                <w:bCs/>
                <w:color w:val="auto"/>
                <w:sz w:val="28"/>
                <w:szCs w:val="28"/>
              </w:rPr>
              <w:t>低空安防产业。</w:t>
            </w:r>
            <w:r>
              <w:rPr>
                <w:rFonts w:hint="eastAsia" w:ascii="Times New Roman" w:hAnsi="Times New Roman" w:eastAsia="仿宋_GB2312" w:cs="Times New Roman"/>
                <w:color w:val="auto"/>
                <w:sz w:val="28"/>
                <w:szCs w:val="28"/>
              </w:rPr>
              <w:t>依托低空安全防护系统基础设施建设，培育低空安全服务产业集群，重点发展无人机探测识别、安全风险评估、反制技术服务、安全运营托管等业态，打造全市低空安全服务保障产业的核心引擎，形成可复制推广的低空</w:t>
            </w:r>
            <w:r>
              <w:rPr>
                <w:rFonts w:ascii="Times New Roman" w:hAnsi="Times New Roman" w:eastAsia="仿宋_GB2312" w:cs="Times New Roman"/>
                <w:color w:val="auto"/>
                <w:sz w:val="28"/>
                <w:szCs w:val="28"/>
              </w:rPr>
              <w:t>安全</w:t>
            </w:r>
            <w:r>
              <w:rPr>
                <w:rFonts w:hint="eastAsia" w:ascii="Times New Roman" w:hAnsi="Times New Roman" w:eastAsia="仿宋_GB2312" w:cs="Times New Roman"/>
                <w:color w:val="auto"/>
                <w:sz w:val="28"/>
                <w:szCs w:val="28"/>
              </w:rPr>
              <w:t>服务模式。</w:t>
            </w:r>
          </w:p>
          <w:p>
            <w:pPr>
              <w:spacing w:line="480" w:lineRule="exact"/>
              <w:ind w:firstLine="562" w:firstLineChars="200"/>
              <w:rPr>
                <w:rFonts w:ascii="Times New Roman" w:hAnsi="Times New Roman" w:eastAsia="仿宋_GB2312" w:cs="Times New Roman"/>
                <w:color w:val="auto"/>
              </w:rPr>
            </w:pPr>
            <w:r>
              <w:rPr>
                <w:rFonts w:hint="eastAsia" w:ascii="Times New Roman" w:hAnsi="Times New Roman" w:eastAsia="仿宋_GB2312" w:cs="Times New Roman"/>
                <w:b/>
                <w:bCs/>
                <w:color w:val="auto"/>
                <w:sz w:val="28"/>
                <w:szCs w:val="28"/>
              </w:rPr>
              <w:t>峨眉山市。重点领域：</w:t>
            </w:r>
            <w:r>
              <w:rPr>
                <w:rFonts w:hint="eastAsia" w:ascii="Times New Roman" w:hAnsi="Times New Roman" w:eastAsia="仿宋_GB2312" w:cs="Times New Roman"/>
                <w:color w:val="auto"/>
                <w:sz w:val="28"/>
                <w:szCs w:val="28"/>
              </w:rPr>
              <w:t>重点发展低空文体旅消费、低空物流，建设峨眉山市航空飞行营地，打造集游客集散、低空观光旅游及短途运输服务于一体的综合性低空经济保障服务区，支撑乐山打造全国低空交旅融合示范地。</w:t>
            </w:r>
            <w:r>
              <w:rPr>
                <w:rFonts w:hint="eastAsia" w:ascii="Times New Roman" w:hAnsi="Times New Roman" w:eastAsia="仿宋_GB2312" w:cs="Times New Roman"/>
                <w:b/>
                <w:bCs/>
                <w:color w:val="auto"/>
                <w:sz w:val="28"/>
                <w:szCs w:val="28"/>
              </w:rPr>
              <w:t>发展路径：低空文体旅消费</w:t>
            </w:r>
            <w:r>
              <w:rPr>
                <w:rFonts w:hint="eastAsia" w:ascii="Times New Roman" w:hAnsi="Times New Roman" w:eastAsia="仿宋_GB2312" w:cs="Times New Roman"/>
                <w:color w:val="auto"/>
                <w:sz w:val="28"/>
                <w:szCs w:val="28"/>
              </w:rPr>
              <w:t>。依托峨眉山等文旅资源，联动乐山大佛景区，打造</w:t>
            </w:r>
            <w:r>
              <w:rPr>
                <w:rFonts w:hint="eastAsia" w:ascii="仿宋_GB2312" w:hAnsi="仿宋_GB2312" w:eastAsia="仿宋_GB2312" w:cs="仿宋_GB2312"/>
                <w:color w:val="auto"/>
                <w:sz w:val="28"/>
                <w:szCs w:val="28"/>
              </w:rPr>
              <w:t>“峨眉山-乐山大佛低空观光”“云端畅游双遗产”</w:t>
            </w:r>
            <w:r>
              <w:rPr>
                <w:rFonts w:hint="eastAsia" w:ascii="Times New Roman" w:hAnsi="Times New Roman" w:eastAsia="仿宋_GB2312" w:cs="Times New Roman"/>
                <w:color w:val="auto"/>
                <w:sz w:val="28"/>
                <w:szCs w:val="28"/>
              </w:rPr>
              <w:t>等世界级低空文旅消费品牌、精品项目；</w:t>
            </w:r>
            <w:r>
              <w:rPr>
                <w:rFonts w:ascii="Times New Roman" w:hAnsi="Times New Roman" w:eastAsia="仿宋_GB2312" w:cs="Times New Roman"/>
                <w:color w:val="auto"/>
                <w:sz w:val="28"/>
                <w:szCs w:val="28"/>
              </w:rPr>
              <w:t>支持峨眉山蒲公英滑翔伞基地发展，结合峨眉山景区</w:t>
            </w:r>
            <w:r>
              <w:rPr>
                <w:rFonts w:hint="eastAsia" w:ascii="Times New Roman" w:hAnsi="Times New Roman" w:eastAsia="仿宋_GB2312" w:cs="Times New Roman"/>
                <w:color w:val="auto"/>
                <w:sz w:val="28"/>
                <w:szCs w:val="28"/>
              </w:rPr>
              <w:t>低空航空器</w:t>
            </w:r>
            <w:r>
              <w:rPr>
                <w:rFonts w:ascii="Times New Roman" w:hAnsi="Times New Roman" w:eastAsia="仿宋_GB2312" w:cs="Times New Roman"/>
                <w:color w:val="auto"/>
                <w:sz w:val="28"/>
                <w:szCs w:val="28"/>
              </w:rPr>
              <w:t>起降点建设，统筹谋划建设峨眉山市航空飞行营地</w:t>
            </w:r>
            <w:r>
              <w:rPr>
                <w:rFonts w:hint="eastAsia" w:ascii="Times New Roman" w:hAnsi="Times New Roman" w:eastAsia="仿宋_GB2312" w:cs="Times New Roman"/>
                <w:color w:val="auto"/>
                <w:sz w:val="28"/>
                <w:szCs w:val="28"/>
              </w:rPr>
              <w:t>；探索在峨秀湖、龙池湖、苦蒿坪水库等水域建设水上电动起降设施，规划打造水上电动航空器联运项目，构建“高铁峨眉山站—峨秀湖门户枢纽—龙池湖区域中转中心—苦蒿坪、金顶、四溪沟、黑竹沟、背峰山、美女峰等景点”的水上低空联运框架，串联峨眉山核心景区、南山度假区、四溪沟及峨边黑竹沟、背峰山、沙湾美女峰等景点，打造“不占地、低排放、高体验”的低空文旅新模式；</w:t>
            </w:r>
            <w:r>
              <w:rPr>
                <w:rFonts w:ascii="Times New Roman" w:hAnsi="Times New Roman" w:eastAsia="仿宋_GB2312" w:cs="Times New Roman"/>
                <w:color w:val="auto"/>
                <w:sz w:val="28"/>
                <w:szCs w:val="28"/>
              </w:rPr>
              <w:t>培育拓展滑翔伞、动力伞、轻型运动飞机、水上飞机等低空运动体验类产品，承办开展低空赛事活动，打造低空运动体验集聚地。</w:t>
            </w:r>
            <w:r>
              <w:rPr>
                <w:rFonts w:hint="eastAsia" w:ascii="Times New Roman" w:hAnsi="Times New Roman" w:eastAsia="仿宋_GB2312" w:cs="Times New Roman"/>
                <w:b/>
                <w:bCs/>
                <w:color w:val="auto"/>
                <w:sz w:val="28"/>
                <w:szCs w:val="28"/>
              </w:rPr>
              <w:t>低空物流</w:t>
            </w:r>
            <w:r>
              <w:rPr>
                <w:rFonts w:hint="eastAsia" w:ascii="Times New Roman" w:hAnsi="Times New Roman" w:eastAsia="仿宋_GB2312" w:cs="Times New Roman"/>
                <w:color w:val="auto"/>
                <w:sz w:val="28"/>
                <w:szCs w:val="28"/>
              </w:rPr>
              <w:t>。聚焦峨眉山景区传统运输模式难题，精密论证、划设低空物流航线，大规模开展无人机物流运输生产作业，上行物资补给、下行垃圾清运，打造山地无人机物流运输配送示范场景。</w:t>
            </w:r>
          </w:p>
        </w:tc>
      </w:tr>
    </w:tbl>
    <w:p>
      <w:pPr>
        <w:spacing w:before="156" w:beforeLines="50" w:line="560" w:lineRule="exact"/>
        <w:ind w:firstLine="642" w:firstLineChars="200"/>
        <w:outlineLvl w:val="2"/>
        <w:rPr>
          <w:rFonts w:ascii="Times New Roman" w:hAnsi="Times New Roman" w:eastAsia="仿宋_GB2312" w:cs="Times New Roman"/>
          <w:b/>
          <w:bCs/>
          <w:color w:val="auto"/>
          <w:sz w:val="32"/>
          <w:szCs w:val="32"/>
        </w:rPr>
      </w:pPr>
      <w:bookmarkStart w:id="77" w:name="_Toc8201"/>
      <w:bookmarkStart w:id="78" w:name="_Toc220270454"/>
      <w:bookmarkStart w:id="79" w:name="_Toc207125765"/>
      <w:r>
        <w:rPr>
          <w:rFonts w:hint="eastAsia" w:ascii="Times New Roman" w:hAnsi="Times New Roman" w:eastAsia="仿宋_GB2312" w:cs="Times New Roman"/>
          <w:b/>
          <w:bCs/>
          <w:color w:val="auto"/>
          <w:sz w:val="32"/>
          <w:szCs w:val="32"/>
        </w:rPr>
        <w:t>2.低空先进材料与装备研制极核</w:t>
      </w:r>
      <w:bookmarkEnd w:id="77"/>
      <w:bookmarkEnd w:id="78"/>
      <w:bookmarkEnd w:id="79"/>
    </w:p>
    <w:p>
      <w:pPr>
        <w:pStyle w:val="32"/>
        <w:spacing w:after="156" w:afterLines="50"/>
        <w:rPr>
          <w:rFonts w:ascii="Times New Roman" w:cs="Times New Roman"/>
          <w:color w:val="auto"/>
          <w:szCs w:val="32"/>
        </w:rPr>
      </w:pPr>
      <w:r>
        <w:rPr>
          <w:rFonts w:hint="eastAsia" w:ascii="Times New Roman" w:cs="Times New Roman"/>
          <w:color w:val="auto"/>
          <w:szCs w:val="32"/>
        </w:rPr>
        <w:t>以犍为县、夹江县、高新区为主要承载地，依托航空复材等产业基础优势，发挥整机制造链主企业引领带动作用，提升低空先进材料研制水平，丰富低空载具谱系，强化核心系统配套，加速低空先进制造产业集聚；</w:t>
      </w:r>
      <w:r>
        <w:rPr>
          <w:rFonts w:hint="eastAsia" w:ascii="Times New Roman" w:cs="Times New Roman"/>
          <w:color w:val="auto"/>
          <w:kern w:val="0"/>
          <w:szCs w:val="32"/>
        </w:rPr>
        <w:t>聚焦测试试飞、检验检测、适航验证等低空经济产业链关键环节，汇聚要素资源、培育市场主体，提升低空</w:t>
      </w:r>
      <w:r>
        <w:rPr>
          <w:rFonts w:hint="eastAsia" w:ascii="Times New Roman" w:cs="Times New Roman"/>
          <w:color w:val="auto"/>
          <w:szCs w:val="32"/>
        </w:rPr>
        <w:t>生产性服务业支撑能力，推动生产性服务业和先进制造业深度融合发展，</w:t>
      </w:r>
      <w:r>
        <w:rPr>
          <w:rFonts w:hint="eastAsia" w:ascii="Times New Roman" w:cs="Times New Roman"/>
          <w:color w:val="auto"/>
        </w:rPr>
        <w:t>全面提升全产业链竞争力</w:t>
      </w:r>
      <w:r>
        <w:rPr>
          <w:rFonts w:hint="eastAsia" w:ascii="Times New Roman" w:cs="Times New Roman"/>
          <w:color w:val="auto"/>
          <w:szCs w:val="32"/>
        </w:rPr>
        <w:t>。</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8522" w:type="dxa"/>
          </w:tcPr>
          <w:p>
            <w:pPr>
              <w:pStyle w:val="9"/>
              <w:spacing w:line="480" w:lineRule="exact"/>
              <w:jc w:val="center"/>
              <w:rPr>
                <w:rFonts w:ascii="Times New Roman" w:hAnsi="Times New Roman" w:eastAsia="黑体" w:cs="Times New Roman"/>
                <w:color w:val="auto"/>
                <w:lang w:val="en-US" w:bidi="ar-SA"/>
              </w:rPr>
            </w:pPr>
            <w:r>
              <w:rPr>
                <w:rFonts w:hint="eastAsia" w:ascii="Times New Roman" w:hAnsi="Times New Roman" w:eastAsia="黑体" w:cs="Times New Roman"/>
                <w:color w:val="auto"/>
                <w:w w:val="90"/>
                <w:sz w:val="28"/>
                <w:szCs w:val="28"/>
                <w:lang w:val="en-US" w:bidi="ar"/>
              </w:rPr>
              <w:t>专栏2  低空先进材料与装备研制极核涉及县（市、区）及发展重点方向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8522" w:type="dxa"/>
          </w:tcPr>
          <w:p>
            <w:pPr>
              <w:spacing w:line="480" w:lineRule="exact"/>
              <w:ind w:firstLine="562" w:firstLineChars="200"/>
              <w:rPr>
                <w:rFonts w:ascii="Times New Roman" w:hAnsi="Times New Roman" w:eastAsia="仿宋_GB2312" w:cs="Times New Roman"/>
                <w:color w:val="auto"/>
                <w:sz w:val="28"/>
                <w:szCs w:val="28"/>
              </w:rPr>
            </w:pPr>
            <w:r>
              <w:rPr>
                <w:rFonts w:hint="eastAsia" w:ascii="Times New Roman" w:hAnsi="Times New Roman" w:eastAsia="仿宋_GB2312" w:cs="Times New Roman"/>
                <w:b/>
                <w:bCs/>
                <w:color w:val="auto"/>
                <w:sz w:val="28"/>
                <w:szCs w:val="28"/>
              </w:rPr>
              <w:t>犍为县。重点领域：</w:t>
            </w:r>
            <w:r>
              <w:rPr>
                <w:rFonts w:hint="eastAsia" w:ascii="Times New Roman" w:hAnsi="Times New Roman" w:eastAsia="仿宋_GB2312" w:cs="Times New Roman"/>
                <w:color w:val="auto"/>
                <w:sz w:val="28"/>
                <w:szCs w:val="28"/>
              </w:rPr>
              <w:t>重点发展低空航空器研制、生产、试飞、适航及验证测试，推进低空测试试飞基地、技术研发创新等基础设施建设，推动人工智能赋能低空经济产业发展，提升测试试飞、检验检测、适航认证等生产性服务业供给能力，打造低空经济科技创新先行区，支撑乐山打造全省低空装备制造集聚地。</w:t>
            </w:r>
            <w:r>
              <w:rPr>
                <w:rFonts w:hint="eastAsia" w:ascii="Times New Roman" w:hAnsi="Times New Roman" w:eastAsia="仿宋_GB2312" w:cs="Times New Roman"/>
                <w:b/>
                <w:bCs/>
                <w:color w:val="auto"/>
                <w:sz w:val="28"/>
                <w:szCs w:val="28"/>
              </w:rPr>
              <w:t>发展路径：低空装备制造。</w:t>
            </w:r>
            <w:r>
              <w:rPr>
                <w:rFonts w:hint="eastAsia" w:ascii="Times New Roman" w:hAnsi="Times New Roman" w:eastAsia="仿宋_GB2312" w:cs="Times New Roman"/>
                <w:color w:val="auto"/>
                <w:sz w:val="28"/>
                <w:szCs w:val="28"/>
              </w:rPr>
              <w:t>加速推动光启项目落地，规划建设</w:t>
            </w:r>
            <w:r>
              <w:rPr>
                <w:rFonts w:ascii="Times New Roman" w:hAnsi="Times New Roman" w:eastAsia="仿宋_GB2312" w:cs="Times New Roman"/>
                <w:color w:val="auto"/>
                <w:sz w:val="28"/>
                <w:szCs w:val="28"/>
              </w:rPr>
              <w:t>低空配套制造基地</w:t>
            </w:r>
            <w:r>
              <w:rPr>
                <w:rFonts w:hint="eastAsia" w:ascii="Times New Roman" w:hAnsi="Times New Roman" w:eastAsia="仿宋_GB2312" w:cs="Times New Roman"/>
                <w:color w:val="auto"/>
                <w:sz w:val="28"/>
                <w:szCs w:val="28"/>
              </w:rPr>
              <w:t>，引育低空装备制造龙头企业、整机企业和科创企业，打造低空装备研发、生产、试验产业集群。</w:t>
            </w:r>
            <w:r>
              <w:rPr>
                <w:rFonts w:hint="eastAsia" w:ascii="Times New Roman" w:hAnsi="Times New Roman" w:eastAsia="仿宋_GB2312" w:cs="Times New Roman"/>
                <w:b/>
                <w:bCs/>
                <w:color w:val="auto"/>
                <w:sz w:val="28"/>
                <w:szCs w:val="28"/>
              </w:rPr>
              <w:t>低空科技创新</w:t>
            </w:r>
            <w:r>
              <w:rPr>
                <w:rFonts w:hint="eastAsia" w:ascii="Times New Roman" w:hAnsi="Times New Roman" w:eastAsia="仿宋_GB2312" w:cs="Times New Roman"/>
                <w:color w:val="auto"/>
                <w:sz w:val="28"/>
                <w:szCs w:val="28"/>
              </w:rPr>
              <w:t>。培育创建低空产业研产飞市级重点实验室，完善低速风洞、自由飞试验基地和飞机研制测试基地等科研试验条件，发挥犍为县低空产业研究所牵引作用，提升区域低空科技创新能级；重点突破低空航空器风洞实验</w:t>
            </w:r>
            <w:r>
              <w:rPr>
                <w:rFonts w:hint="eastAsia" w:ascii="仿宋_GB2312" w:hAnsi="仿宋_GB2312" w:eastAsia="仿宋_GB2312" w:cs="仿宋_GB2312"/>
                <w:color w:val="auto"/>
                <w:sz w:val="28"/>
                <w:szCs w:val="28"/>
              </w:rPr>
              <w:t>-</w:t>
            </w:r>
            <w:r>
              <w:rPr>
                <w:rFonts w:hint="eastAsia" w:ascii="Times New Roman" w:hAnsi="Times New Roman" w:eastAsia="仿宋_GB2312" w:cs="Times New Roman"/>
                <w:color w:val="auto"/>
                <w:sz w:val="28"/>
                <w:szCs w:val="28"/>
              </w:rPr>
              <w:t>数值仿真</w:t>
            </w:r>
            <w:r>
              <w:rPr>
                <w:rFonts w:hint="eastAsia" w:ascii="仿宋_GB2312" w:hAnsi="仿宋_GB2312" w:eastAsia="仿宋_GB2312" w:cs="仿宋_GB2312"/>
                <w:color w:val="auto"/>
                <w:sz w:val="28"/>
                <w:szCs w:val="28"/>
              </w:rPr>
              <w:t>-</w:t>
            </w:r>
            <w:r>
              <w:rPr>
                <w:rFonts w:hint="eastAsia" w:ascii="Times New Roman" w:hAnsi="Times New Roman" w:eastAsia="仿宋_GB2312" w:cs="Times New Roman"/>
                <w:color w:val="auto"/>
                <w:sz w:val="28"/>
                <w:szCs w:val="28"/>
              </w:rPr>
              <w:t>自由飞试验技术体系构建，适航验证、测试与试验试飞服务能力建设；开拓eVTOL与载人通航飞行技术验证与试验示范；发展具身智能无人机及自主飞行技术，建设智能飞行监管技术并开展试验验证；创新高原</w:t>
            </w:r>
            <w:r>
              <w:rPr>
                <w:rFonts w:hint="eastAsia" w:ascii="仿宋_GB2312" w:hAnsi="仿宋_GB2312" w:eastAsia="仿宋_GB2312" w:cs="仿宋_GB2312"/>
                <w:color w:val="auto"/>
                <w:sz w:val="28"/>
                <w:szCs w:val="28"/>
              </w:rPr>
              <w:t>-</w:t>
            </w:r>
            <w:r>
              <w:rPr>
                <w:rFonts w:hint="eastAsia" w:ascii="Times New Roman" w:hAnsi="Times New Roman" w:eastAsia="仿宋_GB2312" w:cs="Times New Roman"/>
                <w:color w:val="auto"/>
                <w:sz w:val="28"/>
                <w:szCs w:val="28"/>
              </w:rPr>
              <w:t>山地</w:t>
            </w:r>
            <w:r>
              <w:rPr>
                <w:rFonts w:hint="eastAsia" w:ascii="仿宋_GB2312" w:hAnsi="仿宋_GB2312" w:eastAsia="仿宋_GB2312" w:cs="仿宋_GB2312"/>
                <w:color w:val="auto"/>
                <w:sz w:val="28"/>
                <w:szCs w:val="28"/>
              </w:rPr>
              <w:t>-</w:t>
            </w:r>
            <w:r>
              <w:rPr>
                <w:rFonts w:hint="eastAsia" w:ascii="Times New Roman" w:hAnsi="Times New Roman" w:eastAsia="仿宋_GB2312" w:cs="Times New Roman"/>
                <w:color w:val="auto"/>
                <w:sz w:val="28"/>
                <w:szCs w:val="28"/>
              </w:rPr>
              <w:t>丘陵特色低空农业无人机技术与应用示范；研制水上飞机，建设水陆两栖飞机试验试飞基地，突破内陆窄水域条件自主起降技术，开展水上飞机应用示范；依托岷江水域及乐山港高石坝作业区，打造内陆“水陆空一体”低空交通运输创新实验区。</w:t>
            </w:r>
            <w:r>
              <w:rPr>
                <w:rFonts w:hint="eastAsia" w:ascii="仿宋_GB2312" w:hAnsi="仿宋_GB2312" w:eastAsia="仿宋_GB2312" w:cs="仿宋_GB2312"/>
                <w:b/>
                <w:bCs/>
                <w:color w:val="auto"/>
                <w:sz w:val="28"/>
                <w:szCs w:val="28"/>
              </w:rPr>
              <w:t>低空生产性服务业。</w:t>
            </w:r>
            <w:r>
              <w:rPr>
                <w:rFonts w:hint="eastAsia" w:ascii="仿宋_GB2312" w:hAnsi="仿宋_GB2312" w:eastAsia="仿宋_GB2312" w:cs="仿宋_GB2312"/>
                <w:color w:val="auto"/>
                <w:sz w:val="28"/>
                <w:szCs w:val="28"/>
              </w:rPr>
              <w:t>“引培并举”</w:t>
            </w:r>
            <w:r>
              <w:rPr>
                <w:rFonts w:hint="eastAsia" w:ascii="Times New Roman" w:hAnsi="Times New Roman" w:eastAsia="仿宋_GB2312" w:cs="Times New Roman"/>
                <w:color w:val="auto"/>
                <w:sz w:val="28"/>
                <w:szCs w:val="28"/>
              </w:rPr>
              <w:t>集聚低空检验检测资源，建立健全覆盖低空航空器整机、机载系统、零部件、元器件及材料的全产业链检验检测体系；建设低空测试试飞基地，申请划设测试试飞专属空域，形成测试场景完备的低空测试试飞服务能力。</w:t>
            </w:r>
          </w:p>
          <w:p>
            <w:pPr>
              <w:spacing w:line="480" w:lineRule="exact"/>
              <w:ind w:firstLine="562" w:firstLineChars="200"/>
              <w:rPr>
                <w:rFonts w:hint="eastAsia" w:ascii="仿宋_GB2312" w:hAnsi="仿宋_GB2312" w:eastAsia="仿宋_GB2312" w:cs="仿宋_GB2312"/>
                <w:color w:val="auto"/>
                <w:sz w:val="28"/>
                <w:szCs w:val="28"/>
              </w:rPr>
            </w:pPr>
            <w:r>
              <w:rPr>
                <w:rFonts w:hint="eastAsia" w:ascii="Times New Roman" w:hAnsi="Times New Roman" w:eastAsia="仿宋_GB2312" w:cs="Times New Roman"/>
                <w:b/>
                <w:bCs/>
                <w:color w:val="auto"/>
                <w:sz w:val="28"/>
                <w:szCs w:val="28"/>
              </w:rPr>
              <w:t>夹江县。重点领域：</w:t>
            </w:r>
            <w:r>
              <w:rPr>
                <w:rFonts w:hint="eastAsia" w:ascii="Times New Roman" w:hAnsi="Times New Roman" w:eastAsia="仿宋_GB2312" w:cs="Times New Roman"/>
                <w:color w:val="auto"/>
                <w:sz w:val="28"/>
                <w:szCs w:val="28"/>
              </w:rPr>
              <w:t>重点发展低空先进材料、低空装备制造、低空生产性服务业、无人机探测与反制、低空物流，推动四川省高性能航空复合材料技术研究院、航空复合材料检测实验室建设，谋划建设低空测试试飞基地，支撑乐山打造西部地区低空先进材料核心地。</w:t>
            </w:r>
            <w:r>
              <w:rPr>
                <w:rFonts w:hint="eastAsia" w:ascii="Times New Roman" w:hAnsi="Times New Roman" w:eastAsia="仿宋_GB2312" w:cs="Times New Roman"/>
                <w:b/>
                <w:bCs/>
                <w:color w:val="auto"/>
                <w:sz w:val="28"/>
                <w:szCs w:val="28"/>
              </w:rPr>
              <w:t>发展路径：低空先进材料</w:t>
            </w:r>
            <w:r>
              <w:rPr>
                <w:rFonts w:hint="eastAsia" w:ascii="Times New Roman" w:hAnsi="Times New Roman" w:eastAsia="仿宋_GB2312" w:cs="Times New Roman"/>
                <w:color w:val="auto"/>
                <w:sz w:val="28"/>
                <w:szCs w:val="28"/>
              </w:rPr>
              <w:t>。以夹江经开区为载体，推动夹江县航空复材产业园建设，依托青衣集团、新万兴、兴宇航科技等企业，建设国内领先、国际先进的航空复合材料研发、设计、生产和检测中心，</w:t>
            </w:r>
            <w:r>
              <w:rPr>
                <w:rFonts w:hint="eastAsia" w:ascii="仿宋_GB2312" w:hAnsi="仿宋_GB2312" w:eastAsia="仿宋_GB2312" w:cs="仿宋_GB2312"/>
                <w:color w:val="auto"/>
                <w:sz w:val="28"/>
                <w:szCs w:val="28"/>
              </w:rPr>
              <w:t>打造“西部碳纤维之都”；鼓励相关企事业单位延伸半导体材料产业链，逐步打造集“研发—制造—配套”于一</w:t>
            </w:r>
            <w:r>
              <w:rPr>
                <w:rFonts w:hint="eastAsia" w:ascii="Times New Roman" w:hAnsi="Times New Roman" w:eastAsia="仿宋_GB2312" w:cs="Times New Roman"/>
                <w:color w:val="auto"/>
                <w:sz w:val="28"/>
                <w:szCs w:val="28"/>
              </w:rPr>
              <w:t>体的产业集群。</w:t>
            </w:r>
            <w:r>
              <w:rPr>
                <w:rFonts w:hint="eastAsia" w:ascii="Times New Roman" w:hAnsi="Times New Roman" w:eastAsia="仿宋_GB2312" w:cs="Times New Roman"/>
                <w:b/>
                <w:bCs/>
                <w:color w:val="auto"/>
                <w:sz w:val="28"/>
                <w:szCs w:val="28"/>
              </w:rPr>
              <w:t>低空装备制造。</w:t>
            </w:r>
            <w:r>
              <w:rPr>
                <w:rFonts w:hint="eastAsia" w:ascii="Times New Roman" w:hAnsi="Times New Roman" w:eastAsia="仿宋_GB2312" w:cs="Times New Roman"/>
                <w:color w:val="auto"/>
                <w:sz w:val="28"/>
                <w:szCs w:val="28"/>
              </w:rPr>
              <w:t>加速推进兴宇航项目竣工投产，规划建设低空装备研发制造基地，引育关键零部件、整机制造、科创研发等头部企业，打造低空装备研发、制造、验证基地。</w:t>
            </w:r>
            <w:r>
              <w:rPr>
                <w:rFonts w:hint="eastAsia" w:ascii="Times New Roman" w:hAnsi="Times New Roman" w:eastAsia="仿宋_GB2312" w:cs="Times New Roman"/>
                <w:b/>
                <w:bCs/>
                <w:color w:val="auto"/>
                <w:sz w:val="28"/>
                <w:szCs w:val="28"/>
              </w:rPr>
              <w:t>低空生产性服务业。</w:t>
            </w:r>
            <w:r>
              <w:rPr>
                <w:rFonts w:hint="eastAsia" w:ascii="Times New Roman" w:hAnsi="Times New Roman" w:eastAsia="仿宋_GB2312" w:cs="Times New Roman"/>
                <w:color w:val="auto"/>
                <w:sz w:val="28"/>
                <w:szCs w:val="28"/>
              </w:rPr>
              <w:t>依托新万兴碳纤维公司CNAS实验室打造航空复合材料、飞行器结构件检验检定能力和测试公共服务平台；建设低空测试试飞基地，探索打造适航测试分中心，促进产学研深度融合与科技成果快速产业化。</w:t>
            </w:r>
            <w:r>
              <w:rPr>
                <w:rFonts w:hint="eastAsia" w:ascii="Times New Roman" w:hAnsi="Times New Roman" w:eastAsia="仿宋_GB2312" w:cs="Times New Roman"/>
                <w:b/>
                <w:bCs/>
                <w:color w:val="auto"/>
                <w:sz w:val="28"/>
                <w:szCs w:val="28"/>
              </w:rPr>
              <w:t>无人机探测与反制</w:t>
            </w:r>
            <w:r>
              <w:rPr>
                <w:rFonts w:hint="eastAsia" w:ascii="Times New Roman" w:hAnsi="Times New Roman" w:eastAsia="仿宋_GB2312" w:cs="Times New Roman"/>
                <w:color w:val="auto"/>
                <w:sz w:val="28"/>
                <w:szCs w:val="28"/>
              </w:rPr>
              <w:t>。依托青衣集团以及低空安全领域先行单位，结合低空测试试飞基地建设，打造无人机探测与反制测试中心，为低空航空器反制与管控设备提供测试场地，攻关探测跟踪、干扰阻断、欺骗控制、毁伤捕获等关键技术，促进低空反制装备科技成果快速产业化。</w:t>
            </w:r>
            <w:r>
              <w:rPr>
                <w:rFonts w:hint="eastAsia" w:ascii="Times New Roman" w:hAnsi="Times New Roman" w:eastAsia="仿宋_GB2312" w:cs="Times New Roman"/>
                <w:b/>
                <w:bCs/>
                <w:color w:val="auto"/>
                <w:sz w:val="28"/>
                <w:szCs w:val="28"/>
              </w:rPr>
              <w:t>低空物流</w:t>
            </w:r>
            <w:r>
              <w:rPr>
                <w:rFonts w:hint="eastAsia" w:ascii="Times New Roman" w:hAnsi="Times New Roman" w:eastAsia="仿宋_GB2312" w:cs="Times New Roman"/>
                <w:color w:val="auto"/>
                <w:sz w:val="28"/>
                <w:szCs w:val="28"/>
              </w:rPr>
              <w:t>。</w:t>
            </w:r>
            <w:r>
              <w:rPr>
                <w:rFonts w:hint="eastAsia" w:ascii="仿宋_GB2312" w:hAnsi="仿宋_GB2312" w:eastAsia="仿宋_GB2312" w:cs="仿宋_GB2312"/>
                <w:color w:val="auto"/>
                <w:sz w:val="28"/>
                <w:szCs w:val="28"/>
              </w:rPr>
              <w:t>依托“公铁水空”综合交通体系优势，建设低空物流园区，结合“平急两用”物资保障和应急救援需求，打造川西山区腹地的应急物流基地。</w:t>
            </w:r>
          </w:p>
          <w:p>
            <w:pPr>
              <w:spacing w:line="480" w:lineRule="exact"/>
              <w:ind w:firstLine="562" w:firstLineChars="200"/>
              <w:rPr>
                <w:rFonts w:ascii="Times New Roman" w:hAnsi="Times New Roman" w:eastAsia="仿宋_GB2312" w:cs="Times New Roman"/>
                <w:color w:val="auto"/>
              </w:rPr>
            </w:pPr>
            <w:r>
              <w:rPr>
                <w:rFonts w:hint="eastAsia" w:ascii="Times New Roman" w:hAnsi="Times New Roman" w:eastAsia="仿宋_GB2312" w:cs="Times New Roman"/>
                <w:b/>
                <w:bCs/>
                <w:color w:val="auto"/>
                <w:sz w:val="28"/>
                <w:szCs w:val="28"/>
              </w:rPr>
              <w:t>高新区。重点领域：</w:t>
            </w:r>
            <w:r>
              <w:rPr>
                <w:rFonts w:hint="eastAsia" w:ascii="Times New Roman" w:hAnsi="Times New Roman" w:eastAsia="仿宋_GB2312" w:cs="Times New Roman"/>
                <w:color w:val="auto"/>
                <w:sz w:val="28"/>
                <w:szCs w:val="28"/>
              </w:rPr>
              <w:t>重点发展低空核心技术攻关、基础材料与关键系统研制、低空装备制造、总部经济，成立乐山市低空经济产业研究院，加快产业创新基础设施建设，推动低空经济产业公共服务中心、低空智能装备检测与适航技术服务中心、低空经济产学研合作创新基地、低空航空器先进材料概念验证中心、乐山市纵横工业无人机智能制造基地建设，打造具有区域影响力的低空经济创新策源地、技术转化极、总部集聚区。</w:t>
            </w:r>
            <w:r>
              <w:rPr>
                <w:rFonts w:hint="eastAsia" w:ascii="Times New Roman" w:hAnsi="Times New Roman" w:eastAsia="仿宋_GB2312" w:cs="Times New Roman"/>
                <w:b/>
                <w:bCs/>
                <w:color w:val="auto"/>
                <w:sz w:val="28"/>
                <w:szCs w:val="28"/>
              </w:rPr>
              <w:t>发展路径：低空核心技术攻关</w:t>
            </w:r>
            <w:r>
              <w:rPr>
                <w:rFonts w:hint="eastAsia" w:ascii="Times New Roman" w:hAnsi="Times New Roman" w:eastAsia="仿宋_GB2312" w:cs="Times New Roman"/>
                <w:color w:val="auto"/>
                <w:sz w:val="28"/>
                <w:szCs w:val="28"/>
              </w:rPr>
              <w:t>。引入高校院所共建乐山低空经济产业研究院，培育低空经济领域重点实验室、企业技术中心、共性技术研发平台、创新联合体等创新平台，重点开展飞行控制、动力系统、蜂群协同等前沿技术攻关。</w:t>
            </w:r>
            <w:r>
              <w:rPr>
                <w:rFonts w:hint="eastAsia" w:ascii="Times New Roman" w:hAnsi="Times New Roman" w:eastAsia="仿宋_GB2312" w:cs="Times New Roman"/>
                <w:b/>
                <w:bCs/>
                <w:color w:val="auto"/>
                <w:sz w:val="28"/>
                <w:szCs w:val="28"/>
              </w:rPr>
              <w:t>基础材料与关键系统研制</w:t>
            </w:r>
            <w:r>
              <w:rPr>
                <w:rFonts w:hint="eastAsia" w:ascii="Times New Roman" w:hAnsi="Times New Roman" w:eastAsia="仿宋_GB2312" w:cs="Times New Roman"/>
                <w:color w:val="auto"/>
                <w:sz w:val="28"/>
                <w:szCs w:val="28"/>
              </w:rPr>
              <w:t>。规划建设</w:t>
            </w:r>
            <w:r>
              <w:rPr>
                <w:rFonts w:ascii="Times New Roman" w:hAnsi="Times New Roman" w:eastAsia="仿宋_GB2312" w:cs="Times New Roman"/>
                <w:color w:val="auto"/>
                <w:sz w:val="28"/>
                <w:szCs w:val="28"/>
              </w:rPr>
              <w:t>低空产业多功能加速器</w:t>
            </w:r>
            <w:r>
              <w:rPr>
                <w:rFonts w:hint="eastAsia" w:ascii="Times New Roman" w:hAnsi="Times New Roman" w:eastAsia="仿宋_GB2312" w:cs="Times New Roman"/>
                <w:color w:val="auto"/>
                <w:sz w:val="28"/>
                <w:szCs w:val="28"/>
              </w:rPr>
              <w:t>，重点引育超材料、轻量化复合材料、特种合金、碳纤维等高性能航空航天材料研发企业以及电池、传感器、飞控系统核心器件生产企业。低空</w:t>
            </w:r>
            <w:r>
              <w:rPr>
                <w:rFonts w:hint="eastAsia" w:ascii="Times New Roman" w:hAnsi="Times New Roman" w:eastAsia="仿宋_GB2312" w:cs="Times New Roman"/>
                <w:b/>
                <w:bCs/>
                <w:color w:val="auto"/>
                <w:sz w:val="28"/>
                <w:szCs w:val="28"/>
              </w:rPr>
              <w:t>装备制造。</w:t>
            </w:r>
            <w:r>
              <w:rPr>
                <w:rFonts w:hint="eastAsia" w:ascii="Times New Roman" w:hAnsi="Times New Roman" w:eastAsia="仿宋_GB2312" w:cs="Times New Roman"/>
                <w:color w:val="auto"/>
                <w:sz w:val="28"/>
                <w:szCs w:val="28"/>
              </w:rPr>
              <w:t>引进培育关键零部件、电池电源、整机制造等企业，打造低空装备研发制造基地。</w:t>
            </w:r>
            <w:r>
              <w:rPr>
                <w:rFonts w:hint="eastAsia" w:ascii="Times New Roman" w:hAnsi="Times New Roman" w:eastAsia="仿宋_GB2312" w:cs="Times New Roman"/>
                <w:b/>
                <w:bCs/>
                <w:color w:val="auto"/>
                <w:sz w:val="28"/>
                <w:szCs w:val="28"/>
              </w:rPr>
              <w:t>总部经济</w:t>
            </w:r>
            <w:r>
              <w:rPr>
                <w:rFonts w:hint="eastAsia" w:ascii="Times New Roman" w:hAnsi="Times New Roman" w:eastAsia="仿宋_GB2312" w:cs="Times New Roman"/>
                <w:color w:val="auto"/>
                <w:sz w:val="28"/>
                <w:szCs w:val="28"/>
              </w:rPr>
              <w:t>。基于高新区科技孵化、商务办公、产业园区等空间载体，定向改造升级，引导低空经济链上企业集聚，打造低空总部经济区。</w:t>
            </w:r>
          </w:p>
        </w:tc>
      </w:tr>
    </w:tbl>
    <w:p>
      <w:pPr>
        <w:spacing w:before="156" w:beforeLines="50" w:line="560" w:lineRule="exact"/>
        <w:ind w:firstLine="642" w:firstLineChars="200"/>
        <w:outlineLvl w:val="2"/>
        <w:rPr>
          <w:rFonts w:ascii="Times New Roman" w:hAnsi="Times New Roman" w:eastAsia="仿宋_GB2312" w:cs="Times New Roman"/>
          <w:b/>
          <w:bCs/>
          <w:color w:val="auto"/>
          <w:sz w:val="32"/>
          <w:szCs w:val="32"/>
        </w:rPr>
      </w:pPr>
      <w:bookmarkStart w:id="80" w:name="_Toc8302"/>
      <w:bookmarkStart w:id="81" w:name="_Toc207125766"/>
      <w:bookmarkStart w:id="82" w:name="_Toc220270455"/>
      <w:r>
        <w:rPr>
          <w:rFonts w:hint="eastAsia" w:ascii="Times New Roman" w:hAnsi="Times New Roman" w:eastAsia="仿宋_GB2312" w:cs="Times New Roman"/>
          <w:b/>
          <w:bCs/>
          <w:color w:val="auto"/>
          <w:sz w:val="32"/>
          <w:szCs w:val="32"/>
        </w:rPr>
        <w:t>3.低空经济多元产业融合发展区</w:t>
      </w:r>
      <w:bookmarkEnd w:id="80"/>
      <w:bookmarkEnd w:id="81"/>
      <w:bookmarkEnd w:id="82"/>
    </w:p>
    <w:p>
      <w:pPr>
        <w:pStyle w:val="32"/>
        <w:spacing w:after="156" w:afterLines="50"/>
        <w:rPr>
          <w:rFonts w:ascii="Times New Roman" w:cs="Times New Roman"/>
          <w:color w:val="auto"/>
          <w:szCs w:val="32"/>
        </w:rPr>
      </w:pPr>
      <w:r>
        <w:rPr>
          <w:rFonts w:hint="eastAsia" w:ascii="Times New Roman" w:cs="Times New Roman"/>
          <w:color w:val="auto"/>
          <w:szCs w:val="32"/>
        </w:rPr>
        <w:t>以沙湾区、五通桥区等地区为重点，立足区域特色产业与资源优势，突出低空经济跨界融合特质，推动低空经济与氢能产业、光伏产业、电池能源、电子信息等领域深度融合互促，开辟低空产业发展特色赛道，培育差异化竞争优势，打造特色低空经济多元产业融合发展示范。</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8522" w:type="dxa"/>
          </w:tcPr>
          <w:p>
            <w:pPr>
              <w:pStyle w:val="9"/>
              <w:spacing w:line="480" w:lineRule="exact"/>
              <w:jc w:val="center"/>
              <w:rPr>
                <w:rFonts w:ascii="Times New Roman" w:hAnsi="Times New Roman" w:eastAsia="黑体" w:cs="Times New Roman"/>
                <w:color w:val="auto"/>
                <w:lang w:val="en-US" w:bidi="ar-SA"/>
              </w:rPr>
            </w:pPr>
            <w:r>
              <w:rPr>
                <w:rFonts w:hint="eastAsia" w:ascii="Times New Roman" w:hAnsi="Times New Roman" w:eastAsia="黑体" w:cs="Times New Roman"/>
                <w:color w:val="auto"/>
                <w:w w:val="90"/>
                <w:sz w:val="28"/>
                <w:szCs w:val="28"/>
                <w:lang w:val="en-US" w:bidi="ar"/>
              </w:rPr>
              <w:t>专栏3  低空经济多元产业融合发展区涉及县（市、区）及发展重点方向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8522" w:type="dxa"/>
          </w:tcPr>
          <w:p>
            <w:pPr>
              <w:spacing w:line="480" w:lineRule="exact"/>
              <w:ind w:firstLine="562" w:firstLineChars="200"/>
              <w:rPr>
                <w:rFonts w:ascii="Times New Roman" w:hAnsi="Times New Roman" w:eastAsia="仿宋_GB2312" w:cs="Times New Roman"/>
                <w:color w:val="auto"/>
                <w:sz w:val="28"/>
                <w:szCs w:val="28"/>
              </w:rPr>
            </w:pPr>
            <w:r>
              <w:rPr>
                <w:rFonts w:hint="eastAsia" w:ascii="Times New Roman" w:hAnsi="Times New Roman" w:eastAsia="仿宋_GB2312" w:cs="Times New Roman"/>
                <w:b/>
                <w:bCs/>
                <w:color w:val="auto"/>
                <w:sz w:val="28"/>
                <w:szCs w:val="28"/>
              </w:rPr>
              <w:t>沙湾区。重点领域：</w:t>
            </w:r>
            <w:r>
              <w:rPr>
                <w:rFonts w:hint="eastAsia" w:ascii="Times New Roman" w:hAnsi="Times New Roman" w:eastAsia="仿宋_GB2312" w:cs="Times New Roman"/>
                <w:color w:val="auto"/>
                <w:sz w:val="28"/>
                <w:szCs w:val="28"/>
              </w:rPr>
              <w:t>优先发展低空先进材料，探索低空经济与氢能产业融合，拓展低空文旅消费，推动低空场景多元化发展。</w:t>
            </w:r>
            <w:r>
              <w:rPr>
                <w:rFonts w:hint="eastAsia" w:ascii="Times New Roman" w:hAnsi="Times New Roman" w:eastAsia="仿宋_GB2312" w:cs="Times New Roman"/>
                <w:b/>
                <w:bCs/>
                <w:color w:val="auto"/>
                <w:sz w:val="28"/>
                <w:szCs w:val="28"/>
              </w:rPr>
              <w:t>发展路径：低空先进材料。</w:t>
            </w:r>
            <w:r>
              <w:rPr>
                <w:rFonts w:hint="eastAsia" w:ascii="Times New Roman" w:hAnsi="Times New Roman" w:eastAsia="仿宋_GB2312" w:cs="Times New Roman"/>
                <w:color w:val="auto"/>
                <w:sz w:val="28"/>
                <w:szCs w:val="28"/>
              </w:rPr>
              <w:t>依托动思、德胜、罡宸、沃耐稀、晶鼎科技等企业，联合高校和科研院所共同搭建国家级超高温热防材料产业技术研究院，建成超高温热防材料产业研发生产基地，依托钒钛钢、稀土新材料、超纯电子材料产业基础，引育低空永磁材料、防腐材料等企业，形成低空先进材料产业集群，重点发展超高强度钢、航空用钛精密铸件、航空航天耐高温材料、氢燃料电池专用钛材、低空芯片材料等产品。</w:t>
            </w:r>
            <w:r>
              <w:rPr>
                <w:rFonts w:hint="eastAsia" w:ascii="Times New Roman" w:hAnsi="Times New Roman" w:eastAsia="仿宋_GB2312" w:cs="Times New Roman"/>
                <w:b/>
                <w:bCs/>
                <w:color w:val="auto"/>
                <w:sz w:val="28"/>
                <w:szCs w:val="28"/>
              </w:rPr>
              <w:t>低空经济</w:t>
            </w:r>
            <w:r>
              <w:rPr>
                <w:rFonts w:ascii="Times New Roman" w:hAnsi="Times New Roman" w:eastAsia="仿宋_GB2312" w:cs="Times New Roman"/>
                <w:b/>
                <w:bCs/>
                <w:color w:val="auto"/>
                <w:sz w:val="28"/>
                <w:szCs w:val="28"/>
              </w:rPr>
              <w:t>+</w:t>
            </w:r>
            <w:r>
              <w:rPr>
                <w:rFonts w:hint="eastAsia" w:ascii="Times New Roman" w:hAnsi="Times New Roman" w:eastAsia="仿宋_GB2312" w:cs="Times New Roman"/>
                <w:b/>
                <w:bCs/>
                <w:color w:val="auto"/>
                <w:sz w:val="28"/>
                <w:szCs w:val="28"/>
              </w:rPr>
              <w:t>氢能</w:t>
            </w:r>
            <w:r>
              <w:rPr>
                <w:rFonts w:hint="eastAsia" w:ascii="Times New Roman" w:hAnsi="Times New Roman" w:eastAsia="仿宋_GB2312" w:cs="Times New Roman"/>
                <w:color w:val="auto"/>
                <w:sz w:val="28"/>
                <w:szCs w:val="28"/>
              </w:rPr>
              <w:t>。加快水电制氢产业示范基地前期工作，探索发展氢内燃、氢涡轮发动机、氢涡轮混合动力、高效储氢技术可行性验证与工程化攻关。</w:t>
            </w:r>
            <w:r>
              <w:rPr>
                <w:rFonts w:hint="eastAsia" w:ascii="Times New Roman" w:hAnsi="Times New Roman" w:eastAsia="仿宋_GB2312" w:cs="Times New Roman"/>
                <w:b/>
                <w:bCs/>
                <w:color w:val="auto"/>
                <w:sz w:val="28"/>
                <w:szCs w:val="28"/>
              </w:rPr>
              <w:t>低空文旅消费。</w:t>
            </w:r>
            <w:r>
              <w:rPr>
                <w:rFonts w:hint="eastAsia" w:ascii="Times New Roman" w:hAnsi="Times New Roman" w:eastAsia="仿宋_GB2312" w:cs="Times New Roman"/>
                <w:color w:val="auto"/>
                <w:sz w:val="28"/>
                <w:szCs w:val="28"/>
              </w:rPr>
              <w:t>开发沫若故里、大渡河峡谷等景区空中游览航线，打造“二峨山—大渡河库区”低空飞行旅游项目；依托铜河银滩航模基地，建设沙湾区低空飞行营地，开展低空水上运动、无人机培训、航空研学、低空特技赛事等活动，延伸航模研发、组装、维修等业态。</w:t>
            </w:r>
            <w:r>
              <w:rPr>
                <w:rFonts w:hint="eastAsia" w:ascii="Times New Roman" w:hAnsi="Times New Roman" w:eastAsia="仿宋_GB2312" w:cs="Times New Roman"/>
                <w:b/>
                <w:bCs/>
                <w:color w:val="auto"/>
                <w:sz w:val="28"/>
                <w:szCs w:val="28"/>
              </w:rPr>
              <w:t>低空多场景应用。</w:t>
            </w:r>
            <w:r>
              <w:rPr>
                <w:rFonts w:hint="eastAsia" w:ascii="Times New Roman" w:hAnsi="Times New Roman" w:eastAsia="仿宋_GB2312" w:cs="Times New Roman"/>
                <w:color w:val="auto"/>
                <w:sz w:val="28"/>
                <w:szCs w:val="28"/>
              </w:rPr>
              <w:t>在农林业、应急、社会治理等多领域打造应用场景。</w:t>
            </w:r>
          </w:p>
          <w:p>
            <w:pPr>
              <w:spacing w:line="480" w:lineRule="exact"/>
              <w:ind w:firstLine="562" w:firstLineChars="200"/>
              <w:rPr>
                <w:rFonts w:ascii="Times New Roman" w:hAnsi="Times New Roman" w:eastAsia="仿宋_GB2312" w:cs="Times New Roman"/>
                <w:color w:val="auto"/>
              </w:rPr>
            </w:pPr>
            <w:r>
              <w:rPr>
                <w:rFonts w:hint="eastAsia" w:ascii="Times New Roman" w:hAnsi="Times New Roman" w:eastAsia="仿宋_GB2312" w:cs="Times New Roman"/>
                <w:b/>
                <w:bCs/>
                <w:color w:val="auto"/>
                <w:sz w:val="28"/>
                <w:szCs w:val="28"/>
              </w:rPr>
              <w:t>五通桥区。重点领域：</w:t>
            </w:r>
            <w:r>
              <w:rPr>
                <w:rFonts w:hint="eastAsia" w:ascii="Times New Roman" w:hAnsi="Times New Roman" w:eastAsia="仿宋_GB2312" w:cs="Times New Roman"/>
                <w:color w:val="auto"/>
                <w:sz w:val="28"/>
                <w:szCs w:val="28"/>
              </w:rPr>
              <w:t>推动</w:t>
            </w:r>
            <w:r>
              <w:rPr>
                <w:rFonts w:ascii="Times New Roman" w:hAnsi="Times New Roman" w:eastAsia="仿宋_GB2312" w:cs="Times New Roman"/>
                <w:color w:val="auto"/>
                <w:sz w:val="28"/>
                <w:szCs w:val="28"/>
              </w:rPr>
              <w:t>低空经济与</w:t>
            </w:r>
            <w:r>
              <w:rPr>
                <w:rFonts w:hint="eastAsia" w:ascii="Times New Roman" w:hAnsi="Times New Roman" w:eastAsia="仿宋_GB2312" w:cs="Times New Roman"/>
                <w:color w:val="auto"/>
                <w:sz w:val="28"/>
                <w:szCs w:val="28"/>
              </w:rPr>
              <w:t>光伏</w:t>
            </w:r>
            <w:r>
              <w:rPr>
                <w:rFonts w:ascii="Times New Roman" w:hAnsi="Times New Roman" w:eastAsia="仿宋_GB2312" w:cs="Times New Roman"/>
                <w:color w:val="auto"/>
                <w:sz w:val="28"/>
                <w:szCs w:val="28"/>
              </w:rPr>
              <w:t>产业融合，</w:t>
            </w:r>
            <w:r>
              <w:rPr>
                <w:rFonts w:hint="eastAsia" w:ascii="Times New Roman" w:hAnsi="Times New Roman" w:eastAsia="仿宋_GB2312" w:cs="Times New Roman"/>
                <w:color w:val="auto"/>
                <w:sz w:val="28"/>
                <w:szCs w:val="28"/>
              </w:rPr>
              <w:t>重点发展电池能源、低空安防反制、城市空中交通业态</w:t>
            </w:r>
            <w:r>
              <w:rPr>
                <w:rFonts w:ascii="Times New Roman" w:hAnsi="Times New Roman" w:eastAsia="仿宋_GB2312" w:cs="Times New Roman"/>
                <w:color w:val="auto"/>
                <w:sz w:val="28"/>
                <w:szCs w:val="28"/>
              </w:rPr>
              <w:t>。</w:t>
            </w:r>
            <w:r>
              <w:rPr>
                <w:rFonts w:hint="eastAsia" w:ascii="Times New Roman" w:hAnsi="Times New Roman" w:eastAsia="仿宋_GB2312" w:cs="Times New Roman"/>
                <w:b/>
                <w:bCs/>
                <w:color w:val="auto"/>
                <w:sz w:val="28"/>
                <w:szCs w:val="28"/>
              </w:rPr>
              <w:t>发展路径：低空经济+光伏产业。</w:t>
            </w:r>
            <w:r>
              <w:rPr>
                <w:rFonts w:hint="eastAsia" w:ascii="Times New Roman" w:hAnsi="Times New Roman" w:eastAsia="仿宋_GB2312" w:cs="Times New Roman"/>
                <w:color w:val="auto"/>
                <w:sz w:val="28"/>
                <w:szCs w:val="28"/>
              </w:rPr>
              <w:t>依托晶硅光伏与储能产业优势，支持企业开发太阳能充电无人机机巢及光伏供能的低空导航、通信、监视等地面保障设备，提升能源自给与低碳运行能力；鼓励低空运营企业与新能源企业合作，共同开发光伏电站巡查、光伏面板清洗等能源场景无人机解决方案，提升新能源产业运维效率和安全水平</w:t>
            </w:r>
            <w:r>
              <w:rPr>
                <w:rFonts w:ascii="Times New Roman" w:hAnsi="Times New Roman" w:eastAsia="仿宋_GB2312" w:cs="Times New Roman"/>
                <w:color w:val="auto"/>
                <w:sz w:val="28"/>
                <w:szCs w:val="28"/>
              </w:rPr>
              <w:t>。</w:t>
            </w:r>
            <w:r>
              <w:rPr>
                <w:rFonts w:hint="eastAsia" w:ascii="Times New Roman" w:hAnsi="Times New Roman" w:eastAsia="仿宋_GB2312" w:cs="Times New Roman"/>
                <w:b/>
                <w:bCs/>
                <w:color w:val="auto"/>
                <w:sz w:val="28"/>
                <w:szCs w:val="28"/>
              </w:rPr>
              <w:t>电池能源</w:t>
            </w:r>
            <w:r>
              <w:rPr>
                <w:rFonts w:hint="eastAsia" w:ascii="Times New Roman" w:hAnsi="Times New Roman" w:eastAsia="仿宋_GB2312" w:cs="Times New Roman"/>
                <w:color w:val="auto"/>
                <w:sz w:val="28"/>
                <w:szCs w:val="28"/>
              </w:rPr>
              <w:t>。重点在高能量密度、轻量化、高安全、低成本、长寿命的锂离子动力电池与固态动力电池等领域开展技术攻关，以提升新能源航空器航程与可靠性为目标，开发一批电池能源产品。</w:t>
            </w:r>
            <w:r>
              <w:rPr>
                <w:rFonts w:hint="eastAsia" w:ascii="Times New Roman" w:hAnsi="Times New Roman" w:eastAsia="仿宋_GB2312" w:cs="Times New Roman"/>
                <w:b/>
                <w:bCs/>
                <w:color w:val="auto"/>
                <w:sz w:val="28"/>
                <w:szCs w:val="28"/>
              </w:rPr>
              <w:t>低空安防反制</w:t>
            </w:r>
            <w:r>
              <w:rPr>
                <w:rFonts w:hint="eastAsia" w:ascii="Times New Roman" w:hAnsi="Times New Roman" w:eastAsia="仿宋_GB2312" w:cs="Times New Roman"/>
                <w:color w:val="auto"/>
                <w:sz w:val="28"/>
                <w:szCs w:val="28"/>
              </w:rPr>
              <w:t>。围绕乐山机场、能源设施、岷江航电、化工园区等重点区域，按需部署低空侦测反制设施设备，做好重点区域低空安全防控，引导装备制造企业布局无人机安防产品、反制系统等研制。</w:t>
            </w:r>
            <w:r>
              <w:rPr>
                <w:rFonts w:hint="eastAsia" w:ascii="Times New Roman" w:hAnsi="Times New Roman" w:eastAsia="仿宋_GB2312" w:cs="Times New Roman"/>
                <w:b/>
                <w:bCs/>
                <w:color w:val="auto"/>
                <w:sz w:val="28"/>
                <w:szCs w:val="28"/>
              </w:rPr>
              <w:t>城市空中交通</w:t>
            </w:r>
            <w:r>
              <w:rPr>
                <w:rFonts w:hint="eastAsia" w:ascii="Times New Roman" w:hAnsi="Times New Roman" w:eastAsia="仿宋_GB2312" w:cs="Times New Roman"/>
                <w:color w:val="auto"/>
                <w:sz w:val="28"/>
                <w:szCs w:val="28"/>
              </w:rPr>
              <w:t>。探索建设五通桥区城市低空飞行枢纽，重点打造跨区低空交通运输项目。</w:t>
            </w:r>
          </w:p>
        </w:tc>
      </w:tr>
    </w:tbl>
    <w:p>
      <w:pPr>
        <w:spacing w:before="156" w:beforeLines="50" w:line="560" w:lineRule="exact"/>
        <w:ind w:firstLine="642" w:firstLineChars="200"/>
        <w:outlineLvl w:val="2"/>
        <w:rPr>
          <w:rFonts w:ascii="Times New Roman" w:hAnsi="Times New Roman" w:eastAsia="仿宋_GB2312" w:cs="Times New Roman"/>
          <w:b/>
          <w:bCs/>
          <w:color w:val="auto"/>
          <w:sz w:val="32"/>
          <w:szCs w:val="32"/>
        </w:rPr>
      </w:pPr>
      <w:bookmarkStart w:id="83" w:name="_Toc220270456"/>
      <w:bookmarkStart w:id="84" w:name="_Toc207125767"/>
      <w:bookmarkStart w:id="85" w:name="_Toc26866"/>
      <w:r>
        <w:rPr>
          <w:rFonts w:hint="eastAsia" w:ascii="Times New Roman" w:hAnsi="Times New Roman" w:eastAsia="仿宋_GB2312" w:cs="Times New Roman"/>
          <w:b/>
          <w:bCs/>
          <w:color w:val="auto"/>
          <w:sz w:val="32"/>
          <w:szCs w:val="32"/>
        </w:rPr>
        <w:t>4.低空经济生产应用示范区</w:t>
      </w:r>
      <w:bookmarkEnd w:id="83"/>
      <w:bookmarkEnd w:id="84"/>
      <w:bookmarkEnd w:id="85"/>
    </w:p>
    <w:p>
      <w:pPr>
        <w:pStyle w:val="32"/>
        <w:spacing w:after="156" w:afterLines="50"/>
        <w:rPr>
          <w:rFonts w:ascii="Times New Roman" w:cs="Times New Roman"/>
          <w:color w:val="auto"/>
          <w:szCs w:val="32"/>
        </w:rPr>
      </w:pPr>
      <w:r>
        <w:rPr>
          <w:rFonts w:hint="eastAsia" w:ascii="Times New Roman" w:cs="Times New Roman"/>
          <w:color w:val="auto"/>
          <w:szCs w:val="32"/>
        </w:rPr>
        <w:t>以金口河区、犍为县、井研县、沐川县、峨边彝族自治县、马边彝族自治县等地区为重点，紧扣低空生产应用需求，突出丘陵山区特色，聚焦农林作业、公共服务、低空物流等领域，推进场景创新、模式验证与规模化应用，着力打造一批省级乃至国家级低空经济示范场景，做深做强示范效应，以场景应用培育产业生态，支撑全市低空经济高质量发展。</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8522" w:type="dxa"/>
          </w:tcPr>
          <w:p>
            <w:pPr>
              <w:pStyle w:val="9"/>
              <w:spacing w:line="480" w:lineRule="exact"/>
              <w:rPr>
                <w:rFonts w:ascii="Times New Roman" w:hAnsi="Times New Roman" w:eastAsia="黑体" w:cs="Times New Roman"/>
                <w:color w:val="auto"/>
                <w:lang w:val="en-US" w:bidi="ar-SA"/>
              </w:rPr>
            </w:pPr>
            <w:r>
              <w:rPr>
                <w:rFonts w:hint="eastAsia" w:ascii="Times New Roman" w:hAnsi="Times New Roman" w:eastAsia="黑体" w:cs="Times New Roman"/>
                <w:color w:val="auto"/>
                <w:sz w:val="28"/>
                <w:szCs w:val="28"/>
                <w:lang w:val="en-US" w:bidi="ar"/>
              </w:rPr>
              <w:t>专栏4  低空经济生产应用示范区涉及县（市、区）及发展重点方向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8522" w:type="dxa"/>
          </w:tcPr>
          <w:p>
            <w:pPr>
              <w:spacing w:line="480" w:lineRule="exact"/>
              <w:ind w:firstLine="562" w:firstLineChars="200"/>
              <w:rPr>
                <w:rFonts w:ascii="Times New Roman" w:hAnsi="Times New Roman" w:eastAsia="仿宋_GB2312" w:cs="Times New Roman"/>
                <w:color w:val="auto"/>
                <w:sz w:val="28"/>
                <w:szCs w:val="28"/>
              </w:rPr>
            </w:pPr>
            <w:r>
              <w:rPr>
                <w:rFonts w:hint="eastAsia" w:ascii="Times New Roman" w:hAnsi="Times New Roman" w:eastAsia="仿宋_GB2312" w:cs="Times New Roman"/>
                <w:b/>
                <w:bCs/>
                <w:color w:val="auto"/>
                <w:sz w:val="28"/>
                <w:szCs w:val="28"/>
              </w:rPr>
              <w:t>金口河区。重点领域：</w:t>
            </w:r>
            <w:r>
              <w:rPr>
                <w:rFonts w:hint="eastAsia" w:ascii="Times New Roman" w:hAnsi="Times New Roman" w:eastAsia="仿宋_GB2312" w:cs="Times New Roman"/>
                <w:color w:val="auto"/>
                <w:sz w:val="28"/>
                <w:szCs w:val="28"/>
              </w:rPr>
              <w:t>重点发展公共服务。</w:t>
            </w:r>
            <w:r>
              <w:rPr>
                <w:rFonts w:hint="eastAsia" w:ascii="Times New Roman" w:hAnsi="Times New Roman" w:eastAsia="仿宋_GB2312" w:cs="Times New Roman"/>
                <w:b/>
                <w:bCs/>
                <w:color w:val="auto"/>
                <w:sz w:val="28"/>
                <w:szCs w:val="28"/>
              </w:rPr>
              <w:t>发展路径：公共服务</w:t>
            </w:r>
            <w:r>
              <w:rPr>
                <w:rFonts w:hint="eastAsia" w:ascii="Times New Roman" w:hAnsi="Times New Roman" w:eastAsia="仿宋_GB2312" w:cs="Times New Roman"/>
                <w:color w:val="auto"/>
                <w:sz w:val="28"/>
                <w:szCs w:val="28"/>
              </w:rPr>
              <w:t>。结合低空文旅消费基础设施建设，运用无人机、直升机等低空载具开展森林防灭火、航空应急救援；推动金口河区无人机侦测反制平台项目建设，在要地按需部署低空侦测反制设施设备。</w:t>
            </w:r>
          </w:p>
          <w:p>
            <w:pPr>
              <w:spacing w:line="480" w:lineRule="exact"/>
              <w:ind w:firstLine="562" w:firstLineChars="200"/>
              <w:rPr>
                <w:rFonts w:ascii="Times New Roman" w:hAnsi="Times New Roman" w:eastAsia="仿宋_GB2312" w:cs="Times New Roman"/>
                <w:color w:val="auto"/>
                <w:sz w:val="28"/>
                <w:szCs w:val="28"/>
              </w:rPr>
            </w:pPr>
            <w:r>
              <w:rPr>
                <w:rFonts w:hint="eastAsia" w:ascii="Times New Roman" w:hAnsi="Times New Roman" w:eastAsia="仿宋_GB2312" w:cs="Times New Roman"/>
                <w:b/>
                <w:bCs/>
                <w:color w:val="auto"/>
                <w:sz w:val="28"/>
                <w:szCs w:val="28"/>
              </w:rPr>
              <w:t>犍为县。重点领域</w:t>
            </w:r>
            <w:r>
              <w:rPr>
                <w:rFonts w:ascii="仿宋_GB2312" w:hAnsi="仿宋_GB2312" w:eastAsia="仿宋_GB2312" w:cs="仿宋_GB2312"/>
                <w:b/>
                <w:bCs/>
                <w:color w:val="auto"/>
                <w:sz w:val="28"/>
                <w:szCs w:val="28"/>
              </w:rPr>
              <w:t>:</w:t>
            </w:r>
            <w:r>
              <w:rPr>
                <w:rFonts w:hint="eastAsia" w:ascii="Times New Roman" w:hAnsi="Times New Roman" w:eastAsia="仿宋_GB2312" w:cs="Times New Roman"/>
                <w:color w:val="auto"/>
                <w:sz w:val="28"/>
                <w:szCs w:val="28"/>
              </w:rPr>
              <w:t>重点发展农林植保、吊运。</w:t>
            </w:r>
            <w:r>
              <w:rPr>
                <w:rFonts w:hint="eastAsia" w:ascii="Times New Roman" w:hAnsi="Times New Roman" w:eastAsia="仿宋_GB2312" w:cs="Times New Roman"/>
                <w:b/>
                <w:bCs/>
                <w:color w:val="auto"/>
                <w:sz w:val="28"/>
                <w:szCs w:val="28"/>
              </w:rPr>
              <w:t>发展路径</w:t>
            </w:r>
            <w:r>
              <w:rPr>
                <w:rFonts w:ascii="仿宋_GB2312" w:hAnsi="仿宋_GB2312" w:eastAsia="仿宋_GB2312" w:cs="仿宋_GB2312"/>
                <w:b/>
                <w:bCs/>
                <w:color w:val="auto"/>
                <w:sz w:val="28"/>
                <w:szCs w:val="28"/>
              </w:rPr>
              <w:t>:</w:t>
            </w:r>
            <w:r>
              <w:rPr>
                <w:rFonts w:hint="eastAsia" w:ascii="Times New Roman" w:hAnsi="Times New Roman" w:eastAsia="仿宋_GB2312" w:cs="Times New Roman"/>
                <w:b/>
                <w:bCs/>
                <w:color w:val="auto"/>
                <w:sz w:val="28"/>
                <w:szCs w:val="28"/>
              </w:rPr>
              <w:t>农林植保、吊运。</w:t>
            </w:r>
            <w:r>
              <w:rPr>
                <w:rFonts w:hint="eastAsia" w:ascii="Times New Roman" w:hAnsi="Times New Roman" w:eastAsia="仿宋_GB2312" w:cs="Times New Roman"/>
                <w:color w:val="auto"/>
                <w:sz w:val="28"/>
                <w:szCs w:val="28"/>
              </w:rPr>
              <w:t>依托2025年度省农业厅低空农业场景应用示范和农机熟化推广项目，承担万亩林竹吊运、粮食（水稻）吊运、水果吊运、中药材（姜黄）吊运、粮油作物飞防植保省级示范推广工作，推动四川省农业无人机地方标准建设与16项低空农业技术应用推广，辐射全省21个市州。</w:t>
            </w:r>
          </w:p>
          <w:p>
            <w:pPr>
              <w:spacing w:line="480" w:lineRule="exact"/>
              <w:ind w:firstLine="562" w:firstLineChars="200"/>
              <w:rPr>
                <w:rFonts w:ascii="Times New Roman" w:hAnsi="Times New Roman" w:eastAsia="仿宋_GB2312" w:cs="Times New Roman"/>
                <w:color w:val="auto"/>
                <w:sz w:val="28"/>
                <w:szCs w:val="28"/>
              </w:rPr>
            </w:pPr>
            <w:r>
              <w:rPr>
                <w:rFonts w:hint="eastAsia" w:ascii="Times New Roman" w:hAnsi="Times New Roman" w:eastAsia="仿宋_GB2312" w:cs="Times New Roman"/>
                <w:b/>
                <w:bCs/>
                <w:color w:val="auto"/>
                <w:sz w:val="28"/>
                <w:szCs w:val="28"/>
              </w:rPr>
              <w:t>井研县。重点领域：</w:t>
            </w:r>
            <w:r>
              <w:rPr>
                <w:rFonts w:hint="eastAsia" w:ascii="Times New Roman" w:hAnsi="Times New Roman" w:eastAsia="仿宋_GB2312" w:cs="Times New Roman"/>
                <w:color w:val="auto"/>
                <w:sz w:val="28"/>
                <w:szCs w:val="28"/>
              </w:rPr>
              <w:t>重点发展农林植保、低空物流。</w:t>
            </w:r>
            <w:r>
              <w:rPr>
                <w:rFonts w:hint="eastAsia" w:ascii="Times New Roman" w:hAnsi="Times New Roman" w:eastAsia="仿宋_GB2312" w:cs="Times New Roman"/>
                <w:b/>
                <w:bCs/>
                <w:color w:val="auto"/>
                <w:sz w:val="28"/>
                <w:szCs w:val="28"/>
              </w:rPr>
              <w:t>发展路径：农林植保</w:t>
            </w:r>
            <w:r>
              <w:rPr>
                <w:rFonts w:hint="eastAsia" w:ascii="Times New Roman" w:hAnsi="Times New Roman" w:eastAsia="仿宋_GB2312" w:cs="Times New Roman"/>
                <w:color w:val="auto"/>
                <w:sz w:val="28"/>
                <w:szCs w:val="28"/>
              </w:rPr>
              <w:t>。壮大无人机柑橘飞防作业规模，覆盖1000亩核心柑橘园，辐射全县23万亩柑橘基地；依托乐山市柑橘产业技术研究院，探索制定无人机柑橘飞防作业标准，打造“农用无人机+植保、施肥”示范场景，持续提升柑橘果园智能化水平。</w:t>
            </w:r>
            <w:r>
              <w:rPr>
                <w:rFonts w:hint="eastAsia" w:ascii="Times New Roman" w:hAnsi="Times New Roman" w:eastAsia="仿宋_GB2312" w:cs="Times New Roman"/>
                <w:b/>
                <w:bCs/>
                <w:color w:val="auto"/>
                <w:sz w:val="28"/>
                <w:szCs w:val="28"/>
              </w:rPr>
              <w:t>低空物流</w:t>
            </w:r>
            <w:r>
              <w:rPr>
                <w:rFonts w:hint="eastAsia" w:ascii="Times New Roman" w:hAnsi="Times New Roman" w:eastAsia="仿宋_GB2312" w:cs="Times New Roman"/>
                <w:color w:val="auto"/>
                <w:sz w:val="28"/>
                <w:szCs w:val="28"/>
              </w:rPr>
              <w:t>。搭建丘陵地区无人机物流网络，联合快递物流方试点“无人机+农产品出村”，打造乡村振兴农产品无人机物流运输配送示范场景；规划建设无人机基地，构建半径50公里的低空物流网络，连接县域乡镇。</w:t>
            </w:r>
          </w:p>
          <w:p>
            <w:pPr>
              <w:spacing w:line="480" w:lineRule="exact"/>
              <w:ind w:firstLine="562" w:firstLineChars="200"/>
              <w:rPr>
                <w:rFonts w:ascii="Times New Roman" w:hAnsi="Times New Roman" w:eastAsia="仿宋_GB2312" w:cs="Times New Roman"/>
                <w:color w:val="auto"/>
                <w:sz w:val="28"/>
                <w:szCs w:val="28"/>
              </w:rPr>
            </w:pPr>
            <w:r>
              <w:rPr>
                <w:rFonts w:hint="eastAsia" w:ascii="Times New Roman" w:hAnsi="Times New Roman" w:eastAsia="仿宋_GB2312" w:cs="Times New Roman"/>
                <w:b/>
                <w:bCs/>
                <w:color w:val="auto"/>
                <w:sz w:val="28"/>
                <w:szCs w:val="28"/>
              </w:rPr>
              <w:t>沐川县。重点领域</w:t>
            </w:r>
            <w:r>
              <w:rPr>
                <w:rFonts w:ascii="仿宋_GB2312" w:hAnsi="仿宋_GB2312" w:eastAsia="仿宋_GB2312" w:cs="仿宋_GB2312"/>
                <w:b/>
                <w:bCs/>
                <w:color w:val="auto"/>
                <w:sz w:val="28"/>
                <w:szCs w:val="28"/>
              </w:rPr>
              <w:t>:</w:t>
            </w:r>
            <w:r>
              <w:rPr>
                <w:rFonts w:hint="eastAsia" w:ascii="Times New Roman" w:hAnsi="Times New Roman" w:eastAsia="仿宋_GB2312" w:cs="Times New Roman"/>
                <w:color w:val="auto"/>
                <w:sz w:val="28"/>
                <w:szCs w:val="28"/>
              </w:rPr>
              <w:t>重点发展生产作业、低空物流。</w:t>
            </w:r>
            <w:r>
              <w:rPr>
                <w:rFonts w:hint="eastAsia" w:ascii="Times New Roman" w:hAnsi="Times New Roman" w:eastAsia="仿宋_GB2312" w:cs="Times New Roman"/>
                <w:b/>
                <w:bCs/>
                <w:color w:val="auto"/>
                <w:sz w:val="28"/>
                <w:szCs w:val="28"/>
              </w:rPr>
              <w:t>发展路径：生产作业。</w:t>
            </w:r>
            <w:r>
              <w:rPr>
                <w:rFonts w:hint="eastAsia" w:ascii="Times New Roman" w:hAnsi="Times New Roman" w:eastAsia="仿宋_GB2312" w:cs="Times New Roman"/>
                <w:color w:val="auto"/>
                <w:sz w:val="28"/>
                <w:szCs w:val="28"/>
              </w:rPr>
              <w:t>推广无人机林竹吊运成功经验，持续壮大应用规模，打造农用无人机大载重吊运示范场景，促进林竹产业和林下经济发展。</w:t>
            </w:r>
            <w:r>
              <w:rPr>
                <w:rFonts w:hint="eastAsia" w:ascii="Times New Roman" w:hAnsi="Times New Roman" w:eastAsia="仿宋_GB2312" w:cs="Times New Roman"/>
                <w:b/>
                <w:bCs/>
                <w:color w:val="auto"/>
                <w:sz w:val="28"/>
                <w:szCs w:val="28"/>
              </w:rPr>
              <w:t>低空物流。</w:t>
            </w:r>
            <w:r>
              <w:rPr>
                <w:rFonts w:hint="eastAsia" w:ascii="Times New Roman" w:hAnsi="Times New Roman" w:eastAsia="仿宋_GB2312" w:cs="Times New Roman"/>
                <w:color w:val="auto"/>
                <w:sz w:val="28"/>
                <w:szCs w:val="28"/>
              </w:rPr>
              <w:t>推动邮政“快递进村”无人机物流试点，重点解决山区、偏远乡村物流“最后一公里”和特色农产品上行“最初一公里”难题，打造乡村振兴农产品无人机物流运输配送示范场景。</w:t>
            </w:r>
            <w:r>
              <w:rPr>
                <w:rFonts w:hint="eastAsia" w:ascii="Times New Roman" w:hAnsi="Times New Roman" w:eastAsia="仿宋_GB2312" w:cs="Times New Roman"/>
                <w:b/>
                <w:bCs/>
                <w:color w:val="auto"/>
                <w:sz w:val="28"/>
                <w:szCs w:val="28"/>
              </w:rPr>
              <w:t>公共服务。</w:t>
            </w:r>
            <w:r>
              <w:rPr>
                <w:rFonts w:hint="eastAsia" w:ascii="Times New Roman" w:hAnsi="Times New Roman" w:eastAsia="仿宋_GB2312" w:cs="Times New Roman"/>
                <w:color w:val="auto"/>
                <w:sz w:val="28"/>
                <w:szCs w:val="28"/>
              </w:rPr>
              <w:t>构建沐川全县无人机统一管控网络，部署覆盖街道、社区、山区的多类型无人机，整合低空运输、政府治理（应急、城管、林农、交通等）的调度需求，形成“一平台管全域无人机、一系统撑多领域治理”的服务模式，推动无人机在城市管理、应急救援、医疗物资配送等方面智能化统筹应用。</w:t>
            </w:r>
          </w:p>
          <w:p>
            <w:pPr>
              <w:spacing w:line="480" w:lineRule="exact"/>
              <w:ind w:firstLine="562" w:firstLineChars="200"/>
              <w:rPr>
                <w:rFonts w:ascii="Times New Roman" w:hAnsi="Times New Roman" w:eastAsia="仿宋_GB2312" w:cs="Times New Roman"/>
                <w:color w:val="auto"/>
                <w:sz w:val="28"/>
                <w:szCs w:val="28"/>
              </w:rPr>
            </w:pPr>
            <w:r>
              <w:rPr>
                <w:rFonts w:hint="eastAsia" w:ascii="Times New Roman" w:hAnsi="Times New Roman" w:eastAsia="仿宋_GB2312" w:cs="Times New Roman"/>
                <w:b/>
                <w:bCs/>
                <w:color w:val="auto"/>
                <w:sz w:val="28"/>
                <w:szCs w:val="28"/>
              </w:rPr>
              <w:t>峨边彝族自治县。重点领域：</w:t>
            </w:r>
            <w:r>
              <w:rPr>
                <w:rFonts w:hint="eastAsia" w:ascii="Times New Roman" w:hAnsi="Times New Roman" w:eastAsia="仿宋_GB2312" w:cs="Times New Roman"/>
                <w:color w:val="auto"/>
                <w:sz w:val="28"/>
                <w:szCs w:val="28"/>
              </w:rPr>
              <w:t>重点发展低空物流配送、公共服务、低空文旅。</w:t>
            </w:r>
            <w:r>
              <w:rPr>
                <w:rFonts w:hint="eastAsia" w:ascii="Times New Roman" w:hAnsi="Times New Roman" w:eastAsia="仿宋_GB2312" w:cs="Times New Roman"/>
                <w:b/>
                <w:bCs/>
                <w:color w:val="auto"/>
                <w:sz w:val="28"/>
                <w:szCs w:val="28"/>
              </w:rPr>
              <w:t>发展路径：低空物流。</w:t>
            </w:r>
            <w:r>
              <w:rPr>
                <w:rFonts w:hint="eastAsia" w:ascii="Times New Roman" w:hAnsi="Times New Roman" w:eastAsia="仿宋_GB2312" w:cs="Times New Roman"/>
                <w:color w:val="auto"/>
                <w:sz w:val="28"/>
                <w:szCs w:val="28"/>
              </w:rPr>
              <w:t>引进物流企业开展无人机竹笋等运输，探索开展全域无人机快递入村配送试点，打造乡村振兴农产品无人机物流运输配送示范场景。</w:t>
            </w:r>
            <w:r>
              <w:rPr>
                <w:rFonts w:hint="eastAsia" w:ascii="Times New Roman" w:hAnsi="Times New Roman" w:eastAsia="仿宋_GB2312" w:cs="Times New Roman"/>
                <w:b/>
                <w:bCs/>
                <w:color w:val="auto"/>
                <w:sz w:val="28"/>
                <w:szCs w:val="28"/>
              </w:rPr>
              <w:t>公共服务。</w:t>
            </w:r>
            <w:r>
              <w:rPr>
                <w:rFonts w:hint="eastAsia" w:ascii="Times New Roman" w:hAnsi="Times New Roman" w:eastAsia="仿宋_GB2312" w:cs="Times New Roman"/>
                <w:color w:val="auto"/>
                <w:sz w:val="28"/>
                <w:szCs w:val="28"/>
              </w:rPr>
              <w:t>推动低空航空器在森林防灭火、森林监测与调查、自然灾害处置等领域应用，探索开通医疗物资无人机配送。</w:t>
            </w:r>
            <w:r>
              <w:rPr>
                <w:rFonts w:hint="eastAsia" w:ascii="Times New Roman" w:hAnsi="Times New Roman" w:eastAsia="仿宋_GB2312" w:cs="Times New Roman"/>
                <w:b/>
                <w:bCs/>
                <w:color w:val="auto"/>
                <w:sz w:val="28"/>
                <w:szCs w:val="28"/>
              </w:rPr>
              <w:t>低空文旅。</w:t>
            </w:r>
            <w:r>
              <w:rPr>
                <w:rFonts w:hint="eastAsia" w:ascii="Times New Roman" w:hAnsi="Times New Roman" w:eastAsia="仿宋_GB2312" w:cs="Times New Roman"/>
                <w:color w:val="auto"/>
                <w:sz w:val="28"/>
                <w:szCs w:val="28"/>
              </w:rPr>
              <w:t>以黑竹沟景区为重要载体，系统规划并推出低空观光特色空中游览线路，打造超轻智能飞行器营地；结合彝族传统节庆，创新开展飞行体验营、低空摄影赛事等主题文旅活动。</w:t>
            </w:r>
          </w:p>
          <w:p>
            <w:pPr>
              <w:spacing w:line="480" w:lineRule="exact"/>
              <w:ind w:firstLine="562" w:firstLineChars="200"/>
              <w:rPr>
                <w:rFonts w:ascii="Times New Roman" w:hAnsi="Times New Roman" w:eastAsia="仿宋_GB2312" w:cs="Times New Roman"/>
                <w:color w:val="auto"/>
                <w:sz w:val="28"/>
                <w:szCs w:val="28"/>
              </w:rPr>
            </w:pPr>
            <w:r>
              <w:rPr>
                <w:rFonts w:hint="eastAsia" w:ascii="Times New Roman" w:hAnsi="Times New Roman" w:eastAsia="仿宋_GB2312" w:cs="Times New Roman"/>
                <w:b/>
                <w:bCs/>
                <w:color w:val="auto"/>
                <w:sz w:val="28"/>
                <w:szCs w:val="28"/>
              </w:rPr>
              <w:t>马边彝族自治县。重点领域：</w:t>
            </w:r>
            <w:r>
              <w:rPr>
                <w:rFonts w:hint="eastAsia" w:ascii="Times New Roman" w:hAnsi="Times New Roman" w:eastAsia="仿宋_GB2312" w:cs="Times New Roman"/>
                <w:color w:val="auto"/>
                <w:sz w:val="28"/>
                <w:szCs w:val="28"/>
              </w:rPr>
              <w:t>重点发展公共服务、低空物流配送。</w:t>
            </w:r>
            <w:r>
              <w:rPr>
                <w:rFonts w:hint="eastAsia" w:ascii="Times New Roman" w:hAnsi="Times New Roman" w:eastAsia="仿宋_GB2312" w:cs="Times New Roman"/>
                <w:b/>
                <w:bCs/>
                <w:color w:val="auto"/>
                <w:sz w:val="28"/>
                <w:szCs w:val="28"/>
              </w:rPr>
              <w:t>发展路径：公共服务</w:t>
            </w:r>
            <w:r>
              <w:rPr>
                <w:rFonts w:hint="eastAsia" w:ascii="Times New Roman" w:hAnsi="Times New Roman" w:eastAsia="仿宋_GB2312" w:cs="Times New Roman"/>
                <w:color w:val="auto"/>
                <w:sz w:val="28"/>
                <w:szCs w:val="28"/>
              </w:rPr>
              <w:t>。推动马边航空应急救援基地建设，推动低空航空器在山路常态化巡检、矿业巡查巡检、森林防灭火、自然灾害处置、交通事故救援等领域应用，探索开通医疗物资无人机配送服务。</w:t>
            </w:r>
            <w:r>
              <w:rPr>
                <w:rFonts w:hint="eastAsia" w:ascii="Times New Roman" w:hAnsi="Times New Roman" w:eastAsia="仿宋_GB2312" w:cs="Times New Roman"/>
                <w:b/>
                <w:bCs/>
                <w:color w:val="auto"/>
                <w:sz w:val="28"/>
                <w:szCs w:val="28"/>
              </w:rPr>
              <w:t>低空物流</w:t>
            </w:r>
            <w:r>
              <w:rPr>
                <w:rFonts w:hint="eastAsia" w:ascii="Times New Roman" w:hAnsi="Times New Roman" w:eastAsia="仿宋_GB2312" w:cs="Times New Roman"/>
                <w:color w:val="auto"/>
                <w:sz w:val="28"/>
                <w:szCs w:val="28"/>
              </w:rPr>
              <w:t>。开展无人机蜜桃、竹笋等运输，打造乡村振兴农产品无人机物流运输配送示范场景。</w:t>
            </w:r>
          </w:p>
          <w:p>
            <w:pPr>
              <w:spacing w:line="480" w:lineRule="exact"/>
              <w:ind w:firstLine="562" w:firstLineChars="200"/>
              <w:rPr>
                <w:rFonts w:ascii="Times New Roman" w:hAnsi="Times New Roman" w:eastAsia="仿宋_GB2312" w:cs="Times New Roman"/>
                <w:color w:val="auto"/>
              </w:rPr>
            </w:pPr>
            <w:r>
              <w:rPr>
                <w:rFonts w:hint="eastAsia" w:ascii="Times New Roman" w:hAnsi="Times New Roman" w:eastAsia="仿宋_GB2312" w:cs="Times New Roman"/>
                <w:b/>
                <w:bCs/>
                <w:color w:val="auto"/>
                <w:sz w:val="28"/>
                <w:szCs w:val="28"/>
              </w:rPr>
              <w:t>高新区。重点领域：</w:t>
            </w:r>
            <w:r>
              <w:rPr>
                <w:rFonts w:hint="eastAsia" w:ascii="Times New Roman" w:hAnsi="Times New Roman" w:eastAsia="仿宋_GB2312" w:cs="Times New Roman"/>
                <w:color w:val="auto"/>
                <w:sz w:val="28"/>
                <w:szCs w:val="28"/>
              </w:rPr>
              <w:t>重点发展公共服务、低空场景创新示范应用。</w:t>
            </w:r>
            <w:r>
              <w:rPr>
                <w:rFonts w:hint="eastAsia" w:ascii="Times New Roman" w:hAnsi="Times New Roman" w:eastAsia="仿宋_GB2312" w:cs="Times New Roman"/>
                <w:b/>
                <w:bCs/>
                <w:color w:val="auto"/>
                <w:sz w:val="28"/>
                <w:szCs w:val="28"/>
              </w:rPr>
              <w:t>发展路径：</w:t>
            </w:r>
            <w:r>
              <w:rPr>
                <w:rFonts w:hint="eastAsia" w:ascii="Times New Roman" w:hAnsi="Times New Roman" w:eastAsia="仿宋_GB2312" w:cs="Times New Roman"/>
                <w:color w:val="auto"/>
                <w:sz w:val="28"/>
                <w:szCs w:val="28"/>
              </w:rPr>
              <w:t>持续构建并完善低空场景创新基础设施。围绕区内道路交通、厂房、河道巡检及低空文旅、货运物流航线开发管理，建立健全由“空巡地查”智能巡检系统、“低空货运”物流产业带、飞行营地、低空经济“场景安全”试验系统组成的场景发现、验证、运行体系。</w:t>
            </w:r>
          </w:p>
        </w:tc>
      </w:tr>
    </w:tbl>
    <w:p>
      <w:pPr>
        <w:rPr>
          <w:rFonts w:ascii="Times New Roman" w:hAnsi="Times New Roman" w:eastAsia="黑体" w:cs="Times New Roman"/>
          <w:color w:val="auto"/>
          <w:sz w:val="32"/>
          <w:szCs w:val="32"/>
          <w:shd w:val="clear" w:color="auto" w:fill="FFFFFF"/>
        </w:rPr>
      </w:pPr>
      <w:r>
        <w:rPr>
          <w:rFonts w:hint="eastAsia" w:ascii="Times New Roman" w:hAnsi="Times New Roman" w:eastAsia="黑体" w:cs="Times New Roman"/>
          <w:color w:val="auto"/>
          <w:sz w:val="32"/>
          <w:szCs w:val="32"/>
          <w:shd w:val="clear" w:color="auto" w:fill="FFFFFF"/>
        </w:rPr>
        <w:br w:type="page"/>
      </w:r>
    </w:p>
    <w:p>
      <w:pPr>
        <w:widowControl/>
        <w:spacing w:line="560" w:lineRule="exact"/>
        <w:ind w:firstLine="640" w:firstLineChars="200"/>
        <w:outlineLvl w:val="0"/>
        <w:rPr>
          <w:rFonts w:ascii="Times New Roman" w:hAnsi="Times New Roman" w:eastAsia="黑体" w:cs="Times New Roman"/>
          <w:color w:val="auto"/>
          <w:sz w:val="32"/>
          <w:szCs w:val="32"/>
          <w:shd w:val="clear" w:color="auto" w:fill="FFFFFF"/>
        </w:rPr>
      </w:pPr>
      <w:bookmarkStart w:id="86" w:name="_Toc220270457"/>
      <w:bookmarkStart w:id="87" w:name="_Toc10563"/>
      <w:bookmarkStart w:id="88" w:name="_Toc207125768"/>
      <w:r>
        <w:rPr>
          <w:rFonts w:hint="eastAsia" w:ascii="Times New Roman" w:hAnsi="Times New Roman" w:eastAsia="黑体" w:cs="Times New Roman"/>
          <w:color w:val="auto"/>
          <w:sz w:val="32"/>
          <w:szCs w:val="32"/>
          <w:shd w:val="clear" w:color="auto" w:fill="FFFFFF"/>
        </w:rPr>
        <w:t>三、重点任务</w:t>
      </w:r>
      <w:bookmarkEnd w:id="86"/>
      <w:bookmarkEnd w:id="87"/>
      <w:bookmarkEnd w:id="88"/>
    </w:p>
    <w:p>
      <w:pPr>
        <w:snapToGrid w:val="0"/>
        <w:spacing w:line="560" w:lineRule="exact"/>
        <w:ind w:firstLine="664" w:firstLineChars="200"/>
        <w:outlineLvl w:val="1"/>
        <w:rPr>
          <w:rFonts w:ascii="Times New Roman" w:hAnsi="Times New Roman" w:eastAsia="楷体_GB2312" w:cs="Times New Roman"/>
          <w:color w:val="auto"/>
          <w:spacing w:val="6"/>
          <w:sz w:val="32"/>
          <w:szCs w:val="32"/>
        </w:rPr>
      </w:pPr>
      <w:bookmarkStart w:id="89" w:name="_Toc30183"/>
      <w:bookmarkStart w:id="90" w:name="_Toc207125769"/>
      <w:bookmarkStart w:id="91" w:name="_Toc220270458"/>
      <w:bookmarkStart w:id="92" w:name="OLE_LINK2"/>
      <w:r>
        <w:rPr>
          <w:rFonts w:hint="eastAsia" w:ascii="Times New Roman" w:hAnsi="Times New Roman" w:eastAsia="楷体_GB2312" w:cs="Times New Roman"/>
          <w:color w:val="auto"/>
          <w:spacing w:val="6"/>
          <w:sz w:val="32"/>
          <w:szCs w:val="32"/>
        </w:rPr>
        <w:t>（一）发挥材料能源优势，推动低空制造集链成群</w:t>
      </w:r>
      <w:bookmarkEnd w:id="89"/>
      <w:bookmarkEnd w:id="90"/>
      <w:bookmarkEnd w:id="91"/>
    </w:p>
    <w:bookmarkEnd w:id="92"/>
    <w:p>
      <w:pPr>
        <w:spacing w:line="560" w:lineRule="exact"/>
        <w:ind w:firstLine="642" w:firstLineChars="200"/>
        <w:outlineLvl w:val="2"/>
        <w:rPr>
          <w:rFonts w:ascii="Times New Roman" w:hAnsi="Times New Roman" w:eastAsia="仿宋_GB2312" w:cs="Times New Roman"/>
          <w:b/>
          <w:color w:val="auto"/>
          <w:sz w:val="32"/>
          <w:szCs w:val="32"/>
        </w:rPr>
      </w:pPr>
      <w:bookmarkStart w:id="93" w:name="_Toc207125770"/>
      <w:bookmarkStart w:id="94" w:name="_Toc5536"/>
      <w:bookmarkStart w:id="95" w:name="_Toc220270459"/>
      <w:r>
        <w:rPr>
          <w:rFonts w:hint="eastAsia" w:ascii="Times New Roman" w:hAnsi="Times New Roman" w:eastAsia="仿宋_GB2312" w:cs="Times New Roman"/>
          <w:b/>
          <w:bCs/>
          <w:color w:val="auto"/>
          <w:sz w:val="32"/>
          <w:szCs w:val="32"/>
        </w:rPr>
        <w:t>1.做强</w:t>
      </w:r>
      <w:r>
        <w:rPr>
          <w:rFonts w:hint="eastAsia" w:ascii="Times New Roman" w:hAnsi="Times New Roman" w:eastAsia="仿宋_GB2312" w:cs="Times New Roman"/>
          <w:b/>
          <w:color w:val="auto"/>
          <w:sz w:val="32"/>
          <w:szCs w:val="32"/>
        </w:rPr>
        <w:t>低空先进材料产业</w:t>
      </w:r>
      <w:bookmarkEnd w:id="93"/>
      <w:bookmarkEnd w:id="94"/>
      <w:bookmarkEnd w:id="95"/>
    </w:p>
    <w:p>
      <w:pPr>
        <w:pStyle w:val="32"/>
        <w:spacing w:after="156" w:afterLines="50"/>
        <w:rPr>
          <w:rFonts w:ascii="Times New Roman" w:cs="Times New Roman"/>
          <w:color w:val="auto"/>
          <w:szCs w:val="32"/>
        </w:rPr>
      </w:pPr>
      <w:r>
        <w:rPr>
          <w:rFonts w:hint="eastAsia" w:ascii="Times New Roman" w:cs="Times New Roman"/>
          <w:color w:val="auto"/>
          <w:szCs w:val="32"/>
        </w:rPr>
        <w:t>依托夹江县、沙湾区等地现有材料产业优势，面向低空航空器对轻量化、高强度、耐极端环境材料的需求，加速推动材料类重大项目落地投产，支持材料类企业扩大碳纤维等复合材料、超高温热防材料、高强度金属合金材料、电池正负极材料生产规模。支持材料类企业向大部件组装、整机平台装配等领域拓展，对接西部地区低空制造需求，实现就近装机配套，培育形成“先进材料研制—核心部件制造—整机组装交付”全产业链条。推动</w:t>
      </w:r>
      <w:r>
        <w:rPr>
          <w:rFonts w:hint="eastAsia" w:ascii="Times New Roman" w:cs="Times New Roman"/>
          <w:color w:val="auto"/>
          <w:kern w:val="0"/>
          <w:szCs w:val="21"/>
        </w:rPr>
        <w:t>四川省高性能航空复合材料技术研究院、</w:t>
      </w:r>
      <w:r>
        <w:rPr>
          <w:rFonts w:hint="eastAsia" w:ascii="Times New Roman" w:cs="Times New Roman"/>
          <w:color w:val="auto"/>
          <w:szCs w:val="32"/>
        </w:rPr>
        <w:t>低空航空器先进材料概念验证中心建设，支持企业联合科研院所建设航空材料领域中试验证和成果转化平台、检验检测中心，统筹推进军民融合发展，积极搭建</w:t>
      </w:r>
      <w:r>
        <w:rPr>
          <w:rFonts w:hint="eastAsia" w:hAnsi="仿宋_GB2312" w:cs="仿宋_GB2312"/>
          <w:color w:val="auto"/>
          <w:szCs w:val="32"/>
        </w:rPr>
        <w:t>“产学研用”一</w:t>
      </w:r>
      <w:r>
        <w:rPr>
          <w:rFonts w:hint="eastAsia" w:ascii="Times New Roman" w:cs="Times New Roman"/>
          <w:color w:val="auto"/>
          <w:szCs w:val="32"/>
        </w:rPr>
        <w:t>体化平台，推动省级乃至国家级</w:t>
      </w:r>
      <w:r>
        <w:rPr>
          <w:rFonts w:hint="eastAsia" w:hAnsi="仿宋_GB2312" w:cs="仿宋_GB2312"/>
          <w:color w:val="auto"/>
          <w:szCs w:val="32"/>
        </w:rPr>
        <w:t>“首批次”</w:t>
      </w:r>
      <w:r>
        <w:rPr>
          <w:rFonts w:hint="eastAsia" w:ascii="Times New Roman" w:cs="Times New Roman"/>
          <w:color w:val="auto"/>
          <w:szCs w:val="32"/>
        </w:rPr>
        <w:t>新材料研发，壮大培育一批航空航天先进材料领域国际领先企业，形成一批标志性品牌产品。</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8522" w:type="dxa"/>
          </w:tcPr>
          <w:p>
            <w:pPr>
              <w:pStyle w:val="9"/>
              <w:spacing w:line="480" w:lineRule="exact"/>
              <w:jc w:val="center"/>
              <w:rPr>
                <w:rFonts w:ascii="Times New Roman" w:hAnsi="Times New Roman" w:eastAsia="黑体" w:cs="Times New Roman"/>
                <w:color w:val="auto"/>
                <w:lang w:val="en-US" w:bidi="ar-SA"/>
              </w:rPr>
            </w:pPr>
            <w:r>
              <w:rPr>
                <w:rFonts w:hint="eastAsia" w:ascii="Times New Roman" w:hAnsi="Times New Roman" w:eastAsia="黑体" w:cs="Times New Roman"/>
                <w:color w:val="auto"/>
                <w:sz w:val="28"/>
                <w:szCs w:val="28"/>
                <w:lang w:val="en-US" w:bidi="ar"/>
              </w:rPr>
              <w:t>专栏5  低空先进材料产业重点项目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8522" w:type="dxa"/>
          </w:tcPr>
          <w:p>
            <w:pPr>
              <w:spacing w:line="480" w:lineRule="exact"/>
              <w:ind w:firstLine="562" w:firstLineChars="200"/>
              <w:rPr>
                <w:rFonts w:ascii="Times New Roman" w:hAnsi="Times New Roman" w:eastAsia="仿宋_GB2312" w:cs="Times New Roman"/>
                <w:color w:val="auto"/>
                <w:sz w:val="28"/>
                <w:szCs w:val="28"/>
              </w:rPr>
            </w:pPr>
            <w:r>
              <w:rPr>
                <w:rFonts w:hint="eastAsia" w:ascii="Times New Roman" w:hAnsi="Times New Roman" w:eastAsia="仿宋_GB2312" w:cs="Times New Roman"/>
                <w:b/>
                <w:bCs/>
                <w:color w:val="auto"/>
                <w:sz w:val="28"/>
                <w:szCs w:val="28"/>
              </w:rPr>
              <w:t>兴宇航先进复合材料智能制造新建项目（夹江县）。</w:t>
            </w:r>
            <w:r>
              <w:rPr>
                <w:rFonts w:hint="eastAsia" w:ascii="Times New Roman" w:hAnsi="Times New Roman" w:eastAsia="仿宋_GB2312" w:cs="Times New Roman"/>
                <w:color w:val="auto"/>
                <w:sz w:val="28"/>
                <w:szCs w:val="28"/>
              </w:rPr>
              <w:t>项目总用地175亩，</w:t>
            </w:r>
            <w:r>
              <w:rPr>
                <w:rFonts w:ascii="Times New Roman" w:hAnsi="Times New Roman" w:eastAsia="仿宋_GB2312" w:cs="Times New Roman"/>
                <w:color w:val="auto"/>
                <w:sz w:val="28"/>
                <w:szCs w:val="28"/>
              </w:rPr>
              <w:t>拟投资</w:t>
            </w:r>
            <w:r>
              <w:rPr>
                <w:rFonts w:hint="eastAsia" w:ascii="Times New Roman" w:hAnsi="Times New Roman" w:eastAsia="仿宋_GB2312" w:cs="Times New Roman"/>
                <w:color w:val="auto"/>
                <w:sz w:val="28"/>
                <w:szCs w:val="28"/>
              </w:rPr>
              <w:t>约</w:t>
            </w:r>
            <w:r>
              <w:rPr>
                <w:rFonts w:ascii="Times New Roman" w:hAnsi="Times New Roman" w:eastAsia="仿宋_GB2312" w:cs="Times New Roman"/>
                <w:color w:val="auto"/>
                <w:sz w:val="28"/>
                <w:szCs w:val="28"/>
              </w:rPr>
              <w:t>7</w:t>
            </w:r>
            <w:r>
              <w:rPr>
                <w:rFonts w:hint="eastAsia" w:ascii="Times New Roman" w:hAnsi="Times New Roman" w:eastAsia="仿宋_GB2312" w:cs="Times New Roman"/>
                <w:color w:val="auto"/>
                <w:sz w:val="28"/>
                <w:szCs w:val="28"/>
              </w:rPr>
              <w:t>0000万元，其中固定资产投资约65000万元，新建织物生产线、预浸料生产线、先进复合材料生产线、碳基复合材料生产线、无人机整机生产线，引进国际国内先进生产设备，配套建设办公楼、科研楼等，年产高性能碳纤维织物50万平方米、航空航天高性能复合材料零部件300吨、无人机30架。</w:t>
            </w:r>
          </w:p>
          <w:p>
            <w:pPr>
              <w:spacing w:line="480" w:lineRule="exact"/>
              <w:ind w:firstLine="562" w:firstLineChars="200"/>
              <w:rPr>
                <w:rFonts w:ascii="Times New Roman" w:hAnsi="Times New Roman" w:eastAsia="仿宋_GB2312" w:cs="Times New Roman"/>
                <w:color w:val="auto"/>
                <w:sz w:val="28"/>
                <w:szCs w:val="28"/>
              </w:rPr>
            </w:pPr>
            <w:r>
              <w:rPr>
                <w:rFonts w:hint="eastAsia" w:ascii="Times New Roman" w:hAnsi="Times New Roman" w:eastAsia="仿宋_GB2312" w:cs="Times New Roman"/>
                <w:b/>
                <w:bCs/>
                <w:color w:val="auto"/>
                <w:sz w:val="28"/>
                <w:szCs w:val="28"/>
              </w:rPr>
              <w:t>碳基材料智能化生产线建设项目（夹江县）。</w:t>
            </w:r>
            <w:r>
              <w:rPr>
                <w:rFonts w:hint="eastAsia" w:ascii="Times New Roman" w:hAnsi="Times New Roman" w:eastAsia="仿宋_GB2312" w:cs="Times New Roman"/>
                <w:color w:val="auto"/>
                <w:sz w:val="28"/>
                <w:szCs w:val="28"/>
              </w:rPr>
              <w:t>拟投资约5000万元。对碳基材料生产线升级改造，项目拟建设机器人铺丝机等全自动智能化高端设备；同时，安装动力站水系统及动力气系统；通过自动化生产系统的建立，提高生产安全性。</w:t>
            </w:r>
          </w:p>
          <w:p>
            <w:pPr>
              <w:spacing w:line="480" w:lineRule="exact"/>
              <w:ind w:firstLine="562" w:firstLineChars="200"/>
              <w:rPr>
                <w:rFonts w:ascii="Times New Roman" w:hAnsi="Times New Roman" w:eastAsia="仿宋_GB2312" w:cs="Times New Roman"/>
                <w:color w:val="auto"/>
                <w:sz w:val="28"/>
                <w:szCs w:val="28"/>
              </w:rPr>
            </w:pPr>
            <w:r>
              <w:rPr>
                <w:rFonts w:hint="eastAsia" w:ascii="Times New Roman" w:hAnsi="Times New Roman" w:eastAsia="仿宋_GB2312" w:cs="Times New Roman"/>
                <w:b/>
                <w:bCs/>
                <w:color w:val="auto"/>
                <w:sz w:val="28"/>
                <w:szCs w:val="28"/>
              </w:rPr>
              <w:t>新万兴航空复合材料生产线智能化一期改造项目（夹江县）。</w:t>
            </w:r>
            <w:r>
              <w:rPr>
                <w:rFonts w:hint="eastAsia" w:ascii="Times New Roman" w:hAnsi="Times New Roman" w:eastAsia="仿宋_GB2312" w:cs="Times New Roman"/>
                <w:color w:val="auto"/>
                <w:sz w:val="28"/>
                <w:szCs w:val="28"/>
              </w:rPr>
              <w:t>拟投资约4000万元。购置热压罐、铺丝机、弯轨平台车、X射线、C扫、外形测量等生产、检验检测设备及配套设施，提升航空复材转扩产能力。采购定制化CAPP系统、建设人力资源系统和财务费用管理平台，打造MES系统协同建设工艺和生产数字化贯通的一体化解决方案。</w:t>
            </w:r>
          </w:p>
          <w:p>
            <w:pPr>
              <w:spacing w:line="480" w:lineRule="exact"/>
              <w:ind w:firstLine="562" w:firstLineChars="200"/>
              <w:rPr>
                <w:rFonts w:ascii="Times New Roman" w:hAnsi="Times New Roman" w:eastAsia="仿宋_GB2312" w:cs="Times New Roman"/>
                <w:color w:val="auto"/>
                <w:sz w:val="28"/>
                <w:szCs w:val="28"/>
              </w:rPr>
            </w:pPr>
            <w:r>
              <w:rPr>
                <w:rFonts w:hint="eastAsia" w:ascii="Times New Roman" w:hAnsi="Times New Roman" w:eastAsia="仿宋_GB2312" w:cs="Times New Roman"/>
                <w:b/>
                <w:bCs/>
                <w:color w:val="auto"/>
                <w:sz w:val="28"/>
                <w:szCs w:val="28"/>
              </w:rPr>
              <w:t>特种功能纤维预制体研发及成果转化项目（夹江县）。</w:t>
            </w:r>
            <w:r>
              <w:rPr>
                <w:rFonts w:hint="eastAsia" w:ascii="Times New Roman" w:hAnsi="Times New Roman" w:eastAsia="仿宋_GB2312" w:cs="Times New Roman"/>
                <w:color w:val="auto"/>
                <w:sz w:val="28"/>
                <w:szCs w:val="28"/>
              </w:rPr>
              <w:t>拟投资约30</w:t>
            </w:r>
            <w:r>
              <w:rPr>
                <w:rFonts w:ascii="Times New Roman" w:hAnsi="Times New Roman" w:eastAsia="仿宋_GB2312" w:cs="Times New Roman"/>
                <w:color w:val="auto"/>
                <w:sz w:val="28"/>
                <w:szCs w:val="28"/>
              </w:rPr>
              <w:t>00</w:t>
            </w:r>
            <w:r>
              <w:rPr>
                <w:rFonts w:hint="eastAsia" w:ascii="Times New Roman" w:hAnsi="Times New Roman" w:eastAsia="仿宋_GB2312" w:cs="Times New Roman"/>
                <w:color w:val="auto"/>
                <w:sz w:val="28"/>
                <w:szCs w:val="28"/>
              </w:rPr>
              <w:t>0</w:t>
            </w:r>
            <w:r>
              <w:rPr>
                <w:rFonts w:ascii="Times New Roman" w:hAnsi="Times New Roman" w:eastAsia="仿宋_GB2312" w:cs="Times New Roman"/>
                <w:color w:val="auto"/>
                <w:sz w:val="28"/>
                <w:szCs w:val="28"/>
              </w:rPr>
              <w:t>万</w:t>
            </w:r>
            <w:r>
              <w:rPr>
                <w:rFonts w:hint="eastAsia" w:ascii="Times New Roman" w:hAnsi="Times New Roman" w:eastAsia="仿宋_GB2312" w:cs="Times New Roman"/>
                <w:color w:val="auto"/>
                <w:sz w:val="28"/>
                <w:szCs w:val="28"/>
              </w:rPr>
              <w:t>元，开展特种功能纤维预制体研发及成果转化。</w:t>
            </w:r>
          </w:p>
          <w:p>
            <w:pPr>
              <w:spacing w:line="480" w:lineRule="exact"/>
              <w:ind w:firstLine="562" w:firstLineChars="200"/>
              <w:rPr>
                <w:rFonts w:ascii="Times New Roman" w:hAnsi="Times New Roman" w:eastAsia="仿宋_GB2312" w:cs="Times New Roman"/>
                <w:color w:val="auto"/>
                <w:sz w:val="28"/>
                <w:szCs w:val="28"/>
              </w:rPr>
            </w:pPr>
            <w:r>
              <w:rPr>
                <w:rFonts w:hint="eastAsia" w:ascii="Times New Roman" w:hAnsi="Times New Roman" w:eastAsia="仿宋_GB2312" w:cs="Times New Roman"/>
                <w:b/>
                <w:bCs/>
                <w:color w:val="auto"/>
                <w:sz w:val="28"/>
                <w:szCs w:val="28"/>
              </w:rPr>
              <w:t>沙湾超高温热防材料智能制造项目（沙湾区）。</w:t>
            </w:r>
            <w:r>
              <w:rPr>
                <w:rFonts w:hint="eastAsia" w:ascii="Times New Roman" w:hAnsi="Times New Roman" w:eastAsia="仿宋_GB2312" w:cs="Times New Roman"/>
                <w:color w:val="auto"/>
                <w:sz w:val="28"/>
                <w:szCs w:val="28"/>
              </w:rPr>
              <w:t>拟投资约500000万元。一期已建成高性能纤维卷材生产线、高性能纤维预制体生产线、碳基复材生产线，已具备无人机组装能力，可自主生产除无人机发动机、芯片以外的零部件，已形成航空航天、低空无人机、海洋等多种先进材料的生产能力。二期将联合高校和科研院所，共同搭建国家级高温热防材料产业技术研究院，建成中国最大的超高温热防材料产业研发生产基地。</w:t>
            </w:r>
          </w:p>
        </w:tc>
      </w:tr>
    </w:tbl>
    <w:p>
      <w:pPr>
        <w:spacing w:before="156" w:beforeLines="50" w:line="560" w:lineRule="exact"/>
        <w:ind w:firstLine="642" w:firstLineChars="200"/>
        <w:outlineLvl w:val="2"/>
        <w:rPr>
          <w:rFonts w:ascii="Times New Roman" w:hAnsi="Times New Roman" w:eastAsia="仿宋_GB2312" w:cs="Times New Roman"/>
          <w:b/>
          <w:bCs/>
          <w:color w:val="auto"/>
          <w:sz w:val="32"/>
          <w:szCs w:val="32"/>
        </w:rPr>
      </w:pPr>
      <w:bookmarkStart w:id="96" w:name="_Toc207125771"/>
      <w:bookmarkStart w:id="97" w:name="_Toc220270460"/>
      <w:bookmarkStart w:id="98" w:name="_Toc23095"/>
      <w:bookmarkStart w:id="99" w:name="_Toc207125772"/>
      <w:r>
        <w:rPr>
          <w:rFonts w:hint="eastAsia" w:ascii="Times New Roman" w:hAnsi="Times New Roman" w:eastAsia="仿宋_GB2312" w:cs="Times New Roman"/>
          <w:b/>
          <w:bCs/>
          <w:color w:val="auto"/>
          <w:sz w:val="32"/>
          <w:szCs w:val="32"/>
        </w:rPr>
        <w:t>2.做大整机研发制造规模</w:t>
      </w:r>
      <w:bookmarkEnd w:id="96"/>
      <w:bookmarkEnd w:id="97"/>
      <w:bookmarkEnd w:id="98"/>
    </w:p>
    <w:p>
      <w:pPr>
        <w:spacing w:after="156" w:afterLines="50" w:line="560" w:lineRule="exact"/>
        <w:ind w:firstLine="640" w:firstLineChars="200"/>
        <w:rPr>
          <w:rFonts w:ascii="Times New Roman" w:hAnsi="Times New Roman" w:eastAsia="仿宋_GB2312" w:cs="Times New Roman"/>
          <w:color w:val="auto"/>
          <w:sz w:val="32"/>
          <w:szCs w:val="32"/>
        </w:rPr>
      </w:pPr>
      <w:r>
        <w:rPr>
          <w:rFonts w:hint="eastAsia" w:ascii="Times New Roman" w:hAnsi="Times New Roman" w:eastAsia="仿宋_GB2312" w:cs="Times New Roman"/>
          <w:color w:val="auto"/>
          <w:sz w:val="32"/>
          <w:szCs w:val="32"/>
        </w:rPr>
        <w:t>加速推动无人机产业链总部基地等整机制造项目投产进程，完善重点型号整机研发制造体系，支持整机研发制造企业发展，全面提升低空航空器批量化生产能力，打造整机拳头产品。立足乐山低空应用场景需求，聚焦丘陵山区低空飞行农业装备、长续航大载重物流无人机、洪涝灾情感知无人机系统装备、多场景应急侦测搜索智能无人机装备，以低空场景应用牵引，争取无人机整机研发制造企业落户乐山。支持靶机研发，重点攻克靶机气动布局优化、飞行控制系统抗干扰、模拟目标特性仿真等核心技术，探索“军转民”技术转化路径。以倾转旋翼、倾转涵道、复合翼等构型的eVTOL整机产品为重点，</w:t>
      </w:r>
      <w:bookmarkStart w:id="100" w:name="_Hlk201585756"/>
      <w:r>
        <w:rPr>
          <w:rFonts w:hint="eastAsia" w:ascii="Times New Roman" w:hAnsi="Times New Roman" w:eastAsia="仿宋_GB2312" w:cs="Times New Roman"/>
          <w:color w:val="auto"/>
          <w:sz w:val="32"/>
          <w:szCs w:val="32"/>
        </w:rPr>
        <w:t>建立招商引资目标企业清单</w:t>
      </w:r>
      <w:bookmarkEnd w:id="100"/>
      <w:r>
        <w:rPr>
          <w:rFonts w:hint="eastAsia" w:ascii="Times New Roman" w:hAnsi="Times New Roman" w:eastAsia="仿宋_GB2312" w:cs="Times New Roman"/>
          <w:color w:val="auto"/>
          <w:sz w:val="32"/>
          <w:szCs w:val="32"/>
        </w:rPr>
        <w:t>，引进载重能力强、空间范围大、研制等级高的eVTOL整机生产商，加速载人、载货eVTOL主机厂引进布局。支持犍为县、夹江县、井研县等有条件的县（市、区）规划建设</w:t>
      </w:r>
      <w:r>
        <w:rPr>
          <w:rFonts w:hint="eastAsia" w:ascii="Times New Roman" w:hAnsi="Times New Roman" w:eastAsia="仿宋_GB2312" w:cs="Times New Roman"/>
          <w:bCs/>
          <w:color w:val="auto"/>
          <w:sz w:val="32"/>
          <w:szCs w:val="32"/>
        </w:rPr>
        <w:t>低空装备</w:t>
      </w:r>
      <w:r>
        <w:rPr>
          <w:rFonts w:hint="eastAsia" w:ascii="Times New Roman" w:hAnsi="Times New Roman" w:eastAsia="仿宋_GB2312" w:cs="Times New Roman"/>
          <w:color w:val="auto"/>
          <w:sz w:val="32"/>
          <w:szCs w:val="32"/>
        </w:rPr>
        <w:t>研发制造基地、低空航空器测试试飞基地，支持低空航空器整机研制企业在乐山开展产品试飞、测试、验证、适航取证，支持首台（套）低空装备研发、认定及产业化，培育</w:t>
      </w:r>
      <w:r>
        <w:rPr>
          <w:rFonts w:hint="eastAsia" w:ascii="仿宋_GB2312" w:hAnsi="仿宋_GB2312" w:eastAsia="仿宋_GB2312" w:cs="仿宋_GB2312"/>
          <w:color w:val="auto"/>
          <w:sz w:val="32"/>
          <w:szCs w:val="32"/>
        </w:rPr>
        <w:t>“乐山造”</w:t>
      </w:r>
      <w:r>
        <w:rPr>
          <w:rFonts w:hint="eastAsia" w:ascii="Times New Roman" w:hAnsi="Times New Roman" w:eastAsia="仿宋_GB2312" w:cs="Times New Roman"/>
          <w:color w:val="auto"/>
          <w:sz w:val="32"/>
          <w:szCs w:val="32"/>
        </w:rPr>
        <w:t>整机品牌。</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8522" w:type="dxa"/>
          </w:tcPr>
          <w:p>
            <w:pPr>
              <w:pStyle w:val="9"/>
              <w:spacing w:line="480" w:lineRule="exact"/>
              <w:jc w:val="center"/>
              <w:rPr>
                <w:rFonts w:ascii="Times New Roman" w:hAnsi="Times New Roman" w:eastAsia="黑体" w:cs="Times New Roman"/>
                <w:color w:val="auto"/>
                <w:lang w:val="en-US" w:bidi="ar-SA"/>
              </w:rPr>
            </w:pPr>
            <w:r>
              <w:rPr>
                <w:rFonts w:hint="eastAsia" w:ascii="Times New Roman" w:hAnsi="Times New Roman" w:eastAsia="黑体" w:cs="Times New Roman"/>
                <w:color w:val="auto"/>
                <w:sz w:val="28"/>
                <w:szCs w:val="28"/>
                <w:lang w:val="en-US" w:bidi="ar"/>
              </w:rPr>
              <w:t>专栏6  低空整机研发制造重点项目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8522" w:type="dxa"/>
          </w:tcPr>
          <w:p>
            <w:pPr>
              <w:spacing w:line="480" w:lineRule="exact"/>
              <w:ind w:firstLine="562" w:firstLineChars="200"/>
              <w:rPr>
                <w:rFonts w:ascii="Times New Roman" w:hAnsi="Times New Roman" w:eastAsia="仿宋_GB2312" w:cs="Times New Roman"/>
                <w:color w:val="auto"/>
                <w:sz w:val="28"/>
                <w:szCs w:val="28"/>
              </w:rPr>
            </w:pPr>
            <w:r>
              <w:rPr>
                <w:rFonts w:hint="eastAsia" w:ascii="Times New Roman" w:hAnsi="Times New Roman" w:eastAsia="仿宋_GB2312" w:cs="Times New Roman"/>
                <w:b/>
                <w:bCs/>
                <w:color w:val="auto"/>
                <w:sz w:val="28"/>
                <w:szCs w:val="28"/>
              </w:rPr>
              <w:t>光启先进低空无人机产业链总部基地项目（</w:t>
            </w:r>
            <w:r>
              <w:rPr>
                <w:rFonts w:ascii="Times New Roman" w:hAnsi="Times New Roman" w:eastAsia="仿宋_GB2312" w:cs="Times New Roman"/>
                <w:b/>
                <w:bCs/>
                <w:color w:val="auto"/>
                <w:sz w:val="28"/>
                <w:szCs w:val="28"/>
              </w:rPr>
              <w:t>高新区</w:t>
            </w:r>
            <w:r>
              <w:rPr>
                <w:rFonts w:hint="eastAsia" w:ascii="Times New Roman" w:hAnsi="Times New Roman" w:eastAsia="仿宋_GB2312" w:cs="Times New Roman"/>
                <w:b/>
                <w:bCs/>
                <w:color w:val="auto"/>
                <w:sz w:val="28"/>
                <w:szCs w:val="28"/>
              </w:rPr>
              <w:t>、犍为县）。</w:t>
            </w:r>
            <w:r>
              <w:rPr>
                <w:rFonts w:hint="eastAsia" w:ascii="Times New Roman" w:hAnsi="Times New Roman" w:eastAsia="仿宋_GB2312" w:cs="Times New Roman"/>
                <w:color w:val="auto"/>
                <w:sz w:val="28"/>
                <w:szCs w:val="28"/>
              </w:rPr>
              <w:t>一期拟投资约22.82亿元，在高新区建设光启技术国际总部、空中智能无人平台总部、地面智能无人平台总部、芯片设计总部、芯片检测总部、装备检测总部，在犍为县经开区建设生产基地和试飞基地；二期拟投资27.18亿元，建设厂房及研发办公大楼，引入配套企业，打造产业集群；三期拟投资48亿元，打造低空经济产业链、科技创新赋能中心，扩大航空航天产业基地。</w:t>
            </w:r>
          </w:p>
          <w:p>
            <w:pPr>
              <w:spacing w:line="480" w:lineRule="exact"/>
              <w:ind w:firstLine="562" w:firstLineChars="200"/>
              <w:rPr>
                <w:rFonts w:ascii="Times New Roman" w:hAnsi="Times New Roman" w:eastAsia="仿宋_GB2312" w:cs="Times New Roman"/>
                <w:color w:val="auto"/>
                <w:sz w:val="28"/>
                <w:szCs w:val="28"/>
              </w:rPr>
            </w:pPr>
            <w:r>
              <w:rPr>
                <w:rFonts w:hint="eastAsia" w:ascii="Times New Roman" w:hAnsi="Times New Roman" w:eastAsia="仿宋_GB2312" w:cs="Times New Roman"/>
                <w:b/>
                <w:bCs/>
                <w:color w:val="auto"/>
                <w:sz w:val="28"/>
                <w:szCs w:val="28"/>
              </w:rPr>
              <w:t>低空经济产业智能制造西南总部基地项目（夹江县）。</w:t>
            </w:r>
            <w:r>
              <w:rPr>
                <w:rFonts w:hint="eastAsia" w:ascii="Times New Roman" w:hAnsi="Times New Roman" w:eastAsia="仿宋_GB2312" w:cs="Times New Roman"/>
                <w:color w:val="auto"/>
                <w:sz w:val="28"/>
                <w:szCs w:val="28"/>
              </w:rPr>
              <w:t>建设电动垂直起降器（载人</w:t>
            </w:r>
            <w:r>
              <w:rPr>
                <w:rFonts w:ascii="Times New Roman" w:hAnsi="Times New Roman" w:eastAsia="仿宋_GB2312" w:cs="Times New Roman"/>
                <w:color w:val="auto"/>
                <w:sz w:val="28"/>
                <w:szCs w:val="28"/>
              </w:rPr>
              <w:t>eVTOL</w:t>
            </w:r>
            <w:r>
              <w:rPr>
                <w:rFonts w:hint="eastAsia" w:ascii="Times New Roman" w:hAnsi="Times New Roman" w:eastAsia="仿宋_GB2312" w:cs="Times New Roman"/>
                <w:color w:val="auto"/>
                <w:sz w:val="28"/>
                <w:szCs w:val="28"/>
              </w:rPr>
              <w:t>）、固定翼飞机制造生产基地，采购相关设施设备，配套建设飞机研发中心、维保产线及跑道、起降场点、试飞空间、办公室、展陈体验中心等配套设施。实现年产载人电动垂直起降器（</w:t>
            </w:r>
            <w:r>
              <w:rPr>
                <w:rFonts w:ascii="Times New Roman" w:hAnsi="Times New Roman" w:eastAsia="仿宋_GB2312" w:cs="Times New Roman"/>
                <w:color w:val="auto"/>
                <w:sz w:val="28"/>
                <w:szCs w:val="28"/>
              </w:rPr>
              <w:t>eVTOL</w:t>
            </w:r>
            <w:r>
              <w:rPr>
                <w:rFonts w:hint="eastAsia" w:ascii="Times New Roman" w:hAnsi="Times New Roman" w:eastAsia="仿宋_GB2312" w:cs="Times New Roman"/>
                <w:color w:val="auto"/>
                <w:sz w:val="28"/>
                <w:szCs w:val="28"/>
              </w:rPr>
              <w:t>）</w:t>
            </w:r>
            <w:r>
              <w:rPr>
                <w:rFonts w:ascii="Times New Roman" w:hAnsi="Times New Roman" w:eastAsia="仿宋_GB2312" w:cs="Times New Roman"/>
                <w:color w:val="auto"/>
                <w:sz w:val="28"/>
                <w:szCs w:val="28"/>
              </w:rPr>
              <w:t>100</w:t>
            </w:r>
            <w:r>
              <w:rPr>
                <w:rFonts w:hint="eastAsia" w:ascii="Times New Roman" w:hAnsi="Times New Roman" w:eastAsia="仿宋_GB2312" w:cs="Times New Roman"/>
                <w:color w:val="auto"/>
                <w:sz w:val="28"/>
                <w:szCs w:val="28"/>
              </w:rPr>
              <w:t>架和固定翼飞机</w:t>
            </w:r>
            <w:r>
              <w:rPr>
                <w:rFonts w:ascii="Times New Roman" w:hAnsi="Times New Roman" w:eastAsia="仿宋_GB2312" w:cs="Times New Roman"/>
                <w:color w:val="auto"/>
                <w:sz w:val="28"/>
                <w:szCs w:val="28"/>
              </w:rPr>
              <w:t>100</w:t>
            </w:r>
            <w:r>
              <w:rPr>
                <w:rFonts w:hint="eastAsia" w:ascii="Times New Roman" w:hAnsi="Times New Roman" w:eastAsia="仿宋_GB2312" w:cs="Times New Roman"/>
                <w:color w:val="auto"/>
                <w:sz w:val="28"/>
                <w:szCs w:val="28"/>
              </w:rPr>
              <w:t>架。</w:t>
            </w:r>
          </w:p>
          <w:p>
            <w:pPr>
              <w:spacing w:line="480" w:lineRule="exact"/>
              <w:ind w:firstLine="562" w:firstLineChars="200"/>
              <w:rPr>
                <w:rFonts w:ascii="Times New Roman" w:hAnsi="Times New Roman" w:eastAsia="仿宋_GB2312" w:cs="Times New Roman"/>
                <w:color w:val="auto"/>
                <w:sz w:val="28"/>
                <w:szCs w:val="28"/>
              </w:rPr>
            </w:pPr>
            <w:r>
              <w:rPr>
                <w:rFonts w:hint="eastAsia" w:ascii="Times New Roman" w:hAnsi="Times New Roman" w:eastAsia="仿宋_GB2312" w:cs="Times New Roman"/>
                <w:b/>
                <w:bCs/>
                <w:color w:val="auto"/>
                <w:sz w:val="28"/>
                <w:szCs w:val="28"/>
              </w:rPr>
              <w:t>鲲鹏无人机总装项目（井研县）。</w:t>
            </w:r>
            <w:r>
              <w:rPr>
                <w:rFonts w:hint="eastAsia" w:ascii="Times New Roman" w:hAnsi="Times New Roman" w:eastAsia="仿宋_GB2312" w:cs="Times New Roman"/>
                <w:color w:val="auto"/>
                <w:sz w:val="28"/>
                <w:szCs w:val="28"/>
              </w:rPr>
              <w:t>拟投资约5亿元，在四川井研经济开发区利用10000平方米标准厂房建设无人机总装车间，预计实现年产3750架无人机能力，年综合销售收入15亿元，提供就业岗位500个左右。</w:t>
            </w:r>
          </w:p>
          <w:p>
            <w:pPr>
              <w:spacing w:line="480" w:lineRule="exact"/>
              <w:ind w:firstLine="562" w:firstLineChars="200"/>
              <w:rPr>
                <w:rFonts w:ascii="Times New Roman" w:hAnsi="Times New Roman" w:eastAsia="仿宋_GB2312" w:cs="Times New Roman"/>
                <w:color w:val="auto"/>
                <w:sz w:val="28"/>
                <w:szCs w:val="28"/>
              </w:rPr>
            </w:pPr>
            <w:r>
              <w:rPr>
                <w:rFonts w:hint="eastAsia" w:ascii="Times New Roman" w:hAnsi="Times New Roman" w:eastAsia="仿宋_GB2312" w:cs="Times New Roman"/>
                <w:b/>
                <w:bCs/>
                <w:color w:val="auto"/>
                <w:sz w:val="28"/>
                <w:szCs w:val="28"/>
              </w:rPr>
              <w:t>无人机整机制造、航空发动机制造、低空农业装备、低空飞行与公共服务平台项目（犍为县）。</w:t>
            </w:r>
            <w:r>
              <w:rPr>
                <w:rFonts w:hint="eastAsia" w:ascii="Times New Roman" w:hAnsi="Times New Roman" w:eastAsia="仿宋_GB2312" w:cs="Times New Roman"/>
                <w:color w:val="auto"/>
                <w:sz w:val="28"/>
                <w:szCs w:val="28"/>
              </w:rPr>
              <w:t>拟投资约70亿元，分三期建设。其中一期建设载重300</w:t>
            </w:r>
            <w:r>
              <w:rPr>
                <w:rFonts w:hint="eastAsia" w:ascii="仿宋_GB2312" w:hAnsi="仿宋_GB2312" w:eastAsia="仿宋_GB2312" w:cs="仿宋_GB2312"/>
                <w:color w:val="auto"/>
                <w:sz w:val="28"/>
                <w:szCs w:val="28"/>
              </w:rPr>
              <w:t>-</w:t>
            </w:r>
            <w:r>
              <w:rPr>
                <w:rFonts w:hint="eastAsia" w:ascii="Times New Roman" w:hAnsi="Times New Roman" w:eastAsia="仿宋_GB2312" w:cs="Times New Roman"/>
                <w:color w:val="auto"/>
                <w:sz w:val="28"/>
                <w:szCs w:val="28"/>
              </w:rPr>
              <w:t>600kg的无人机整机生产线2条，并开发吨级载重货运无人机系列；二期建设2条发动机生产线（航空活塞发动机、燃气涡轮发动机生产线各1条），批量生产五款发动机产品（20kW高空投放活塞发动机、55kW级短距起降航空活塞混合动力发动机和直起降航空活塞混合动力发动机、100kgf和200kgf级推力燃气涡轮发动机）；三期建设四川省低空农业装备工程研究中心及中试平台、高空环境模拟试验台、多功能风洞等实验中心。</w:t>
            </w:r>
          </w:p>
          <w:p>
            <w:pPr>
              <w:spacing w:line="480" w:lineRule="exact"/>
              <w:ind w:firstLine="562" w:firstLineChars="200"/>
              <w:rPr>
                <w:rFonts w:ascii="Times New Roman" w:hAnsi="Times New Roman" w:eastAsia="仿宋_GB2312" w:cs="Times New Roman"/>
                <w:color w:val="auto"/>
                <w:sz w:val="28"/>
                <w:szCs w:val="28"/>
              </w:rPr>
            </w:pPr>
            <w:r>
              <w:rPr>
                <w:rFonts w:hint="eastAsia" w:ascii="Times New Roman" w:hAnsi="Times New Roman" w:eastAsia="仿宋_GB2312" w:cs="Times New Roman"/>
                <w:b/>
                <w:bCs/>
                <w:color w:val="auto"/>
                <w:sz w:val="28"/>
                <w:szCs w:val="28"/>
              </w:rPr>
              <w:t>无人机生产组装厂房及测试飞行基地建设项目（峨边彝族自治县）。</w:t>
            </w:r>
            <w:r>
              <w:rPr>
                <w:rFonts w:hint="eastAsia" w:ascii="Times New Roman" w:hAnsi="Times New Roman" w:eastAsia="仿宋_GB2312" w:cs="Times New Roman"/>
                <w:color w:val="auto"/>
                <w:sz w:val="28"/>
                <w:szCs w:val="28"/>
              </w:rPr>
              <w:t>拟投资1亿元，分三期进行建设，一期建设5000平方米厂房与测试场，形成年产1.3万架无人机及旋翼类测试能力；二期扩建生产线并增加固定翼无人机测试跑道；三期新建培训设施，满足飞手培养需求。全部建成后可提供超过800个就业岗位。</w:t>
            </w:r>
          </w:p>
        </w:tc>
      </w:tr>
    </w:tbl>
    <w:p>
      <w:pPr>
        <w:spacing w:before="156" w:beforeLines="50" w:line="560" w:lineRule="exact"/>
        <w:ind w:firstLine="642" w:firstLineChars="200"/>
        <w:outlineLvl w:val="2"/>
        <w:rPr>
          <w:rFonts w:ascii="Times New Roman" w:hAnsi="Times New Roman" w:eastAsia="仿宋_GB2312" w:cs="Times New Roman"/>
          <w:b/>
          <w:color w:val="auto"/>
          <w:sz w:val="32"/>
          <w:szCs w:val="32"/>
        </w:rPr>
      </w:pPr>
      <w:bookmarkStart w:id="101" w:name="_Toc17185"/>
      <w:bookmarkStart w:id="102" w:name="_Toc220270461"/>
      <w:r>
        <w:rPr>
          <w:rFonts w:ascii="Times New Roman" w:hAnsi="Times New Roman" w:eastAsia="仿宋_GB2312" w:cs="Times New Roman"/>
          <w:b/>
          <w:color w:val="auto"/>
          <w:sz w:val="32"/>
          <w:szCs w:val="32"/>
        </w:rPr>
        <w:t>3.</w:t>
      </w:r>
      <w:r>
        <w:rPr>
          <w:rFonts w:hint="eastAsia" w:ascii="Times New Roman" w:hAnsi="Times New Roman" w:eastAsia="仿宋_GB2312" w:cs="Times New Roman"/>
          <w:b/>
          <w:bCs/>
          <w:color w:val="auto"/>
          <w:sz w:val="32"/>
          <w:szCs w:val="32"/>
        </w:rPr>
        <w:t>培育</w:t>
      </w:r>
      <w:r>
        <w:rPr>
          <w:rFonts w:hint="eastAsia" w:ascii="Times New Roman" w:hAnsi="Times New Roman" w:eastAsia="仿宋_GB2312" w:cs="Times New Roman"/>
          <w:b/>
          <w:color w:val="auto"/>
          <w:sz w:val="32"/>
          <w:szCs w:val="32"/>
        </w:rPr>
        <w:t>系统和零部件集群</w:t>
      </w:r>
      <w:bookmarkEnd w:id="99"/>
      <w:bookmarkEnd w:id="101"/>
      <w:bookmarkEnd w:id="102"/>
    </w:p>
    <w:p>
      <w:pPr>
        <w:spacing w:after="156" w:afterLines="50" w:line="560" w:lineRule="exact"/>
        <w:ind w:firstLine="640" w:firstLineChars="200"/>
        <w:rPr>
          <w:rFonts w:hint="eastAsia" w:ascii="仿宋_GB2312" w:hAnsi="仿宋_GB2312" w:eastAsia="仿宋_GB2312" w:cs="仿宋_GB2312"/>
          <w:color w:val="auto"/>
          <w:sz w:val="32"/>
          <w:szCs w:val="32"/>
        </w:rPr>
      </w:pPr>
      <w:r>
        <w:rPr>
          <w:rFonts w:hint="eastAsia" w:ascii="Times New Roman" w:hAnsi="Times New Roman" w:eastAsia="仿宋_GB2312" w:cs="Times New Roman"/>
          <w:color w:val="auto"/>
          <w:sz w:val="32"/>
          <w:szCs w:val="32"/>
        </w:rPr>
        <w:t>强化整机企业</w:t>
      </w:r>
      <w:r>
        <w:rPr>
          <w:rFonts w:hint="eastAsia" w:ascii="仿宋_GB2312" w:hAnsi="仿宋_GB2312" w:eastAsia="仿宋_GB2312" w:cs="仿宋_GB2312"/>
          <w:color w:val="auto"/>
          <w:sz w:val="32"/>
          <w:szCs w:val="32"/>
        </w:rPr>
        <w:t>“补链强链延链”</w:t>
      </w:r>
      <w:r>
        <w:rPr>
          <w:rFonts w:hint="eastAsia" w:ascii="Times New Roman" w:hAnsi="Times New Roman" w:eastAsia="仿宋_GB2312" w:cs="Times New Roman"/>
          <w:color w:val="auto"/>
          <w:sz w:val="32"/>
          <w:szCs w:val="32"/>
        </w:rPr>
        <w:t>主导作用，以整机集成项目为核心推进产业链延伸拓展，瞄准特种载荷、飞行控制、低空反制、通信导航等关键系统以及主控芯片、三电系统、机载传感器、精密元器件、电机、电池、机载态势感知设备等核心零部件，支持链主企业招引上下游配套企业集聚，持续夯实整机制造基础，提升本地配套率。聚焦川渝地区工业无人机、eVTOL等整机制造配套需求，引导乐山既有制造企业加速嵌入低空制造产业链，全力挖掘复合材料、新能源、电子信息等关联产业转化潜力，引导复合材料企业进入机体、结构件等部件制造，引导新能源企业进入航空锂电池、航空氢能源等动力技术领域，引导电子信息企业研发生产传感器芯片、通信芯片、电源管理芯片等各类低空专用芯片，加速融入、赋能川渝地区低空制造产业链。支持低空制造产业链上成长型企业申报高新技术企业，围绕研发设计、关键配套、生产制造等细分领域做强做优；</w:t>
      </w:r>
      <w:r>
        <w:rPr>
          <w:rFonts w:hint="eastAsia" w:ascii="仿宋_GB2312" w:hAnsi="仿宋_GB2312" w:eastAsia="仿宋_GB2312" w:cs="仿宋_GB2312"/>
          <w:color w:val="auto"/>
          <w:sz w:val="32"/>
          <w:szCs w:val="32"/>
        </w:rPr>
        <w:t>重点培育“独角兽”企业、制造业“单项冠军”和专精特新“小巨人”企业成长为低空经济链主企业，提升低空制造产业链市场竞争力。</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8522" w:type="dxa"/>
          </w:tcPr>
          <w:p>
            <w:pPr>
              <w:pStyle w:val="9"/>
              <w:spacing w:line="480" w:lineRule="exact"/>
              <w:jc w:val="center"/>
              <w:rPr>
                <w:rFonts w:ascii="Times New Roman" w:hAnsi="Times New Roman" w:eastAsia="黑体" w:cs="Times New Roman"/>
                <w:color w:val="auto"/>
                <w:lang w:val="en-US" w:bidi="ar-SA"/>
              </w:rPr>
            </w:pPr>
            <w:r>
              <w:rPr>
                <w:rFonts w:hint="eastAsia" w:ascii="Times New Roman" w:hAnsi="Times New Roman" w:eastAsia="黑体" w:cs="Times New Roman"/>
                <w:color w:val="auto"/>
                <w:sz w:val="28"/>
                <w:szCs w:val="28"/>
                <w:lang w:val="en-US" w:bidi="ar"/>
              </w:rPr>
              <w:t>专栏7  低空系统和零部件制造重点项目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8522" w:type="dxa"/>
          </w:tcPr>
          <w:p>
            <w:pPr>
              <w:spacing w:line="480" w:lineRule="exact"/>
              <w:ind w:firstLine="562" w:firstLineChars="200"/>
              <w:rPr>
                <w:rFonts w:ascii="Times New Roman" w:hAnsi="Times New Roman" w:eastAsia="仿宋_GB2312" w:cs="Times New Roman"/>
                <w:color w:val="auto"/>
                <w:sz w:val="28"/>
                <w:szCs w:val="28"/>
              </w:rPr>
            </w:pPr>
            <w:r>
              <w:rPr>
                <w:rFonts w:hint="eastAsia" w:ascii="Times New Roman" w:hAnsi="Times New Roman" w:eastAsia="仿宋_GB2312" w:cs="Times New Roman"/>
                <w:b/>
                <w:bCs/>
                <w:color w:val="auto"/>
                <w:sz w:val="28"/>
                <w:szCs w:val="28"/>
              </w:rPr>
              <w:t>成都承奥科技航空发动机密封组件生产制造基地（高新区）。</w:t>
            </w:r>
            <w:r>
              <w:rPr>
                <w:rFonts w:hint="eastAsia" w:ascii="Times New Roman" w:hAnsi="Times New Roman" w:eastAsia="仿宋_GB2312" w:cs="Times New Roman"/>
                <w:color w:val="auto"/>
                <w:sz w:val="28"/>
                <w:szCs w:val="28"/>
              </w:rPr>
              <w:t>拟投资约26000万元。建设航空发动机密封组件生产制造基地，为国产航空发动机制造供应关键性零组件，建筑面积约30000平方米，建设航空发动机密封组件试验线、生产线，达到年产3000套密封组件生产能力。</w:t>
            </w:r>
          </w:p>
          <w:p>
            <w:pPr>
              <w:spacing w:line="480" w:lineRule="exact"/>
              <w:ind w:firstLine="562" w:firstLineChars="200"/>
              <w:rPr>
                <w:rFonts w:ascii="Times New Roman" w:hAnsi="Times New Roman" w:eastAsia="仿宋_GB2312" w:cs="Times New Roman"/>
                <w:color w:val="auto"/>
                <w:sz w:val="28"/>
                <w:szCs w:val="28"/>
              </w:rPr>
            </w:pPr>
            <w:r>
              <w:rPr>
                <w:rFonts w:hint="eastAsia" w:ascii="Times New Roman" w:hAnsi="Times New Roman" w:eastAsia="仿宋_GB2312" w:cs="Times New Roman"/>
                <w:b/>
                <w:bCs/>
                <w:color w:val="auto"/>
                <w:sz w:val="28"/>
                <w:szCs w:val="28"/>
              </w:rPr>
              <w:t>北京天地一格（乐山）“硅基毫米波相控阵制导及反无系统”生产和试验基地项目（高新区）。</w:t>
            </w:r>
            <w:r>
              <w:rPr>
                <w:rFonts w:ascii="Times New Roman" w:hAnsi="Times New Roman" w:eastAsia="仿宋_GB2312" w:cs="Times New Roman"/>
                <w:color w:val="auto"/>
                <w:sz w:val="28"/>
                <w:szCs w:val="28"/>
              </w:rPr>
              <w:t>拟投资</w:t>
            </w:r>
            <w:r>
              <w:rPr>
                <w:rFonts w:hint="eastAsia" w:ascii="Times New Roman" w:hAnsi="Times New Roman" w:eastAsia="仿宋_GB2312" w:cs="Times New Roman"/>
                <w:color w:val="auto"/>
                <w:sz w:val="28"/>
                <w:szCs w:val="28"/>
              </w:rPr>
              <w:t>约</w:t>
            </w:r>
            <w:r>
              <w:rPr>
                <w:rFonts w:ascii="Times New Roman" w:hAnsi="Times New Roman" w:eastAsia="仿宋_GB2312" w:cs="Times New Roman"/>
                <w:color w:val="auto"/>
                <w:sz w:val="28"/>
                <w:szCs w:val="28"/>
              </w:rPr>
              <w:t>57000万元。</w:t>
            </w:r>
            <w:r>
              <w:rPr>
                <w:rFonts w:hint="eastAsia" w:ascii="Times New Roman" w:hAnsi="Times New Roman" w:eastAsia="仿宋_GB2312" w:cs="Times New Roman"/>
                <w:color w:val="auto"/>
                <w:sz w:val="28"/>
                <w:szCs w:val="28"/>
              </w:rPr>
              <w:t>项目分二期建设，建设反无系统生产和试验基地、精确制导系统试产线和精确制导系统量产线。</w:t>
            </w:r>
          </w:p>
        </w:tc>
      </w:tr>
    </w:tbl>
    <w:p>
      <w:pPr>
        <w:spacing w:before="156" w:beforeLines="50" w:line="560" w:lineRule="exact"/>
        <w:ind w:firstLine="642" w:firstLineChars="200"/>
        <w:rPr>
          <w:rFonts w:ascii="Times New Roman" w:hAnsi="Times New Roman" w:eastAsia="仿宋_GB2312" w:cs="Times New Roman"/>
          <w:b/>
          <w:color w:val="auto"/>
          <w:sz w:val="32"/>
          <w:szCs w:val="32"/>
        </w:rPr>
      </w:pPr>
      <w:bookmarkStart w:id="103" w:name="_Toc207125773"/>
    </w:p>
    <w:p>
      <w:pPr>
        <w:spacing w:before="156" w:beforeLines="50" w:line="560" w:lineRule="exact"/>
        <w:ind w:firstLine="642" w:firstLineChars="200"/>
        <w:outlineLvl w:val="2"/>
        <w:rPr>
          <w:rFonts w:ascii="Times New Roman" w:hAnsi="Times New Roman" w:eastAsia="仿宋_GB2312" w:cs="Times New Roman"/>
          <w:b/>
          <w:color w:val="auto"/>
          <w:sz w:val="32"/>
          <w:szCs w:val="32"/>
        </w:rPr>
      </w:pPr>
      <w:bookmarkStart w:id="104" w:name="_Toc16000"/>
      <w:bookmarkStart w:id="105" w:name="_Toc220270462"/>
      <w:r>
        <w:rPr>
          <w:rFonts w:hint="eastAsia" w:ascii="Times New Roman" w:hAnsi="Times New Roman" w:eastAsia="仿宋_GB2312" w:cs="Times New Roman"/>
          <w:b/>
          <w:color w:val="auto"/>
          <w:sz w:val="32"/>
          <w:szCs w:val="32"/>
        </w:rPr>
        <w:t>4.探索多元产业融合创新</w:t>
      </w:r>
      <w:bookmarkEnd w:id="103"/>
      <w:bookmarkEnd w:id="104"/>
      <w:bookmarkEnd w:id="105"/>
    </w:p>
    <w:p>
      <w:pPr>
        <w:spacing w:line="560" w:lineRule="exact"/>
        <w:ind w:firstLine="642" w:firstLineChars="200"/>
        <w:jc w:val="left"/>
        <w:rPr>
          <w:rFonts w:ascii="Times New Roman" w:hAnsi="Times New Roman" w:eastAsia="仿宋_GB2312" w:cs="Times New Roman"/>
          <w:color w:val="auto"/>
          <w:sz w:val="32"/>
          <w:szCs w:val="32"/>
        </w:rPr>
      </w:pPr>
      <w:r>
        <w:rPr>
          <w:rFonts w:hint="eastAsia" w:ascii="Times New Roman" w:hAnsi="Times New Roman" w:eastAsia="仿宋_GB2312" w:cs="Times New Roman"/>
          <w:b/>
          <w:bCs/>
          <w:color w:val="auto"/>
          <w:sz w:val="32"/>
          <w:szCs w:val="32"/>
        </w:rPr>
        <w:t>低空经济+氢能产业。</w:t>
      </w:r>
      <w:r>
        <w:rPr>
          <w:rFonts w:hint="eastAsia" w:ascii="Times New Roman" w:hAnsi="Times New Roman" w:eastAsia="仿宋_GB2312" w:cs="Times New Roman"/>
          <w:color w:val="auto"/>
          <w:sz w:val="32"/>
          <w:szCs w:val="32"/>
        </w:rPr>
        <w:t>依托氢能产业基础，探索建设氢能航空试验基地，聚焦适用于小型飞行器的氢燃料电池驱动和面向中大型飞机需求的氢燃料内燃机或涡轮发动机两大技术路径，开展氢能源航空器关键技术可行性验证，争取在氢能源航空器及配件研发制造领域取得突破；发挥乐山钒钛钢材料产业优势，鼓励材料类重点企业研发氢燃料电池专用钛材，配套氢能航空器制造。</w:t>
      </w:r>
      <w:r>
        <w:rPr>
          <w:rFonts w:hint="eastAsia" w:ascii="Times New Roman" w:hAnsi="Times New Roman" w:eastAsia="仿宋_GB2312" w:cs="Times New Roman"/>
          <w:b/>
          <w:bCs/>
          <w:color w:val="auto"/>
          <w:sz w:val="32"/>
          <w:szCs w:val="32"/>
        </w:rPr>
        <w:t>低空经济+光伏产业。</w:t>
      </w:r>
      <w:r>
        <w:rPr>
          <w:rFonts w:hint="eastAsia" w:ascii="Times New Roman" w:hAnsi="Times New Roman" w:eastAsia="仿宋_GB2312" w:cs="Times New Roman"/>
          <w:color w:val="auto"/>
          <w:sz w:val="32"/>
          <w:szCs w:val="32"/>
        </w:rPr>
        <w:t>依托乐山晶硅光伏与储能产业优势，开发太阳能充电无人机机巢，以及光伏供能的低空导航、通信监控等地面保障设备。</w:t>
      </w:r>
      <w:r>
        <w:rPr>
          <w:rFonts w:hint="eastAsia" w:ascii="Times New Roman" w:hAnsi="Times New Roman" w:eastAsia="仿宋_GB2312" w:cs="Times New Roman"/>
          <w:b/>
          <w:bCs/>
          <w:color w:val="auto"/>
          <w:sz w:val="32"/>
          <w:szCs w:val="32"/>
        </w:rPr>
        <w:t>低空经济+核技术。</w:t>
      </w:r>
      <w:r>
        <w:rPr>
          <w:rFonts w:hint="eastAsia" w:ascii="Times New Roman" w:hAnsi="Times New Roman" w:eastAsia="仿宋_GB2312" w:cs="Times New Roman"/>
          <w:color w:val="auto"/>
          <w:sz w:val="32"/>
          <w:szCs w:val="32"/>
        </w:rPr>
        <w:t>发挥乐山核技术应用产业优势，探索发展核辐射监测无人机、特种防护无人机等细分领域，联合核动力院等机构探索共建川南低空装备中试基地（核技术应用方向），打造全国性产业地标。</w:t>
      </w:r>
      <w:r>
        <w:rPr>
          <w:rFonts w:ascii="Times New Roman" w:hAnsi="Times New Roman" w:eastAsia="仿宋_GB2312" w:cs="Times New Roman"/>
          <w:b/>
          <w:bCs/>
          <w:color w:val="auto"/>
          <w:sz w:val="32"/>
          <w:szCs w:val="32"/>
        </w:rPr>
        <w:t>低空经济+人工智能</w:t>
      </w:r>
      <w:r>
        <w:rPr>
          <w:rFonts w:hint="eastAsia" w:ascii="Times New Roman" w:hAnsi="Times New Roman" w:eastAsia="仿宋_GB2312" w:cs="Times New Roman"/>
          <w:b/>
          <w:bCs/>
          <w:color w:val="auto"/>
          <w:sz w:val="32"/>
          <w:szCs w:val="32"/>
        </w:rPr>
        <w:t>。</w:t>
      </w:r>
      <w:r>
        <w:rPr>
          <w:rFonts w:ascii="Times New Roman" w:hAnsi="Times New Roman" w:eastAsia="仿宋_GB2312" w:cs="Times New Roman"/>
          <w:color w:val="auto"/>
          <w:sz w:val="32"/>
          <w:szCs w:val="32"/>
        </w:rPr>
        <w:t>以全省首批人工智能创新发展试验区</w:t>
      </w:r>
      <w:r>
        <w:rPr>
          <w:rFonts w:hint="eastAsia" w:ascii="Times New Roman" w:hAnsi="Times New Roman" w:eastAsia="仿宋_GB2312" w:cs="Times New Roman"/>
          <w:color w:val="auto"/>
          <w:sz w:val="32"/>
          <w:szCs w:val="32"/>
        </w:rPr>
        <w:t>建设为契机，支持企事业单位</w:t>
      </w:r>
      <w:r>
        <w:rPr>
          <w:rFonts w:hint="eastAsia" w:ascii="仿宋_GB2312" w:hAnsi="等线" w:eastAsia="仿宋_GB2312" w:cs="Times New Roman"/>
          <w:color w:val="auto"/>
          <w:sz w:val="32"/>
          <w:szCs w:val="32"/>
        </w:rPr>
        <w:t>开展低空人工智能关键核心技术攻关，突破无人机自主飞行、智能避障、集群协同、任务自主决策等人工智能算法与系统</w:t>
      </w:r>
      <w:r>
        <w:rPr>
          <w:rFonts w:hint="eastAsia" w:hAnsi="等线" w:cs="Times New Roman"/>
          <w:color w:val="auto"/>
          <w:sz w:val="32"/>
          <w:szCs w:val="32"/>
        </w:rPr>
        <w:t>，</w:t>
      </w:r>
      <w:r>
        <w:rPr>
          <w:rFonts w:hint="eastAsia" w:ascii="仿宋_GB2312" w:hAnsi="等线" w:eastAsia="仿宋_GB2312" w:cs="Times New Roman"/>
          <w:color w:val="auto"/>
          <w:sz w:val="32"/>
          <w:szCs w:val="32"/>
        </w:rPr>
        <w:t>提升低空航空器在复杂场景下的自主运行能力。</w:t>
      </w:r>
      <w:r>
        <w:rPr>
          <w:rFonts w:hint="eastAsia" w:ascii="Times New Roman" w:hAnsi="Times New Roman" w:eastAsia="仿宋_GB2312" w:cs="Times New Roman"/>
          <w:b/>
          <w:bCs/>
          <w:color w:val="auto"/>
          <w:sz w:val="32"/>
          <w:szCs w:val="32"/>
        </w:rPr>
        <w:t>低空经济+数字经济。</w:t>
      </w:r>
      <w:r>
        <w:rPr>
          <w:rFonts w:hint="eastAsia" w:ascii="Times New Roman" w:hAnsi="Times New Roman" w:eastAsia="仿宋_GB2312" w:cs="Times New Roman"/>
          <w:color w:val="auto"/>
          <w:sz w:val="32"/>
          <w:szCs w:val="32"/>
        </w:rPr>
        <w:t>以场景应用为导向，</w:t>
      </w:r>
      <w:r>
        <w:rPr>
          <w:rFonts w:hint="eastAsia" w:ascii="仿宋_GB2312" w:hAnsi="仿宋_GB2312" w:eastAsia="仿宋_GB2312" w:cs="仿宋_GB2312"/>
          <w:color w:val="auto"/>
          <w:sz w:val="32"/>
          <w:szCs w:val="32"/>
        </w:rPr>
        <w:t>探索“数据+空天技术”融合应用，支持企业在电力、农林、新能源、电子信息等行业中探索不同行业数据与低空数据的融合，挖掘低空航空器飞行、物联感知、图像等数据资源和流通交易场景，搭建低空行业应用数据空间，开发利用低空数据产品，探索建立低空经济领域数据产品流通交易体系</w:t>
      </w:r>
      <w:r>
        <w:rPr>
          <w:rFonts w:hint="eastAsia" w:ascii="Times New Roman" w:hAnsi="Times New Roman" w:eastAsia="仿宋_GB2312" w:cs="Times New Roman"/>
          <w:color w:val="auto"/>
          <w:sz w:val="32"/>
          <w:szCs w:val="32"/>
        </w:rPr>
        <w:t>；支持低空经济企业采用本地算力，促进本地算力产业与低空经济协同发展；支持本地通信运营商企业深度参与低空经济发展，促进5G、人工智能大模型等技术与低空经济深度融合。</w:t>
      </w:r>
    </w:p>
    <w:p>
      <w:pPr>
        <w:snapToGrid w:val="0"/>
        <w:spacing w:line="560" w:lineRule="exact"/>
        <w:ind w:firstLine="664" w:firstLineChars="200"/>
        <w:outlineLvl w:val="1"/>
        <w:rPr>
          <w:rFonts w:ascii="Times New Roman" w:hAnsi="Times New Roman" w:eastAsia="楷体_GB2312" w:cs="Times New Roman"/>
          <w:color w:val="auto"/>
          <w:spacing w:val="6"/>
          <w:sz w:val="32"/>
          <w:szCs w:val="32"/>
        </w:rPr>
      </w:pPr>
      <w:bookmarkStart w:id="106" w:name="_Toc23419"/>
      <w:bookmarkStart w:id="107" w:name="_Toc220270463"/>
      <w:bookmarkStart w:id="108" w:name="_Toc207125774"/>
      <w:r>
        <w:rPr>
          <w:rFonts w:hint="eastAsia" w:ascii="Times New Roman" w:hAnsi="Times New Roman" w:eastAsia="楷体_GB2312" w:cs="Times New Roman"/>
          <w:color w:val="auto"/>
          <w:spacing w:val="6"/>
          <w:sz w:val="32"/>
          <w:szCs w:val="32"/>
        </w:rPr>
        <w:t>（二）突出文旅山地特色，推动低空场景规模应用</w:t>
      </w:r>
      <w:bookmarkEnd w:id="106"/>
      <w:bookmarkEnd w:id="107"/>
      <w:bookmarkEnd w:id="108"/>
    </w:p>
    <w:p>
      <w:pPr>
        <w:spacing w:line="560" w:lineRule="exact"/>
        <w:ind w:firstLine="642" w:firstLineChars="200"/>
        <w:outlineLvl w:val="2"/>
        <w:rPr>
          <w:rFonts w:ascii="Times New Roman" w:hAnsi="Times New Roman" w:eastAsia="仿宋_GB2312" w:cs="Times New Roman"/>
          <w:b/>
          <w:color w:val="auto"/>
          <w:sz w:val="32"/>
          <w:szCs w:val="32"/>
        </w:rPr>
      </w:pPr>
      <w:bookmarkStart w:id="109" w:name="_Toc220270464"/>
      <w:bookmarkStart w:id="110" w:name="_Toc207125775"/>
      <w:bookmarkStart w:id="111" w:name="_Toc756"/>
      <w:r>
        <w:rPr>
          <w:rFonts w:hint="eastAsia" w:ascii="Times New Roman" w:hAnsi="Times New Roman" w:eastAsia="仿宋_GB2312" w:cs="Times New Roman"/>
          <w:b/>
          <w:color w:val="auto"/>
          <w:sz w:val="32"/>
          <w:szCs w:val="32"/>
        </w:rPr>
        <w:t>1.大力培育文体旅新消费</w:t>
      </w:r>
      <w:bookmarkEnd w:id="109"/>
      <w:bookmarkEnd w:id="110"/>
      <w:bookmarkEnd w:id="111"/>
    </w:p>
    <w:p>
      <w:pPr>
        <w:spacing w:line="560" w:lineRule="exact"/>
        <w:ind w:firstLine="642" w:firstLineChars="200"/>
        <w:rPr>
          <w:rFonts w:ascii="Times New Roman" w:hAnsi="Times New Roman" w:eastAsia="仿宋_GB2312" w:cs="Times New Roman"/>
          <w:bCs/>
          <w:color w:val="auto"/>
          <w:kern w:val="0"/>
          <w:sz w:val="32"/>
          <w:szCs w:val="32"/>
        </w:rPr>
      </w:pPr>
      <w:r>
        <w:rPr>
          <w:rFonts w:hint="eastAsia" w:ascii="Times New Roman" w:hAnsi="Times New Roman" w:eastAsia="仿宋_GB2312" w:cs="Times New Roman"/>
          <w:b/>
          <w:bCs/>
          <w:color w:val="auto"/>
          <w:sz w:val="32"/>
          <w:szCs w:val="32"/>
        </w:rPr>
        <w:t>低空+旅游。</w:t>
      </w:r>
      <w:r>
        <w:rPr>
          <w:rFonts w:hint="eastAsia" w:ascii="Times New Roman" w:hAnsi="Times New Roman" w:eastAsia="仿宋_GB2312" w:cs="Times New Roman"/>
          <w:color w:val="auto"/>
          <w:sz w:val="32"/>
          <w:szCs w:val="32"/>
        </w:rPr>
        <w:t>依托峨眉山、乐山大佛、嘉阳·桫椤湖、东风堰、金口河大峡谷、黑竹沟、沐川竹海、研溪湿地公园、大渡河文化旅游带、平羌三峡等旅游资源，精准匹配低空文体旅消费需求，强化基础设施建设，支持企业开发空中游览等多样化、差异化低空旅游产品，打造</w:t>
      </w:r>
      <w:r>
        <w:rPr>
          <w:rFonts w:hint="eastAsia" w:ascii="仿宋_GB2312" w:hAnsi="仿宋_GB2312" w:eastAsia="仿宋_GB2312" w:cs="仿宋_GB2312"/>
          <w:color w:val="auto"/>
          <w:sz w:val="32"/>
          <w:szCs w:val="32"/>
        </w:rPr>
        <w:t>“峨眉山</w:t>
      </w:r>
      <w:r>
        <w:rPr>
          <w:rFonts w:hint="eastAsia" w:ascii="Times New Roman" w:hAnsi="Times New Roman" w:eastAsia="仿宋_GB2312" w:cs="Times New Roman"/>
          <w:color w:val="auto"/>
          <w:sz w:val="32"/>
          <w:szCs w:val="32"/>
        </w:rPr>
        <w:t>—</w:t>
      </w:r>
      <w:r>
        <w:rPr>
          <w:rFonts w:hint="eastAsia" w:ascii="仿宋_GB2312" w:hAnsi="仿宋_GB2312" w:eastAsia="仿宋_GB2312" w:cs="仿宋_GB2312"/>
          <w:color w:val="auto"/>
          <w:sz w:val="32"/>
          <w:szCs w:val="32"/>
        </w:rPr>
        <w:t>乐山大佛低空观光”“空中礼佛”“云端畅游双遗产”“探秘养生地·彝韵黑竹沟”</w:t>
      </w:r>
      <w:r>
        <w:rPr>
          <w:rFonts w:hint="eastAsia" w:ascii="Times New Roman" w:hAnsi="Times New Roman" w:eastAsia="仿宋_GB2312" w:cs="Times New Roman"/>
          <w:color w:val="auto"/>
          <w:sz w:val="32"/>
          <w:szCs w:val="32"/>
        </w:rPr>
        <w:t>等世界级低空消费品牌。支持企业以直升机、eVTOL为主，开辟“三江汇流—乐山大佛—凌云山”“大佛景区</w:t>
      </w:r>
      <w:r>
        <w:rPr>
          <w:rFonts w:ascii="Cambria Math" w:hAnsi="Cambria Math" w:eastAsia="仿宋_GB2312" w:cs="Cambria Math"/>
          <w:color w:val="auto"/>
          <w:sz w:val="32"/>
          <w:szCs w:val="32"/>
        </w:rPr>
        <w:t>⇌</w:t>
      </w:r>
      <w:r>
        <w:rPr>
          <w:rFonts w:hint="eastAsia" w:ascii="Times New Roman" w:hAnsi="Times New Roman" w:eastAsia="仿宋_GB2312" w:cs="Times New Roman"/>
          <w:color w:val="auto"/>
          <w:sz w:val="32"/>
          <w:szCs w:val="32"/>
        </w:rPr>
        <w:t>峨眉山景区”“黑竹沟景区</w:t>
      </w:r>
      <w:r>
        <w:rPr>
          <w:rFonts w:ascii="Cambria Math" w:hAnsi="Cambria Math" w:eastAsia="仿宋_GB2312" w:cs="Cambria Math"/>
          <w:color w:val="auto"/>
          <w:sz w:val="32"/>
          <w:szCs w:val="32"/>
        </w:rPr>
        <w:t>⇌</w:t>
      </w:r>
      <w:r>
        <w:rPr>
          <w:rFonts w:hint="eastAsia" w:ascii="Times New Roman" w:hAnsi="Times New Roman" w:eastAsia="仿宋_GB2312" w:cs="Times New Roman"/>
          <w:color w:val="auto"/>
          <w:sz w:val="32"/>
          <w:szCs w:val="32"/>
        </w:rPr>
        <w:t>峨眉山景区”“黑竹沟景区</w:t>
      </w:r>
      <w:r>
        <w:rPr>
          <w:rFonts w:ascii="Cambria Math" w:hAnsi="Cambria Math" w:eastAsia="仿宋_GB2312" w:cs="Cambria Math"/>
          <w:color w:val="auto"/>
          <w:sz w:val="32"/>
          <w:szCs w:val="32"/>
        </w:rPr>
        <w:t>⇌</w:t>
      </w:r>
      <w:r>
        <w:rPr>
          <w:rFonts w:hint="eastAsia" w:ascii="Times New Roman" w:hAnsi="Times New Roman" w:eastAsia="仿宋_GB2312" w:cs="Times New Roman"/>
          <w:color w:val="auto"/>
          <w:sz w:val="32"/>
          <w:szCs w:val="32"/>
        </w:rPr>
        <w:t>大佛景区”等常态化低空通景联景航线，</w:t>
      </w:r>
      <w:r>
        <w:rPr>
          <w:rFonts w:hint="eastAsia" w:ascii="仿宋_GB2312" w:hAnsi="仿宋_GB2312" w:eastAsia="仿宋_GB2312" w:cs="仿宋_GB2312"/>
          <w:color w:val="auto"/>
          <w:sz w:val="32"/>
          <w:szCs w:val="32"/>
        </w:rPr>
        <w:t>以“小机型、小航线”优化“快进慢游”交通体系，打造“全景乐山”低空交旅融合示范。联动眉山、雅安、成都等周边城市重点景区，着力跨区域协同发展，搭建“大峨眉低空旅游环线”</w:t>
      </w:r>
      <w:r>
        <w:rPr>
          <w:rFonts w:hint="eastAsia" w:ascii="Times New Roman" w:hAnsi="Times New Roman" w:eastAsia="仿宋_GB2312" w:cs="Times New Roman"/>
          <w:color w:val="auto"/>
          <w:sz w:val="32"/>
          <w:szCs w:val="32"/>
        </w:rPr>
        <w:t>。</w:t>
      </w:r>
      <w:r>
        <w:rPr>
          <w:rFonts w:hint="eastAsia" w:ascii="仿宋_GB2312" w:hAnsi="Segoe UI" w:eastAsia="仿宋_GB2312" w:cs="Segoe UI"/>
          <w:bCs/>
          <w:color w:val="auto"/>
          <w:kern w:val="0"/>
          <w:sz w:val="32"/>
          <w:szCs w:val="32"/>
        </w:rPr>
        <w:t>策划推出“乐山低空旅游季”年度系列活动，联动成都、重庆等文旅资源，举办低空飞行体验周、航空嘉年华等主题推广，配套推出消费补贴、优惠套票、航旅联票等惠民措施，</w:t>
      </w:r>
      <w:r>
        <w:rPr>
          <w:rFonts w:hint="eastAsia" w:ascii="Times New Roman" w:hAnsi="Times New Roman" w:eastAsia="仿宋_GB2312"/>
          <w:color w:val="auto"/>
          <w:sz w:val="32"/>
        </w:rPr>
        <w:t>鼓励消费者体验各类型低空消费产品。</w:t>
      </w:r>
    </w:p>
    <w:p>
      <w:pPr>
        <w:spacing w:line="560" w:lineRule="exact"/>
        <w:ind w:firstLine="642" w:firstLineChars="200"/>
        <w:rPr>
          <w:rFonts w:ascii="Times New Roman" w:hAnsi="Times New Roman" w:eastAsia="仿宋_GB2312" w:cs="Times New Roman"/>
          <w:color w:val="auto"/>
          <w:sz w:val="32"/>
          <w:szCs w:val="32"/>
        </w:rPr>
      </w:pPr>
      <w:r>
        <w:rPr>
          <w:rFonts w:hint="eastAsia" w:ascii="Times New Roman" w:hAnsi="Times New Roman" w:eastAsia="仿宋_GB2312" w:cs="Times New Roman"/>
          <w:b/>
          <w:bCs/>
          <w:color w:val="auto"/>
          <w:sz w:val="32"/>
          <w:szCs w:val="32"/>
        </w:rPr>
        <w:t>低空+体育。</w:t>
      </w:r>
      <w:r>
        <w:rPr>
          <w:rFonts w:hint="eastAsia" w:ascii="Times New Roman" w:hAnsi="Times New Roman" w:eastAsia="仿宋_GB2312" w:cs="Times New Roman"/>
          <w:color w:val="auto"/>
          <w:sz w:val="32"/>
          <w:szCs w:val="32"/>
        </w:rPr>
        <w:t>依托峨眉山蒲公英滑翔伞基地、铜河银滩航模基地等运动类起降场地，支持航空运动体验基地和航空飞行营地建设发展，支持学校建设、挂牌校园航空飞行营地，</w:t>
      </w:r>
      <w:r>
        <w:rPr>
          <w:rFonts w:hint="eastAsia" w:ascii="Times New Roman" w:hAnsi="Times New Roman" w:eastAsia="仿宋_GB2312" w:cs="Times New Roman"/>
          <w:color w:val="auto"/>
          <w:sz w:val="32"/>
        </w:rPr>
        <w:t>支持企业开展滑翔伞、动力三角翼、航空模型、轻型运动飞机、热气球等飞行体验项目。支持企事业单位开展无人机足球竞赛、航模飞行特技表演、飞机模型DIY竞赛等活动。</w:t>
      </w:r>
      <w:r>
        <w:rPr>
          <w:rFonts w:hint="eastAsia" w:ascii="Times New Roman" w:hAnsi="Times New Roman" w:eastAsia="仿宋_GB2312" w:cs="Times New Roman"/>
          <w:color w:val="auto"/>
          <w:sz w:val="32"/>
          <w:szCs w:val="32"/>
        </w:rPr>
        <w:t>加强与中国航空学会、国家体育总局航空无线电模型运动管理中心、中国航空运动协会等对接，瞄准国际航模大赛、全国青少年无人机大赛、无人机竞速（FPV）赛、</w:t>
      </w:r>
      <w:r>
        <w:rPr>
          <w:rFonts w:hint="eastAsia" w:ascii="仿宋_GB2312" w:hAnsi="Times New Roman" w:eastAsia="仿宋_GB2312" w:cs="Times New Roman"/>
          <w:color w:val="auto"/>
          <w:sz w:val="32"/>
          <w:szCs w:val="20"/>
        </w:rPr>
        <w:t>全国青少年模拟飞行锦标赛</w:t>
      </w:r>
      <w:r>
        <w:rPr>
          <w:rFonts w:hint="eastAsia" w:ascii="Times New Roman" w:hAnsi="Times New Roman" w:eastAsia="仿宋_GB2312" w:cs="Times New Roman"/>
          <w:color w:val="auto"/>
          <w:sz w:val="32"/>
          <w:szCs w:val="32"/>
        </w:rPr>
        <w:t>等一批具有品牌价值的赛事，</w:t>
      </w:r>
      <w:r>
        <w:rPr>
          <w:rFonts w:hint="eastAsia" w:ascii="Times New Roman" w:hAnsi="Times New Roman" w:eastAsia="仿宋_GB2312" w:cs="Times New Roman"/>
          <w:bCs/>
          <w:color w:val="auto"/>
          <w:kern w:val="0"/>
          <w:sz w:val="32"/>
          <w:szCs w:val="32"/>
        </w:rPr>
        <w:t>积极</w:t>
      </w:r>
      <w:r>
        <w:rPr>
          <w:rFonts w:hint="eastAsia" w:ascii="Times New Roman" w:hAnsi="Times New Roman" w:eastAsia="仿宋_GB2312" w:cs="Times New Roman"/>
          <w:color w:val="auto"/>
          <w:sz w:val="32"/>
          <w:szCs w:val="32"/>
        </w:rPr>
        <w:t>承办全国性或区域性赛会活动，力争引进大型低空赛事、训练基地等落户乐山。</w:t>
      </w:r>
    </w:p>
    <w:p>
      <w:pPr>
        <w:spacing w:after="156" w:afterLines="50" w:line="560" w:lineRule="exact"/>
        <w:ind w:firstLine="642" w:firstLineChars="200"/>
        <w:rPr>
          <w:rFonts w:ascii="Times New Roman" w:hAnsi="Times New Roman" w:eastAsia="仿宋_GB2312" w:cs="Times New Roman"/>
          <w:color w:val="auto"/>
          <w:sz w:val="32"/>
        </w:rPr>
      </w:pPr>
      <w:r>
        <w:rPr>
          <w:rFonts w:hint="eastAsia" w:ascii="Times New Roman" w:hAnsi="Times New Roman" w:eastAsia="仿宋_GB2312" w:cs="Times New Roman"/>
          <w:b/>
          <w:bCs/>
          <w:color w:val="auto"/>
          <w:sz w:val="32"/>
          <w:szCs w:val="32"/>
        </w:rPr>
        <w:t>低空+文化。</w:t>
      </w:r>
      <w:r>
        <w:rPr>
          <w:rFonts w:hint="eastAsia" w:ascii="Times New Roman" w:hAnsi="Times New Roman" w:eastAsia="仿宋_GB2312" w:cs="Times New Roman"/>
          <w:color w:val="auto"/>
          <w:sz w:val="32"/>
          <w:szCs w:val="32"/>
        </w:rPr>
        <w:t>依托航空运动体验基地、航空飞行营地等载体，</w:t>
      </w:r>
      <w:r>
        <w:rPr>
          <w:rFonts w:hint="eastAsia" w:ascii="Times New Roman" w:hAnsi="Times New Roman" w:eastAsia="仿宋_GB2312" w:cs="Times New Roman"/>
          <w:color w:val="auto"/>
          <w:sz w:val="32"/>
          <w:szCs w:val="20"/>
        </w:rPr>
        <w:t>支持企事业单位开展航空知识科普、航空器参观、航模制作、模拟飞行</w:t>
      </w:r>
      <w:r>
        <w:rPr>
          <w:rFonts w:hint="eastAsia" w:ascii="仿宋_GB2312" w:hAnsi="仿宋_GB2312" w:eastAsia="仿宋_GB2312" w:cs="仿宋_GB2312"/>
          <w:color w:val="auto"/>
          <w:sz w:val="32"/>
          <w:szCs w:val="20"/>
        </w:rPr>
        <w:t>、“航空夏令营”“航空研学”</w:t>
      </w:r>
      <w:r>
        <w:rPr>
          <w:rFonts w:hint="eastAsia" w:ascii="Times New Roman" w:hAnsi="Times New Roman" w:eastAsia="仿宋_GB2312" w:cs="Times New Roman"/>
          <w:color w:val="auto"/>
          <w:sz w:val="32"/>
          <w:szCs w:val="20"/>
        </w:rPr>
        <w:t>等活动，将航空文化、航空知识、低空飞行体验等多种内容融合融汇，推动科普内容丰富化、多元化，提升青少年航空活动参与热情。</w:t>
      </w:r>
      <w:r>
        <w:rPr>
          <w:rFonts w:hint="eastAsia" w:ascii="Times New Roman" w:hAnsi="Times New Roman" w:eastAsia="仿宋_GB2312" w:cs="Times New Roman"/>
          <w:color w:val="auto"/>
          <w:sz w:val="32"/>
        </w:rPr>
        <w:t>依托市中区、峨眉山市、峨边彝族自治县等文旅资源，融合乐山美食、彝族文化元素，瞄准城市旅游宣传、企业产品推广、节庆表演、展会演出等市场，引入航拍航演企业，支持开展无人机集群编队表演、航拍航摄等活动。鼓励举办具有乐山特色的低空经济论坛会议、展览展示、赛事路演、学术交流等活动，打造开放合作、投资促进、成果展示平台，提升乐山低空经济文化品牌影响力。</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8522" w:type="dxa"/>
          </w:tcPr>
          <w:p>
            <w:pPr>
              <w:pStyle w:val="9"/>
              <w:spacing w:line="480" w:lineRule="exact"/>
              <w:jc w:val="center"/>
              <w:rPr>
                <w:rFonts w:ascii="Times New Roman" w:hAnsi="Times New Roman" w:eastAsia="黑体" w:cs="Times New Roman"/>
                <w:color w:val="auto"/>
                <w:lang w:val="en-US" w:bidi="ar-SA"/>
              </w:rPr>
            </w:pPr>
            <w:r>
              <w:rPr>
                <w:rFonts w:hint="eastAsia" w:ascii="Times New Roman" w:hAnsi="Times New Roman" w:eastAsia="黑体" w:cs="Times New Roman"/>
                <w:color w:val="auto"/>
                <w:sz w:val="28"/>
                <w:szCs w:val="28"/>
                <w:lang w:val="en-US" w:bidi="ar"/>
              </w:rPr>
              <w:t>专栏8  低空消费重点项目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8522" w:type="dxa"/>
          </w:tcPr>
          <w:p>
            <w:pPr>
              <w:spacing w:line="480" w:lineRule="exact"/>
              <w:ind w:firstLine="562" w:firstLineChars="200"/>
              <w:rPr>
                <w:rFonts w:ascii="Times New Roman" w:hAnsi="Times New Roman" w:eastAsia="仿宋_GB2312" w:cs="Times New Roman"/>
                <w:color w:val="auto"/>
                <w:sz w:val="28"/>
                <w:szCs w:val="28"/>
              </w:rPr>
            </w:pPr>
            <w:r>
              <w:rPr>
                <w:rFonts w:hint="eastAsia" w:ascii="Times New Roman" w:hAnsi="Times New Roman" w:eastAsia="仿宋_GB2312" w:cs="Times New Roman"/>
                <w:b/>
                <w:bCs/>
                <w:color w:val="auto"/>
                <w:sz w:val="28"/>
                <w:szCs w:val="28"/>
              </w:rPr>
              <w:t>“大峨眉低空旅游环线”</w:t>
            </w:r>
            <w:r>
              <w:rPr>
                <w:rFonts w:ascii="Times New Roman" w:hAnsi="Times New Roman" w:eastAsia="仿宋_GB2312" w:cs="Times New Roman"/>
                <w:b/>
                <w:bCs/>
                <w:color w:val="auto"/>
                <w:sz w:val="28"/>
                <w:szCs w:val="28"/>
              </w:rPr>
              <w:t>项目</w:t>
            </w:r>
            <w:r>
              <w:rPr>
                <w:rFonts w:hint="eastAsia" w:ascii="Times New Roman" w:hAnsi="Times New Roman" w:eastAsia="仿宋_GB2312" w:cs="Times New Roman"/>
                <w:b/>
                <w:bCs/>
                <w:color w:val="auto"/>
                <w:sz w:val="28"/>
                <w:szCs w:val="28"/>
              </w:rPr>
              <w:t>。</w:t>
            </w:r>
            <w:r>
              <w:rPr>
                <w:rFonts w:ascii="Times New Roman" w:hAnsi="Times New Roman" w:eastAsia="仿宋_GB2312" w:cs="Times New Roman"/>
                <w:color w:val="auto"/>
                <w:sz w:val="28"/>
                <w:szCs w:val="28"/>
              </w:rPr>
              <w:t>打造西部地区首个以世界遗产为核心、串联多元文旅资源的低空旅游黄金</w:t>
            </w:r>
            <w:r>
              <w:rPr>
                <w:rFonts w:hint="eastAsia" w:ascii="Times New Roman" w:hAnsi="Times New Roman" w:eastAsia="仿宋_GB2312" w:cs="Times New Roman"/>
                <w:color w:val="auto"/>
                <w:sz w:val="28"/>
                <w:szCs w:val="28"/>
              </w:rPr>
              <w:t>走廊</w:t>
            </w:r>
            <w:r>
              <w:rPr>
                <w:rFonts w:ascii="Times New Roman" w:hAnsi="Times New Roman" w:eastAsia="仿宋_GB2312" w:cs="Times New Roman"/>
                <w:color w:val="auto"/>
                <w:sz w:val="28"/>
                <w:szCs w:val="28"/>
              </w:rPr>
              <w:t>，构建“朝圣礼佛、自然探秘、文化体验”三位一体的低空交旅融合新范式，形成具有全国影响力的低空文化旅游示范带。以乐山大佛、峨眉山为低空交通枢纽，</w:t>
            </w:r>
            <w:r>
              <w:rPr>
                <w:rFonts w:hint="eastAsia" w:ascii="Times New Roman" w:hAnsi="Times New Roman" w:eastAsia="仿宋_GB2312" w:cs="Times New Roman"/>
                <w:color w:val="auto"/>
                <w:sz w:val="28"/>
                <w:szCs w:val="28"/>
              </w:rPr>
              <w:t>着力跨区域协同发展，共同</w:t>
            </w:r>
            <w:r>
              <w:rPr>
                <w:rFonts w:ascii="Times New Roman" w:hAnsi="Times New Roman" w:eastAsia="仿宋_GB2312" w:cs="Times New Roman"/>
                <w:color w:val="auto"/>
                <w:sz w:val="28"/>
                <w:szCs w:val="28"/>
              </w:rPr>
              <w:t>规划</w:t>
            </w:r>
            <w:r>
              <w:rPr>
                <w:rFonts w:hint="eastAsia" w:ascii="Times New Roman" w:hAnsi="Times New Roman" w:eastAsia="仿宋_GB2312" w:cs="Times New Roman"/>
                <w:color w:val="auto"/>
                <w:sz w:val="28"/>
                <w:szCs w:val="28"/>
              </w:rPr>
              <w:t>建设眉山</w:t>
            </w:r>
            <w:r>
              <w:rPr>
                <w:rFonts w:ascii="Times New Roman" w:hAnsi="Times New Roman" w:eastAsia="仿宋_GB2312" w:cs="Times New Roman"/>
                <w:color w:val="auto"/>
                <w:sz w:val="28"/>
                <w:szCs w:val="28"/>
              </w:rPr>
              <w:t>瓦屋山、周公山</w:t>
            </w:r>
            <w:r>
              <w:rPr>
                <w:rFonts w:hint="eastAsia" w:ascii="Times New Roman" w:hAnsi="Times New Roman" w:eastAsia="仿宋_GB2312" w:cs="Times New Roman"/>
                <w:color w:val="auto"/>
                <w:sz w:val="28"/>
                <w:szCs w:val="28"/>
              </w:rPr>
              <w:t>以及</w:t>
            </w:r>
            <w:r>
              <w:rPr>
                <w:rFonts w:ascii="Times New Roman" w:hAnsi="Times New Roman" w:eastAsia="仿宋_GB2312" w:cs="Times New Roman"/>
                <w:color w:val="auto"/>
                <w:sz w:val="28"/>
                <w:szCs w:val="28"/>
              </w:rPr>
              <w:t>雅安碧峰峡（大熊猫基地）、</w:t>
            </w:r>
            <w:r>
              <w:rPr>
                <w:rFonts w:hint="eastAsia" w:ascii="Times New Roman" w:hAnsi="Times New Roman" w:eastAsia="仿宋_GB2312" w:cs="Times New Roman"/>
                <w:color w:val="auto"/>
                <w:sz w:val="28"/>
                <w:szCs w:val="28"/>
              </w:rPr>
              <w:t>成都天台山</w:t>
            </w:r>
            <w:r>
              <w:rPr>
                <w:rFonts w:ascii="Times New Roman" w:hAnsi="Times New Roman" w:eastAsia="仿宋_GB2312" w:cs="Times New Roman"/>
                <w:color w:val="auto"/>
                <w:sz w:val="28"/>
                <w:szCs w:val="28"/>
              </w:rPr>
              <w:t>等特色景区的低空航线网络</w:t>
            </w:r>
            <w:r>
              <w:rPr>
                <w:rFonts w:hint="eastAsia" w:ascii="Times New Roman" w:hAnsi="Times New Roman" w:eastAsia="仿宋_GB2312" w:cs="Times New Roman"/>
                <w:color w:val="auto"/>
                <w:sz w:val="28"/>
                <w:szCs w:val="28"/>
              </w:rPr>
              <w:t>；</w:t>
            </w:r>
            <w:r>
              <w:rPr>
                <w:rFonts w:ascii="Times New Roman" w:hAnsi="Times New Roman" w:eastAsia="仿宋_GB2312" w:cs="Times New Roman"/>
                <w:color w:val="auto"/>
                <w:sz w:val="28"/>
                <w:szCs w:val="28"/>
              </w:rPr>
              <w:t>率先</w:t>
            </w:r>
            <w:r>
              <w:rPr>
                <w:rFonts w:hint="eastAsia" w:ascii="Times New Roman" w:hAnsi="Times New Roman" w:eastAsia="仿宋_GB2312" w:cs="Times New Roman"/>
                <w:color w:val="auto"/>
                <w:sz w:val="28"/>
                <w:szCs w:val="28"/>
              </w:rPr>
              <w:t>开通“乐山大佛</w:t>
            </w:r>
            <w:r>
              <w:rPr>
                <w:rFonts w:ascii="仿宋_GB2312" w:hAnsi="仿宋_GB2312" w:eastAsia="仿宋_GB2312" w:cs="仿宋_GB2312"/>
                <w:color w:val="auto"/>
                <w:sz w:val="28"/>
                <w:szCs w:val="28"/>
              </w:rPr>
              <w:t>-</w:t>
            </w:r>
            <w:r>
              <w:rPr>
                <w:rFonts w:hint="eastAsia" w:ascii="Times New Roman" w:hAnsi="Times New Roman" w:eastAsia="仿宋_GB2312" w:cs="Times New Roman"/>
                <w:color w:val="auto"/>
                <w:sz w:val="28"/>
                <w:szCs w:val="28"/>
              </w:rPr>
              <w:t>峨眉山</w:t>
            </w:r>
            <w:r>
              <w:rPr>
                <w:rFonts w:ascii="仿宋_GB2312" w:hAnsi="仿宋_GB2312" w:eastAsia="仿宋_GB2312" w:cs="仿宋_GB2312"/>
                <w:color w:val="auto"/>
                <w:sz w:val="28"/>
                <w:szCs w:val="28"/>
              </w:rPr>
              <w:t>-</w:t>
            </w:r>
            <w:r>
              <w:rPr>
                <w:rFonts w:hint="eastAsia" w:ascii="Times New Roman" w:hAnsi="Times New Roman" w:eastAsia="仿宋_GB2312" w:cs="Times New Roman"/>
                <w:color w:val="auto"/>
                <w:sz w:val="28"/>
                <w:szCs w:val="28"/>
              </w:rPr>
              <w:t>大瓦山”的“佛国仙山”朝圣之旅航线，空中一次饱览世界双遗产的恢弘与“云上大瓦山”的壮阔，感受自然与文化的双重震撼</w:t>
            </w:r>
            <w:r>
              <w:rPr>
                <w:rFonts w:ascii="Times New Roman" w:hAnsi="Times New Roman" w:eastAsia="仿宋_GB2312" w:cs="Times New Roman"/>
                <w:color w:val="auto"/>
                <w:sz w:val="28"/>
                <w:szCs w:val="28"/>
              </w:rPr>
              <w:t>。创新开发“低空+国学传承”“低空+熊猫科普”等主题产品，实现高端低空飞行与深度文化体验的有机结合，并开发低空摄影、季节限定航线等特色产品，在全国范围内形成跨区域低空</w:t>
            </w:r>
            <w:r>
              <w:rPr>
                <w:rFonts w:hint="eastAsia" w:ascii="Times New Roman" w:hAnsi="Times New Roman" w:eastAsia="仿宋_GB2312" w:cs="Times New Roman"/>
                <w:color w:val="auto"/>
                <w:sz w:val="28"/>
                <w:szCs w:val="28"/>
              </w:rPr>
              <w:t>交旅融合</w:t>
            </w:r>
            <w:r>
              <w:rPr>
                <w:rFonts w:ascii="Times New Roman" w:hAnsi="Times New Roman" w:eastAsia="仿宋_GB2312" w:cs="Times New Roman"/>
                <w:color w:val="auto"/>
                <w:sz w:val="28"/>
                <w:szCs w:val="28"/>
              </w:rPr>
              <w:t>发展的标杆示范。</w:t>
            </w:r>
          </w:p>
          <w:p>
            <w:pPr>
              <w:spacing w:line="480" w:lineRule="exact"/>
              <w:ind w:firstLine="562" w:firstLineChars="200"/>
              <w:rPr>
                <w:rFonts w:ascii="Times New Roman" w:hAnsi="Times New Roman" w:eastAsia="仿宋_GB2312" w:cs="Times New Roman"/>
                <w:color w:val="auto"/>
                <w:sz w:val="28"/>
                <w:szCs w:val="28"/>
              </w:rPr>
            </w:pPr>
            <w:r>
              <w:rPr>
                <w:rFonts w:hint="eastAsia" w:ascii="Times New Roman" w:hAnsi="Times New Roman" w:eastAsia="仿宋_GB2312" w:cs="Times New Roman"/>
                <w:b/>
                <w:bCs/>
                <w:color w:val="auto"/>
                <w:sz w:val="28"/>
                <w:szCs w:val="28"/>
              </w:rPr>
              <w:t>“全景乐山”低空交旅融合项目。</w:t>
            </w:r>
            <w:r>
              <w:rPr>
                <w:rFonts w:hint="eastAsia" w:ascii="Times New Roman" w:hAnsi="Times New Roman" w:eastAsia="仿宋_GB2312" w:cs="Times New Roman"/>
                <w:color w:val="auto"/>
                <w:sz w:val="28"/>
                <w:szCs w:val="28"/>
              </w:rPr>
              <w:t>立足乐山优质旅游资源禀赋，构建以世界遗产为核心、多元景观为支撑的低空旅游航线网络，打造</w:t>
            </w:r>
            <w:r>
              <w:rPr>
                <w:rFonts w:hint="eastAsia" w:ascii="仿宋_GB2312" w:hAnsi="仿宋_GB2312" w:eastAsia="仿宋_GB2312" w:cs="仿宋_GB2312"/>
                <w:color w:val="auto"/>
                <w:sz w:val="28"/>
                <w:szCs w:val="28"/>
              </w:rPr>
              <w:t>“空中游乐山”</w:t>
            </w:r>
            <w:r>
              <w:rPr>
                <w:rFonts w:hint="eastAsia" w:ascii="Times New Roman" w:hAnsi="Times New Roman" w:eastAsia="仿宋_GB2312" w:cs="Times New Roman"/>
                <w:color w:val="auto"/>
                <w:sz w:val="28"/>
                <w:szCs w:val="28"/>
              </w:rPr>
              <w:t>的全新旅游品牌，形成辐射川西南、连接成渝的低空交旅融合示范区。</w:t>
            </w:r>
            <w:r>
              <w:rPr>
                <w:rFonts w:ascii="Times New Roman" w:hAnsi="Times New Roman" w:eastAsia="仿宋_GB2312" w:cs="Times New Roman"/>
                <w:color w:val="auto"/>
                <w:sz w:val="28"/>
                <w:szCs w:val="28"/>
              </w:rPr>
              <w:t>规划建设四大主题低空航线：世界遗产精华线（乐山大佛</w:t>
            </w:r>
            <w:r>
              <w:rPr>
                <w:rFonts w:hint="eastAsia" w:ascii="Times New Roman" w:hAnsi="Times New Roman" w:eastAsia="仿宋_GB2312" w:cs="Times New Roman"/>
                <w:color w:val="auto"/>
                <w:sz w:val="28"/>
                <w:szCs w:val="28"/>
              </w:rPr>
              <w:t>—</w:t>
            </w:r>
            <w:r>
              <w:rPr>
                <w:rFonts w:ascii="Times New Roman" w:hAnsi="Times New Roman" w:eastAsia="仿宋_GB2312" w:cs="Times New Roman"/>
                <w:color w:val="auto"/>
                <w:sz w:val="28"/>
                <w:szCs w:val="28"/>
              </w:rPr>
              <w:t>峨眉山</w:t>
            </w:r>
            <w:r>
              <w:rPr>
                <w:rFonts w:hint="eastAsia" w:ascii="Times New Roman" w:hAnsi="Times New Roman" w:eastAsia="仿宋_GB2312" w:cs="Times New Roman"/>
                <w:color w:val="auto"/>
                <w:sz w:val="28"/>
                <w:szCs w:val="28"/>
              </w:rPr>
              <w:t>—</w:t>
            </w:r>
            <w:r>
              <w:rPr>
                <w:rFonts w:ascii="Times New Roman" w:hAnsi="Times New Roman" w:eastAsia="仿宋_GB2312" w:cs="Times New Roman"/>
                <w:color w:val="auto"/>
                <w:sz w:val="28"/>
                <w:szCs w:val="28"/>
              </w:rPr>
              <w:t>东风堰）</w:t>
            </w:r>
            <w:r>
              <w:rPr>
                <w:rFonts w:hint="eastAsia" w:ascii="Times New Roman" w:hAnsi="Times New Roman" w:eastAsia="仿宋_GB2312" w:cs="Times New Roman"/>
                <w:color w:val="auto"/>
                <w:sz w:val="28"/>
                <w:szCs w:val="28"/>
              </w:rPr>
              <w:t>，打造文化遗产空中走廊，游客可一次性空中游览三大世界级遗产，感受乐山深厚的文化底蕴；地质奇观探秘线（金口河大峡谷—黑竹沟—美女峰），开辟峡谷探险空中通道，让游客从独特视角欣赏大峡谷的壮丽景观和喀斯特地貌的神奇造型；生态康养休闲线（沐川竹海—桫椤湖—研溪湿地公园），构建生态观光飞行网络，打造集竹海观光、湖滨休闲、湿地体验于一体的低空康养之旅；水上风光游览线（平羌三峡—大渡河库区—峨秀湖），开辟水上低空游览航线，实现“水空联动”的立体观光模式，欣赏三峡秀美风光和库区壮阔景象。</w:t>
            </w:r>
          </w:p>
          <w:p>
            <w:pPr>
              <w:spacing w:line="480" w:lineRule="exact"/>
              <w:ind w:firstLine="562"/>
              <w:rPr>
                <w:rFonts w:ascii="Times New Roman" w:hAnsi="Times New Roman" w:eastAsia="仿宋_GB2312" w:cs="Times New Roman"/>
                <w:b/>
                <w:bCs/>
                <w:color w:val="auto"/>
                <w:sz w:val="28"/>
                <w:szCs w:val="28"/>
              </w:rPr>
            </w:pPr>
            <w:r>
              <w:rPr>
                <w:rFonts w:hint="eastAsia" w:ascii="仿宋_GB2312" w:hAnsi="仿宋_GB2312" w:eastAsia="仿宋_GB2312" w:cs="仿宋_GB2312"/>
                <w:b/>
                <w:bCs/>
                <w:color w:val="auto"/>
                <w:sz w:val="28"/>
                <w:szCs w:val="28"/>
              </w:rPr>
              <w:t>“云端彝乡”</w:t>
            </w:r>
            <w:r>
              <w:rPr>
                <w:rFonts w:ascii="Times New Roman" w:hAnsi="Times New Roman" w:eastAsia="仿宋_GB2312" w:cs="Times New Roman"/>
                <w:b/>
                <w:bCs/>
                <w:color w:val="auto"/>
                <w:sz w:val="28"/>
                <w:szCs w:val="28"/>
              </w:rPr>
              <w:t>低空文化走廊项目（峨边彝族自治县、马边彝族自治县）</w:t>
            </w:r>
            <w:r>
              <w:rPr>
                <w:rFonts w:hint="eastAsia" w:ascii="Times New Roman" w:hAnsi="Times New Roman" w:eastAsia="仿宋_GB2312" w:cs="Times New Roman"/>
                <w:b/>
                <w:bCs/>
                <w:color w:val="auto"/>
                <w:sz w:val="28"/>
                <w:szCs w:val="28"/>
              </w:rPr>
              <w:t>。</w:t>
            </w:r>
            <w:r>
              <w:rPr>
                <w:rFonts w:hint="eastAsia" w:ascii="仿宋_GB2312" w:hAnsi="仿宋_GB2312" w:eastAsia="仿宋_GB2312" w:cs="仿宋_GB2312"/>
                <w:color w:val="auto"/>
                <w:sz w:val="28"/>
                <w:szCs w:val="28"/>
              </w:rPr>
              <w:t>打造全省首个以促进民族地区乡村振兴、传承彝族文化为特色的低空交通旅游扶贫示范走廊。以峨边、马边等小凉山彝族聚居区为核心区域，规划乐山市区串联黑竹沟景区、云上福来景区、彝族特色村寨、高山农业园等节点的低空航线，打通优质农产品快速外运的“低空物流通道”和应急救援的“低空生命线”，发展“低空+文化体验”“低空+生态科考”旅游，让游客空中俯瞰大峡谷、密林等自然奇观，并降落在特色村寨参与深度文化互动，形成“飞行进彝寨、云端品风情”的独特体验，为全国民族地区通过低空经济实现共同富裕提供“乐山样板”。</w:t>
            </w:r>
          </w:p>
          <w:p>
            <w:pPr>
              <w:spacing w:line="480" w:lineRule="exact"/>
              <w:ind w:firstLine="562" w:firstLineChars="200"/>
              <w:rPr>
                <w:rFonts w:ascii="Times New Roman" w:hAnsi="Times New Roman" w:eastAsia="仿宋_GB2312" w:cs="Times New Roman"/>
                <w:color w:val="auto"/>
                <w:sz w:val="28"/>
                <w:szCs w:val="28"/>
              </w:rPr>
            </w:pPr>
            <w:r>
              <w:rPr>
                <w:rFonts w:hint="eastAsia" w:ascii="Times New Roman" w:hAnsi="Times New Roman" w:eastAsia="仿宋_GB2312" w:cs="Times New Roman"/>
                <w:b/>
                <w:bCs/>
                <w:color w:val="auto"/>
                <w:sz w:val="28"/>
                <w:szCs w:val="28"/>
              </w:rPr>
              <w:t>大瓦山直升机空中观光项目（金口河区）。</w:t>
            </w:r>
            <w:r>
              <w:rPr>
                <w:rFonts w:hint="eastAsia" w:ascii="Times New Roman" w:hAnsi="Times New Roman" w:eastAsia="仿宋_GB2312" w:cs="Times New Roman"/>
                <w:color w:val="auto"/>
                <w:sz w:val="28"/>
                <w:szCs w:val="28"/>
              </w:rPr>
              <w:t>开展直升机游览、热气球观光、滑翔伞等项目，规划区域空中航线，选址建设停机坪，硬化平整场地供直升机起飞降落，场地铺装采用透水砖，保持生态，不破坏地表径流。</w:t>
            </w:r>
          </w:p>
          <w:p>
            <w:pPr>
              <w:spacing w:line="480" w:lineRule="exact"/>
              <w:ind w:firstLine="562" w:firstLineChars="200"/>
              <w:rPr>
                <w:rFonts w:ascii="Times New Roman" w:hAnsi="Times New Roman" w:eastAsia="仿宋_GB2312" w:cs="Times New Roman"/>
                <w:color w:val="auto"/>
                <w:sz w:val="28"/>
                <w:szCs w:val="28"/>
              </w:rPr>
            </w:pPr>
            <w:r>
              <w:rPr>
                <w:rFonts w:hint="eastAsia" w:ascii="Times New Roman" w:hAnsi="Times New Roman" w:eastAsia="仿宋_GB2312" w:cs="Times New Roman"/>
                <w:b/>
                <w:bCs/>
                <w:color w:val="auto"/>
                <w:sz w:val="28"/>
                <w:szCs w:val="28"/>
              </w:rPr>
              <w:t>沙湾山地户外运动旅游度假区低空飞行旅游项目（沙湾区）。</w:t>
            </w:r>
            <w:r>
              <w:rPr>
                <w:rFonts w:hint="eastAsia" w:ascii="Times New Roman" w:hAnsi="Times New Roman" w:eastAsia="仿宋_GB2312" w:cs="Times New Roman"/>
                <w:color w:val="auto"/>
                <w:sz w:val="28"/>
                <w:szCs w:val="28"/>
              </w:rPr>
              <w:t>拟投资约</w:t>
            </w:r>
            <w:r>
              <w:rPr>
                <w:rFonts w:ascii="Times New Roman" w:hAnsi="Times New Roman" w:eastAsia="仿宋_GB2312" w:cs="Times New Roman"/>
                <w:color w:val="auto"/>
                <w:sz w:val="28"/>
                <w:szCs w:val="28"/>
              </w:rPr>
              <w:t>50000</w:t>
            </w:r>
            <w:r>
              <w:rPr>
                <w:rFonts w:hint="eastAsia" w:ascii="Times New Roman" w:hAnsi="Times New Roman" w:eastAsia="仿宋_GB2312" w:cs="Times New Roman"/>
                <w:color w:val="auto"/>
                <w:sz w:val="28"/>
                <w:szCs w:val="28"/>
              </w:rPr>
              <w:t>万元。推动沙湾区三河九岛、二峨山、铜河银滩、四峨梯田、望佛峡、硝斗岩起降点及低空飞行基地建设，建设滑水滑翔机、航模赛事演艺中心，开发低空观光、无人机航拍摄影、无人机夜间灯光秀等文旅消费产品。</w:t>
            </w:r>
          </w:p>
          <w:p>
            <w:pPr>
              <w:spacing w:line="480" w:lineRule="exact"/>
              <w:ind w:firstLine="562" w:firstLineChars="200"/>
              <w:rPr>
                <w:rFonts w:ascii="Times New Roman" w:hAnsi="Times New Roman" w:eastAsia="仿宋_GB2312" w:cs="Times New Roman"/>
                <w:color w:val="auto"/>
                <w:sz w:val="28"/>
                <w:szCs w:val="28"/>
              </w:rPr>
            </w:pPr>
            <w:r>
              <w:rPr>
                <w:rFonts w:hint="eastAsia" w:ascii="Times New Roman" w:hAnsi="Times New Roman" w:eastAsia="仿宋_GB2312" w:cs="Times New Roman"/>
                <w:b/>
                <w:bCs/>
                <w:color w:val="auto"/>
                <w:sz w:val="28"/>
                <w:szCs w:val="28"/>
              </w:rPr>
              <w:t>嘉阳·桫椤湖—罗城古镇低空观光项目（犍为县）。</w:t>
            </w:r>
            <w:r>
              <w:rPr>
                <w:rFonts w:hint="eastAsia" w:ascii="Times New Roman" w:hAnsi="Times New Roman" w:eastAsia="仿宋_GB2312" w:cs="Times New Roman"/>
                <w:color w:val="auto"/>
                <w:sz w:val="28"/>
                <w:szCs w:val="28"/>
              </w:rPr>
              <w:t>拟投资约3500万元。打造航空飞行营地，以此为支撑构建串联嘉阳小火车（芭石铁路段）、桫椤湖、罗城古镇（船形街、凉厅街、灵官庙）三大标志性景点的空中观景走廊。</w:t>
            </w:r>
          </w:p>
          <w:p>
            <w:pPr>
              <w:spacing w:line="480" w:lineRule="exact"/>
              <w:ind w:firstLine="562" w:firstLineChars="200"/>
              <w:rPr>
                <w:rFonts w:ascii="Times New Roman" w:hAnsi="Times New Roman" w:eastAsia="仿宋_GB2312" w:cs="Times New Roman"/>
                <w:color w:val="auto"/>
                <w:sz w:val="28"/>
                <w:szCs w:val="28"/>
              </w:rPr>
            </w:pPr>
            <w:r>
              <w:rPr>
                <w:rFonts w:hint="eastAsia" w:ascii="Times New Roman" w:hAnsi="Times New Roman" w:eastAsia="仿宋_GB2312" w:cs="Times New Roman"/>
                <w:b/>
                <w:bCs/>
                <w:color w:val="auto"/>
                <w:sz w:val="28"/>
                <w:szCs w:val="28"/>
              </w:rPr>
              <w:t>峨眉山市黄湾低空飞行娱乐与研学基地项目（峨眉山市）。</w:t>
            </w:r>
            <w:r>
              <w:rPr>
                <w:rFonts w:hint="eastAsia" w:ascii="Times New Roman" w:hAnsi="Times New Roman" w:eastAsia="仿宋_GB2312" w:cs="Times New Roman"/>
                <w:color w:val="auto"/>
                <w:sz w:val="28"/>
                <w:szCs w:val="28"/>
              </w:rPr>
              <w:t>拟投资约3500万元。对黄湾镇现有临时起降点进行扩建，配套建设飞行营地、低空热气球飞艇主题营地、跳伞和滑翔伞营地、低空研学培训大楼、公共服务中心、体验展示厅、休息配套区；联动蒲公英滑翔伞飞行基地，建设空中游览航线标识、研学实训设施及安全防护围栏；配套建设2个停机坪、2个无人机起降蜂巢、1个滑翔伞收纳库，搭建低空娱乐安全监管平台及研学课程体系。</w:t>
            </w:r>
          </w:p>
          <w:p>
            <w:pPr>
              <w:spacing w:line="480" w:lineRule="exact"/>
              <w:ind w:firstLine="562" w:firstLineChars="200"/>
              <w:rPr>
                <w:rFonts w:ascii="Times New Roman" w:hAnsi="Times New Roman" w:eastAsia="仿宋_GB2312" w:cs="Times New Roman"/>
                <w:color w:val="auto"/>
                <w:sz w:val="28"/>
                <w:szCs w:val="28"/>
              </w:rPr>
            </w:pPr>
            <w:r>
              <w:rPr>
                <w:rFonts w:hint="eastAsia" w:ascii="Times New Roman" w:hAnsi="Times New Roman" w:eastAsia="仿宋_GB2312" w:cs="Times New Roman"/>
                <w:b/>
                <w:bCs/>
                <w:color w:val="auto"/>
                <w:sz w:val="28"/>
                <w:szCs w:val="28"/>
              </w:rPr>
              <w:t>乐山龙窝低空文旅示范园项目（市中区）。</w:t>
            </w:r>
            <w:r>
              <w:rPr>
                <w:rFonts w:hint="eastAsia" w:ascii="Times New Roman" w:hAnsi="Times New Roman" w:eastAsia="仿宋_GB2312" w:cs="Times New Roman"/>
                <w:color w:val="auto"/>
                <w:sz w:val="28"/>
                <w:szCs w:val="28"/>
              </w:rPr>
              <w:t>拟投资约6000万元。核心区占地面积约183亩，用低空经济和智能科技重构乐山水口龙窝村的文化叙事，锚定低空经济前沿应用领域，涵盖教育培训和低空文旅两大产业，集无人机成人培训、青少年科技主题研学、青少年无人机专业培训、智能咖啡图书馆、低空观光、国际水机俱乐部、非遗美食市集等特色业态。</w:t>
            </w:r>
          </w:p>
        </w:tc>
      </w:tr>
    </w:tbl>
    <w:p>
      <w:pPr>
        <w:spacing w:before="156" w:beforeLines="50" w:line="560" w:lineRule="exact"/>
        <w:ind w:firstLine="642" w:firstLineChars="200"/>
        <w:outlineLvl w:val="2"/>
        <w:rPr>
          <w:rFonts w:ascii="Times New Roman" w:hAnsi="Times New Roman" w:eastAsia="仿宋_GB2312" w:cs="Times New Roman"/>
          <w:b/>
          <w:color w:val="auto"/>
          <w:sz w:val="32"/>
          <w:szCs w:val="32"/>
        </w:rPr>
      </w:pPr>
      <w:bookmarkStart w:id="112" w:name="_Toc220270465"/>
      <w:bookmarkStart w:id="113" w:name="_Toc20026"/>
      <w:bookmarkStart w:id="114" w:name="_Toc207125776"/>
      <w:r>
        <w:rPr>
          <w:rFonts w:hint="eastAsia" w:ascii="Times New Roman" w:hAnsi="Times New Roman" w:eastAsia="仿宋_GB2312" w:cs="Times New Roman"/>
          <w:b/>
          <w:color w:val="auto"/>
          <w:sz w:val="32"/>
          <w:szCs w:val="32"/>
        </w:rPr>
        <w:t>2.推广山区农林生产作业</w:t>
      </w:r>
      <w:bookmarkEnd w:id="112"/>
      <w:bookmarkEnd w:id="113"/>
      <w:bookmarkEnd w:id="114"/>
    </w:p>
    <w:p>
      <w:pPr>
        <w:spacing w:line="560" w:lineRule="exact"/>
        <w:ind w:firstLine="642" w:firstLineChars="200"/>
        <w:rPr>
          <w:rFonts w:ascii="Times New Roman" w:hAnsi="Times New Roman" w:eastAsia="仿宋_GB2312" w:cs="Times New Roman"/>
          <w:color w:val="auto"/>
          <w:sz w:val="32"/>
          <w:szCs w:val="32"/>
        </w:rPr>
      </w:pPr>
      <w:r>
        <w:rPr>
          <w:rFonts w:hint="eastAsia" w:ascii="Times New Roman" w:hAnsi="Times New Roman" w:eastAsia="仿宋_GB2312" w:cs="Times New Roman"/>
          <w:b/>
          <w:bCs/>
          <w:color w:val="auto"/>
          <w:sz w:val="32"/>
          <w:szCs w:val="32"/>
        </w:rPr>
        <w:t>低空+农林植保。</w:t>
      </w:r>
      <w:r>
        <w:rPr>
          <w:rFonts w:hint="eastAsia" w:ascii="Times New Roman" w:hAnsi="Times New Roman" w:eastAsia="仿宋_GB2312" w:cs="Times New Roman"/>
          <w:color w:val="auto"/>
          <w:sz w:val="32"/>
          <w:szCs w:val="32"/>
        </w:rPr>
        <w:t>精深发展</w:t>
      </w:r>
      <w:r>
        <w:rPr>
          <w:rFonts w:hint="eastAsia" w:ascii="仿宋_GB2312" w:hAnsi="仿宋_GB2312" w:eastAsia="仿宋_GB2312" w:cs="仿宋_GB2312"/>
          <w:color w:val="auto"/>
          <w:sz w:val="32"/>
          <w:szCs w:val="32"/>
        </w:rPr>
        <w:t>“农用无人机+植保、播种、施肥”应用场景，</w:t>
      </w:r>
      <w:r>
        <w:rPr>
          <w:rFonts w:hint="eastAsia" w:ascii="Times New Roman" w:hAnsi="Times New Roman" w:eastAsia="仿宋_GB2312" w:cs="Times New Roman"/>
          <w:color w:val="auto"/>
          <w:sz w:val="32"/>
          <w:szCs w:val="32"/>
        </w:rPr>
        <w:t>在连片粮油、果蔬茶种植区域广泛开展农用无人机病虫害飞防、撒施肥料等作业，推动无人机在水稻、柑橘等领域大规模应用，按作物类型开发作业标准，集成无人机植保、智能监测、无人农机等技术，将物联网、互联网、大数据、人工智能等与农业作业深度融合，全面提升农业生产的智能化水平，支持有条件的地区打造</w:t>
      </w:r>
      <w:r>
        <w:rPr>
          <w:rFonts w:hint="eastAsia" w:ascii="仿宋_GB2312" w:hAnsi="仿宋_GB2312" w:eastAsia="仿宋_GB2312" w:cs="仿宋_GB2312"/>
          <w:color w:val="auto"/>
          <w:sz w:val="32"/>
          <w:szCs w:val="32"/>
        </w:rPr>
        <w:t>“无人机+智慧农业”</w:t>
      </w:r>
      <w:r>
        <w:rPr>
          <w:rFonts w:hint="eastAsia" w:ascii="Times New Roman" w:hAnsi="Times New Roman" w:eastAsia="仿宋_GB2312" w:cs="Times New Roman"/>
          <w:color w:val="auto"/>
          <w:sz w:val="32"/>
          <w:szCs w:val="32"/>
        </w:rPr>
        <w:t>示范基地，支持有需求的地区建设农用无人机起降平台（点）、充电站、维修站和停放场等设施。</w:t>
      </w:r>
      <w:r>
        <w:rPr>
          <w:rFonts w:hint="eastAsia" w:ascii="仿宋_GB2312" w:hAnsi="仿宋_GB2312" w:eastAsia="仿宋_GB2312" w:cs="仿宋_GB2312"/>
          <w:color w:val="auto"/>
          <w:sz w:val="32"/>
          <w:szCs w:val="32"/>
        </w:rPr>
        <w:t>支持低空航空器在林业领域普及应用，支持低空运营企业围绕森林防灭火、林业病虫害防治、林政管理、野生动植物保护、疫木运输等领域打造“低空+智慧林业”示范场景</w:t>
      </w:r>
      <w:r>
        <w:rPr>
          <w:rFonts w:hint="eastAsia" w:ascii="Times New Roman" w:hAnsi="Times New Roman" w:eastAsia="仿宋_GB2312" w:cs="Times New Roman"/>
          <w:color w:val="auto"/>
          <w:sz w:val="32"/>
          <w:szCs w:val="32"/>
        </w:rPr>
        <w:t>，支持有需求的地区探索建设航空护林站、林业无人机自动化机巢等设施。</w:t>
      </w:r>
    </w:p>
    <w:p>
      <w:pPr>
        <w:spacing w:after="156" w:afterLines="50" w:line="560" w:lineRule="exact"/>
        <w:ind w:firstLine="642" w:firstLineChars="200"/>
        <w:rPr>
          <w:rFonts w:hint="eastAsia" w:ascii="仿宋_GB2312" w:hAnsi="仿宋_GB2312" w:eastAsia="仿宋_GB2312" w:cs="仿宋_GB2312"/>
          <w:color w:val="auto"/>
          <w:sz w:val="32"/>
          <w:szCs w:val="32"/>
        </w:rPr>
      </w:pPr>
      <w:r>
        <w:rPr>
          <w:rFonts w:hint="eastAsia" w:ascii="Times New Roman" w:hAnsi="Times New Roman" w:eastAsia="仿宋_GB2312" w:cs="Times New Roman"/>
          <w:b/>
          <w:bCs/>
          <w:color w:val="auto"/>
          <w:sz w:val="32"/>
          <w:szCs w:val="32"/>
        </w:rPr>
        <w:t>低空+山区吊运。</w:t>
      </w:r>
      <w:r>
        <w:rPr>
          <w:rFonts w:hint="eastAsia" w:ascii="仿宋_GB2312" w:hAnsi="仿宋_GB2312" w:eastAsia="仿宋_GB2312" w:cs="仿宋_GB2312"/>
          <w:color w:val="auto"/>
          <w:sz w:val="32"/>
          <w:szCs w:val="32"/>
        </w:rPr>
        <w:t>推广沐川无人机林竹吊运成功经验，拓展“大载重无人机+吊运”应用范围，推动无人机在地形地貌复杂、传统运输困难地区规模化开展农林产品下山、生产物资吊运等作业，支持低空运营企业打造无人机吊运示范场景。聚焦丘陵山区林果、林药、菌菜等集中产区，推广无人机从林区、果园吊运水果、药材、菌菜到收集点，显著降低农户运输成本、提升经营收入，支持低空运营企业打造“农用无人机+农林产品采收吊运”示范场景。针对峨眉山景区传统运输瓶颈，精密论证、划设低空物流航线，推动无人机规模化开展上行物资补给、下行垃圾清运等作业任务。</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8522" w:type="dxa"/>
          </w:tcPr>
          <w:p>
            <w:pPr>
              <w:pStyle w:val="9"/>
              <w:spacing w:line="480" w:lineRule="exact"/>
              <w:jc w:val="center"/>
              <w:rPr>
                <w:rFonts w:ascii="Times New Roman" w:hAnsi="Times New Roman" w:eastAsia="黑体" w:cs="Times New Roman"/>
                <w:color w:val="auto"/>
                <w:lang w:val="en-US" w:bidi="ar-SA"/>
              </w:rPr>
            </w:pPr>
            <w:r>
              <w:rPr>
                <w:rFonts w:hint="eastAsia" w:ascii="Times New Roman" w:hAnsi="Times New Roman" w:eastAsia="黑体" w:cs="Times New Roman"/>
                <w:color w:val="auto"/>
                <w:sz w:val="28"/>
                <w:szCs w:val="28"/>
                <w:lang w:val="en-US" w:bidi="ar"/>
              </w:rPr>
              <w:t>专栏9  低空生产作业重点项目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8522" w:type="dxa"/>
          </w:tcPr>
          <w:p>
            <w:pPr>
              <w:spacing w:line="480" w:lineRule="exact"/>
              <w:ind w:firstLine="562" w:firstLineChars="200"/>
              <w:rPr>
                <w:rFonts w:ascii="Times New Roman" w:hAnsi="Times New Roman" w:eastAsia="仿宋_GB2312" w:cs="Times New Roman"/>
                <w:color w:val="auto"/>
                <w:sz w:val="28"/>
                <w:szCs w:val="28"/>
              </w:rPr>
            </w:pPr>
            <w:r>
              <w:rPr>
                <w:rFonts w:hint="eastAsia" w:ascii="Times New Roman" w:hAnsi="Times New Roman" w:eastAsia="仿宋_GB2312" w:cs="Times New Roman"/>
                <w:b/>
                <w:bCs/>
                <w:color w:val="auto"/>
                <w:sz w:val="28"/>
                <w:szCs w:val="28"/>
              </w:rPr>
              <w:t>无人机柑橘植保示范场景（</w:t>
            </w:r>
            <w:r>
              <w:rPr>
                <w:rFonts w:hint="eastAsia" w:ascii="仿宋_GB2312" w:hAnsi="仿宋_GB2312" w:eastAsia="仿宋_GB2312" w:cs="仿宋_GB2312"/>
                <w:b/>
                <w:bCs/>
                <w:color w:val="auto"/>
                <w:sz w:val="28"/>
                <w:szCs w:val="28"/>
              </w:rPr>
              <w:t>“农用无人机+植保、施肥”</w:t>
            </w:r>
            <w:r>
              <w:rPr>
                <w:rFonts w:hint="eastAsia" w:ascii="Times New Roman" w:hAnsi="Times New Roman" w:eastAsia="仿宋_GB2312" w:cs="Times New Roman"/>
                <w:b/>
                <w:bCs/>
                <w:color w:val="auto"/>
                <w:sz w:val="28"/>
                <w:szCs w:val="28"/>
              </w:rPr>
              <w:t>示范场景）（井研县）。</w:t>
            </w:r>
            <w:r>
              <w:rPr>
                <w:rFonts w:ascii="Times New Roman" w:hAnsi="Times New Roman" w:eastAsia="仿宋_GB2312" w:cs="Times New Roman"/>
                <w:color w:val="auto"/>
                <w:sz w:val="28"/>
                <w:szCs w:val="28"/>
              </w:rPr>
              <w:t>拟投资约</w:t>
            </w:r>
            <w:r>
              <w:rPr>
                <w:rFonts w:hint="eastAsia" w:ascii="Times New Roman" w:hAnsi="Times New Roman" w:eastAsia="仿宋_GB2312" w:cs="Times New Roman"/>
                <w:color w:val="auto"/>
                <w:sz w:val="28"/>
                <w:szCs w:val="28"/>
              </w:rPr>
              <w:t>5</w:t>
            </w:r>
            <w:r>
              <w:rPr>
                <w:rFonts w:ascii="Times New Roman" w:hAnsi="Times New Roman" w:eastAsia="仿宋_GB2312" w:cs="Times New Roman"/>
                <w:color w:val="auto"/>
                <w:sz w:val="28"/>
                <w:szCs w:val="28"/>
              </w:rPr>
              <w:t>00万元。</w:t>
            </w:r>
            <w:r>
              <w:rPr>
                <w:rFonts w:hint="eastAsia" w:ascii="Times New Roman" w:hAnsi="Times New Roman" w:eastAsia="仿宋_GB2312" w:cs="Times New Roman"/>
                <w:color w:val="auto"/>
                <w:sz w:val="28"/>
                <w:szCs w:val="28"/>
              </w:rPr>
              <w:t>配备多旋翼植保无人机，每台单机日作业面积达200亩，实现精准施药，红蜘蛛防治效率达90%以上</w:t>
            </w:r>
            <w:r>
              <w:rPr>
                <w:rFonts w:hint="eastAsia" w:ascii="仿宋_GB2312" w:hAnsi="仿宋_GB2312" w:eastAsia="仿宋_GB2312" w:cs="仿宋_GB2312"/>
                <w:color w:val="auto"/>
                <w:sz w:val="28"/>
                <w:szCs w:val="28"/>
              </w:rPr>
              <w:t>；</w:t>
            </w:r>
            <w:r>
              <w:rPr>
                <w:rFonts w:hint="eastAsia" w:ascii="Times New Roman" w:hAnsi="Times New Roman" w:eastAsia="仿宋_GB2312" w:cs="Times New Roman"/>
                <w:color w:val="auto"/>
                <w:sz w:val="28"/>
                <w:szCs w:val="28"/>
              </w:rPr>
              <w:t>结合水肥一体化技术，无人机搭载变量施肥模块，根据土壤监测数据精准调控养分，减少化肥使用30%</w:t>
            </w:r>
            <w:r>
              <w:rPr>
                <w:rFonts w:hint="eastAsia" w:ascii="仿宋_GB2312" w:hAnsi="仿宋_GB2312" w:eastAsia="仿宋_GB2312" w:cs="仿宋_GB2312"/>
                <w:color w:val="auto"/>
                <w:sz w:val="28"/>
                <w:szCs w:val="28"/>
              </w:rPr>
              <w:t>；</w:t>
            </w:r>
            <w:r>
              <w:rPr>
                <w:rFonts w:hint="eastAsia" w:ascii="Times New Roman" w:hAnsi="Times New Roman" w:eastAsia="仿宋_GB2312" w:cs="Times New Roman"/>
                <w:color w:val="auto"/>
                <w:sz w:val="28"/>
                <w:szCs w:val="28"/>
              </w:rPr>
              <w:t>集成物联网监测（</w:t>
            </w:r>
            <w:r>
              <w:rPr>
                <w:rFonts w:ascii="Times New Roman" w:hAnsi="Times New Roman" w:eastAsia="仿宋_GB2312" w:cs="Times New Roman"/>
                <w:color w:val="auto"/>
                <w:sz w:val="28"/>
                <w:szCs w:val="28"/>
              </w:rPr>
              <w:t>气象站、虫情灯、土壤传感器</w:t>
            </w:r>
            <w:r>
              <w:rPr>
                <w:rFonts w:hint="eastAsia" w:ascii="Times New Roman" w:hAnsi="Times New Roman" w:eastAsia="仿宋_GB2312" w:cs="Times New Roman"/>
                <w:color w:val="auto"/>
                <w:sz w:val="28"/>
                <w:szCs w:val="28"/>
              </w:rPr>
              <w:t>），实时分析数据并自动规划航线支持远程操控，覆盖1000亩核心柑橘园，辐射全县23万亩柑橘基地，带动农户采用无人机作业，降低人工成本50%。</w:t>
            </w:r>
          </w:p>
          <w:p>
            <w:pPr>
              <w:spacing w:line="480" w:lineRule="exact"/>
              <w:ind w:firstLine="562" w:firstLineChars="200"/>
              <w:rPr>
                <w:rFonts w:ascii="Times New Roman" w:hAnsi="Times New Roman" w:eastAsia="仿宋_GB2312" w:cs="Times New Roman"/>
                <w:color w:val="auto"/>
                <w:sz w:val="28"/>
                <w:szCs w:val="28"/>
              </w:rPr>
            </w:pPr>
            <w:r>
              <w:rPr>
                <w:rFonts w:hint="eastAsia" w:ascii="Times New Roman" w:hAnsi="Times New Roman" w:eastAsia="仿宋_GB2312" w:cs="Times New Roman"/>
                <w:b/>
                <w:bCs/>
                <w:color w:val="auto"/>
                <w:sz w:val="28"/>
                <w:szCs w:val="28"/>
              </w:rPr>
              <w:t>无人机林竹吊运示范场景（农用无人机大载重吊运示范场景）（沐川县）。</w:t>
            </w:r>
            <w:r>
              <w:rPr>
                <w:rFonts w:hint="eastAsia" w:ascii="Times New Roman" w:hAnsi="Times New Roman" w:eastAsia="仿宋_GB2312" w:cs="Times New Roman"/>
                <w:color w:val="auto"/>
                <w:sz w:val="28"/>
                <w:szCs w:val="28"/>
              </w:rPr>
              <w:t>总结提炼无人机林竹吊运的成功经验，持续壮大应用规模，打造农用无人机大载重吊运示范场景，促进林竹产业和林下经济发展；向周边地区输出农用无人机大载重吊运解决方案，提升经营收入。</w:t>
            </w:r>
          </w:p>
          <w:p>
            <w:pPr>
              <w:spacing w:line="480" w:lineRule="exact"/>
              <w:ind w:firstLine="562" w:firstLineChars="200"/>
              <w:rPr>
                <w:rFonts w:ascii="Times New Roman" w:hAnsi="Times New Roman" w:eastAsia="仿宋_GB2312" w:cs="Times New Roman"/>
                <w:color w:val="auto"/>
                <w:sz w:val="28"/>
                <w:szCs w:val="28"/>
              </w:rPr>
            </w:pPr>
            <w:r>
              <w:rPr>
                <w:rFonts w:hint="eastAsia" w:ascii="Times New Roman" w:hAnsi="Times New Roman" w:eastAsia="仿宋_GB2312" w:cs="Times New Roman"/>
                <w:b/>
                <w:bCs/>
                <w:color w:val="auto"/>
                <w:sz w:val="28"/>
                <w:szCs w:val="28"/>
              </w:rPr>
              <w:t>山地丘陵无人机植保、播种场景（犍为县）。</w:t>
            </w:r>
            <w:r>
              <w:rPr>
                <w:rFonts w:ascii="Times New Roman" w:hAnsi="Times New Roman" w:eastAsia="仿宋_GB2312" w:cs="Times New Roman"/>
                <w:color w:val="auto"/>
                <w:sz w:val="28"/>
                <w:szCs w:val="28"/>
              </w:rPr>
              <w:t>拟投资约</w:t>
            </w:r>
            <w:r>
              <w:rPr>
                <w:rFonts w:hint="eastAsia" w:ascii="Times New Roman" w:hAnsi="Times New Roman" w:eastAsia="仿宋_GB2312" w:cs="Times New Roman"/>
                <w:color w:val="auto"/>
                <w:sz w:val="28"/>
                <w:szCs w:val="28"/>
              </w:rPr>
              <w:t>2</w:t>
            </w:r>
            <w:r>
              <w:rPr>
                <w:rFonts w:ascii="Times New Roman" w:hAnsi="Times New Roman" w:eastAsia="仿宋_GB2312" w:cs="Times New Roman"/>
                <w:color w:val="auto"/>
                <w:sz w:val="28"/>
                <w:szCs w:val="28"/>
              </w:rPr>
              <w:t>00万元。</w:t>
            </w:r>
            <w:r>
              <w:rPr>
                <w:rFonts w:hint="eastAsia" w:ascii="Times New Roman" w:hAnsi="Times New Roman" w:eastAsia="仿宋_GB2312" w:cs="Times New Roman"/>
                <w:color w:val="auto"/>
                <w:sz w:val="28"/>
                <w:szCs w:val="28"/>
              </w:rPr>
              <w:t>在罗城片区重点面向水稻、茶叶、水果产业打造无人机植保示范基地3-5个；在清溪片区重点面向水稻、茉莉花、烟叶产业打造无人机植保示范基地3-5个；在石溪片区重点面向水果、茶产业打造无人机植保示范基地3-5个；在孝姑片区重点面向小麦、油菜种植打造无人机飞播作业示范基地2-3个。在无人机植保、飞播作业基础上，率先开展精量播撒与溯源监管工作，</w:t>
            </w:r>
            <w:r>
              <w:rPr>
                <w:rFonts w:hint="eastAsia" w:ascii="仿宋_GB2312" w:hAnsi="仿宋_GB2312" w:eastAsia="仿宋_GB2312" w:cs="仿宋_GB2312"/>
                <w:color w:val="auto"/>
                <w:sz w:val="28"/>
                <w:szCs w:val="28"/>
              </w:rPr>
              <w:t>打造“山地丘陵-生态农业”品牌，引领全省现代农业技术发展。</w:t>
            </w:r>
          </w:p>
          <w:p>
            <w:pPr>
              <w:spacing w:line="480" w:lineRule="exact"/>
              <w:ind w:firstLine="562" w:firstLineChars="200"/>
              <w:rPr>
                <w:rFonts w:ascii="Times New Roman" w:hAnsi="Times New Roman" w:eastAsia="仿宋_GB2312" w:cs="Times New Roman"/>
                <w:color w:val="auto"/>
                <w:sz w:val="28"/>
                <w:szCs w:val="28"/>
              </w:rPr>
            </w:pPr>
            <w:r>
              <w:rPr>
                <w:rFonts w:hint="eastAsia" w:ascii="仿宋_GB2312" w:hAnsi="仿宋_GB2312" w:eastAsia="仿宋_GB2312" w:cs="仿宋_GB2312"/>
                <w:b/>
                <w:bCs/>
                <w:color w:val="auto"/>
                <w:sz w:val="28"/>
                <w:szCs w:val="28"/>
              </w:rPr>
              <w:t>“无人机+智慧农业”</w:t>
            </w:r>
            <w:r>
              <w:rPr>
                <w:rFonts w:hint="eastAsia" w:ascii="Times New Roman" w:hAnsi="Times New Roman" w:eastAsia="仿宋_GB2312" w:cs="Times New Roman"/>
                <w:b/>
                <w:bCs/>
                <w:color w:val="auto"/>
                <w:sz w:val="28"/>
                <w:szCs w:val="28"/>
              </w:rPr>
              <w:t>场景（犍为县）。</w:t>
            </w:r>
            <w:r>
              <w:rPr>
                <w:rFonts w:hint="eastAsia" w:ascii="Times New Roman" w:hAnsi="Times New Roman" w:eastAsia="仿宋_GB2312" w:cs="Times New Roman"/>
                <w:color w:val="auto"/>
                <w:sz w:val="28"/>
                <w:szCs w:val="28"/>
              </w:rPr>
              <w:t>拟投资约500万元。围绕罗城粮油园区（罗城、定文、舞雩、寿保）打造常态化无人机+智慧农业示范基地4-8个；围绕清溪茉莉花园区打造常态化无人机+智慧农业监测示范基地2-3个；围绕孝姑片区蓝莓、蔬菜种植打造智慧大棚，开展无人机+智慧农业监测示范应用。</w:t>
            </w:r>
          </w:p>
          <w:p>
            <w:pPr>
              <w:spacing w:line="480" w:lineRule="exact"/>
              <w:ind w:firstLine="562" w:firstLineChars="200"/>
              <w:rPr>
                <w:rFonts w:ascii="Times New Roman" w:hAnsi="Times New Roman" w:eastAsia="仿宋_GB2312" w:cs="Times New Roman"/>
                <w:color w:val="auto"/>
                <w:sz w:val="28"/>
                <w:szCs w:val="28"/>
              </w:rPr>
            </w:pPr>
            <w:r>
              <w:rPr>
                <w:rFonts w:hint="eastAsia" w:ascii="Times New Roman" w:hAnsi="Times New Roman" w:eastAsia="仿宋_GB2312" w:cs="Times New Roman"/>
                <w:b/>
                <w:bCs/>
                <w:color w:val="auto"/>
                <w:sz w:val="28"/>
                <w:szCs w:val="28"/>
              </w:rPr>
              <w:t>山地丘陵无人机吊运场景（犍为县）。</w:t>
            </w:r>
            <w:r>
              <w:rPr>
                <w:rFonts w:ascii="Times New Roman" w:hAnsi="Times New Roman" w:eastAsia="仿宋_GB2312" w:cs="Times New Roman"/>
                <w:color w:val="auto"/>
                <w:sz w:val="28"/>
                <w:szCs w:val="28"/>
              </w:rPr>
              <w:t>拟投资约500万元。</w:t>
            </w:r>
            <w:r>
              <w:rPr>
                <w:rFonts w:hint="eastAsia" w:ascii="Times New Roman" w:hAnsi="Times New Roman" w:eastAsia="仿宋_GB2312" w:cs="Times New Roman"/>
                <w:color w:val="auto"/>
                <w:sz w:val="28"/>
                <w:szCs w:val="28"/>
              </w:rPr>
              <w:t>重点打造山地丘陵条件下100-300千克载荷的无人机吊运场景。在罗城片区重点打造粮食吊运、水果（柑橘）吊运基地3-5个；在清溪片区重点打造林竹吊运、粮食吊运基地3-5个；在石溪片区重点打造水果（樱桃李）吊运、蔬菜吊运基地3-5个；在孝姑片区重点打造中药材吊运、粮食吊运基地2-3个。</w:t>
            </w:r>
          </w:p>
          <w:p>
            <w:pPr>
              <w:spacing w:line="480" w:lineRule="exact"/>
              <w:ind w:firstLine="562" w:firstLineChars="200"/>
              <w:rPr>
                <w:rFonts w:ascii="Times New Roman" w:hAnsi="Times New Roman" w:eastAsia="仿宋_GB2312" w:cs="Times New Roman"/>
                <w:color w:val="auto"/>
                <w:sz w:val="28"/>
                <w:szCs w:val="28"/>
              </w:rPr>
            </w:pPr>
            <w:r>
              <w:rPr>
                <w:rFonts w:hint="eastAsia" w:ascii="Times New Roman" w:hAnsi="Times New Roman" w:eastAsia="仿宋_GB2312" w:cs="Times New Roman"/>
                <w:b/>
                <w:bCs/>
                <w:color w:val="auto"/>
                <w:sz w:val="28"/>
                <w:szCs w:val="28"/>
              </w:rPr>
              <w:t>无人机竹笋运输场景（峨边彝族自治县）。</w:t>
            </w:r>
            <w:r>
              <w:rPr>
                <w:rFonts w:hint="eastAsia" w:ascii="Times New Roman" w:hAnsi="Times New Roman" w:eastAsia="仿宋_GB2312" w:cs="Times New Roman"/>
                <w:color w:val="auto"/>
                <w:sz w:val="28"/>
                <w:szCs w:val="28"/>
              </w:rPr>
              <w:t>扩大“无人机+竹笋”运输规模，针对新林镇、杨河乡等竹笋主产区，建立“田间地头—县城集散中心”低空物流通道，同步建设县城冷链中心，配备保鲜库与冷冻库。</w:t>
            </w:r>
          </w:p>
          <w:p>
            <w:pPr>
              <w:spacing w:line="480" w:lineRule="exact"/>
              <w:ind w:firstLine="562" w:firstLineChars="200"/>
              <w:rPr>
                <w:rFonts w:ascii="Times New Roman" w:hAnsi="Times New Roman" w:eastAsia="仿宋_GB2312" w:cs="Times New Roman"/>
                <w:color w:val="auto"/>
                <w:sz w:val="28"/>
                <w:szCs w:val="28"/>
              </w:rPr>
            </w:pPr>
            <w:r>
              <w:rPr>
                <w:rFonts w:hint="eastAsia" w:ascii="Times New Roman" w:hAnsi="Times New Roman" w:eastAsia="仿宋_GB2312" w:cs="Times New Roman"/>
                <w:b/>
                <w:bCs/>
                <w:color w:val="auto"/>
                <w:sz w:val="28"/>
                <w:szCs w:val="28"/>
              </w:rPr>
              <w:t>沙湾川佛手智慧植保无人机应用场景（沙湾区）。</w:t>
            </w:r>
            <w:r>
              <w:rPr>
                <w:rFonts w:hint="eastAsia" w:ascii="Times New Roman" w:hAnsi="Times New Roman" w:eastAsia="仿宋_GB2312" w:cs="Times New Roman"/>
                <w:color w:val="auto"/>
                <w:sz w:val="28"/>
                <w:szCs w:val="28"/>
              </w:rPr>
              <w:t>覆盖沙湾区2.8万亩佛手种植基地，购置30架大载重植保无人机、智能充电站及农药配比系统，并搭建农业物联网数据平台，配套云端数据管理平台，实现“空</w:t>
            </w:r>
            <w:r>
              <w:rPr>
                <w:rFonts w:ascii="仿宋_GB2312" w:hAnsi="仿宋_GB2312" w:eastAsia="仿宋_GB2312" w:cs="仿宋_GB2312"/>
                <w:color w:val="auto"/>
                <w:sz w:val="28"/>
                <w:szCs w:val="28"/>
              </w:rPr>
              <w:t>-</w:t>
            </w:r>
            <w:r>
              <w:rPr>
                <w:rFonts w:hint="eastAsia" w:ascii="Times New Roman" w:hAnsi="Times New Roman" w:eastAsia="仿宋_GB2312" w:cs="Times New Roman"/>
                <w:color w:val="auto"/>
                <w:sz w:val="28"/>
                <w:szCs w:val="28"/>
              </w:rPr>
              <w:t>地</w:t>
            </w:r>
            <w:r>
              <w:rPr>
                <w:rFonts w:ascii="仿宋_GB2312" w:hAnsi="仿宋_GB2312" w:eastAsia="仿宋_GB2312" w:cs="仿宋_GB2312"/>
                <w:color w:val="auto"/>
                <w:sz w:val="28"/>
                <w:szCs w:val="28"/>
              </w:rPr>
              <w:t>-</w:t>
            </w:r>
            <w:r>
              <w:rPr>
                <w:rFonts w:hint="eastAsia" w:ascii="Times New Roman" w:hAnsi="Times New Roman" w:eastAsia="仿宋_GB2312" w:cs="Times New Roman"/>
                <w:color w:val="auto"/>
                <w:sz w:val="28"/>
                <w:szCs w:val="28"/>
              </w:rPr>
              <w:t>云”一体化智慧农业作业，年作业面积10万亩。</w:t>
            </w:r>
          </w:p>
        </w:tc>
      </w:tr>
    </w:tbl>
    <w:p>
      <w:pPr>
        <w:spacing w:before="156" w:beforeLines="50" w:line="560" w:lineRule="exact"/>
        <w:ind w:firstLine="642" w:firstLineChars="200"/>
        <w:outlineLvl w:val="2"/>
        <w:rPr>
          <w:rFonts w:ascii="Times New Roman" w:hAnsi="Times New Roman" w:eastAsia="仿宋_GB2312" w:cs="Times New Roman"/>
          <w:b/>
          <w:color w:val="auto"/>
          <w:sz w:val="32"/>
          <w:szCs w:val="32"/>
        </w:rPr>
      </w:pPr>
      <w:bookmarkStart w:id="115" w:name="_Toc12422"/>
      <w:bookmarkStart w:id="116" w:name="_Toc207125777"/>
      <w:bookmarkStart w:id="117" w:name="_Toc220270466"/>
      <w:r>
        <w:rPr>
          <w:rFonts w:hint="eastAsia" w:ascii="Times New Roman" w:hAnsi="Times New Roman" w:eastAsia="仿宋_GB2312" w:cs="Times New Roman"/>
          <w:b/>
          <w:color w:val="auto"/>
          <w:sz w:val="32"/>
          <w:szCs w:val="32"/>
        </w:rPr>
        <w:t>3.丰富低空公共服务领域</w:t>
      </w:r>
      <w:bookmarkEnd w:id="115"/>
      <w:bookmarkEnd w:id="116"/>
      <w:bookmarkEnd w:id="117"/>
    </w:p>
    <w:p>
      <w:pPr>
        <w:spacing w:line="560" w:lineRule="exact"/>
        <w:ind w:firstLine="642"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低空+城市治理。</w:t>
      </w:r>
      <w:r>
        <w:rPr>
          <w:rFonts w:hint="eastAsia" w:ascii="仿宋_GB2312" w:hAnsi="仿宋_GB2312" w:eastAsia="仿宋_GB2312" w:cs="仿宋_GB2312"/>
          <w:color w:val="auto"/>
          <w:sz w:val="32"/>
          <w:szCs w:val="32"/>
        </w:rPr>
        <w:t>发挥政府购买公共服务的引导作用，鼓励各县（市、区）统筹现有无人机资源、部署无人机智能巡检基站、探索无人机托管模式，鼓励跨部门、跨地域协作，整合自然资源、生态环境、林业、水利、应急、住建、交通、农业农村、综合执法等低空飞行服务需求，实现无人机远程指挥调度、全天候数据采集，赋能治安巡查、生态治理、交管巡控、大型活动监控、突发公共事件监测等各场景，打造“一网统飞”城市综合治理示范。支持国资平台在现有应用基础上建设“警务+政务”低空巡管一张网，构建统一的低空城市管理服务系统，建立“全域覆盖、全时响应、一飞多用、精准处置、全链闭环”的低空数智治理机制，推行“综合飞一次”政务巡管模式，打造公共数据“跑起来”示范场景。试点开发世界遗产资源保护监测、乐山大佛文物保护等无人机服务应用场景。</w:t>
      </w:r>
    </w:p>
    <w:p>
      <w:pPr>
        <w:spacing w:line="560" w:lineRule="exact"/>
        <w:ind w:firstLine="642" w:firstLineChars="200"/>
        <w:rPr>
          <w:rFonts w:ascii="Times New Roman" w:hAnsi="Times New Roman" w:eastAsia="仿宋_GB2312" w:cs="Times New Roman"/>
          <w:color w:val="auto"/>
          <w:sz w:val="32"/>
        </w:rPr>
      </w:pPr>
      <w:r>
        <w:rPr>
          <w:rFonts w:hint="eastAsia" w:ascii="Times New Roman" w:hAnsi="Times New Roman" w:eastAsia="仿宋_GB2312" w:cs="Times New Roman"/>
          <w:b/>
          <w:bCs/>
          <w:color w:val="auto"/>
          <w:sz w:val="32"/>
          <w:szCs w:val="32"/>
        </w:rPr>
        <w:t>低空+应急救援。</w:t>
      </w:r>
      <w:r>
        <w:rPr>
          <w:rFonts w:hint="eastAsia" w:ascii="Times New Roman" w:hAnsi="Times New Roman" w:eastAsia="仿宋_GB2312" w:cs="Times New Roman"/>
          <w:color w:val="auto"/>
          <w:sz w:val="32"/>
          <w:szCs w:val="32"/>
        </w:rPr>
        <w:t>积极融入全省航空应急救援体系，统筹建设一批江心岛、山区等应急救援起降点，支持马边彝族自治县、峨边彝族自治县、市中区、沙湾区等地建设航空应急救援基地，提升快速反应能力和应急救援水平。结合乐山实际，重点围绕山路常态化巡检、高层建筑和森林防灭火、自然灾害处置、交通事故救援、灾情侦察、应急通信等领域，</w:t>
      </w:r>
      <w:r>
        <w:rPr>
          <w:rFonts w:hint="eastAsia" w:ascii="Times New Roman" w:hAnsi="Times New Roman" w:eastAsia="仿宋_GB2312" w:cs="Times New Roman"/>
          <w:color w:val="auto"/>
          <w:spacing w:val="6"/>
          <w:sz w:val="32"/>
          <w:szCs w:val="32"/>
        </w:rPr>
        <w:t>支持相关部门自建或采用购买服务的方式，形成</w:t>
      </w:r>
      <w:r>
        <w:rPr>
          <w:rFonts w:hint="eastAsia" w:ascii="仿宋_GB2312" w:hAnsi="仿宋_GB2312" w:eastAsia="仿宋_GB2312" w:cs="仿宋_GB2312"/>
          <w:color w:val="auto"/>
          <w:spacing w:val="6"/>
          <w:sz w:val="32"/>
          <w:szCs w:val="32"/>
        </w:rPr>
        <w:t>“无人机+有人机”</w:t>
      </w:r>
      <w:r>
        <w:rPr>
          <w:rFonts w:hint="eastAsia" w:ascii="Times New Roman" w:hAnsi="Times New Roman" w:eastAsia="仿宋_GB2312" w:cs="Times New Roman"/>
          <w:color w:val="auto"/>
          <w:spacing w:val="6"/>
          <w:sz w:val="32"/>
          <w:szCs w:val="32"/>
        </w:rPr>
        <w:t>高低搭配、功能互补的低空救援体系，</w:t>
      </w:r>
      <w:r>
        <w:rPr>
          <w:rFonts w:hint="eastAsia" w:ascii="Times New Roman" w:hAnsi="Times New Roman" w:eastAsia="仿宋_GB2312" w:cs="Times New Roman"/>
          <w:color w:val="auto"/>
          <w:sz w:val="32"/>
        </w:rPr>
        <w:t>逐步推动航空应急救援向“全灾种、大应急”发展，推动应急人员、物资、装备等低空投运全域覆盖。</w:t>
      </w:r>
    </w:p>
    <w:p>
      <w:pPr>
        <w:spacing w:line="560" w:lineRule="exact"/>
        <w:ind w:firstLine="642" w:firstLineChars="200"/>
        <w:rPr>
          <w:rFonts w:ascii="仿宋_GB2312" w:hAnsi="Times New Roman" w:eastAsia="仿宋_GB2312" w:cs="Times New Roman"/>
          <w:color w:val="auto"/>
          <w:spacing w:val="6"/>
          <w:sz w:val="32"/>
          <w:szCs w:val="32"/>
        </w:rPr>
      </w:pPr>
      <w:r>
        <w:rPr>
          <w:rFonts w:hint="eastAsia" w:ascii="Times New Roman" w:hAnsi="Times New Roman" w:eastAsia="仿宋_GB2312" w:cs="Times New Roman"/>
          <w:b/>
          <w:bCs/>
          <w:color w:val="auto"/>
          <w:sz w:val="32"/>
          <w:szCs w:val="32"/>
        </w:rPr>
        <w:t>低空+医疗救护。</w:t>
      </w:r>
      <w:r>
        <w:rPr>
          <w:rFonts w:hint="eastAsia" w:ascii="Times New Roman" w:hAnsi="Times New Roman" w:eastAsia="仿宋_GB2312"/>
          <w:color w:val="auto"/>
          <w:sz w:val="32"/>
        </w:rPr>
        <w:t>依托乐山市人民医院、武警四川总队医院等医疗卫生机构，</w:t>
      </w:r>
      <w:r>
        <w:rPr>
          <w:rFonts w:hint="eastAsia" w:ascii="仿宋_GB2312" w:hAnsi="Times New Roman" w:eastAsia="仿宋_GB2312" w:cs="Times New Roman"/>
          <w:color w:val="auto"/>
          <w:spacing w:val="6"/>
          <w:sz w:val="32"/>
          <w:szCs w:val="32"/>
        </w:rPr>
        <w:t>完善医疗机构起降设施布局建设，加强医疗机构与通用航空运营企业联动，推动航空医疗救护服务试点，逐步建立健全航空医疗救援体系，满足重大活动保障、公众院前医疗急救、突发公共事件紧急救援等需求。</w:t>
      </w:r>
      <w:r>
        <w:rPr>
          <w:rFonts w:hint="eastAsia" w:ascii="Times New Roman" w:hAnsi="Times New Roman" w:eastAsia="仿宋_GB2312" w:cs="Times New Roman"/>
          <w:color w:val="auto"/>
          <w:spacing w:val="6"/>
          <w:sz w:val="32"/>
          <w:szCs w:val="32"/>
        </w:rPr>
        <w:t>支持有条件的</w:t>
      </w:r>
      <w:r>
        <w:rPr>
          <w:rFonts w:ascii="Times New Roman" w:hAnsi="Times New Roman" w:eastAsia="仿宋_GB2312" w:cs="Times New Roman"/>
          <w:color w:val="auto"/>
          <w:spacing w:val="6"/>
          <w:sz w:val="32"/>
          <w:szCs w:val="32"/>
        </w:rPr>
        <w:t>县（市、区）</w:t>
      </w:r>
      <w:r>
        <w:rPr>
          <w:rFonts w:hint="eastAsia" w:ascii="Times New Roman" w:hAnsi="Times New Roman" w:eastAsia="仿宋_GB2312" w:cs="Times New Roman"/>
          <w:color w:val="auto"/>
          <w:spacing w:val="6"/>
          <w:sz w:val="32"/>
          <w:szCs w:val="32"/>
        </w:rPr>
        <w:t>探索开展</w:t>
      </w:r>
      <w:r>
        <w:rPr>
          <w:rFonts w:hint="eastAsia" w:ascii="仿宋_GB2312" w:hAnsi="仿宋_GB2312" w:eastAsia="仿宋_GB2312" w:cs="仿宋_GB2312"/>
          <w:color w:val="auto"/>
          <w:spacing w:val="6"/>
          <w:sz w:val="32"/>
          <w:szCs w:val="32"/>
        </w:rPr>
        <w:t>“</w:t>
      </w:r>
      <w:r>
        <w:rPr>
          <w:rFonts w:hint="eastAsia" w:ascii="Times New Roman" w:hAnsi="Times New Roman" w:eastAsia="仿宋_GB2312" w:cs="Times New Roman"/>
          <w:color w:val="auto"/>
          <w:spacing w:val="6"/>
          <w:sz w:val="32"/>
          <w:szCs w:val="32"/>
        </w:rPr>
        <w:t>空中120</w:t>
      </w:r>
      <w:r>
        <w:rPr>
          <w:rFonts w:hint="eastAsia" w:ascii="仿宋_GB2312" w:hAnsi="仿宋_GB2312" w:eastAsia="仿宋_GB2312" w:cs="仿宋_GB2312"/>
          <w:color w:val="auto"/>
          <w:spacing w:val="6"/>
          <w:sz w:val="32"/>
          <w:szCs w:val="32"/>
        </w:rPr>
        <w:t>”</w:t>
      </w:r>
      <w:r>
        <w:rPr>
          <w:rFonts w:hint="eastAsia" w:ascii="Times New Roman" w:hAnsi="Times New Roman" w:eastAsia="仿宋_GB2312" w:cs="Times New Roman"/>
          <w:color w:val="auto"/>
          <w:spacing w:val="6"/>
          <w:sz w:val="32"/>
          <w:szCs w:val="32"/>
        </w:rPr>
        <w:t>试点示范，建立低空医疗救助物流配送网络，实现急救患者、血液制品、检测样本、供体器官等快速转运。</w:t>
      </w:r>
      <w:r>
        <w:rPr>
          <w:rFonts w:hint="eastAsia" w:ascii="Times New Roman" w:hAnsi="Times New Roman" w:eastAsia="仿宋_GB2312" w:cs="Times New Roman"/>
          <w:color w:val="auto"/>
          <w:sz w:val="32"/>
        </w:rPr>
        <w:t>加强政府对航空医疗救护的支持力度，探索</w:t>
      </w:r>
      <w:r>
        <w:rPr>
          <w:rFonts w:hint="eastAsia" w:ascii="仿宋_GB2312" w:hAnsi="仿宋_GB2312" w:eastAsia="仿宋_GB2312" w:cs="仿宋_GB2312"/>
          <w:color w:val="auto"/>
          <w:sz w:val="32"/>
        </w:rPr>
        <w:t>“政府引导+商业保险”</w:t>
      </w:r>
      <w:r>
        <w:rPr>
          <w:rFonts w:hint="eastAsia" w:ascii="Times New Roman" w:hAnsi="Times New Roman" w:eastAsia="仿宋_GB2312" w:cs="Times New Roman"/>
          <w:color w:val="auto"/>
          <w:sz w:val="32"/>
        </w:rPr>
        <w:t>模式，健全救援保险机制和业务，逐步降低航空医疗救护价格、减轻民众应急救援费用压力。</w:t>
      </w:r>
    </w:p>
    <w:p>
      <w:pPr>
        <w:spacing w:after="156" w:afterLines="50" w:line="560" w:lineRule="exact"/>
        <w:ind w:firstLine="642" w:firstLineChars="200"/>
        <w:rPr>
          <w:rFonts w:ascii="Times New Roman" w:hAnsi="Times New Roman" w:eastAsia="仿宋_GB2312" w:cs="Times New Roman"/>
          <w:color w:val="auto"/>
          <w:sz w:val="32"/>
          <w:szCs w:val="32"/>
        </w:rPr>
      </w:pPr>
      <w:r>
        <w:rPr>
          <w:rFonts w:hint="eastAsia" w:ascii="Times New Roman" w:hAnsi="Times New Roman" w:eastAsia="仿宋_GB2312" w:cs="Times New Roman"/>
          <w:b/>
          <w:bCs/>
          <w:color w:val="auto"/>
          <w:sz w:val="32"/>
          <w:szCs w:val="32"/>
        </w:rPr>
        <w:t>低空+警务安防。</w:t>
      </w:r>
      <w:r>
        <w:rPr>
          <w:rFonts w:hint="eastAsia" w:ascii="Times New Roman" w:hAnsi="Times New Roman" w:eastAsia="仿宋_GB2312" w:cs="Times New Roman"/>
          <w:color w:val="auto"/>
          <w:sz w:val="32"/>
          <w:szCs w:val="32"/>
        </w:rPr>
        <w:t>总结推广无人机在公安巡防领域的实战应用经验，结合乐山重点区域安防布局，分阶段推进警用无人机自动化机巢在机场、政务核心区、景区、交通枢纽等关键点位的全域覆盖，依托智能化低空应用，实现地面安全防范盲区填补、案件侦查证据链闭环完善、大型活动安保及应急处置场景下的靠前指挥调度。持续做强蜀警飞鹰乐山航空队，系统拓展直升机、多类型警用无人机在活动安保、突发警情处置、常态化治安巡防、溺水救援、刑事案件侦办等领域的实战化应用，构建空地协同、立体管控、立体作战、全时响应的现代化警务格局。同步强化低空安全普法宣传力度，通过线上线下多渠道普及无人机实名登记、飞行空域报备等管理规定，提升社会公众遵法守法意识。持续建强专业化无人机防控队伍，按需配齐配强多种类无人机侦测、反制装备，聚焦重点区域低空安全防控，联合民航、空管等部门加大“黑飞”等违法违规飞行行为的查处打击力度，筑牢低空安全防线。</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8522" w:type="dxa"/>
          </w:tcPr>
          <w:p>
            <w:pPr>
              <w:pStyle w:val="9"/>
              <w:spacing w:line="480" w:lineRule="exact"/>
              <w:jc w:val="center"/>
              <w:rPr>
                <w:rFonts w:ascii="Times New Roman" w:hAnsi="Times New Roman" w:eastAsia="黑体" w:cs="Times New Roman"/>
                <w:color w:val="auto"/>
                <w:lang w:val="en-US" w:bidi="ar-SA"/>
              </w:rPr>
            </w:pPr>
            <w:r>
              <w:rPr>
                <w:rFonts w:hint="eastAsia" w:ascii="Times New Roman" w:hAnsi="Times New Roman" w:eastAsia="黑体" w:cs="Times New Roman"/>
                <w:color w:val="auto"/>
                <w:sz w:val="28"/>
                <w:szCs w:val="28"/>
                <w:lang w:val="en-US" w:bidi="ar"/>
              </w:rPr>
              <w:t>专栏10  低空公共服务重点项目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8522" w:type="dxa"/>
          </w:tcPr>
          <w:p>
            <w:pPr>
              <w:spacing w:line="480" w:lineRule="exact"/>
              <w:ind w:firstLine="562" w:firstLineChars="200"/>
              <w:rPr>
                <w:rFonts w:ascii="Times New Roman" w:hAnsi="Times New Roman" w:eastAsia="仿宋_GB2312" w:cs="Times New Roman"/>
                <w:color w:val="auto"/>
                <w:sz w:val="28"/>
                <w:szCs w:val="28"/>
              </w:rPr>
            </w:pPr>
            <w:r>
              <w:rPr>
                <w:rFonts w:hint="eastAsia" w:ascii="仿宋_GB2312" w:hAnsi="仿宋_GB2312" w:eastAsia="仿宋_GB2312" w:cs="仿宋_GB2312"/>
                <w:b/>
                <w:bCs/>
                <w:color w:val="auto"/>
                <w:sz w:val="28"/>
                <w:szCs w:val="28"/>
              </w:rPr>
              <w:t>“一网统飞”</w:t>
            </w:r>
            <w:r>
              <w:rPr>
                <w:rFonts w:ascii="Times New Roman" w:hAnsi="Times New Roman" w:eastAsia="仿宋_GB2312" w:cs="Times New Roman"/>
                <w:b/>
                <w:bCs/>
                <w:color w:val="auto"/>
                <w:sz w:val="28"/>
                <w:szCs w:val="28"/>
              </w:rPr>
              <w:t>城市综合治理</w:t>
            </w:r>
            <w:r>
              <w:rPr>
                <w:rFonts w:hint="eastAsia" w:ascii="Times New Roman" w:hAnsi="Times New Roman" w:eastAsia="仿宋_GB2312" w:cs="Times New Roman"/>
                <w:b/>
                <w:bCs/>
                <w:color w:val="auto"/>
                <w:sz w:val="28"/>
                <w:szCs w:val="28"/>
              </w:rPr>
              <w:t>示范项目。</w:t>
            </w:r>
            <w:r>
              <w:rPr>
                <w:rFonts w:ascii="Times New Roman" w:hAnsi="Times New Roman" w:eastAsia="仿宋_GB2312" w:cs="Times New Roman"/>
                <w:color w:val="auto"/>
                <w:sz w:val="28"/>
                <w:szCs w:val="28"/>
              </w:rPr>
              <w:t>拟投资约</w:t>
            </w:r>
            <w:r>
              <w:rPr>
                <w:rFonts w:hint="eastAsia" w:ascii="Times New Roman" w:hAnsi="Times New Roman" w:eastAsia="仿宋_GB2312" w:cs="Times New Roman"/>
                <w:color w:val="auto"/>
                <w:sz w:val="28"/>
                <w:szCs w:val="28"/>
              </w:rPr>
              <w:t>100</w:t>
            </w:r>
            <w:r>
              <w:rPr>
                <w:rFonts w:ascii="Times New Roman" w:hAnsi="Times New Roman" w:eastAsia="仿宋_GB2312" w:cs="Times New Roman"/>
                <w:color w:val="auto"/>
                <w:sz w:val="28"/>
                <w:szCs w:val="28"/>
              </w:rPr>
              <w:t>00万元</w:t>
            </w:r>
            <w:r>
              <w:rPr>
                <w:rFonts w:hint="eastAsia" w:ascii="Times New Roman" w:hAnsi="Times New Roman" w:eastAsia="仿宋_GB2312" w:cs="Times New Roman"/>
                <w:color w:val="auto"/>
                <w:sz w:val="28"/>
                <w:szCs w:val="28"/>
              </w:rPr>
              <w:t>。立足全市政务巡检需求，推动跨部门、跨地域协作，整合公安、自然资源、生态环境、林业、水利、应急、住建、交通、农业农村等部门低空飞行服务需要，依托</w:t>
            </w:r>
            <w:r>
              <w:rPr>
                <w:rFonts w:ascii="Times New Roman" w:hAnsi="Times New Roman" w:eastAsia="仿宋_GB2312" w:cs="Times New Roman"/>
                <w:color w:val="auto"/>
                <w:sz w:val="28"/>
                <w:szCs w:val="28"/>
              </w:rPr>
              <w:t>国资平台现有</w:t>
            </w:r>
            <w:r>
              <w:rPr>
                <w:rFonts w:hint="eastAsia" w:ascii="Times New Roman" w:hAnsi="Times New Roman" w:eastAsia="仿宋_GB2312" w:cs="Times New Roman"/>
                <w:color w:val="auto"/>
                <w:sz w:val="28"/>
                <w:szCs w:val="28"/>
              </w:rPr>
              <w:t>低空场景</w:t>
            </w:r>
            <w:r>
              <w:rPr>
                <w:rFonts w:ascii="Times New Roman" w:hAnsi="Times New Roman" w:eastAsia="仿宋_GB2312" w:cs="Times New Roman"/>
                <w:color w:val="auto"/>
                <w:sz w:val="28"/>
                <w:szCs w:val="28"/>
              </w:rPr>
              <w:t>应用基础</w:t>
            </w:r>
            <w:r>
              <w:rPr>
                <w:rFonts w:hint="eastAsia" w:ascii="Times New Roman" w:hAnsi="Times New Roman" w:eastAsia="仿宋_GB2312" w:cs="Times New Roman"/>
                <w:color w:val="auto"/>
                <w:sz w:val="28"/>
                <w:szCs w:val="28"/>
              </w:rPr>
              <w:t>，</w:t>
            </w:r>
            <w:r>
              <w:rPr>
                <w:rFonts w:ascii="Times New Roman" w:hAnsi="Times New Roman" w:eastAsia="仿宋_GB2312" w:cs="Times New Roman"/>
                <w:color w:val="auto"/>
                <w:sz w:val="28"/>
                <w:szCs w:val="28"/>
              </w:rPr>
              <w:t>建设</w:t>
            </w:r>
            <w:r>
              <w:rPr>
                <w:rFonts w:hint="eastAsia" w:ascii="仿宋_GB2312" w:hAnsi="仿宋_GB2312" w:eastAsia="仿宋_GB2312" w:cs="仿宋_GB2312"/>
                <w:color w:val="auto"/>
                <w:sz w:val="28"/>
                <w:szCs w:val="28"/>
              </w:rPr>
              <w:t>“警务+政务”</w:t>
            </w:r>
            <w:r>
              <w:rPr>
                <w:rFonts w:ascii="Times New Roman" w:hAnsi="Times New Roman" w:eastAsia="仿宋_GB2312" w:cs="Times New Roman"/>
                <w:color w:val="auto"/>
                <w:sz w:val="28"/>
                <w:szCs w:val="28"/>
              </w:rPr>
              <w:t>低空巡管</w:t>
            </w:r>
            <w:r>
              <w:rPr>
                <w:rFonts w:hint="eastAsia" w:ascii="Times New Roman" w:hAnsi="Times New Roman" w:eastAsia="仿宋_GB2312" w:cs="Times New Roman"/>
                <w:color w:val="auto"/>
                <w:sz w:val="28"/>
                <w:szCs w:val="28"/>
              </w:rPr>
              <w:t>平台</w:t>
            </w:r>
            <w:r>
              <w:rPr>
                <w:rFonts w:ascii="Times New Roman" w:hAnsi="Times New Roman" w:eastAsia="仿宋_GB2312" w:cs="Times New Roman"/>
                <w:color w:val="auto"/>
                <w:sz w:val="28"/>
                <w:szCs w:val="28"/>
              </w:rPr>
              <w:t>，</w:t>
            </w:r>
            <w:r>
              <w:rPr>
                <w:rFonts w:hint="eastAsia" w:ascii="Times New Roman" w:hAnsi="Times New Roman" w:eastAsia="仿宋_GB2312" w:cs="Times New Roman"/>
                <w:color w:val="auto"/>
                <w:sz w:val="28"/>
                <w:szCs w:val="28"/>
              </w:rPr>
              <w:t>统筹部署全市无人机智能巡检机巢，</w:t>
            </w:r>
            <w:r>
              <w:rPr>
                <w:rFonts w:ascii="Times New Roman" w:hAnsi="Times New Roman" w:eastAsia="仿宋_GB2312" w:cs="Times New Roman"/>
                <w:color w:val="auto"/>
                <w:sz w:val="28"/>
                <w:szCs w:val="28"/>
              </w:rPr>
              <w:t>整合现有分散的无人机资源与数据，</w:t>
            </w:r>
            <w:r>
              <w:rPr>
                <w:rFonts w:hint="eastAsia" w:ascii="Times New Roman" w:hAnsi="Times New Roman" w:eastAsia="仿宋_GB2312" w:cs="Times New Roman"/>
                <w:color w:val="auto"/>
                <w:sz w:val="28"/>
                <w:szCs w:val="28"/>
              </w:rPr>
              <w:t>打造</w:t>
            </w:r>
            <w:r>
              <w:rPr>
                <w:rFonts w:hint="eastAsia" w:ascii="仿宋_GB2312" w:hAnsi="仿宋_GB2312" w:eastAsia="仿宋_GB2312" w:cs="仿宋_GB2312"/>
                <w:color w:val="auto"/>
                <w:sz w:val="28"/>
                <w:szCs w:val="28"/>
              </w:rPr>
              <w:t>“统一指挥、协同共享、高效处置”</w:t>
            </w:r>
            <w:r>
              <w:rPr>
                <w:rFonts w:hint="eastAsia" w:ascii="Times New Roman" w:hAnsi="Times New Roman" w:eastAsia="仿宋_GB2312" w:cs="Times New Roman"/>
                <w:color w:val="auto"/>
                <w:sz w:val="28"/>
                <w:szCs w:val="28"/>
              </w:rPr>
              <w:t>的低空政务巡检体系，打通空域管理、数据融合、任务协同三大链路，构建</w:t>
            </w:r>
            <w:r>
              <w:rPr>
                <w:rFonts w:hint="eastAsia" w:ascii="仿宋_GB2312" w:hAnsi="仿宋_GB2312" w:eastAsia="仿宋_GB2312" w:cs="仿宋_GB2312"/>
                <w:color w:val="auto"/>
                <w:sz w:val="28"/>
                <w:szCs w:val="28"/>
              </w:rPr>
              <w:t>“全域覆盖、全时响应、一飞多用、精准处置、全链闭环”</w:t>
            </w:r>
            <w:r>
              <w:rPr>
                <w:rFonts w:hint="eastAsia" w:ascii="Times New Roman" w:hAnsi="Times New Roman" w:eastAsia="仿宋_GB2312" w:cs="Times New Roman"/>
                <w:color w:val="auto"/>
                <w:sz w:val="28"/>
                <w:szCs w:val="28"/>
              </w:rPr>
              <w:t>的低空城市数智治理机制，建立无人机政务巡检专业化队伍，推行</w:t>
            </w:r>
            <w:r>
              <w:rPr>
                <w:rFonts w:hint="eastAsia" w:ascii="仿宋_GB2312" w:hAnsi="仿宋_GB2312" w:eastAsia="仿宋_GB2312" w:cs="仿宋_GB2312"/>
                <w:color w:val="auto"/>
                <w:sz w:val="28"/>
                <w:szCs w:val="28"/>
              </w:rPr>
              <w:t>“四统一享”</w:t>
            </w:r>
            <w:r>
              <w:rPr>
                <w:rFonts w:hint="eastAsia" w:ascii="Times New Roman" w:hAnsi="Times New Roman" w:eastAsia="仿宋_GB2312" w:cs="Times New Roman"/>
                <w:color w:val="auto"/>
                <w:sz w:val="28"/>
                <w:szCs w:val="28"/>
              </w:rPr>
              <w:t>政务巡检模式（统一机群、统一调度、</w:t>
            </w:r>
            <w:r>
              <w:rPr>
                <w:rFonts w:ascii="Times New Roman" w:hAnsi="Times New Roman" w:eastAsia="仿宋_GB2312" w:cs="Times New Roman"/>
                <w:color w:val="auto"/>
                <w:sz w:val="28"/>
                <w:szCs w:val="28"/>
              </w:rPr>
              <w:t>统一运营、</w:t>
            </w:r>
            <w:r>
              <w:rPr>
                <w:rFonts w:hint="eastAsia" w:ascii="Times New Roman" w:hAnsi="Times New Roman" w:eastAsia="仿宋_GB2312" w:cs="Times New Roman"/>
                <w:color w:val="auto"/>
                <w:sz w:val="28"/>
                <w:szCs w:val="28"/>
              </w:rPr>
              <w:t>统一标准、数据共享），实现政务巡检无人机资源</w:t>
            </w:r>
            <w:r>
              <w:rPr>
                <w:rFonts w:hint="eastAsia" w:ascii="仿宋_GB2312" w:hAnsi="仿宋_GB2312" w:eastAsia="仿宋_GB2312" w:cs="仿宋_GB2312"/>
                <w:color w:val="auto"/>
                <w:sz w:val="28"/>
                <w:szCs w:val="28"/>
              </w:rPr>
              <w:t>“一次采购、全市共享、一次巡查、数据通用”，</w:t>
            </w:r>
            <w:r>
              <w:rPr>
                <w:rFonts w:hint="eastAsia" w:ascii="Times New Roman" w:hAnsi="Times New Roman" w:eastAsia="仿宋_GB2312" w:cs="Times New Roman"/>
                <w:color w:val="auto"/>
                <w:sz w:val="28"/>
                <w:szCs w:val="28"/>
              </w:rPr>
              <w:t>实现无人机政务巡检、城市治理的规模化运营，提升智慧城市治理能力，打造国内低空政务集约应用典范。</w:t>
            </w:r>
          </w:p>
          <w:p>
            <w:pPr>
              <w:spacing w:line="480" w:lineRule="exact"/>
              <w:ind w:firstLine="562" w:firstLineChars="200"/>
              <w:rPr>
                <w:rFonts w:ascii="Times New Roman" w:hAnsi="Times New Roman" w:eastAsia="仿宋_GB2312" w:cs="Times New Roman"/>
                <w:color w:val="auto"/>
                <w:sz w:val="28"/>
                <w:szCs w:val="28"/>
              </w:rPr>
            </w:pPr>
            <w:r>
              <w:rPr>
                <w:rFonts w:hint="eastAsia" w:ascii="Times New Roman" w:hAnsi="Times New Roman" w:eastAsia="仿宋_GB2312" w:cs="Times New Roman"/>
                <w:b/>
                <w:bCs/>
                <w:color w:val="auto"/>
                <w:sz w:val="28"/>
                <w:szCs w:val="28"/>
              </w:rPr>
              <w:t>乐山高新区低空经济场景创新基础设施项目。</w:t>
            </w:r>
            <w:r>
              <w:rPr>
                <w:rFonts w:hint="eastAsia" w:ascii="Times New Roman" w:hAnsi="Times New Roman" w:eastAsia="仿宋_GB2312" w:cs="Times New Roman"/>
                <w:color w:val="auto"/>
                <w:sz w:val="28"/>
                <w:szCs w:val="28"/>
              </w:rPr>
              <w:t>拟投资约</w:t>
            </w:r>
            <w:r>
              <w:rPr>
                <w:rFonts w:ascii="Times New Roman" w:hAnsi="Times New Roman" w:eastAsia="仿宋_GB2312" w:cs="Times New Roman"/>
                <w:color w:val="auto"/>
                <w:sz w:val="28"/>
                <w:szCs w:val="28"/>
              </w:rPr>
              <w:t>5200</w:t>
            </w:r>
            <w:r>
              <w:rPr>
                <w:rFonts w:hint="eastAsia" w:ascii="Times New Roman" w:hAnsi="Times New Roman" w:eastAsia="仿宋_GB2312" w:cs="Times New Roman"/>
                <w:color w:val="auto"/>
                <w:sz w:val="28"/>
                <w:szCs w:val="28"/>
              </w:rPr>
              <w:t>万元。主要由“空巡地查”智能巡检系统、“低空货运”物流产业带、低空经济“场景安全”试验系统组成。其中，空巡地查智能巡检系统涉及空中蜂巢式智能无人机场</w:t>
            </w:r>
            <w:r>
              <w:rPr>
                <w:rFonts w:ascii="Times New Roman" w:hAnsi="Times New Roman" w:eastAsia="仿宋_GB2312" w:cs="Times New Roman"/>
                <w:color w:val="auto"/>
                <w:sz w:val="28"/>
                <w:szCs w:val="28"/>
              </w:rPr>
              <w:t>5</w:t>
            </w:r>
            <w:r>
              <w:rPr>
                <w:rFonts w:hint="eastAsia" w:ascii="Times New Roman" w:hAnsi="Times New Roman" w:eastAsia="仿宋_GB2312" w:cs="Times New Roman"/>
                <w:color w:val="auto"/>
                <w:sz w:val="28"/>
                <w:szCs w:val="28"/>
              </w:rPr>
              <w:t>个、各类无人机</w:t>
            </w:r>
            <w:r>
              <w:rPr>
                <w:rFonts w:ascii="Times New Roman" w:hAnsi="Times New Roman" w:eastAsia="仿宋_GB2312" w:cs="Times New Roman"/>
                <w:color w:val="auto"/>
                <w:sz w:val="28"/>
                <w:szCs w:val="28"/>
              </w:rPr>
              <w:t>10</w:t>
            </w:r>
            <w:r>
              <w:rPr>
                <w:rFonts w:hint="eastAsia" w:ascii="Times New Roman" w:hAnsi="Times New Roman" w:eastAsia="仿宋_GB2312" w:cs="Times New Roman"/>
                <w:color w:val="auto"/>
                <w:sz w:val="28"/>
                <w:szCs w:val="28"/>
              </w:rPr>
              <w:t>台（套）、地面无人机指挥车</w:t>
            </w:r>
            <w:r>
              <w:rPr>
                <w:rFonts w:ascii="Times New Roman" w:hAnsi="Times New Roman" w:eastAsia="仿宋_GB2312" w:cs="Times New Roman"/>
                <w:color w:val="auto"/>
                <w:sz w:val="28"/>
                <w:szCs w:val="28"/>
              </w:rPr>
              <w:t>2</w:t>
            </w:r>
            <w:r>
              <w:rPr>
                <w:rFonts w:hint="eastAsia" w:ascii="Times New Roman" w:hAnsi="Times New Roman" w:eastAsia="仿宋_GB2312" w:cs="Times New Roman"/>
                <w:color w:val="auto"/>
                <w:sz w:val="28"/>
                <w:szCs w:val="28"/>
              </w:rPr>
              <w:t>台、园区厂房巡检机器人</w:t>
            </w:r>
            <w:r>
              <w:rPr>
                <w:rFonts w:ascii="Times New Roman" w:hAnsi="Times New Roman" w:eastAsia="仿宋_GB2312" w:cs="Times New Roman"/>
                <w:color w:val="auto"/>
                <w:sz w:val="28"/>
                <w:szCs w:val="28"/>
              </w:rPr>
              <w:t>5</w:t>
            </w:r>
            <w:r>
              <w:rPr>
                <w:rFonts w:hint="eastAsia" w:ascii="Times New Roman" w:hAnsi="Times New Roman" w:eastAsia="仿宋_GB2312" w:cs="Times New Roman"/>
                <w:color w:val="auto"/>
                <w:sz w:val="28"/>
                <w:szCs w:val="28"/>
              </w:rPr>
              <w:t>台（套），配套建设无人机一体化数字治理平台</w:t>
            </w:r>
            <w:r>
              <w:rPr>
                <w:rFonts w:ascii="Times New Roman" w:hAnsi="Times New Roman" w:eastAsia="仿宋_GB2312" w:cs="Times New Roman"/>
                <w:color w:val="auto"/>
                <w:sz w:val="28"/>
                <w:szCs w:val="28"/>
              </w:rPr>
              <w:t>1</w:t>
            </w:r>
            <w:r>
              <w:rPr>
                <w:rFonts w:hint="eastAsia" w:ascii="Times New Roman" w:hAnsi="Times New Roman" w:eastAsia="仿宋_GB2312" w:cs="Times New Roman"/>
                <w:color w:val="auto"/>
                <w:sz w:val="28"/>
                <w:szCs w:val="28"/>
              </w:rPr>
              <w:t>个，构建“</w:t>
            </w:r>
            <w:r>
              <w:rPr>
                <w:rFonts w:ascii="Times New Roman" w:hAnsi="Times New Roman" w:eastAsia="仿宋_GB2312" w:cs="Times New Roman"/>
                <w:color w:val="auto"/>
                <w:sz w:val="28"/>
                <w:szCs w:val="28"/>
              </w:rPr>
              <w:t>5G+AI</w:t>
            </w:r>
            <w:r>
              <w:rPr>
                <w:rFonts w:hint="eastAsia" w:ascii="Times New Roman" w:hAnsi="Times New Roman" w:eastAsia="仿宋_GB2312" w:cs="Times New Roman"/>
                <w:color w:val="auto"/>
                <w:sz w:val="28"/>
                <w:szCs w:val="28"/>
              </w:rPr>
              <w:t>”智能化巡检示范航线</w:t>
            </w:r>
            <w:r>
              <w:rPr>
                <w:rFonts w:ascii="Times New Roman" w:hAnsi="Times New Roman" w:eastAsia="仿宋_GB2312" w:cs="Times New Roman"/>
                <w:color w:val="auto"/>
                <w:sz w:val="28"/>
                <w:szCs w:val="28"/>
              </w:rPr>
              <w:t>3</w:t>
            </w:r>
            <w:r>
              <w:rPr>
                <w:rFonts w:hint="eastAsia" w:ascii="Times New Roman" w:hAnsi="Times New Roman" w:eastAsia="仿宋_GB2312" w:cs="Times New Roman"/>
                <w:color w:val="auto"/>
                <w:sz w:val="28"/>
                <w:szCs w:val="28"/>
              </w:rPr>
              <w:t>条；低空货运物流产业带涉及低空航线划设</w:t>
            </w:r>
            <w:r>
              <w:rPr>
                <w:rFonts w:ascii="Times New Roman" w:hAnsi="Times New Roman" w:eastAsia="仿宋_GB2312" w:cs="Times New Roman"/>
                <w:color w:val="auto"/>
                <w:sz w:val="28"/>
                <w:szCs w:val="28"/>
              </w:rPr>
              <w:t>1</w:t>
            </w:r>
            <w:r>
              <w:rPr>
                <w:rFonts w:hint="eastAsia" w:ascii="Times New Roman" w:hAnsi="Times New Roman" w:eastAsia="仿宋_GB2312" w:cs="Times New Roman"/>
                <w:color w:val="auto"/>
                <w:sz w:val="28"/>
                <w:szCs w:val="28"/>
              </w:rPr>
              <w:t>条、低空货运地面基站</w:t>
            </w:r>
            <w:r>
              <w:rPr>
                <w:rFonts w:ascii="Times New Roman" w:hAnsi="Times New Roman" w:eastAsia="仿宋_GB2312" w:cs="Times New Roman"/>
                <w:color w:val="auto"/>
                <w:sz w:val="28"/>
                <w:szCs w:val="28"/>
              </w:rPr>
              <w:t>2</w:t>
            </w:r>
            <w:r>
              <w:rPr>
                <w:rFonts w:hint="eastAsia" w:ascii="Times New Roman" w:hAnsi="Times New Roman" w:eastAsia="仿宋_GB2312" w:cs="Times New Roman"/>
                <w:color w:val="auto"/>
                <w:sz w:val="28"/>
                <w:szCs w:val="28"/>
              </w:rPr>
              <w:t>个、三层安全防控体系</w:t>
            </w:r>
            <w:r>
              <w:rPr>
                <w:rFonts w:ascii="Times New Roman" w:hAnsi="Times New Roman" w:eastAsia="仿宋_GB2312" w:cs="Times New Roman"/>
                <w:color w:val="auto"/>
                <w:sz w:val="28"/>
                <w:szCs w:val="28"/>
              </w:rPr>
              <w:t>1</w:t>
            </w:r>
            <w:r>
              <w:rPr>
                <w:rFonts w:hint="eastAsia" w:ascii="Times New Roman" w:hAnsi="Times New Roman" w:eastAsia="仿宋_GB2312" w:cs="Times New Roman"/>
                <w:color w:val="auto"/>
                <w:sz w:val="28"/>
                <w:szCs w:val="28"/>
              </w:rPr>
              <w:t>套（由</w:t>
            </w:r>
            <w:r>
              <w:rPr>
                <w:rFonts w:ascii="Times New Roman" w:hAnsi="Times New Roman" w:eastAsia="仿宋_GB2312" w:cs="Times New Roman"/>
                <w:color w:val="auto"/>
                <w:sz w:val="28"/>
                <w:szCs w:val="28"/>
              </w:rPr>
              <w:t>2</w:t>
            </w:r>
            <w:r>
              <w:rPr>
                <w:rFonts w:hint="eastAsia" w:ascii="Times New Roman" w:hAnsi="Times New Roman" w:eastAsia="仿宋_GB2312" w:cs="Times New Roman"/>
                <w:color w:val="auto"/>
                <w:sz w:val="28"/>
                <w:szCs w:val="28"/>
              </w:rPr>
              <w:t>套物理防护设施、</w:t>
            </w:r>
            <w:r>
              <w:rPr>
                <w:rFonts w:ascii="Times New Roman" w:hAnsi="Times New Roman" w:eastAsia="仿宋_GB2312" w:cs="Times New Roman"/>
                <w:color w:val="auto"/>
                <w:sz w:val="28"/>
                <w:szCs w:val="28"/>
              </w:rPr>
              <w:t>1</w:t>
            </w:r>
            <w:r>
              <w:rPr>
                <w:rFonts w:hint="eastAsia" w:ascii="Times New Roman" w:hAnsi="Times New Roman" w:eastAsia="仿宋_GB2312" w:cs="Times New Roman"/>
                <w:color w:val="auto"/>
                <w:sz w:val="28"/>
                <w:szCs w:val="28"/>
              </w:rPr>
              <w:t>套数据安全系统、</w:t>
            </w:r>
            <w:r>
              <w:rPr>
                <w:rFonts w:ascii="Times New Roman" w:hAnsi="Times New Roman" w:eastAsia="仿宋_GB2312" w:cs="Times New Roman"/>
                <w:color w:val="auto"/>
                <w:sz w:val="28"/>
                <w:szCs w:val="28"/>
              </w:rPr>
              <w:t>1</w:t>
            </w:r>
            <w:r>
              <w:rPr>
                <w:rFonts w:hint="eastAsia" w:ascii="Times New Roman" w:hAnsi="Times New Roman" w:eastAsia="仿宋_GB2312" w:cs="Times New Roman"/>
                <w:color w:val="auto"/>
                <w:sz w:val="28"/>
                <w:szCs w:val="28"/>
              </w:rPr>
              <w:t>套应急管理系统及配套安全指标、作业流程构成）；低空经济“场景安全”试验系统由多维时空</w:t>
            </w:r>
            <w:r>
              <w:rPr>
                <w:rFonts w:ascii="Times New Roman" w:hAnsi="Times New Roman" w:eastAsia="仿宋_GB2312" w:cs="Times New Roman"/>
                <w:color w:val="auto"/>
                <w:sz w:val="28"/>
                <w:szCs w:val="28"/>
              </w:rPr>
              <w:t>GIS</w:t>
            </w:r>
            <w:r>
              <w:rPr>
                <w:rFonts w:hint="eastAsia" w:ascii="Times New Roman" w:hAnsi="Times New Roman" w:eastAsia="仿宋_GB2312" w:cs="Times New Roman"/>
                <w:color w:val="auto"/>
                <w:sz w:val="28"/>
                <w:szCs w:val="28"/>
              </w:rPr>
              <w:t>数据底座、飞行器实时监管与云控、飞行器感知规控算法仿真测试、空域与航路规划管理等组成，完成各类低空经济场景创新项目验证落地不少于</w:t>
            </w:r>
            <w:r>
              <w:rPr>
                <w:rFonts w:ascii="Times New Roman" w:hAnsi="Times New Roman" w:eastAsia="仿宋_GB2312" w:cs="Times New Roman"/>
                <w:color w:val="auto"/>
                <w:sz w:val="28"/>
                <w:szCs w:val="28"/>
              </w:rPr>
              <w:t>5</w:t>
            </w:r>
            <w:r>
              <w:rPr>
                <w:rFonts w:hint="eastAsia" w:ascii="Times New Roman" w:hAnsi="Times New Roman" w:eastAsia="仿宋_GB2312" w:cs="Times New Roman"/>
                <w:color w:val="auto"/>
                <w:sz w:val="28"/>
                <w:szCs w:val="28"/>
              </w:rPr>
              <w:t>个。</w:t>
            </w:r>
            <w:r>
              <w:rPr>
                <w:rFonts w:hint="eastAsia" w:ascii="Times New Roman" w:hAnsi="Times New Roman" w:eastAsia="仿宋_GB2312" w:cs="Times New Roman"/>
                <w:b/>
                <w:bCs/>
                <w:color w:val="auto"/>
                <w:sz w:val="28"/>
                <w:szCs w:val="28"/>
              </w:rPr>
              <w:t>低空经济产业投资合作项目（市中区）。</w:t>
            </w:r>
            <w:r>
              <w:rPr>
                <w:rFonts w:hint="eastAsia" w:ascii="Times New Roman" w:hAnsi="Times New Roman" w:eastAsia="仿宋_GB2312" w:cs="Times New Roman"/>
                <w:color w:val="auto"/>
                <w:sz w:val="28"/>
                <w:szCs w:val="28"/>
              </w:rPr>
              <w:t>抢抓低空经济快速发展的战略机遇，市中区推进</w:t>
            </w:r>
            <w:r>
              <w:rPr>
                <w:rFonts w:hint="eastAsia" w:ascii="仿宋_GB2312" w:hAnsi="仿宋_GB2312" w:eastAsia="仿宋_GB2312" w:cs="仿宋_GB2312"/>
                <w:color w:val="auto"/>
                <w:sz w:val="28"/>
                <w:szCs w:val="28"/>
              </w:rPr>
              <w:t>“空天地”</w:t>
            </w:r>
            <w:r>
              <w:rPr>
                <w:rFonts w:hint="eastAsia" w:ascii="Times New Roman" w:hAnsi="Times New Roman" w:eastAsia="仿宋_GB2312" w:cs="Times New Roman"/>
                <w:color w:val="auto"/>
                <w:sz w:val="28"/>
                <w:szCs w:val="28"/>
              </w:rPr>
              <w:t>一体的监测网和时空数字底座建设，目标打造成为全市乃至全省低空地理信息产业的示范项目。</w:t>
            </w:r>
          </w:p>
          <w:p>
            <w:pPr>
              <w:spacing w:line="480" w:lineRule="exact"/>
              <w:ind w:firstLine="562" w:firstLineChars="200"/>
              <w:rPr>
                <w:rFonts w:ascii="Times New Roman" w:hAnsi="Times New Roman" w:eastAsia="仿宋_GB2312" w:cs="Times New Roman"/>
                <w:color w:val="auto"/>
                <w:sz w:val="28"/>
                <w:szCs w:val="28"/>
              </w:rPr>
            </w:pPr>
            <w:r>
              <w:rPr>
                <w:rFonts w:hint="eastAsia" w:ascii="Times New Roman" w:hAnsi="Times New Roman" w:eastAsia="仿宋_GB2312" w:cs="Times New Roman"/>
                <w:b/>
                <w:bCs/>
                <w:color w:val="auto"/>
                <w:sz w:val="28"/>
                <w:szCs w:val="28"/>
              </w:rPr>
              <w:t>峨眉山市低空应急救援基础设施建设项目。</w:t>
            </w:r>
            <w:r>
              <w:rPr>
                <w:rFonts w:ascii="Times New Roman" w:hAnsi="Times New Roman" w:eastAsia="仿宋_GB2312" w:cs="Times New Roman"/>
                <w:color w:val="auto"/>
                <w:sz w:val="28"/>
                <w:szCs w:val="28"/>
              </w:rPr>
              <w:t>拟投资约2500</w:t>
            </w:r>
            <w:r>
              <w:rPr>
                <w:rFonts w:hint="eastAsia" w:ascii="Times New Roman" w:hAnsi="Times New Roman" w:eastAsia="仿宋_GB2312" w:cs="Times New Roman"/>
                <w:color w:val="auto"/>
                <w:sz w:val="28"/>
                <w:szCs w:val="28"/>
              </w:rPr>
              <w:t>万元。建设1个低空应急救援起降场（面积6000平方米），配套300平方米应急物资库房、150平方米救援指挥室及医疗急救点；配备应急救援直升机2架、大型救援无人机5架及专业救援设备（含绞车、救生筏、医疗转运装备）；搭建低空应急救援调度平台，衔接市级应急指挥系统，建设应急救援训练场地及人员休整设施。</w:t>
            </w:r>
          </w:p>
          <w:p>
            <w:pPr>
              <w:spacing w:line="480" w:lineRule="exact"/>
              <w:ind w:firstLine="562" w:firstLineChars="200"/>
              <w:rPr>
                <w:rFonts w:ascii="Times New Roman" w:hAnsi="Times New Roman" w:eastAsia="仿宋_GB2312" w:cs="Times New Roman"/>
                <w:color w:val="auto"/>
                <w:sz w:val="28"/>
                <w:szCs w:val="28"/>
              </w:rPr>
            </w:pPr>
            <w:r>
              <w:rPr>
                <w:rFonts w:hint="eastAsia" w:ascii="Times New Roman" w:hAnsi="Times New Roman" w:eastAsia="仿宋_GB2312" w:cs="Times New Roman"/>
                <w:b/>
                <w:bCs/>
                <w:color w:val="auto"/>
                <w:sz w:val="28"/>
                <w:szCs w:val="28"/>
              </w:rPr>
              <w:t>马边彝族自治县航空应急救援基地项目。</w:t>
            </w:r>
            <w:r>
              <w:rPr>
                <w:rFonts w:ascii="Times New Roman" w:hAnsi="Times New Roman" w:eastAsia="仿宋_GB2312" w:cs="Times New Roman"/>
                <w:color w:val="auto"/>
                <w:sz w:val="28"/>
                <w:szCs w:val="28"/>
              </w:rPr>
              <w:t>拟投资约</w:t>
            </w:r>
            <w:r>
              <w:rPr>
                <w:rFonts w:hint="eastAsia" w:ascii="Times New Roman" w:hAnsi="Times New Roman" w:eastAsia="仿宋_GB2312" w:cs="Times New Roman"/>
                <w:color w:val="auto"/>
                <w:sz w:val="28"/>
                <w:szCs w:val="28"/>
              </w:rPr>
              <w:t>19000万元。改建民建镇5000㎡停机坪，在荣丁镇、荍坝镇、民主镇、高卓营乡新建4个4000㎡直升机停机坪，新建3个3200㎡的野外应急救援直升机降落点。配套建设无人机起降、充电、存储等功能设施，购买物流配送无人机60台。</w:t>
            </w:r>
          </w:p>
          <w:p>
            <w:pPr>
              <w:spacing w:line="480" w:lineRule="exact"/>
              <w:ind w:firstLine="562" w:firstLineChars="200"/>
              <w:rPr>
                <w:rFonts w:ascii="Times New Roman" w:hAnsi="Times New Roman" w:eastAsia="仿宋_GB2312" w:cs="Times New Roman"/>
                <w:color w:val="auto"/>
                <w:sz w:val="28"/>
                <w:szCs w:val="28"/>
              </w:rPr>
            </w:pPr>
            <w:r>
              <w:rPr>
                <w:rFonts w:hint="eastAsia" w:ascii="Times New Roman" w:hAnsi="Times New Roman" w:eastAsia="仿宋_GB2312" w:cs="Times New Roman"/>
                <w:b/>
                <w:bCs/>
                <w:color w:val="auto"/>
                <w:sz w:val="28"/>
                <w:szCs w:val="28"/>
              </w:rPr>
              <w:t>沙湾区航空应急救援基地项目。</w:t>
            </w:r>
            <w:r>
              <w:rPr>
                <w:rFonts w:hint="eastAsia" w:ascii="Times New Roman" w:hAnsi="Times New Roman" w:eastAsia="仿宋_GB2312" w:cs="Times New Roman"/>
                <w:color w:val="auto"/>
                <w:sz w:val="28"/>
                <w:szCs w:val="28"/>
              </w:rPr>
              <w:t>拟投资约5000万元。建设标准化直升机停机坪及无人机起降场，在美女峰、二峨山、硝斗岩建设3个野外应急救援直升机停机坪，配备航空消防取水点，支持全天候作业配套仓储与维修中心，保障救援设备即时可用。</w:t>
            </w:r>
          </w:p>
        </w:tc>
      </w:tr>
    </w:tbl>
    <w:p>
      <w:pPr>
        <w:spacing w:before="156" w:beforeLines="50" w:line="560" w:lineRule="exact"/>
        <w:ind w:firstLine="642" w:firstLineChars="200"/>
        <w:outlineLvl w:val="2"/>
        <w:rPr>
          <w:rFonts w:ascii="Times New Roman" w:hAnsi="Times New Roman" w:eastAsia="仿宋_GB2312" w:cs="Times New Roman"/>
          <w:b/>
          <w:color w:val="auto"/>
          <w:sz w:val="32"/>
          <w:szCs w:val="32"/>
        </w:rPr>
      </w:pPr>
      <w:bookmarkStart w:id="118" w:name="_Toc220270467"/>
      <w:bookmarkStart w:id="119" w:name="_Toc207125778"/>
      <w:bookmarkStart w:id="120" w:name="_Toc25017"/>
      <w:r>
        <w:rPr>
          <w:rFonts w:hint="eastAsia" w:ascii="Times New Roman" w:hAnsi="Times New Roman" w:eastAsia="仿宋_GB2312" w:cs="Times New Roman"/>
          <w:b/>
          <w:color w:val="auto"/>
          <w:sz w:val="32"/>
          <w:szCs w:val="32"/>
        </w:rPr>
        <w:t>4.布局低空交通运输服务</w:t>
      </w:r>
      <w:bookmarkEnd w:id="118"/>
      <w:bookmarkEnd w:id="119"/>
      <w:bookmarkEnd w:id="120"/>
    </w:p>
    <w:p>
      <w:pPr>
        <w:spacing w:line="560" w:lineRule="exact"/>
        <w:ind w:firstLine="642" w:firstLineChars="200"/>
        <w:rPr>
          <w:rFonts w:ascii="Times New Roman" w:hAnsi="Times New Roman" w:eastAsia="仿宋_GB2312" w:cs="Times New Roman"/>
          <w:color w:val="auto"/>
          <w:sz w:val="32"/>
          <w:szCs w:val="32"/>
        </w:rPr>
      </w:pPr>
      <w:r>
        <w:rPr>
          <w:rFonts w:hint="eastAsia" w:ascii="Times New Roman" w:hAnsi="Times New Roman" w:eastAsia="仿宋_GB2312" w:cs="Times New Roman"/>
          <w:b/>
          <w:bCs/>
          <w:color w:val="auto"/>
          <w:sz w:val="32"/>
          <w:szCs w:val="32"/>
        </w:rPr>
        <w:t>低空+物流配送。</w:t>
      </w:r>
      <w:r>
        <w:rPr>
          <w:rFonts w:hint="eastAsia" w:ascii="Times New Roman" w:hAnsi="Times New Roman" w:eastAsia="仿宋_GB2312" w:cs="Times New Roman"/>
          <w:color w:val="auto"/>
          <w:sz w:val="32"/>
          <w:szCs w:val="32"/>
        </w:rPr>
        <w:t>以建设全省重要的区域交通物流枢纽为契机，依托</w:t>
      </w:r>
      <w:r>
        <w:rPr>
          <w:rFonts w:ascii="Times New Roman" w:hAnsi="Times New Roman" w:eastAsia="仿宋_GB2312" w:cs="Times New Roman"/>
          <w:color w:val="auto"/>
          <w:sz w:val="32"/>
          <w:szCs w:val="32"/>
        </w:rPr>
        <w:t>乐山机场、物流枢纽、乐山西部冷链物流园区及</w:t>
      </w:r>
      <w:r>
        <w:rPr>
          <w:rFonts w:hint="eastAsia" w:ascii="Times New Roman" w:hAnsi="Times New Roman" w:eastAsia="仿宋_GB2312" w:cs="Times New Roman"/>
          <w:color w:val="auto"/>
          <w:sz w:val="32"/>
          <w:szCs w:val="32"/>
        </w:rPr>
        <w:t>规划建设的</w:t>
      </w:r>
      <w:r>
        <w:rPr>
          <w:rFonts w:ascii="Times New Roman" w:hAnsi="Times New Roman" w:eastAsia="仿宋_GB2312" w:cs="Times New Roman"/>
          <w:color w:val="auto"/>
          <w:sz w:val="32"/>
          <w:szCs w:val="32"/>
        </w:rPr>
        <w:t>通用机场</w:t>
      </w:r>
      <w:r>
        <w:rPr>
          <w:rFonts w:hint="eastAsia" w:ascii="Times New Roman" w:hAnsi="Times New Roman" w:eastAsia="仿宋_GB2312" w:cs="Times New Roman"/>
          <w:color w:val="auto"/>
          <w:sz w:val="32"/>
          <w:szCs w:val="32"/>
        </w:rPr>
        <w:t>，高标准打造服务川西高原的低空物流枢纽基地，构建“乐山集散、辐射全川”的低空冷链物流体系，破解川西高原特色农产品外运瓶颈，推动中大型货运无人机在低空物流支线和干线网络中的规模化应用，依托岷江航道、高速铁路网络，强化“水陆空”多式联运协同，有效降低区域物流成本，同步提升应急物资投送与高原地区服务保障能力。支持企业建设完善无人机快递集散基地、智能接驳柜等末端设施，推进跨江物流、岛际物流、山区配送等场景应用，支持在有条件的社区、商业圈、医院、景区等开展无人机末端配送。围绕偏远山区、乡村振兴农产品等运输需求，重点解决山区、偏远乡村物流</w:t>
      </w:r>
      <w:r>
        <w:rPr>
          <w:rFonts w:hint="eastAsia" w:ascii="仿宋_GB2312" w:hAnsi="仿宋_GB2312" w:eastAsia="仿宋_GB2312" w:cs="仿宋_GB2312"/>
          <w:color w:val="auto"/>
          <w:sz w:val="32"/>
          <w:szCs w:val="32"/>
        </w:rPr>
        <w:t>“最后一公里”和特色农产品上行“最初一公里”</w:t>
      </w:r>
      <w:r>
        <w:rPr>
          <w:rFonts w:hint="eastAsia" w:ascii="Times New Roman" w:hAnsi="Times New Roman" w:eastAsia="仿宋_GB2312" w:cs="Times New Roman"/>
          <w:color w:val="auto"/>
          <w:sz w:val="32"/>
          <w:szCs w:val="32"/>
        </w:rPr>
        <w:t>难题，打造乡村振兴农产品无人机物流运输配送示范场景。面向精密零部件、高附加值、高时效性产品运送需求，鼓励物流企业提供定制化低空物流服务；探索核医药无人机运输；探索制造业和现代物流深度融合路径，推动无人机在大型工厂应用，开展生产线自动分拣、配送功能试点，鼓励产业园和各类开发区发展企业间零部件无人机运输。</w:t>
      </w:r>
    </w:p>
    <w:p>
      <w:pPr>
        <w:spacing w:after="156" w:afterLines="50" w:line="560" w:lineRule="exact"/>
        <w:ind w:firstLine="642" w:firstLineChars="200"/>
        <w:rPr>
          <w:rFonts w:ascii="Times New Roman" w:hAnsi="Times New Roman" w:eastAsia="仿宋_GB2312" w:cs="Times New Roman"/>
          <w:color w:val="auto"/>
          <w:sz w:val="32"/>
          <w:szCs w:val="32"/>
        </w:rPr>
      </w:pPr>
      <w:r>
        <w:rPr>
          <w:rFonts w:hint="eastAsia" w:ascii="Times New Roman" w:hAnsi="Times New Roman" w:eastAsia="仿宋_GB2312" w:cs="Times New Roman"/>
          <w:b/>
          <w:bCs/>
          <w:color w:val="auto"/>
          <w:sz w:val="32"/>
          <w:szCs w:val="32"/>
        </w:rPr>
        <w:t>低空+载客运输。</w:t>
      </w:r>
      <w:r>
        <w:rPr>
          <w:rFonts w:hint="eastAsia" w:ascii="Times New Roman" w:hAnsi="Times New Roman" w:eastAsia="仿宋_GB2312" w:cs="Times New Roman"/>
          <w:color w:val="auto"/>
          <w:sz w:val="32"/>
          <w:szCs w:val="32"/>
        </w:rPr>
        <w:t>培育招引市场运营主体，支持直升机、eVTOL等载人航空器在城市内的低空飞行应用，探索在乐山机场、高铁站、港口、重点旅游景区建设垂直起降设施，推动低空交通与其他运输方式衔接融合，探索构建快捷高质的城市低空交通网络，在确保安全的前提下稳妥有序开展市内联程接驳、公商务飞行等商业化低空服务，适时推进在偏远及地面交通不便地区发展普惠化低空载人短途运输服务。联动成都等周边城市，参与成渝低空经济带建设，支持企业开通常态化城际低空客运航线，在确保安全的前提下稳妥有序开展城际快线、定制化航班等商业化低空服务，打造全省重要的低空交通枢纽，提升区域交通一体化水平。</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8522" w:type="dxa"/>
          </w:tcPr>
          <w:p>
            <w:pPr>
              <w:pStyle w:val="9"/>
              <w:spacing w:line="480" w:lineRule="exact"/>
              <w:jc w:val="center"/>
              <w:rPr>
                <w:rFonts w:ascii="Times New Roman" w:hAnsi="Times New Roman" w:eastAsia="黑体" w:cs="Times New Roman"/>
                <w:color w:val="auto"/>
                <w:lang w:val="en-US" w:bidi="ar-SA"/>
              </w:rPr>
            </w:pPr>
            <w:r>
              <w:rPr>
                <w:rFonts w:hint="eastAsia" w:ascii="Times New Roman" w:hAnsi="Times New Roman" w:eastAsia="黑体" w:cs="Times New Roman"/>
                <w:color w:val="auto"/>
                <w:sz w:val="28"/>
                <w:szCs w:val="28"/>
                <w:lang w:val="en-US" w:bidi="ar"/>
              </w:rPr>
              <w:t>专栏11  低空运输重点项目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8522" w:type="dxa"/>
          </w:tcPr>
          <w:p>
            <w:pPr>
              <w:spacing w:line="480" w:lineRule="exact"/>
              <w:ind w:firstLine="562" w:firstLineChars="200"/>
              <w:rPr>
                <w:rFonts w:hint="eastAsia" w:ascii="仿宋_GB2312" w:hAnsi="仿宋_GB2312" w:eastAsia="仿宋_GB2312" w:cs="仿宋_GB2312"/>
                <w:color w:val="auto"/>
                <w:sz w:val="28"/>
                <w:szCs w:val="28"/>
              </w:rPr>
            </w:pPr>
            <w:r>
              <w:rPr>
                <w:rFonts w:ascii="Times New Roman" w:hAnsi="Times New Roman" w:eastAsia="仿宋_GB2312" w:cs="Times New Roman"/>
                <w:b/>
                <w:bCs/>
                <w:color w:val="auto"/>
                <w:sz w:val="28"/>
                <w:szCs w:val="28"/>
              </w:rPr>
              <w:t>面向川西高原的低空物流枢纽基地项目</w:t>
            </w:r>
            <w:r>
              <w:rPr>
                <w:rFonts w:hint="eastAsia" w:ascii="Times New Roman" w:hAnsi="Times New Roman" w:eastAsia="仿宋_GB2312" w:cs="Times New Roman"/>
                <w:b/>
                <w:bCs/>
                <w:color w:val="auto"/>
                <w:sz w:val="28"/>
                <w:szCs w:val="28"/>
              </w:rPr>
              <w:t>。</w:t>
            </w:r>
            <w:r>
              <w:rPr>
                <w:rFonts w:hint="eastAsia" w:ascii="Times New Roman" w:hAnsi="Times New Roman" w:eastAsia="仿宋_GB2312" w:cs="Times New Roman"/>
                <w:color w:val="auto"/>
                <w:sz w:val="28"/>
                <w:szCs w:val="28"/>
              </w:rPr>
              <w:t>拟投资约10000万元。项目以乐山机场、乐山西部冷链物流园区及规划通用机场为核心节点，建设集起降调度、冷链仓储、能源补给、数据指挥于一体的低空物流枢纽基地，配备中型货运无人机起降场、专用冷链处理中心、氢能/电动充电站等设施，重点开通乐山至甘孜、凉山等川西高原地区的低空物流干线，开展常态化、商业化运营，服务特色生鲜农产品外运，同步拓展应急物资投送、医疗急救等高价值物流场景，构建</w:t>
            </w:r>
            <w:r>
              <w:rPr>
                <w:rFonts w:hint="eastAsia" w:ascii="仿宋_GB2312" w:hAnsi="仿宋_GB2312" w:eastAsia="仿宋_GB2312" w:cs="仿宋_GB2312"/>
                <w:color w:val="auto"/>
                <w:sz w:val="28"/>
                <w:szCs w:val="28"/>
              </w:rPr>
              <w:t>“低空+冷链+应急”多功能融合的川西低空物流枢纽，打造服务高原、辐射川渝的区域低空物流示范标杆。</w:t>
            </w:r>
          </w:p>
          <w:p>
            <w:pPr>
              <w:spacing w:line="480" w:lineRule="exact"/>
              <w:ind w:firstLine="562" w:firstLineChars="200"/>
              <w:rPr>
                <w:rFonts w:ascii="Times New Roman" w:hAnsi="Times New Roman" w:eastAsia="仿宋_GB2312" w:cs="Times New Roman"/>
                <w:color w:val="auto"/>
                <w:sz w:val="28"/>
                <w:szCs w:val="28"/>
              </w:rPr>
            </w:pPr>
            <w:r>
              <w:rPr>
                <w:rFonts w:hint="eastAsia" w:ascii="Times New Roman" w:hAnsi="Times New Roman" w:eastAsia="仿宋_GB2312" w:cs="Times New Roman"/>
                <w:b/>
                <w:bCs/>
                <w:color w:val="auto"/>
                <w:sz w:val="28"/>
                <w:szCs w:val="28"/>
              </w:rPr>
              <w:t>大载重运输长距离无人机示范场景（市中区）。</w:t>
            </w:r>
            <w:r>
              <w:rPr>
                <w:rFonts w:ascii="Times New Roman" w:hAnsi="Times New Roman" w:eastAsia="仿宋_GB2312" w:cs="Times New Roman"/>
                <w:color w:val="auto"/>
                <w:sz w:val="28"/>
                <w:szCs w:val="28"/>
              </w:rPr>
              <w:t>拟投资约</w:t>
            </w:r>
            <w:r>
              <w:rPr>
                <w:rFonts w:hint="eastAsia" w:ascii="Times New Roman" w:hAnsi="Times New Roman" w:eastAsia="仿宋_GB2312" w:cs="Times New Roman"/>
                <w:color w:val="auto"/>
                <w:sz w:val="28"/>
                <w:szCs w:val="28"/>
              </w:rPr>
              <w:t>5</w:t>
            </w:r>
            <w:r>
              <w:rPr>
                <w:rFonts w:ascii="Times New Roman" w:hAnsi="Times New Roman" w:eastAsia="仿宋_GB2312" w:cs="Times New Roman"/>
                <w:color w:val="auto"/>
                <w:sz w:val="28"/>
                <w:szCs w:val="28"/>
              </w:rPr>
              <w:t>00万元</w:t>
            </w:r>
            <w:r>
              <w:rPr>
                <w:rFonts w:hint="eastAsia" w:ascii="Times New Roman" w:hAnsi="Times New Roman" w:eastAsia="仿宋_GB2312" w:cs="Times New Roman"/>
                <w:color w:val="auto"/>
                <w:sz w:val="28"/>
                <w:szCs w:val="28"/>
              </w:rPr>
              <w:t>。拓展乐山市全域大载重、长续航运输无人机应用场景。可满足最大载重300kg、满载航时20分钟、航程超10km的运输需求，为山区/丘陵地形、复杂区域提供高效、安全、低成本的物流运输服务。应用于消防、应急、山区农副产品运输、山区基础设施建设材料运输等多种场景。打造具有本土</w:t>
            </w:r>
            <w:r>
              <w:rPr>
                <w:rFonts w:hint="eastAsia" w:ascii="仿宋_GB2312" w:hAnsi="仿宋_GB2312" w:eastAsia="仿宋_GB2312" w:cs="仿宋_GB2312"/>
                <w:color w:val="auto"/>
                <w:sz w:val="28"/>
                <w:szCs w:val="28"/>
              </w:rPr>
              <w:t>“科技基因”</w:t>
            </w:r>
            <w:r>
              <w:rPr>
                <w:rFonts w:hint="eastAsia" w:ascii="Times New Roman" w:hAnsi="Times New Roman" w:eastAsia="仿宋_GB2312" w:cs="Times New Roman"/>
                <w:color w:val="auto"/>
                <w:sz w:val="28"/>
                <w:szCs w:val="28"/>
              </w:rPr>
              <w:t>的大载重无人机示范基地。</w:t>
            </w:r>
          </w:p>
          <w:p>
            <w:pPr>
              <w:spacing w:line="480" w:lineRule="exact"/>
              <w:ind w:firstLine="562" w:firstLineChars="200"/>
              <w:rPr>
                <w:rFonts w:ascii="Times New Roman" w:hAnsi="Times New Roman" w:eastAsia="仿宋_GB2312" w:cs="Times New Roman"/>
                <w:b/>
                <w:bCs/>
                <w:color w:val="auto"/>
                <w:sz w:val="28"/>
                <w:szCs w:val="28"/>
              </w:rPr>
            </w:pPr>
            <w:r>
              <w:rPr>
                <w:rFonts w:hint="eastAsia" w:ascii="Times New Roman" w:hAnsi="Times New Roman" w:eastAsia="仿宋_GB2312" w:cs="Times New Roman"/>
                <w:b/>
                <w:bCs/>
                <w:color w:val="auto"/>
                <w:sz w:val="28"/>
                <w:szCs w:val="28"/>
              </w:rPr>
              <w:t>县域低空物流运输场景（犍为县）。</w:t>
            </w:r>
            <w:r>
              <w:rPr>
                <w:rFonts w:ascii="Times New Roman" w:hAnsi="Times New Roman" w:eastAsia="仿宋_GB2312" w:cs="Times New Roman"/>
                <w:color w:val="auto"/>
                <w:sz w:val="28"/>
                <w:szCs w:val="28"/>
              </w:rPr>
              <w:t>拟投资约</w:t>
            </w:r>
            <w:r>
              <w:rPr>
                <w:rFonts w:hint="eastAsia" w:ascii="Times New Roman" w:hAnsi="Times New Roman" w:eastAsia="仿宋_GB2312" w:cs="Times New Roman"/>
                <w:color w:val="auto"/>
                <w:sz w:val="28"/>
                <w:szCs w:val="28"/>
              </w:rPr>
              <w:t>5</w:t>
            </w:r>
            <w:r>
              <w:rPr>
                <w:rFonts w:ascii="Times New Roman" w:hAnsi="Times New Roman" w:eastAsia="仿宋_GB2312" w:cs="Times New Roman"/>
                <w:color w:val="auto"/>
                <w:sz w:val="28"/>
                <w:szCs w:val="28"/>
              </w:rPr>
              <w:t>00万元</w:t>
            </w:r>
            <w:r>
              <w:rPr>
                <w:rFonts w:hint="eastAsia" w:ascii="Times New Roman" w:hAnsi="Times New Roman" w:eastAsia="仿宋_GB2312" w:cs="Times New Roman"/>
                <w:color w:val="auto"/>
                <w:sz w:val="28"/>
                <w:szCs w:val="28"/>
              </w:rPr>
              <w:t>。依托县域范围内的低空起降平台和临时起降点，围绕县城和乡镇间的低空运输开展航线规划、气象与通信基础建设，建立县域低空物流运输网络，开展全域范围的商业化物流运输服务。逐步开通犍为至马边及甘阿凉等川西高原的低空物流支线，重点服务中药材、特色生鲜农产品运输，破解川西高原农特产品外运瓶颈。</w:t>
            </w:r>
          </w:p>
          <w:p>
            <w:pPr>
              <w:spacing w:line="480" w:lineRule="exact"/>
              <w:ind w:firstLine="562" w:firstLineChars="200"/>
              <w:rPr>
                <w:rFonts w:ascii="Times New Roman" w:hAnsi="Times New Roman" w:eastAsia="仿宋_GB2312" w:cs="Times New Roman"/>
                <w:color w:val="auto"/>
                <w:sz w:val="28"/>
                <w:szCs w:val="28"/>
              </w:rPr>
            </w:pPr>
            <w:r>
              <w:rPr>
                <w:rFonts w:hint="eastAsia" w:ascii="Times New Roman" w:hAnsi="Times New Roman" w:eastAsia="仿宋_GB2312" w:cs="Times New Roman"/>
                <w:b/>
                <w:bCs/>
                <w:color w:val="auto"/>
                <w:sz w:val="28"/>
                <w:szCs w:val="28"/>
              </w:rPr>
              <w:t>峨边彝族自治县低空运输服务站。</w:t>
            </w:r>
            <w:r>
              <w:rPr>
                <w:rFonts w:ascii="Times New Roman" w:hAnsi="Times New Roman" w:eastAsia="仿宋_GB2312" w:cs="Times New Roman"/>
                <w:color w:val="auto"/>
                <w:sz w:val="28"/>
                <w:szCs w:val="28"/>
              </w:rPr>
              <w:t>拟投资约70000万元</w:t>
            </w:r>
            <w:r>
              <w:rPr>
                <w:rFonts w:hint="eastAsia" w:ascii="Times New Roman" w:hAnsi="Times New Roman" w:eastAsia="仿宋_GB2312" w:cs="Times New Roman"/>
                <w:color w:val="auto"/>
                <w:sz w:val="28"/>
                <w:szCs w:val="28"/>
              </w:rPr>
              <w:t>。计划位于黑竹沟景区，占地7亩；五渡镇先锋村，占地6亩；新林镇茗新村，占地4亩；乾池桃博园，占地4亩；沙坪背风山，占地4亩；大堡长滩河，占地5亩；平等九坝，占地5亩；大堡万坪，占地4亩；黑竹沟巴溪(大小杜鹃池)，占地6亩；杨河仲子村，占地5亩。共10处低空运输服务站，总占地面积50亩，配套建设无人机起降、充电、存储等功能设施，计划建设小型自动开合无人机机库若干个。</w:t>
            </w:r>
          </w:p>
          <w:p>
            <w:pPr>
              <w:spacing w:line="480" w:lineRule="exact"/>
              <w:ind w:firstLine="562" w:firstLineChars="200"/>
              <w:rPr>
                <w:rFonts w:ascii="Times New Roman" w:hAnsi="Times New Roman" w:eastAsia="仿宋_GB2312" w:cs="Times New Roman"/>
                <w:color w:val="auto"/>
                <w:sz w:val="28"/>
                <w:szCs w:val="28"/>
              </w:rPr>
            </w:pPr>
            <w:r>
              <w:rPr>
                <w:rFonts w:hint="eastAsia" w:ascii="Times New Roman" w:hAnsi="Times New Roman" w:eastAsia="仿宋_GB2312" w:cs="Times New Roman"/>
                <w:b/>
                <w:bCs/>
                <w:color w:val="auto"/>
                <w:sz w:val="28"/>
                <w:szCs w:val="28"/>
              </w:rPr>
              <w:t>金口河区低空运输服务站。</w:t>
            </w:r>
            <w:r>
              <w:rPr>
                <w:rFonts w:ascii="Times New Roman" w:hAnsi="Times New Roman" w:eastAsia="仿宋_GB2312" w:cs="Times New Roman"/>
                <w:color w:val="auto"/>
                <w:sz w:val="28"/>
                <w:szCs w:val="28"/>
              </w:rPr>
              <w:t>拟投资约10000</w:t>
            </w:r>
            <w:r>
              <w:rPr>
                <w:rFonts w:hint="eastAsia" w:ascii="Times New Roman" w:hAnsi="Times New Roman" w:eastAsia="仿宋_GB2312" w:cs="Times New Roman"/>
                <w:color w:val="auto"/>
                <w:sz w:val="28"/>
                <w:szCs w:val="28"/>
              </w:rPr>
              <w:t>万元。新建低空运输服务站5个，配套建设无人机起降、充电、存储等功能设施，购买物流配送无人机30台，10座旅游飞机3架。</w:t>
            </w:r>
          </w:p>
          <w:p>
            <w:pPr>
              <w:spacing w:line="480" w:lineRule="exact"/>
              <w:ind w:firstLine="562" w:firstLineChars="200"/>
              <w:rPr>
                <w:rFonts w:ascii="Times New Roman" w:hAnsi="Times New Roman" w:eastAsia="仿宋_GB2312" w:cs="Times New Roman"/>
                <w:color w:val="auto"/>
                <w:sz w:val="28"/>
                <w:szCs w:val="28"/>
              </w:rPr>
            </w:pPr>
            <w:r>
              <w:rPr>
                <w:rFonts w:hint="eastAsia" w:ascii="Times New Roman" w:hAnsi="Times New Roman" w:eastAsia="仿宋_GB2312" w:cs="Times New Roman"/>
                <w:b/>
                <w:bCs/>
                <w:color w:val="auto"/>
                <w:sz w:val="28"/>
                <w:szCs w:val="28"/>
              </w:rPr>
              <w:t>沐川县低空运输服务站。</w:t>
            </w:r>
            <w:r>
              <w:rPr>
                <w:rFonts w:ascii="Times New Roman" w:hAnsi="Times New Roman" w:eastAsia="仿宋_GB2312" w:cs="Times New Roman"/>
                <w:color w:val="auto"/>
                <w:sz w:val="28"/>
                <w:szCs w:val="28"/>
              </w:rPr>
              <w:t>拟投资约</w:t>
            </w:r>
            <w:r>
              <w:rPr>
                <w:rFonts w:hint="eastAsia" w:ascii="Times New Roman" w:hAnsi="Times New Roman" w:eastAsia="仿宋_GB2312" w:cs="Times New Roman"/>
                <w:color w:val="auto"/>
                <w:sz w:val="28"/>
                <w:szCs w:val="28"/>
              </w:rPr>
              <w:t>2</w:t>
            </w:r>
            <w:r>
              <w:rPr>
                <w:rFonts w:ascii="Times New Roman" w:hAnsi="Times New Roman" w:eastAsia="仿宋_GB2312" w:cs="Times New Roman"/>
                <w:color w:val="auto"/>
                <w:sz w:val="28"/>
                <w:szCs w:val="28"/>
              </w:rPr>
              <w:t>0000万元。</w:t>
            </w:r>
            <w:r>
              <w:rPr>
                <w:rFonts w:hint="eastAsia" w:ascii="Times New Roman" w:hAnsi="Times New Roman" w:eastAsia="仿宋_GB2312" w:cs="Times New Roman"/>
                <w:color w:val="auto"/>
                <w:sz w:val="28"/>
                <w:szCs w:val="28"/>
              </w:rPr>
              <w:t>建设沐川县城（金王寺水库)低空运输服务站、沐川竹海景区低空运输服务站、沐川罗家坝港区低空运输服务站、永福镇张村村低空运输服务站、五马坪森林公园低空运输服务站、利店镇天坪村低空运输服务站等。建设占地20亩，配套建设无人机起降、充电、存储等功能设施，购买物流配送无人机70台，10座旅游飞机5架。</w:t>
            </w:r>
          </w:p>
          <w:p>
            <w:pPr>
              <w:spacing w:line="480" w:lineRule="exact"/>
              <w:ind w:firstLine="562" w:firstLineChars="200"/>
              <w:rPr>
                <w:rFonts w:ascii="Times New Roman" w:hAnsi="Times New Roman" w:cs="Times New Roman"/>
                <w:color w:val="auto"/>
              </w:rPr>
            </w:pPr>
            <w:r>
              <w:rPr>
                <w:rFonts w:hint="eastAsia" w:ascii="Times New Roman" w:hAnsi="Times New Roman" w:eastAsia="仿宋_GB2312" w:cs="Times New Roman"/>
                <w:b/>
                <w:bCs/>
                <w:color w:val="auto"/>
                <w:sz w:val="28"/>
                <w:szCs w:val="28"/>
              </w:rPr>
              <w:t>井研县无人机基地。</w:t>
            </w:r>
            <w:r>
              <w:rPr>
                <w:rFonts w:ascii="Times New Roman" w:hAnsi="Times New Roman" w:eastAsia="仿宋_GB2312" w:cs="Times New Roman"/>
                <w:color w:val="auto"/>
                <w:sz w:val="28"/>
                <w:szCs w:val="28"/>
              </w:rPr>
              <w:t>拟投资约</w:t>
            </w:r>
            <w:r>
              <w:rPr>
                <w:rFonts w:hint="eastAsia" w:ascii="Times New Roman" w:hAnsi="Times New Roman" w:eastAsia="仿宋_GB2312" w:cs="Times New Roman"/>
                <w:color w:val="auto"/>
                <w:sz w:val="28"/>
                <w:szCs w:val="28"/>
              </w:rPr>
              <w:t>2</w:t>
            </w:r>
            <w:r>
              <w:rPr>
                <w:rFonts w:ascii="Times New Roman" w:hAnsi="Times New Roman" w:eastAsia="仿宋_GB2312" w:cs="Times New Roman"/>
                <w:color w:val="auto"/>
                <w:sz w:val="28"/>
                <w:szCs w:val="28"/>
              </w:rPr>
              <w:t>000万元。</w:t>
            </w:r>
            <w:r>
              <w:rPr>
                <w:rFonts w:hint="eastAsia" w:ascii="Times New Roman" w:hAnsi="Times New Roman" w:eastAsia="仿宋_GB2312" w:cs="Times New Roman"/>
                <w:color w:val="auto"/>
                <w:sz w:val="28"/>
                <w:szCs w:val="28"/>
              </w:rPr>
              <w:t>规划占地50亩，包含飞行应用实操训练区、维修中心、数据管理中心及配套办公区。构建规划起降坪、分拣中心、仓储区、能源站及指挥调度中心。构建半径50公里的低空物流网络，连接县域乡镇，冷链药品等特种运输占比30%。</w:t>
            </w:r>
          </w:p>
        </w:tc>
      </w:tr>
    </w:tbl>
    <w:p>
      <w:pPr>
        <w:snapToGrid w:val="0"/>
        <w:spacing w:before="156" w:beforeLines="50" w:line="560" w:lineRule="exact"/>
        <w:ind w:firstLine="664" w:firstLineChars="200"/>
        <w:outlineLvl w:val="1"/>
        <w:rPr>
          <w:rFonts w:ascii="Times New Roman" w:hAnsi="Times New Roman" w:eastAsia="楷体_GB2312" w:cs="Times New Roman"/>
          <w:color w:val="auto"/>
          <w:spacing w:val="6"/>
          <w:sz w:val="32"/>
          <w:szCs w:val="32"/>
        </w:rPr>
      </w:pPr>
      <w:bookmarkStart w:id="121" w:name="_Toc207125779"/>
      <w:bookmarkStart w:id="122" w:name="_Toc6289"/>
      <w:bookmarkStart w:id="123" w:name="_Toc220270468"/>
      <w:r>
        <w:rPr>
          <w:rFonts w:hint="eastAsia" w:ascii="Times New Roman" w:hAnsi="Times New Roman" w:eastAsia="楷体_GB2312" w:cs="Times New Roman"/>
          <w:color w:val="auto"/>
          <w:spacing w:val="6"/>
          <w:sz w:val="32"/>
          <w:szCs w:val="32"/>
        </w:rPr>
        <w:t>（三）探索两业融合路径，培育低空生产性服务业</w:t>
      </w:r>
      <w:bookmarkEnd w:id="121"/>
      <w:bookmarkEnd w:id="122"/>
      <w:bookmarkEnd w:id="123"/>
    </w:p>
    <w:p>
      <w:pPr>
        <w:spacing w:line="560" w:lineRule="exact"/>
        <w:ind w:firstLine="642" w:firstLineChars="200"/>
        <w:outlineLvl w:val="2"/>
        <w:rPr>
          <w:rFonts w:ascii="Times New Roman" w:hAnsi="Times New Roman" w:eastAsia="仿宋_GB2312" w:cs="Times New Roman"/>
          <w:b/>
          <w:color w:val="auto"/>
          <w:sz w:val="32"/>
          <w:szCs w:val="32"/>
        </w:rPr>
      </w:pPr>
      <w:bookmarkStart w:id="124" w:name="_Toc207125780"/>
      <w:bookmarkStart w:id="125" w:name="_Toc220270469"/>
      <w:bookmarkStart w:id="126" w:name="_Toc23717"/>
      <w:r>
        <w:rPr>
          <w:rFonts w:hint="eastAsia" w:ascii="Times New Roman" w:hAnsi="Times New Roman" w:eastAsia="仿宋_GB2312" w:cs="Times New Roman"/>
          <w:b/>
          <w:color w:val="auto"/>
          <w:sz w:val="32"/>
          <w:szCs w:val="32"/>
        </w:rPr>
        <w:t>1.培育低空测试试飞服务</w:t>
      </w:r>
      <w:bookmarkEnd w:id="124"/>
      <w:bookmarkEnd w:id="125"/>
      <w:bookmarkEnd w:id="126"/>
    </w:p>
    <w:p>
      <w:pPr>
        <w:spacing w:after="156" w:afterLines="50" w:line="560" w:lineRule="exact"/>
        <w:ind w:firstLine="640" w:firstLineChars="200"/>
        <w:rPr>
          <w:rFonts w:ascii="Times New Roman" w:hAnsi="Times New Roman" w:eastAsia="仿宋_GB2312" w:cs="Times New Roman"/>
          <w:color w:val="auto"/>
          <w:sz w:val="32"/>
          <w:szCs w:val="32"/>
        </w:rPr>
      </w:pPr>
      <w:r>
        <w:rPr>
          <w:rFonts w:hint="eastAsia" w:ascii="Times New Roman" w:hAnsi="Times New Roman" w:eastAsia="仿宋_GB2312" w:cs="Times New Roman"/>
          <w:color w:val="auto"/>
          <w:kern w:val="0"/>
          <w:sz w:val="32"/>
          <w:szCs w:val="32"/>
        </w:rPr>
        <w:t>以服务于四川省乃至整个西部地区无人机、eVTOL等低空新型航空器研发制造为目标，</w:t>
      </w:r>
      <w:r>
        <w:rPr>
          <w:rFonts w:hint="eastAsia" w:ascii="Times New Roman" w:hAnsi="Times New Roman" w:eastAsia="仿宋_GB2312" w:cs="Times New Roman"/>
          <w:color w:val="auto"/>
          <w:sz w:val="32"/>
          <w:szCs w:val="32"/>
        </w:rPr>
        <w:t>支持犍为县、夹江县等有条件的县（市、区）规划建设低空航空器测试试飞基地，积极争取军民航单位支持，划设测试试飞专属空域，强化低空航空器复合型风洞、通感一体网络、超算中心等新型设施配置，搭建安全测试、飞行试验、系统调试、高性能导航、集群控制、环境感知、商业化运营场景模拟等测试试飞环境，加速低空测试试飞资源要素集聚，逐步构建低空装备试飞验证、无人驾驶测试、AI智能驾驶验证等技术支撑体系，支持工业级无人机、eVTOL等低空新型航空器研发制造企业在乐山开展试飞、测试、验证等活动，力争成为区域低空测试试飞集聚区。</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8522" w:type="dxa"/>
          </w:tcPr>
          <w:p>
            <w:pPr>
              <w:pStyle w:val="9"/>
              <w:spacing w:line="480" w:lineRule="exact"/>
              <w:jc w:val="center"/>
              <w:rPr>
                <w:rFonts w:ascii="Times New Roman" w:hAnsi="Times New Roman" w:eastAsia="黑体" w:cs="Times New Roman"/>
                <w:color w:val="auto"/>
                <w:lang w:val="en-US" w:bidi="ar-SA"/>
              </w:rPr>
            </w:pPr>
            <w:r>
              <w:rPr>
                <w:rFonts w:hint="eastAsia" w:ascii="Times New Roman" w:hAnsi="Times New Roman" w:eastAsia="黑体" w:cs="Times New Roman"/>
                <w:color w:val="auto"/>
                <w:sz w:val="28"/>
                <w:szCs w:val="28"/>
                <w:lang w:val="en-US" w:bidi="ar"/>
              </w:rPr>
              <w:t>专栏12  低空测试试飞重点项目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8522" w:type="dxa"/>
          </w:tcPr>
          <w:p>
            <w:pPr>
              <w:spacing w:line="480" w:lineRule="exact"/>
              <w:ind w:firstLine="562" w:firstLineChars="200"/>
              <w:rPr>
                <w:rFonts w:ascii="Times New Roman" w:hAnsi="Times New Roman" w:eastAsia="仿宋_GB2312" w:cs="Times New Roman"/>
                <w:color w:val="auto"/>
                <w:sz w:val="28"/>
                <w:szCs w:val="28"/>
              </w:rPr>
            </w:pPr>
            <w:r>
              <w:rPr>
                <w:rFonts w:hint="eastAsia" w:ascii="Times New Roman" w:hAnsi="Times New Roman" w:eastAsia="仿宋_GB2312" w:cs="Times New Roman"/>
                <w:b/>
                <w:bCs/>
                <w:color w:val="auto"/>
                <w:sz w:val="28"/>
                <w:szCs w:val="28"/>
              </w:rPr>
              <w:t>夹江低空测试试飞基地（夹江县）。</w:t>
            </w:r>
            <w:r>
              <w:rPr>
                <w:rFonts w:hint="eastAsia" w:ascii="Times New Roman" w:hAnsi="Times New Roman" w:eastAsia="仿宋_GB2312" w:cs="Times New Roman"/>
                <w:color w:val="auto"/>
                <w:sz w:val="28"/>
                <w:szCs w:val="28"/>
              </w:rPr>
              <w:t>拟投资约20000万元。在华头镇规划建设120平方公里、高1000米的低空航空器动态测试区，配套建设无人机起降设施、跑道等基础设施，打造适航测试分中心，促进产学研深度融合与科技成果快速产业化。</w:t>
            </w:r>
          </w:p>
          <w:p>
            <w:pPr>
              <w:spacing w:line="480" w:lineRule="exact"/>
              <w:ind w:firstLine="562" w:firstLineChars="200"/>
              <w:rPr>
                <w:rFonts w:ascii="Times New Roman" w:hAnsi="Times New Roman" w:cs="Times New Roman"/>
                <w:color w:val="auto"/>
              </w:rPr>
            </w:pPr>
            <w:r>
              <w:rPr>
                <w:rFonts w:hint="eastAsia" w:ascii="Times New Roman" w:hAnsi="Times New Roman" w:eastAsia="仿宋_GB2312" w:cs="Times New Roman"/>
                <w:b/>
                <w:bCs/>
                <w:color w:val="auto"/>
                <w:sz w:val="28"/>
                <w:szCs w:val="28"/>
              </w:rPr>
              <w:t>犍为无人机试飞场（犍为低空测试试飞基地）（犍为县）。</w:t>
            </w:r>
            <w:r>
              <w:rPr>
                <w:rFonts w:hint="eastAsia" w:ascii="Times New Roman" w:hAnsi="Times New Roman" w:eastAsia="仿宋_GB2312" w:cs="Times New Roman"/>
                <w:color w:val="auto"/>
                <w:sz w:val="28"/>
                <w:szCs w:val="28"/>
              </w:rPr>
              <w:t>拟投资约50000万元。包括800米跑道、30米宽道面及配套联络道、停机坪、垂直起降试飞区等飞行区设施；新建运行楼（含塔台）、无人机检修厂1800平方米、机库3600平方米（2座），以及供电、供水、排水、消防等基础设施。依托试飞场，近期服务光启等企业无人机测试试飞需求，年飞行架次450-1150次；远期规划延伸跑道至1500米，发展通用航空短途运输、低空旅游（如岷江沿岸水上跑道）、无人机物流配送等，</w:t>
            </w:r>
            <w:r>
              <w:rPr>
                <w:rFonts w:hint="eastAsia" w:ascii="仿宋_GB2312" w:hAnsi="仿宋_GB2312" w:eastAsia="仿宋_GB2312" w:cs="仿宋_GB2312"/>
                <w:color w:val="auto"/>
                <w:sz w:val="28"/>
                <w:szCs w:val="28"/>
              </w:rPr>
              <w:t>打造“空—水”联运新模式</w:t>
            </w:r>
            <w:r>
              <w:rPr>
                <w:rFonts w:hint="eastAsia" w:ascii="Times New Roman" w:hAnsi="Times New Roman" w:eastAsia="仿宋_GB2312" w:cs="Times New Roman"/>
                <w:color w:val="auto"/>
                <w:sz w:val="28"/>
                <w:szCs w:val="28"/>
              </w:rPr>
              <w:t>，联动犍为港区形成区域低空经济枢纽。</w:t>
            </w:r>
          </w:p>
        </w:tc>
      </w:tr>
    </w:tbl>
    <w:p>
      <w:pPr>
        <w:spacing w:before="156" w:beforeLines="50" w:line="560" w:lineRule="exact"/>
        <w:ind w:firstLine="642" w:firstLineChars="200"/>
        <w:outlineLvl w:val="2"/>
        <w:rPr>
          <w:rFonts w:ascii="Times New Roman" w:hAnsi="Times New Roman" w:eastAsia="仿宋_GB2312" w:cs="Times New Roman"/>
          <w:b/>
          <w:color w:val="auto"/>
          <w:sz w:val="32"/>
          <w:szCs w:val="32"/>
        </w:rPr>
      </w:pPr>
      <w:bookmarkStart w:id="127" w:name="_Toc207125781"/>
      <w:bookmarkStart w:id="128" w:name="_Toc220270470"/>
      <w:bookmarkStart w:id="129" w:name="_Toc16067"/>
      <w:r>
        <w:rPr>
          <w:rFonts w:hint="eastAsia" w:ascii="Times New Roman" w:hAnsi="Times New Roman" w:eastAsia="仿宋_GB2312" w:cs="Times New Roman"/>
          <w:b/>
          <w:color w:val="auto"/>
          <w:sz w:val="32"/>
          <w:szCs w:val="32"/>
        </w:rPr>
        <w:t>2.培育低空检验检测服务</w:t>
      </w:r>
      <w:bookmarkEnd w:id="127"/>
      <w:bookmarkEnd w:id="128"/>
      <w:bookmarkEnd w:id="129"/>
    </w:p>
    <w:p>
      <w:pPr>
        <w:spacing w:after="156" w:afterLines="50" w:line="560" w:lineRule="exact"/>
        <w:ind w:firstLine="640" w:firstLineChars="200"/>
        <w:rPr>
          <w:rFonts w:ascii="Times New Roman" w:hAnsi="Times New Roman" w:eastAsia="仿宋_GB2312" w:cs="Times New Roman"/>
          <w:color w:val="auto"/>
          <w:sz w:val="32"/>
          <w:szCs w:val="32"/>
        </w:rPr>
      </w:pPr>
      <w:r>
        <w:rPr>
          <w:rFonts w:hint="eastAsia" w:ascii="Times New Roman" w:hAnsi="Times New Roman" w:eastAsia="仿宋_GB2312" w:cs="Times New Roman"/>
          <w:color w:val="auto"/>
          <w:sz w:val="32"/>
          <w:szCs w:val="32"/>
        </w:rPr>
        <w:t>统筹建设低空航空器检验检测及质量安全保障公共服务平台，引导制造企业、检验检测企业或组织机构向低空经济领域延伸拓展，引进一批检验检测机构资质认定机构（CMA）和国家实验室认可（CNAS）等企业或组织机构，鼓励有条件的制造业企业开放检验检测平台，建立覆盖低空航空器整机、机载系统、载荷、零部件、新材料等全产业链条的检验检测体系，</w:t>
      </w:r>
      <w:r>
        <w:rPr>
          <w:rFonts w:hint="eastAsia" w:ascii="Times New Roman" w:hAnsi="Times New Roman" w:eastAsia="仿宋_GB2312" w:cs="Times New Roman"/>
          <w:bCs/>
          <w:color w:val="auto"/>
          <w:sz w:val="32"/>
          <w:szCs w:val="32"/>
          <w:lang w:bidi="zh-CN"/>
        </w:rPr>
        <w:t>支持具备能力的第三方机构提供涵盖整机与零配件功能性能测试、行业作业效果验证、强制性标准检验检测、质量安全测试等关键环节的专业咨询服务，</w:t>
      </w:r>
      <w:r>
        <w:rPr>
          <w:rFonts w:hint="eastAsia" w:ascii="Times New Roman" w:hAnsi="Times New Roman" w:eastAsia="仿宋_GB2312" w:cs="Times New Roman"/>
          <w:color w:val="auto"/>
          <w:sz w:val="32"/>
          <w:szCs w:val="32"/>
        </w:rPr>
        <w:t>为低空研发制造企业提供适航性检测、检测认证、试验鉴定等技术支撑，推动形成一批支撑适航审定的工业标准</w:t>
      </w:r>
      <w:r>
        <w:rPr>
          <w:rFonts w:hint="eastAsia" w:ascii="Times New Roman" w:hAnsi="Times New Roman" w:eastAsia="仿宋_GB2312" w:cs="Times New Roman"/>
          <w:color w:val="auto"/>
          <w:sz w:val="32"/>
        </w:rPr>
        <w:t>，</w:t>
      </w:r>
      <w:r>
        <w:rPr>
          <w:rFonts w:hint="eastAsia" w:ascii="Times New Roman" w:hAnsi="Times New Roman" w:eastAsia="仿宋_GB2312" w:cs="Times New Roman"/>
          <w:color w:val="auto"/>
          <w:sz w:val="32"/>
          <w:szCs w:val="32"/>
        </w:rPr>
        <w:t>争创国家级无人机产业检验检测中心。</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8522" w:type="dxa"/>
          </w:tcPr>
          <w:p>
            <w:pPr>
              <w:pStyle w:val="9"/>
              <w:spacing w:line="480" w:lineRule="exact"/>
              <w:jc w:val="center"/>
              <w:rPr>
                <w:rFonts w:ascii="Times New Roman" w:hAnsi="Times New Roman" w:eastAsia="黑体" w:cs="Times New Roman"/>
                <w:color w:val="auto"/>
                <w:lang w:val="en-US" w:bidi="ar-SA"/>
              </w:rPr>
            </w:pPr>
            <w:r>
              <w:rPr>
                <w:rFonts w:hint="eastAsia" w:ascii="Times New Roman" w:hAnsi="Times New Roman" w:eastAsia="黑体" w:cs="Times New Roman"/>
                <w:color w:val="auto"/>
                <w:sz w:val="28"/>
                <w:szCs w:val="28"/>
                <w:lang w:val="en-US" w:bidi="ar"/>
              </w:rPr>
              <w:t>专栏13  低空检验检测重点项目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8522" w:type="dxa"/>
          </w:tcPr>
          <w:p>
            <w:pPr>
              <w:spacing w:line="480" w:lineRule="exact"/>
              <w:ind w:firstLine="562" w:firstLineChars="200"/>
              <w:rPr>
                <w:rFonts w:ascii="Times New Roman" w:hAnsi="Times New Roman" w:eastAsia="仿宋_GB2312" w:cs="Times New Roman"/>
                <w:color w:val="auto"/>
                <w:sz w:val="28"/>
                <w:szCs w:val="28"/>
              </w:rPr>
            </w:pPr>
            <w:r>
              <w:rPr>
                <w:rFonts w:hint="eastAsia" w:ascii="Times New Roman" w:hAnsi="Times New Roman" w:eastAsia="仿宋_GB2312" w:cs="Times New Roman"/>
                <w:b/>
                <w:bCs/>
                <w:color w:val="auto"/>
                <w:sz w:val="28"/>
                <w:szCs w:val="28"/>
              </w:rPr>
              <w:t>乐山高新区低空经济产业创新基础设施项目。</w:t>
            </w:r>
            <w:r>
              <w:rPr>
                <w:rFonts w:hint="eastAsia" w:ascii="Times New Roman" w:hAnsi="Times New Roman" w:eastAsia="仿宋_GB2312" w:cs="Times New Roman"/>
                <w:color w:val="auto"/>
                <w:sz w:val="28"/>
                <w:szCs w:val="28"/>
              </w:rPr>
              <w:t>拟投资</w:t>
            </w:r>
            <w:r>
              <w:rPr>
                <w:rFonts w:ascii="Times New Roman" w:hAnsi="Times New Roman" w:eastAsia="仿宋_GB2312" w:cs="Times New Roman"/>
                <w:color w:val="auto"/>
                <w:sz w:val="28"/>
                <w:szCs w:val="28"/>
              </w:rPr>
              <w:t>16000</w:t>
            </w:r>
            <w:r>
              <w:rPr>
                <w:rFonts w:hint="eastAsia" w:ascii="Times New Roman" w:hAnsi="Times New Roman" w:eastAsia="仿宋_GB2312" w:cs="Times New Roman"/>
                <w:color w:val="auto"/>
                <w:sz w:val="28"/>
                <w:szCs w:val="28"/>
              </w:rPr>
              <w:t>万元。涉及低空经济产业公共服务中心、（低空）智能装备检测与适航技术服务中心和低空经济产学研合作创新基地。改建高新区约</w:t>
            </w:r>
            <w:r>
              <w:rPr>
                <w:rFonts w:ascii="Times New Roman" w:hAnsi="Times New Roman" w:eastAsia="仿宋_GB2312" w:cs="Times New Roman"/>
                <w:color w:val="auto"/>
                <w:sz w:val="28"/>
                <w:szCs w:val="28"/>
              </w:rPr>
              <w:t>8000</w:t>
            </w:r>
            <w:r>
              <w:rPr>
                <w:rFonts w:hint="eastAsia" w:ascii="微软雅黑" w:hAnsi="微软雅黑" w:eastAsia="微软雅黑" w:cs="微软雅黑"/>
                <w:color w:val="auto"/>
                <w:sz w:val="28"/>
                <w:szCs w:val="28"/>
              </w:rPr>
              <w:t>㎡</w:t>
            </w:r>
            <w:r>
              <w:rPr>
                <w:rFonts w:hint="eastAsia" w:ascii="Times New Roman" w:hAnsi="Times New Roman" w:eastAsia="仿宋_GB2312" w:cs="Times New Roman"/>
                <w:color w:val="auto"/>
                <w:sz w:val="28"/>
                <w:szCs w:val="28"/>
              </w:rPr>
              <w:t>物理空间，配置高精度三坐标测量仪、工业</w:t>
            </w:r>
            <w:r>
              <w:rPr>
                <w:rFonts w:ascii="Times New Roman" w:hAnsi="Times New Roman" w:eastAsia="仿宋_GB2312" w:cs="Times New Roman"/>
                <w:color w:val="auto"/>
                <w:sz w:val="28"/>
                <w:szCs w:val="28"/>
              </w:rPr>
              <w:t>CT</w:t>
            </w:r>
            <w:r>
              <w:rPr>
                <w:rFonts w:hint="eastAsia" w:ascii="Times New Roman" w:hAnsi="Times New Roman" w:eastAsia="仿宋_GB2312" w:cs="Times New Roman"/>
                <w:color w:val="auto"/>
                <w:sz w:val="28"/>
                <w:szCs w:val="28"/>
              </w:rPr>
              <w:t>扫描系统、电磁兼容实验设备等各类仪器设备设施</w:t>
            </w:r>
            <w:r>
              <w:rPr>
                <w:rFonts w:ascii="Times New Roman" w:hAnsi="Times New Roman" w:eastAsia="仿宋_GB2312" w:cs="Times New Roman"/>
                <w:color w:val="auto"/>
                <w:sz w:val="28"/>
                <w:szCs w:val="28"/>
              </w:rPr>
              <w:t>20</w:t>
            </w:r>
            <w:r>
              <w:rPr>
                <w:rFonts w:hint="eastAsia" w:ascii="Times New Roman" w:hAnsi="Times New Roman" w:eastAsia="仿宋_GB2312" w:cs="Times New Roman"/>
                <w:color w:val="auto"/>
                <w:sz w:val="28"/>
                <w:szCs w:val="28"/>
              </w:rPr>
              <w:t>台（套）。</w:t>
            </w:r>
          </w:p>
          <w:p>
            <w:pPr>
              <w:spacing w:line="480" w:lineRule="exact"/>
              <w:ind w:firstLine="562" w:firstLineChars="200"/>
              <w:rPr>
                <w:rFonts w:ascii="Times New Roman" w:hAnsi="Times New Roman" w:eastAsia="仿宋_GB2312" w:cs="Times New Roman"/>
                <w:color w:val="auto"/>
                <w:sz w:val="28"/>
                <w:szCs w:val="28"/>
              </w:rPr>
            </w:pPr>
            <w:r>
              <w:rPr>
                <w:rFonts w:hint="eastAsia" w:ascii="Times New Roman" w:hAnsi="Times New Roman" w:eastAsia="仿宋_GB2312" w:cs="Times New Roman"/>
                <w:b/>
                <w:bCs/>
                <w:color w:val="auto"/>
                <w:sz w:val="28"/>
                <w:szCs w:val="28"/>
              </w:rPr>
              <w:t>乐山市市中区低空安全技术验证与合规性配套产业化项目。</w:t>
            </w:r>
            <w:r>
              <w:rPr>
                <w:rFonts w:hint="eastAsia" w:ascii="Times New Roman" w:hAnsi="Times New Roman" w:eastAsia="仿宋_GB2312" w:cs="Times New Roman"/>
                <w:color w:val="auto"/>
                <w:sz w:val="28"/>
                <w:szCs w:val="28"/>
              </w:rPr>
              <w:t>拟投资约30000万元。建设室外试飞场、EMC实验室及信息安全实验室，采购研发测试与中试设备，配套建设中试基地，打造集技术验证、攻防演练、产业孵化于一体的低空安全公共技术服务创业平台。</w:t>
            </w:r>
          </w:p>
          <w:p>
            <w:pPr>
              <w:spacing w:line="480" w:lineRule="exact"/>
              <w:ind w:firstLine="562" w:firstLineChars="200"/>
              <w:rPr>
                <w:rFonts w:ascii="Times New Roman" w:hAnsi="Times New Roman" w:cs="Times New Roman"/>
                <w:color w:val="auto"/>
              </w:rPr>
            </w:pPr>
            <w:r>
              <w:rPr>
                <w:rFonts w:hint="eastAsia" w:ascii="Times New Roman" w:hAnsi="Times New Roman" w:eastAsia="仿宋_GB2312" w:cs="Times New Roman"/>
                <w:b/>
                <w:bCs/>
                <w:color w:val="auto"/>
                <w:sz w:val="28"/>
                <w:szCs w:val="28"/>
              </w:rPr>
              <w:t>航空复合材料检测实验室（夹江县）。</w:t>
            </w:r>
            <w:r>
              <w:rPr>
                <w:rFonts w:hint="eastAsia" w:ascii="Times New Roman" w:hAnsi="Times New Roman" w:eastAsia="仿宋_GB2312" w:cs="Times New Roman"/>
                <w:color w:val="auto"/>
                <w:sz w:val="28"/>
                <w:szCs w:val="28"/>
              </w:rPr>
              <w:t>拟投资约15000万元。依托新万兴碳纤维公司CNAS实验室提质赋能，打造航空复合材料、飞行器结构件检验检定能力和测试公共服务平台。</w:t>
            </w:r>
          </w:p>
        </w:tc>
      </w:tr>
    </w:tbl>
    <w:p>
      <w:pPr>
        <w:spacing w:before="156" w:beforeLines="50" w:line="560" w:lineRule="exact"/>
        <w:ind w:firstLine="642" w:firstLineChars="200"/>
        <w:outlineLvl w:val="2"/>
        <w:rPr>
          <w:rFonts w:ascii="Times New Roman" w:hAnsi="Times New Roman" w:eastAsia="仿宋_GB2312" w:cs="Times New Roman"/>
          <w:b/>
          <w:color w:val="auto"/>
          <w:sz w:val="32"/>
          <w:szCs w:val="32"/>
        </w:rPr>
      </w:pPr>
      <w:bookmarkStart w:id="130" w:name="_Toc220270471"/>
      <w:bookmarkStart w:id="131" w:name="_Toc5319"/>
      <w:bookmarkStart w:id="132" w:name="_Toc207125782"/>
      <w:r>
        <w:rPr>
          <w:rFonts w:hint="eastAsia" w:ascii="Times New Roman" w:hAnsi="Times New Roman" w:eastAsia="仿宋_GB2312" w:cs="Times New Roman"/>
          <w:b/>
          <w:color w:val="auto"/>
          <w:sz w:val="32"/>
          <w:szCs w:val="32"/>
        </w:rPr>
        <w:t>3.培育</w:t>
      </w:r>
      <w:r>
        <w:rPr>
          <w:rFonts w:hint="eastAsia" w:ascii="Times New Roman" w:hAnsi="Times New Roman" w:eastAsia="仿宋_GB2312" w:cs="Times New Roman"/>
          <w:b/>
          <w:bCs/>
          <w:color w:val="auto"/>
          <w:sz w:val="32"/>
          <w:szCs w:val="32"/>
        </w:rPr>
        <w:t>低空维修保障服务</w:t>
      </w:r>
      <w:bookmarkEnd w:id="130"/>
      <w:bookmarkEnd w:id="131"/>
      <w:bookmarkEnd w:id="132"/>
    </w:p>
    <w:p>
      <w:pPr>
        <w:adjustRightInd w:val="0"/>
        <w:snapToGrid w:val="0"/>
        <w:spacing w:line="560" w:lineRule="exact"/>
        <w:ind w:firstLine="640" w:firstLineChars="200"/>
        <w:rPr>
          <w:rFonts w:ascii="Times New Roman" w:hAnsi="Times New Roman" w:eastAsia="仿宋_GB2312" w:cs="Times New Roman"/>
          <w:color w:val="auto"/>
          <w:sz w:val="32"/>
          <w:szCs w:val="32"/>
        </w:rPr>
      </w:pPr>
      <w:r>
        <w:rPr>
          <w:rFonts w:hint="eastAsia" w:ascii="Times New Roman" w:hAnsi="Times New Roman" w:eastAsia="仿宋_GB2312" w:cs="Times New Roman"/>
          <w:color w:val="auto"/>
          <w:sz w:val="32"/>
          <w:szCs w:val="32"/>
        </w:rPr>
        <w:t>以申报设立乐山综合保税区为契机，重点支持低空航空器制造、专业航空维修等企业发展保税维修、大修、定制化改装、退役飞机交易等高附加值业务，提升低空产品全生命周期维修保障能力；支持企业拓展整机拆解、回收与再制造业务，推动拆解环节与维修环节高效协同，促进二手航材、机载设备等资源的规范化交易流通与循环利用。在应用场景大规模推广基础上，结合无人机产品国产化率高的特点，探索构建服务全省、辐射全国的无人机零配件区域备件与维修服务中心，为全国无人机用户提供高效、便捷的售后维修维护。探索建立维修数据溯源机制，将低空航空器故障信息实时反馈至研发端，为低空航空器研发升级提供第一手场景数据支撑，形成“研发—应用—维修—迭代”的技术闭环。支持低空航空器制造、销售等企业建设集产品展示、沉浸式体验、售后服务于一体的低空航空器展销服务中心，承接全省乃至全国的低空产品交付与体验需求，以体验驱动销售，推动低空航空器市场拓展，将乐山打造成为四川省低空航空器展销与服务集聚区，带动低空产品融资租赁、航材供应、金融保险、飞行保障等配套服务业发展。</w:t>
      </w:r>
    </w:p>
    <w:p>
      <w:pPr>
        <w:spacing w:line="560" w:lineRule="exact"/>
        <w:ind w:firstLine="642" w:firstLineChars="200"/>
        <w:outlineLvl w:val="2"/>
        <w:rPr>
          <w:rFonts w:ascii="Times New Roman" w:hAnsi="Times New Roman" w:eastAsia="仿宋_GB2312" w:cs="Times New Roman"/>
          <w:b/>
          <w:color w:val="auto"/>
          <w:sz w:val="32"/>
          <w:szCs w:val="32"/>
        </w:rPr>
      </w:pPr>
      <w:bookmarkStart w:id="133" w:name="_Toc207125783"/>
      <w:bookmarkStart w:id="134" w:name="_Toc220270472"/>
      <w:bookmarkStart w:id="135" w:name="_Toc18256"/>
      <w:r>
        <w:rPr>
          <w:rFonts w:hint="eastAsia" w:ascii="Times New Roman" w:hAnsi="Times New Roman" w:eastAsia="仿宋_GB2312" w:cs="Times New Roman"/>
          <w:b/>
          <w:color w:val="auto"/>
          <w:sz w:val="32"/>
          <w:szCs w:val="32"/>
        </w:rPr>
        <w:t>4.探索适航认证技术服务</w:t>
      </w:r>
      <w:bookmarkEnd w:id="133"/>
      <w:bookmarkEnd w:id="134"/>
      <w:bookmarkEnd w:id="135"/>
    </w:p>
    <w:p>
      <w:pPr>
        <w:spacing w:line="560" w:lineRule="exact"/>
        <w:ind w:firstLine="640" w:firstLineChars="200"/>
        <w:rPr>
          <w:rFonts w:ascii="Times New Roman" w:hAnsi="Times New Roman" w:eastAsia="仿宋_GB2312" w:cs="Times New Roman"/>
          <w:color w:val="auto"/>
          <w:sz w:val="32"/>
          <w:szCs w:val="32"/>
        </w:rPr>
      </w:pPr>
      <w:r>
        <w:rPr>
          <w:rFonts w:hint="eastAsia" w:ascii="Times New Roman" w:hAnsi="Times New Roman" w:eastAsia="仿宋_GB2312" w:cs="Times New Roman"/>
          <w:color w:val="auto"/>
          <w:sz w:val="32"/>
          <w:szCs w:val="32"/>
        </w:rPr>
        <w:t>联动检验检测与测试试飞能力建设，加强与民航局适航审定部门、无人机适航审定中心等机构的对接力度，积极争取在乐山布局适航审定类研究机构、服务中心等核心平台载体，支持本地适航认证平台建设，吸引第三方适航审定服务企业落户，引进培育适航审定人才，构建覆盖低空航空器整机、系统及零部件的综合验证体系，力争承接民航成都审定分中心的部分适航审查业务。围绕乐山低空研发制造产业布局，支持适航审定类研究机构为相关企业提供全过程的适航审定咨询服务、技术服务、培训服务，赋能更多航空器和机载设备产品在乐山实现设计、制造与适航认证，为打造</w:t>
      </w:r>
      <w:r>
        <w:rPr>
          <w:rFonts w:hint="eastAsia" w:ascii="仿宋_GB2312" w:hAnsi="仿宋_GB2312" w:eastAsia="仿宋_GB2312" w:cs="仿宋_GB2312"/>
          <w:color w:val="auto"/>
          <w:sz w:val="32"/>
          <w:szCs w:val="32"/>
        </w:rPr>
        <w:t>“乐山造”</w:t>
      </w:r>
      <w:r>
        <w:rPr>
          <w:rFonts w:hint="eastAsia" w:ascii="Times New Roman" w:hAnsi="Times New Roman" w:eastAsia="仿宋_GB2312" w:cs="Times New Roman"/>
          <w:color w:val="auto"/>
          <w:sz w:val="32"/>
          <w:szCs w:val="32"/>
        </w:rPr>
        <w:t>整机品牌提供技术服务支撑。探索建立持续适航测试认证体系，聚焦工业级无人机、eVTOL等新型低空航空器，建设针对在役低空航空器的状态监控、维修保障符合性验证、改装评估及适航指令响应等能力，支持建立本地化的持续适航数据平台与技术服务网络，确保低空航空器在全生命周期内持续满足适航要求，提升产品安全性和市场竞争力。</w:t>
      </w:r>
    </w:p>
    <w:p>
      <w:pPr>
        <w:snapToGrid w:val="0"/>
        <w:spacing w:line="560" w:lineRule="exact"/>
        <w:ind w:firstLine="664" w:firstLineChars="200"/>
        <w:outlineLvl w:val="1"/>
        <w:rPr>
          <w:rFonts w:ascii="Times New Roman" w:hAnsi="Times New Roman" w:eastAsia="楷体_GB2312" w:cs="Times New Roman"/>
          <w:color w:val="auto"/>
          <w:spacing w:val="6"/>
          <w:sz w:val="32"/>
          <w:szCs w:val="32"/>
        </w:rPr>
      </w:pPr>
      <w:bookmarkStart w:id="136" w:name="_Toc220270473"/>
      <w:bookmarkStart w:id="137" w:name="_Toc207125784"/>
      <w:bookmarkStart w:id="138" w:name="_Toc21738"/>
      <w:r>
        <w:rPr>
          <w:rFonts w:hint="eastAsia" w:ascii="Times New Roman" w:hAnsi="Times New Roman" w:eastAsia="楷体_GB2312" w:cs="Times New Roman"/>
          <w:color w:val="auto"/>
          <w:spacing w:val="6"/>
          <w:sz w:val="32"/>
          <w:szCs w:val="32"/>
        </w:rPr>
        <w:t>（四）加大创新要素投入，强化低空科创引领作用</w:t>
      </w:r>
      <w:bookmarkEnd w:id="136"/>
      <w:bookmarkEnd w:id="137"/>
      <w:bookmarkEnd w:id="138"/>
    </w:p>
    <w:p>
      <w:pPr>
        <w:spacing w:line="560" w:lineRule="exact"/>
        <w:ind w:firstLine="642" w:firstLineChars="200"/>
        <w:outlineLvl w:val="2"/>
        <w:rPr>
          <w:rFonts w:ascii="Times New Roman" w:hAnsi="Times New Roman" w:eastAsia="仿宋_GB2312" w:cs="Times New Roman"/>
          <w:b/>
          <w:color w:val="auto"/>
          <w:sz w:val="32"/>
          <w:szCs w:val="32"/>
        </w:rPr>
      </w:pPr>
      <w:bookmarkStart w:id="139" w:name="_Toc207125785"/>
      <w:bookmarkStart w:id="140" w:name="_Toc220270474"/>
      <w:bookmarkStart w:id="141" w:name="_Toc13232"/>
      <w:r>
        <w:rPr>
          <w:rFonts w:hint="eastAsia" w:ascii="Times New Roman" w:hAnsi="Times New Roman" w:eastAsia="仿宋_GB2312" w:cs="Times New Roman"/>
          <w:b/>
          <w:color w:val="auto"/>
          <w:sz w:val="32"/>
          <w:szCs w:val="32"/>
        </w:rPr>
        <w:t>1.推进科技创新平台建设</w:t>
      </w:r>
      <w:bookmarkEnd w:id="139"/>
      <w:bookmarkEnd w:id="140"/>
      <w:bookmarkEnd w:id="141"/>
    </w:p>
    <w:p>
      <w:pPr>
        <w:spacing w:after="156" w:afterLines="50" w:line="560" w:lineRule="exact"/>
        <w:ind w:firstLine="640" w:firstLineChars="200"/>
        <w:rPr>
          <w:rFonts w:ascii="Times New Roman" w:hAnsi="Times New Roman" w:eastAsia="仿宋_GB2312" w:cs="Times New Roman"/>
          <w:color w:val="auto"/>
          <w:kern w:val="0"/>
          <w:sz w:val="32"/>
          <w:szCs w:val="32"/>
        </w:rPr>
      </w:pPr>
      <w:r>
        <w:rPr>
          <w:rFonts w:hint="eastAsia" w:ascii="Times New Roman" w:hAnsi="Times New Roman" w:eastAsia="仿宋_GB2312" w:cs="Times New Roman"/>
          <w:color w:val="auto"/>
          <w:sz w:val="32"/>
          <w:szCs w:val="32"/>
        </w:rPr>
        <w:t>加快建设四川省高性能航空复合材料技术研究院、低空航空器先进材料概念验证中心、乐山市低空经济产业研究院、低空科研试验相关基础设施等创新载体，支持犍为县低空产业研究所发展，鼓励市中区、夹江县、</w:t>
      </w:r>
      <w:r>
        <w:rPr>
          <w:rFonts w:ascii="Times New Roman" w:hAnsi="Times New Roman" w:eastAsia="仿宋_GB2312" w:cs="Times New Roman"/>
          <w:color w:val="auto"/>
          <w:sz w:val="32"/>
          <w:szCs w:val="32"/>
        </w:rPr>
        <w:t>高新区</w:t>
      </w:r>
      <w:r>
        <w:rPr>
          <w:rFonts w:hint="eastAsia" w:ascii="Times New Roman" w:hAnsi="Times New Roman" w:eastAsia="仿宋_GB2312" w:cs="Times New Roman"/>
          <w:color w:val="auto"/>
          <w:sz w:val="32"/>
          <w:szCs w:val="32"/>
        </w:rPr>
        <w:t>等有条件的县（市、区）组建县级低空经济产业研究院（所），在低空航空器整机研发、先进材料、关键共性技术与装备、核心零部件等领域，打造一批高水平创新平台。紧扣国家制造业中试创新发展战略，以低空经济重大科技基础设施为突破口，支持低空经济领域头部企业、高校院所</w:t>
      </w:r>
      <w:r>
        <w:rPr>
          <w:rFonts w:hint="eastAsia" w:ascii="Times New Roman" w:hAnsi="Times New Roman" w:eastAsia="仿宋_GB2312" w:cs="Times New Roman"/>
          <w:color w:val="auto"/>
          <w:kern w:val="0"/>
          <w:sz w:val="32"/>
          <w:szCs w:val="32"/>
        </w:rPr>
        <w:t>共建覆盖设计验证、工艺验证、应用场景验证、可靠性验证、成本验证的多方位、开放式中试平台，</w:t>
      </w:r>
      <w:r>
        <w:rPr>
          <w:rFonts w:hint="eastAsia" w:ascii="Times New Roman" w:hAnsi="Times New Roman" w:eastAsia="仿宋_GB2312" w:cs="Times New Roman"/>
          <w:bCs/>
          <w:color w:val="auto"/>
          <w:sz w:val="32"/>
          <w:szCs w:val="36"/>
        </w:rPr>
        <w:t>主动对接西部地区低空经济企业中试需求，贯通“概念实验室—小试—中试—批量验证”的技术成果转化链条，有效整合中间试验、测试试飞、生产制造、商业运营、维修保障等低空全产业链环节，同步</w:t>
      </w:r>
      <w:r>
        <w:rPr>
          <w:rFonts w:hint="eastAsia" w:ascii="Times New Roman" w:hAnsi="Times New Roman" w:eastAsia="仿宋_GB2312" w:cs="Times New Roman"/>
          <w:color w:val="auto"/>
          <w:sz w:val="32"/>
          <w:szCs w:val="32"/>
        </w:rPr>
        <w:t>培育知识产权管理、技术经纪等专业运营服务能力，加速</w:t>
      </w:r>
      <w:r>
        <w:rPr>
          <w:rFonts w:hint="eastAsia" w:ascii="Times New Roman" w:hAnsi="Times New Roman" w:eastAsia="仿宋_GB2312" w:cs="Times New Roman"/>
          <w:color w:val="auto"/>
          <w:kern w:val="0"/>
          <w:sz w:val="32"/>
          <w:szCs w:val="32"/>
        </w:rPr>
        <w:t>低空科技成果的工程化突破和产业化应用进程。</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8522" w:type="dxa"/>
          </w:tcPr>
          <w:p>
            <w:pPr>
              <w:pStyle w:val="9"/>
              <w:spacing w:line="480" w:lineRule="exact"/>
              <w:jc w:val="center"/>
              <w:rPr>
                <w:rFonts w:ascii="Times New Roman" w:hAnsi="Times New Roman" w:eastAsia="黑体" w:cs="Times New Roman"/>
                <w:color w:val="auto"/>
                <w:lang w:val="en-US" w:bidi="ar-SA"/>
              </w:rPr>
            </w:pPr>
            <w:r>
              <w:rPr>
                <w:rFonts w:hint="eastAsia" w:ascii="Times New Roman" w:hAnsi="Times New Roman" w:eastAsia="黑体" w:cs="Times New Roman"/>
                <w:color w:val="auto"/>
                <w:sz w:val="28"/>
                <w:szCs w:val="28"/>
                <w:lang w:val="en-US" w:bidi="ar"/>
              </w:rPr>
              <w:t>专栏14  低空科技创新平台重点项目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8522" w:type="dxa"/>
          </w:tcPr>
          <w:p>
            <w:pPr>
              <w:spacing w:line="480" w:lineRule="exact"/>
              <w:ind w:firstLine="562" w:firstLineChars="200"/>
              <w:rPr>
                <w:rFonts w:ascii="Times New Roman" w:hAnsi="Times New Roman" w:eastAsia="仿宋_GB2312" w:cs="Times New Roman"/>
                <w:color w:val="auto"/>
                <w:sz w:val="28"/>
                <w:szCs w:val="28"/>
              </w:rPr>
            </w:pPr>
            <w:r>
              <w:rPr>
                <w:rFonts w:hint="eastAsia" w:ascii="Times New Roman" w:hAnsi="Times New Roman" w:eastAsia="仿宋_GB2312" w:cs="Times New Roman"/>
                <w:b/>
                <w:bCs/>
                <w:color w:val="auto"/>
                <w:sz w:val="28"/>
                <w:szCs w:val="28"/>
              </w:rPr>
              <w:t>乐山市低空复合材料中试平台。</w:t>
            </w:r>
            <w:r>
              <w:rPr>
                <w:rFonts w:hint="eastAsia" w:ascii="Times New Roman" w:hAnsi="Times New Roman" w:eastAsia="仿宋_GB2312" w:cs="Times New Roman"/>
                <w:color w:val="auto"/>
                <w:sz w:val="28"/>
                <w:szCs w:val="28"/>
              </w:rPr>
              <w:t>拟投资约</w:t>
            </w:r>
            <w:r>
              <w:rPr>
                <w:rFonts w:ascii="Times New Roman" w:hAnsi="Times New Roman" w:eastAsia="仿宋_GB2312" w:cs="Times New Roman"/>
                <w:color w:val="auto"/>
                <w:sz w:val="28"/>
                <w:szCs w:val="28"/>
              </w:rPr>
              <w:t>61500</w:t>
            </w:r>
            <w:r>
              <w:rPr>
                <w:rFonts w:hint="eastAsia" w:ascii="Times New Roman" w:hAnsi="Times New Roman" w:eastAsia="仿宋_GB2312" w:cs="Times New Roman"/>
                <w:color w:val="auto"/>
                <w:sz w:val="28"/>
                <w:szCs w:val="28"/>
              </w:rPr>
              <w:t>万元。构建以乐山高新区为总部中心，夹江县、沙湾区为2基地的中试平台。乐山高新区总部中心主要负责超材料天线与无人机的功能结构一体化设计、高增益超材料天线研发测试。夹江县基地通过配置自动铺丝机、热压罐、超声波检测设备，主要承担碳纤维、玻璃纤维等复合材料成型工艺研究、检测和小批量生产。沙湾区基地通过新建测试场、高低温碳化炉、复合材料生产加工设备等，主要承担超高温热防材料研发、检测，以及无人装备与低空监测装备测试。</w:t>
            </w:r>
          </w:p>
          <w:p>
            <w:pPr>
              <w:spacing w:line="480" w:lineRule="exact"/>
              <w:ind w:firstLine="562" w:firstLineChars="200"/>
              <w:rPr>
                <w:rFonts w:ascii="Times New Roman" w:hAnsi="Times New Roman" w:eastAsia="仿宋_GB2312" w:cs="Times New Roman"/>
                <w:color w:val="auto"/>
                <w:sz w:val="28"/>
                <w:szCs w:val="28"/>
              </w:rPr>
            </w:pPr>
            <w:r>
              <w:rPr>
                <w:rFonts w:hint="eastAsia" w:ascii="Times New Roman" w:hAnsi="Times New Roman" w:eastAsia="仿宋_GB2312" w:cs="Times New Roman"/>
                <w:b/>
                <w:bCs/>
                <w:color w:val="auto"/>
                <w:sz w:val="28"/>
                <w:szCs w:val="28"/>
              </w:rPr>
              <w:t>四川省高性能航空复合材料技术研究院（夹江县）。</w:t>
            </w:r>
            <w:r>
              <w:rPr>
                <w:rFonts w:hint="eastAsia" w:ascii="Times New Roman" w:hAnsi="Times New Roman" w:eastAsia="仿宋_GB2312" w:cs="Times New Roman"/>
                <w:color w:val="auto"/>
                <w:sz w:val="28"/>
                <w:szCs w:val="28"/>
              </w:rPr>
              <w:t>拟投资约5000万元。联合北航、西北大学、哈尔滨工业大学、川大等高等院校和科研院所，共同创建四川省高性能航空复合材料技术研究院，下设研发平台、实验室、人才管理平台，开展航空复合材料领域关键核心技术攻关，产品设计研发，共建行业公共服务平台。</w:t>
            </w:r>
          </w:p>
          <w:p>
            <w:pPr>
              <w:spacing w:line="480" w:lineRule="exact"/>
              <w:ind w:firstLine="562" w:firstLineChars="200"/>
              <w:rPr>
                <w:rFonts w:ascii="Times New Roman" w:hAnsi="Times New Roman" w:eastAsia="仿宋_GB2312" w:cs="Times New Roman"/>
                <w:color w:val="auto"/>
                <w:sz w:val="28"/>
                <w:szCs w:val="28"/>
              </w:rPr>
            </w:pPr>
            <w:r>
              <w:rPr>
                <w:rFonts w:hint="eastAsia" w:ascii="Times New Roman" w:hAnsi="Times New Roman" w:eastAsia="仿宋_GB2312" w:cs="Times New Roman"/>
                <w:b/>
                <w:bCs/>
                <w:color w:val="auto"/>
                <w:sz w:val="28"/>
                <w:szCs w:val="28"/>
              </w:rPr>
              <w:t>乐山市市中区低空经济安全产业创新研究中心。</w:t>
            </w:r>
            <w:r>
              <w:rPr>
                <w:rFonts w:hint="eastAsia" w:ascii="Times New Roman" w:hAnsi="Times New Roman" w:eastAsia="仿宋_GB2312" w:cs="Times New Roman"/>
                <w:color w:val="auto"/>
                <w:sz w:val="28"/>
                <w:szCs w:val="28"/>
              </w:rPr>
              <w:t>拟投资约15000万元。新建科研大楼及实验室，采购低空仿真系统、决策支持平台、服务平台及数据库，开展空域规划与产业研究，形成安全标准专利等知识产权资产，建成低空经济智库与成果转化平台。</w:t>
            </w:r>
          </w:p>
          <w:p>
            <w:pPr>
              <w:spacing w:line="480" w:lineRule="exact"/>
              <w:ind w:firstLine="562" w:firstLineChars="200"/>
              <w:rPr>
                <w:rFonts w:ascii="Times New Roman" w:hAnsi="Times New Roman" w:eastAsia="仿宋_GB2312" w:cs="Times New Roman"/>
                <w:color w:val="auto"/>
                <w:sz w:val="28"/>
                <w:szCs w:val="28"/>
              </w:rPr>
            </w:pPr>
            <w:r>
              <w:rPr>
                <w:rFonts w:hint="eastAsia" w:ascii="Times New Roman" w:hAnsi="Times New Roman" w:eastAsia="仿宋_GB2312" w:cs="Times New Roman"/>
                <w:b/>
                <w:bCs/>
                <w:color w:val="auto"/>
                <w:sz w:val="28"/>
                <w:szCs w:val="28"/>
              </w:rPr>
              <w:t>乐山高新区低空航空器先进材料概念验证中心。</w:t>
            </w:r>
            <w:r>
              <w:rPr>
                <w:rFonts w:hint="eastAsia" w:ascii="Times New Roman" w:hAnsi="Times New Roman" w:eastAsia="仿宋_GB2312" w:cs="Times New Roman"/>
                <w:color w:val="auto"/>
                <w:sz w:val="28"/>
                <w:szCs w:val="28"/>
              </w:rPr>
              <w:t>拟投资约1500万元。联合光启技术、兴宇航科技、新万兴复材等企业，在乐高校院所及专业化服务机构，共建低空航空器先进材料概念验证中心。围绕碳纤维复合材料、镁合金材料、高温树脂复合材料等先进材料领域科技成果，开展技术和商业化可行性验证。</w:t>
            </w:r>
          </w:p>
          <w:p>
            <w:pPr>
              <w:spacing w:line="480" w:lineRule="exact"/>
              <w:ind w:firstLine="562" w:firstLineChars="200"/>
              <w:rPr>
                <w:rFonts w:ascii="Times New Roman" w:hAnsi="Times New Roman" w:eastAsia="仿宋_GB2312" w:cs="Times New Roman"/>
                <w:color w:val="auto"/>
                <w:sz w:val="28"/>
                <w:szCs w:val="28"/>
              </w:rPr>
            </w:pPr>
            <w:r>
              <w:rPr>
                <w:rFonts w:hint="eastAsia" w:ascii="Times New Roman" w:hAnsi="Times New Roman" w:eastAsia="仿宋_GB2312" w:cs="Times New Roman"/>
                <w:b/>
                <w:bCs/>
                <w:color w:val="auto"/>
                <w:sz w:val="28"/>
                <w:szCs w:val="28"/>
              </w:rPr>
              <w:t>乐山市低空经济产业研究院</w:t>
            </w:r>
            <w:r>
              <w:rPr>
                <w:rFonts w:ascii="Times New Roman" w:hAnsi="Times New Roman" w:eastAsia="仿宋_GB2312" w:cs="Times New Roman"/>
                <w:b/>
                <w:bCs/>
                <w:color w:val="auto"/>
                <w:sz w:val="28"/>
                <w:szCs w:val="28"/>
              </w:rPr>
              <w:t>（高新区）</w:t>
            </w:r>
            <w:r>
              <w:rPr>
                <w:rFonts w:hint="eastAsia" w:ascii="Times New Roman" w:hAnsi="Times New Roman" w:eastAsia="仿宋_GB2312" w:cs="Times New Roman"/>
                <w:b/>
                <w:bCs/>
                <w:color w:val="auto"/>
                <w:sz w:val="28"/>
                <w:szCs w:val="28"/>
              </w:rPr>
              <w:t>。</w:t>
            </w:r>
            <w:r>
              <w:rPr>
                <w:rFonts w:hint="eastAsia" w:ascii="Times New Roman" w:hAnsi="Times New Roman" w:eastAsia="仿宋_GB2312" w:cs="Times New Roman"/>
                <w:color w:val="auto"/>
                <w:sz w:val="28"/>
                <w:szCs w:val="28"/>
              </w:rPr>
              <w:t>拟投资约3000万元。定位新型培育智库，开展低空经济政策研究、产业规划、产教融合及场景验证，围绕低空应用构建技术孵化平台。探索建设低空经济领域重点实验室、企业技术中心、共性技术研发平台、创新联合体等创新平台培育力度，构建低空经济“场景清单”组织策划-发布验证-实施应用等一体化能力。</w:t>
            </w:r>
          </w:p>
          <w:p>
            <w:pPr>
              <w:spacing w:line="480" w:lineRule="exact"/>
              <w:ind w:firstLine="562" w:firstLineChars="200"/>
              <w:rPr>
                <w:rFonts w:ascii="Times New Roman" w:hAnsi="Times New Roman" w:eastAsia="仿宋_GB2312" w:cs="Times New Roman"/>
                <w:color w:val="auto"/>
                <w:sz w:val="28"/>
                <w:szCs w:val="28"/>
              </w:rPr>
            </w:pPr>
            <w:r>
              <w:rPr>
                <w:rFonts w:hint="eastAsia" w:ascii="Times New Roman" w:hAnsi="Times New Roman" w:eastAsia="仿宋_GB2312" w:cs="Times New Roman"/>
                <w:b/>
                <w:bCs/>
                <w:color w:val="auto"/>
                <w:sz w:val="28"/>
                <w:szCs w:val="28"/>
              </w:rPr>
              <w:t>犍为县低空研产飞技术创新基础设施项目（犍为县）。</w:t>
            </w:r>
            <w:r>
              <w:rPr>
                <w:rFonts w:hint="eastAsia" w:ascii="Times New Roman" w:hAnsi="Times New Roman" w:eastAsia="仿宋_GB2312" w:cs="Times New Roman"/>
                <w:color w:val="auto"/>
                <w:sz w:val="28"/>
                <w:szCs w:val="28"/>
              </w:rPr>
              <w:t>拟投资约25000万元。建设服务低空飞行研发、试验、鉴定及飞行训练所需要的综合场地及设施：主要包括空中监管系统，用于研发的低速风洞等实验室约5000平方米；服务无人机及零部件制造的工艺研发、试验、检测、鉴定所需厂房约3000平方米；服务无人机系统研发的实验室、测试设备、外场试验用房约800平方米；无人机实训营地及技术交流区约5000平方米；供排水、电力等配套基础设施建设及配套设备购置等。</w:t>
            </w:r>
          </w:p>
          <w:p>
            <w:pPr>
              <w:spacing w:line="480" w:lineRule="exact"/>
              <w:ind w:firstLine="562" w:firstLineChars="200"/>
              <w:rPr>
                <w:rFonts w:ascii="Times New Roman" w:hAnsi="Times New Roman" w:eastAsia="仿宋_GB2312" w:cs="Times New Roman"/>
                <w:color w:val="auto"/>
                <w:sz w:val="28"/>
                <w:szCs w:val="28"/>
              </w:rPr>
            </w:pPr>
            <w:r>
              <w:rPr>
                <w:rFonts w:hint="eastAsia" w:ascii="Times New Roman" w:hAnsi="Times New Roman" w:eastAsia="仿宋_GB2312" w:cs="Times New Roman"/>
                <w:b/>
                <w:bCs/>
                <w:color w:val="auto"/>
                <w:sz w:val="28"/>
                <w:szCs w:val="28"/>
              </w:rPr>
              <w:t>犍为县科技创新普及推广公共技术服务平台和基础设施建设项目（犍为县）。</w:t>
            </w:r>
            <w:r>
              <w:rPr>
                <w:rFonts w:ascii="Times New Roman" w:hAnsi="Times New Roman" w:eastAsia="仿宋_GB2312" w:cs="Times New Roman"/>
                <w:color w:val="auto"/>
                <w:sz w:val="28"/>
                <w:szCs w:val="28"/>
              </w:rPr>
              <w:t>拟投资</w:t>
            </w:r>
            <w:r>
              <w:rPr>
                <w:rFonts w:hint="eastAsia" w:ascii="Times New Roman" w:hAnsi="Times New Roman" w:eastAsia="仿宋_GB2312" w:cs="Times New Roman"/>
                <w:color w:val="auto"/>
                <w:sz w:val="28"/>
                <w:szCs w:val="28"/>
              </w:rPr>
              <w:t>约20000万元。建设成果展示推广平台6980平方米；公共技术服务平台4600平方米；低空技术与工程联合实验室3000平方米；人工智能创新实验室800平方米；生物降解与生物质利用实验室800平方米；科技创新基地10000平方米；各类平台和实验室配套设备、系统和相关软硬件设施等。</w:t>
            </w:r>
          </w:p>
        </w:tc>
      </w:tr>
    </w:tbl>
    <w:p>
      <w:pPr>
        <w:spacing w:before="156" w:beforeLines="50" w:line="560" w:lineRule="exact"/>
        <w:ind w:firstLine="642" w:firstLineChars="200"/>
        <w:outlineLvl w:val="2"/>
        <w:rPr>
          <w:rFonts w:ascii="Times New Roman" w:hAnsi="Times New Roman" w:eastAsia="仿宋_GB2312" w:cs="Times New Roman"/>
          <w:b/>
          <w:color w:val="auto"/>
          <w:sz w:val="32"/>
          <w:szCs w:val="32"/>
        </w:rPr>
      </w:pPr>
      <w:bookmarkStart w:id="142" w:name="_Toc220270475"/>
      <w:bookmarkStart w:id="143" w:name="_Toc23313"/>
      <w:bookmarkStart w:id="144" w:name="_Toc207125786"/>
      <w:r>
        <w:rPr>
          <w:rFonts w:hint="eastAsia" w:ascii="Times New Roman" w:hAnsi="Times New Roman" w:eastAsia="仿宋_GB2312" w:cs="Times New Roman"/>
          <w:b/>
          <w:color w:val="auto"/>
          <w:sz w:val="32"/>
          <w:szCs w:val="32"/>
        </w:rPr>
        <w:t>2.推动低空关键技术攻关</w:t>
      </w:r>
      <w:bookmarkEnd w:id="142"/>
      <w:bookmarkEnd w:id="143"/>
      <w:bookmarkEnd w:id="144"/>
    </w:p>
    <w:p>
      <w:pPr>
        <w:spacing w:after="156" w:afterLines="50" w:line="560" w:lineRule="exact"/>
        <w:ind w:firstLine="640" w:firstLineChars="200"/>
        <w:rPr>
          <w:rFonts w:ascii="Times New Roman" w:hAnsi="Times New Roman" w:eastAsia="仿宋_GB2312" w:cs="Times New Roman"/>
          <w:color w:val="auto"/>
          <w:sz w:val="32"/>
          <w:szCs w:val="32"/>
        </w:rPr>
      </w:pPr>
      <w:r>
        <w:rPr>
          <w:rFonts w:hint="eastAsia" w:ascii="Times New Roman" w:hAnsi="Times New Roman" w:eastAsia="仿宋_GB2312" w:cs="Times New Roman"/>
          <w:color w:val="auto"/>
          <w:sz w:val="32"/>
          <w:szCs w:val="32"/>
        </w:rPr>
        <w:t>立足全市产业基础，面向国家战略与行业发展需求，支持企业与高校院所联合开展关键核心技术攻关，加快实施一批重大科技专项“揭榜挂帅”和市校合作项目。聚焦低空航空器材料领域，重点突破高性能航空复合材料、轻量化结构材料、耐高温材料等关键技术，推动适用于低空装备的先进材料及制造工艺研发应用。统筹布局航空器装备技术、安全防控、场景应用等方向技术攻关，推动“低空经济+人工智能”前沿技术融合创新，加快形成一批具有自主知识产权的标志性成果。加强与成都、绵阳、自贡等地的协同创新，推动科研平台和试验设施共建共享，持续提升乐山低空产业链综合配套能力。</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8522" w:type="dxa"/>
          </w:tcPr>
          <w:p>
            <w:pPr>
              <w:pStyle w:val="9"/>
              <w:spacing w:line="480" w:lineRule="exact"/>
              <w:jc w:val="center"/>
              <w:rPr>
                <w:rFonts w:ascii="Times New Roman" w:hAnsi="Times New Roman" w:eastAsia="黑体" w:cs="Times New Roman"/>
                <w:color w:val="auto"/>
                <w:lang w:val="en-US" w:bidi="ar-SA"/>
              </w:rPr>
            </w:pPr>
            <w:r>
              <w:rPr>
                <w:rFonts w:hint="eastAsia" w:ascii="Times New Roman" w:hAnsi="Times New Roman" w:eastAsia="黑体" w:cs="Times New Roman"/>
                <w:color w:val="auto"/>
                <w:sz w:val="28"/>
                <w:szCs w:val="28"/>
                <w:lang w:val="en-US" w:bidi="ar"/>
              </w:rPr>
              <w:t>专栏15  低空科技创新主要方向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8522" w:type="dxa"/>
          </w:tcPr>
          <w:p>
            <w:pPr>
              <w:spacing w:line="480" w:lineRule="exact"/>
              <w:ind w:firstLine="562" w:firstLineChars="200"/>
              <w:rPr>
                <w:rFonts w:ascii="Times New Roman" w:hAnsi="Times New Roman" w:eastAsia="仿宋_GB2312" w:cs="Times New Roman"/>
                <w:color w:val="auto"/>
                <w:sz w:val="28"/>
                <w:szCs w:val="28"/>
              </w:rPr>
            </w:pPr>
            <w:r>
              <w:rPr>
                <w:rFonts w:hint="eastAsia" w:ascii="Times New Roman" w:hAnsi="Times New Roman" w:eastAsia="仿宋_GB2312" w:cs="Times New Roman"/>
                <w:b/>
                <w:bCs/>
                <w:color w:val="auto"/>
                <w:sz w:val="28"/>
                <w:szCs w:val="28"/>
              </w:rPr>
              <w:t>先进材料。</w:t>
            </w:r>
            <w:r>
              <w:rPr>
                <w:rFonts w:hint="eastAsia" w:ascii="Times New Roman" w:hAnsi="Times New Roman" w:eastAsia="仿宋_GB2312" w:cs="Times New Roman"/>
                <w:color w:val="auto"/>
                <w:sz w:val="28"/>
                <w:szCs w:val="28"/>
              </w:rPr>
              <w:t>围绕低空航空器轻量化机身发展需求，依托乐山材料领域共性技术和产业基础，支持本土复合材料企业提升技术能级，推进航空级碳纤维复合材料、超高温热防材料、氢燃料电池专用钛材、钒钛复合涂层等技术突破升级。</w:t>
            </w:r>
          </w:p>
          <w:p>
            <w:pPr>
              <w:spacing w:line="480" w:lineRule="exact"/>
              <w:ind w:firstLine="562" w:firstLineChars="200"/>
              <w:rPr>
                <w:rFonts w:ascii="Times New Roman" w:hAnsi="Times New Roman" w:eastAsia="仿宋_GB2312" w:cs="Times New Roman"/>
                <w:color w:val="auto"/>
                <w:sz w:val="28"/>
                <w:szCs w:val="28"/>
              </w:rPr>
            </w:pPr>
            <w:r>
              <w:rPr>
                <w:rFonts w:hint="eastAsia" w:ascii="Times New Roman" w:hAnsi="Times New Roman" w:eastAsia="仿宋_GB2312" w:cs="Times New Roman"/>
                <w:b/>
                <w:bCs/>
                <w:color w:val="auto"/>
                <w:sz w:val="28"/>
                <w:szCs w:val="28"/>
              </w:rPr>
              <w:t>航空器装备。</w:t>
            </w:r>
            <w:r>
              <w:rPr>
                <w:rFonts w:hint="eastAsia" w:ascii="Times New Roman" w:hAnsi="Times New Roman" w:eastAsia="仿宋_GB2312" w:cs="Times New Roman"/>
                <w:color w:val="auto"/>
                <w:sz w:val="28"/>
                <w:szCs w:val="28"/>
              </w:rPr>
              <w:t>围绕乐山农业生产作业等特定场景，锚定长续航、大载重方向，推进航空推进技术、能量控制与管理、高密度航空动力电池系统等技术突破升级。围绕未来城市空中交通及绿色航空发展需求，锚定低空航空器新能源动力技术，依托乐山新能源领域共性技术和产业基础，推进氢燃料存储、氢燃料电池、氢燃料内燃机、氢涡轮发动机、氢涡轮混合电推进、太阳能动力航空器、无人机机巢光伏集成等技术突破升级。</w:t>
            </w:r>
          </w:p>
          <w:p>
            <w:pPr>
              <w:spacing w:line="480" w:lineRule="exact"/>
              <w:ind w:firstLine="562" w:firstLineChars="200"/>
              <w:rPr>
                <w:rFonts w:ascii="Times New Roman" w:hAnsi="Times New Roman" w:eastAsia="仿宋_GB2312" w:cs="Times New Roman"/>
                <w:color w:val="auto"/>
                <w:sz w:val="28"/>
                <w:szCs w:val="28"/>
              </w:rPr>
            </w:pPr>
            <w:r>
              <w:rPr>
                <w:rFonts w:hint="eastAsia" w:ascii="Times New Roman" w:hAnsi="Times New Roman" w:eastAsia="仿宋_GB2312" w:cs="Times New Roman"/>
                <w:b/>
                <w:bCs/>
                <w:color w:val="auto"/>
                <w:sz w:val="28"/>
                <w:szCs w:val="28"/>
              </w:rPr>
              <w:t>安全防控。</w:t>
            </w:r>
            <w:r>
              <w:rPr>
                <w:rFonts w:hint="eastAsia" w:ascii="Times New Roman" w:hAnsi="Times New Roman" w:eastAsia="仿宋_GB2312" w:cs="Times New Roman"/>
                <w:color w:val="auto"/>
                <w:sz w:val="28"/>
                <w:szCs w:val="28"/>
              </w:rPr>
              <w:t>围绕低空安防需求，锚定无人机反制技术与装备，结合低空测试试飞基地建设，打造无人机探测与反制测试中心，推进无人机多源融合探测定位、通信链路阻断、数据链路干扰、导航诱骗、网捕拦截等技术突破升级。</w:t>
            </w:r>
          </w:p>
          <w:p>
            <w:pPr>
              <w:spacing w:line="480" w:lineRule="exact"/>
              <w:ind w:firstLine="562" w:firstLineChars="200"/>
              <w:rPr>
                <w:rFonts w:ascii="Times New Roman" w:hAnsi="Times New Roman" w:eastAsia="仿宋_GB2312" w:cs="Times New Roman"/>
                <w:color w:val="auto"/>
                <w:sz w:val="28"/>
                <w:szCs w:val="28"/>
              </w:rPr>
            </w:pPr>
            <w:r>
              <w:rPr>
                <w:rFonts w:hint="eastAsia" w:ascii="Times New Roman" w:hAnsi="Times New Roman" w:eastAsia="仿宋_GB2312" w:cs="Times New Roman"/>
                <w:b/>
                <w:bCs/>
                <w:color w:val="auto"/>
                <w:sz w:val="28"/>
                <w:szCs w:val="28"/>
              </w:rPr>
              <w:t>场景应用。</w:t>
            </w:r>
            <w:r>
              <w:rPr>
                <w:rFonts w:hint="eastAsia" w:ascii="Times New Roman" w:hAnsi="Times New Roman" w:eastAsia="仿宋_GB2312" w:cs="Times New Roman"/>
                <w:color w:val="auto"/>
                <w:sz w:val="28"/>
                <w:szCs w:val="28"/>
              </w:rPr>
              <w:t>推动人工智能赋能低空运行保障，加强人工智能在低空飞行活动动态监视、风险预警、低空障碍物精准识别及主动避障、运行冲突智能探测与解脱等方面的应用，提升整体运营效率，保障低空运行安全，打造一批人工智能创新应用典型场景，争创省级人工智能场景示范区。</w:t>
            </w:r>
          </w:p>
        </w:tc>
      </w:tr>
    </w:tbl>
    <w:p>
      <w:pPr>
        <w:spacing w:line="560" w:lineRule="exact"/>
        <w:ind w:firstLine="642" w:firstLineChars="200"/>
        <w:outlineLvl w:val="2"/>
        <w:rPr>
          <w:rFonts w:ascii="Times New Roman" w:hAnsi="Times New Roman" w:eastAsia="仿宋_GB2312" w:cs="Times New Roman"/>
          <w:b/>
          <w:color w:val="auto"/>
          <w:sz w:val="32"/>
          <w:szCs w:val="32"/>
        </w:rPr>
      </w:pPr>
      <w:bookmarkStart w:id="145" w:name="_Toc19074"/>
      <w:bookmarkStart w:id="146" w:name="_Toc220270476"/>
      <w:bookmarkStart w:id="147" w:name="_Toc207125787"/>
      <w:r>
        <w:rPr>
          <w:rFonts w:hint="eastAsia" w:ascii="Times New Roman" w:hAnsi="Times New Roman" w:eastAsia="仿宋_GB2312" w:cs="Times New Roman"/>
          <w:b/>
          <w:color w:val="auto"/>
          <w:sz w:val="32"/>
          <w:szCs w:val="32"/>
        </w:rPr>
        <w:t>3.增强企业自主创新能力</w:t>
      </w:r>
      <w:bookmarkEnd w:id="145"/>
      <w:bookmarkEnd w:id="146"/>
      <w:bookmarkEnd w:id="147"/>
    </w:p>
    <w:p>
      <w:pPr>
        <w:spacing w:line="560" w:lineRule="exact"/>
        <w:ind w:firstLine="640" w:firstLineChars="200"/>
        <w:rPr>
          <w:rFonts w:ascii="Times New Roman" w:hAnsi="Times New Roman" w:eastAsia="仿宋_GB2312" w:cs="Times New Roman"/>
          <w:color w:val="auto"/>
          <w:sz w:val="32"/>
          <w:szCs w:val="32"/>
        </w:rPr>
      </w:pPr>
      <w:r>
        <w:rPr>
          <w:rFonts w:hint="eastAsia" w:ascii="Times New Roman" w:hAnsi="Times New Roman" w:eastAsia="仿宋_GB2312" w:cs="Times New Roman"/>
          <w:color w:val="auto"/>
          <w:sz w:val="32"/>
          <w:szCs w:val="32"/>
        </w:rPr>
        <w:t>强化企业科技创新主体地位，支持低空产业链企业在技术熟化、批量生产、试验验证、审查认证等创新环节开展关键核心技术、首台（套）重大技术装备、首版次软件、首批次新材料攻关，积极培育低空经济领域高新技术企业、</w:t>
      </w:r>
      <w:r>
        <w:rPr>
          <w:rFonts w:hint="eastAsia" w:ascii="仿宋_GB2312" w:hAnsi="仿宋_GB2312" w:eastAsia="仿宋_GB2312" w:cs="仿宋_GB2312"/>
          <w:color w:val="auto"/>
          <w:sz w:val="32"/>
          <w:szCs w:val="32"/>
        </w:rPr>
        <w:t>专精特新“小巨人”</w:t>
      </w:r>
      <w:r>
        <w:rPr>
          <w:rFonts w:hint="eastAsia" w:ascii="Times New Roman" w:hAnsi="Times New Roman" w:eastAsia="仿宋_GB2312" w:cs="Times New Roman"/>
          <w:color w:val="auto"/>
          <w:sz w:val="32"/>
          <w:szCs w:val="32"/>
        </w:rPr>
        <w:t>企业。支持企业和高校院所联合或自主建设工程研究中心、企业技术中心、工程技术研究中心等高水平研发机构。支持链主企业、高校院所和创新联合体申报国、省重大科技专项等研制任务。支持企业、高校院所编制低空航空器、低空基础设施、安全监管、应用场景等领域标准，形成一批国省和行业标准成果。支持链主企业发挥引领作用，联合高校院所以及产业链上下游企业，组建产学研深度融合、上下游紧密衔接的创新联合体。深化科技金融服务，促进金融服务机构与低空研发制造企业精准对接，探索建立产业科技金融合作新模式。充分发挥首台（套）重大技术装备保险补偿政策和首批次新材料保险补偿政策作用，全面赋能低空装备推广应用。</w:t>
      </w:r>
    </w:p>
    <w:p>
      <w:pPr>
        <w:spacing w:line="560" w:lineRule="exact"/>
        <w:ind w:firstLine="642" w:firstLineChars="200"/>
        <w:outlineLvl w:val="2"/>
        <w:rPr>
          <w:rFonts w:ascii="Times New Roman" w:hAnsi="Times New Roman" w:eastAsia="仿宋_GB2312" w:cs="Times New Roman"/>
          <w:b/>
          <w:color w:val="auto"/>
          <w:sz w:val="32"/>
          <w:szCs w:val="32"/>
        </w:rPr>
      </w:pPr>
      <w:bookmarkStart w:id="148" w:name="_Toc207125788"/>
      <w:bookmarkStart w:id="149" w:name="_Toc220270477"/>
      <w:bookmarkStart w:id="150" w:name="_Toc31077"/>
      <w:r>
        <w:rPr>
          <w:rFonts w:hint="eastAsia" w:ascii="Times New Roman" w:hAnsi="Times New Roman" w:eastAsia="仿宋_GB2312" w:cs="Times New Roman"/>
          <w:b/>
          <w:color w:val="auto"/>
          <w:sz w:val="32"/>
          <w:szCs w:val="32"/>
        </w:rPr>
        <w:t>4.强化低空专业人才引育</w:t>
      </w:r>
      <w:bookmarkEnd w:id="148"/>
      <w:bookmarkEnd w:id="149"/>
      <w:bookmarkEnd w:id="150"/>
    </w:p>
    <w:p>
      <w:pPr>
        <w:spacing w:after="156" w:afterLines="50" w:line="560" w:lineRule="exact"/>
        <w:ind w:firstLine="640" w:firstLineChars="200"/>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积极争取国省重大人才工程支持，促进</w:t>
      </w:r>
      <w:r>
        <w:rPr>
          <w:rFonts w:hint="eastAsia" w:ascii="仿宋_GB2312" w:hAnsi="仿宋_GB2312" w:eastAsia="仿宋_GB2312" w:cs="仿宋_GB2312"/>
          <w:color w:val="auto"/>
          <w:sz w:val="32"/>
          <w:szCs w:val="32"/>
        </w:rPr>
        <w:t>“嘉”</w:t>
      </w:r>
      <w:r>
        <w:rPr>
          <w:rFonts w:ascii="Times New Roman" w:hAnsi="Times New Roman" w:eastAsia="仿宋_GB2312" w:cs="Times New Roman"/>
          <w:color w:val="auto"/>
          <w:sz w:val="32"/>
          <w:szCs w:val="32"/>
        </w:rPr>
        <w:t>十条人才政策落地落实，</w:t>
      </w:r>
      <w:r>
        <w:rPr>
          <w:rFonts w:hint="eastAsia" w:ascii="Times New Roman" w:hAnsi="Times New Roman" w:eastAsia="仿宋_GB2312" w:cs="Times New Roman"/>
          <w:color w:val="auto"/>
          <w:sz w:val="32"/>
          <w:szCs w:val="32"/>
        </w:rPr>
        <w:t>以航空航天先进材料、低空航空器整机集成、氢能动力系统、低空生产性服务业为重点，引进高层次人才，推进低空产业链人才集聚。创新柔性引才模式，探索“周末工程师”“候鸟专家”“项目顾问”等灵活方式，推动建立乐山低空经济专家智库，吸引国内外顶尖专家智力服务。鼓励在乐高校、职业院校开设</w:t>
      </w:r>
      <w:r>
        <w:rPr>
          <w:rFonts w:hint="eastAsia" w:ascii="仿宋_GB2312" w:hAnsi="仿宋_GB2312" w:eastAsia="仿宋_GB2312" w:cs="仿宋_GB2312"/>
          <w:color w:val="auto"/>
          <w:sz w:val="32"/>
          <w:szCs w:val="32"/>
        </w:rPr>
        <w:t>“航空复合材料智造工程技术”“低空技术与工程”“电动飞行器应用技术”“无人机操控与维护”“无人机应用技术”“航空摄影测量”</w:t>
      </w:r>
      <w:r>
        <w:rPr>
          <w:rFonts w:hint="eastAsia" w:ascii="Times New Roman" w:hAnsi="Times New Roman" w:eastAsia="仿宋_GB2312" w:cs="Times New Roman"/>
          <w:color w:val="auto"/>
          <w:sz w:val="32"/>
          <w:szCs w:val="32"/>
        </w:rPr>
        <w:t>等专业；不断优化低空经济相关“微专业”设置，鼓励在乐职业院校联合企业及科研院所开发包含低空通信协议开发、高精度导航与定位、无人机组装与调试、无人机测绘技术与实践等内容的核心课程。</w:t>
      </w:r>
      <w:r>
        <w:rPr>
          <w:rFonts w:hint="eastAsia" w:ascii="仿宋_GB2312" w:hAnsi="仿宋_GB2312" w:eastAsia="仿宋_GB2312" w:cs="仿宋_GB2312"/>
          <w:color w:val="auto"/>
          <w:sz w:val="32"/>
          <w:szCs w:val="32"/>
        </w:rPr>
        <w:t>鼓励各类市场主体、行业协会、职业院校、技工学校和培训学校开办飞行培训机构，</w:t>
      </w:r>
      <w:r>
        <w:rPr>
          <w:rFonts w:hint="eastAsia" w:ascii="仿宋_GB2312" w:hAnsi="仿宋_GB2312" w:eastAsia="仿宋_GB2312" w:cs="仿宋_GB2312"/>
          <w:color w:val="auto"/>
          <w:sz w:val="32"/>
          <w:szCs w:val="32"/>
          <w:lang w:bidi="zh-CN"/>
        </w:rPr>
        <w:t>逐步</w:t>
      </w:r>
      <w:r>
        <w:rPr>
          <w:rFonts w:hint="eastAsia" w:ascii="仿宋_GB2312" w:hAnsi="仿宋_GB2312" w:eastAsia="仿宋_GB2312" w:cs="仿宋_GB2312"/>
          <w:color w:val="auto"/>
          <w:sz w:val="32"/>
          <w:szCs w:val="32"/>
        </w:rPr>
        <w:t>构建</w:t>
      </w:r>
      <w:r>
        <w:rPr>
          <w:rFonts w:hint="eastAsia" w:ascii="仿宋_GB2312" w:hAnsi="仿宋_GB2312" w:eastAsia="仿宋_GB2312" w:cs="仿宋_GB2312"/>
          <w:color w:val="auto"/>
          <w:sz w:val="32"/>
          <w:szCs w:val="32"/>
          <w:lang w:bidi="zh-CN"/>
        </w:rPr>
        <w:t>覆盖“固定翼+直升机”“商照+私照+运动照”“有人机+无人机+遥控模型航空器”的全序列培训能力</w:t>
      </w:r>
      <w:r>
        <w:rPr>
          <w:rFonts w:hint="eastAsia" w:ascii="仿宋_GB2312" w:hAnsi="仿宋_GB2312" w:eastAsia="仿宋_GB2312" w:cs="仿宋_GB2312"/>
          <w:color w:val="auto"/>
          <w:sz w:val="32"/>
          <w:szCs w:val="32"/>
        </w:rPr>
        <w:t>；</w:t>
      </w:r>
      <w:r>
        <w:rPr>
          <w:rFonts w:hint="eastAsia" w:ascii="Times New Roman" w:hAnsi="Times New Roman" w:eastAsia="仿宋_GB2312" w:cs="Times New Roman"/>
          <w:color w:val="auto"/>
          <w:sz w:val="32"/>
          <w:szCs w:val="32"/>
        </w:rPr>
        <w:t>支持现有民用无人机驾驶培训机构申请打造民航局无人机执照四川地区考点，扩大无人机飞手和飞行执照培训规模。鼓励企业与院校共建低空经济产业学院、实训基地等，培育引进一批职业认证培训单位，完善学位教育、职业教育和专业岗位多层次低空人才教培体系，加快建设低空研究型人才、专业技术人才和应用型人才队伍，重点加强无人机群飞行规划员、消防救援无人机操控员等新职业与新工种供给，打造区域低空人才培育高地。</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8522" w:type="dxa"/>
          </w:tcPr>
          <w:p>
            <w:pPr>
              <w:pStyle w:val="9"/>
              <w:spacing w:line="480" w:lineRule="exact"/>
              <w:jc w:val="center"/>
              <w:rPr>
                <w:rFonts w:ascii="Times New Roman" w:hAnsi="Times New Roman" w:eastAsia="黑体" w:cs="Times New Roman"/>
                <w:color w:val="auto"/>
                <w:lang w:val="en-US" w:bidi="ar-SA"/>
              </w:rPr>
            </w:pPr>
            <w:r>
              <w:rPr>
                <w:rFonts w:hint="eastAsia" w:ascii="Times New Roman" w:hAnsi="Times New Roman" w:eastAsia="黑体" w:cs="Times New Roman"/>
                <w:color w:val="auto"/>
                <w:sz w:val="28"/>
                <w:szCs w:val="28"/>
                <w:lang w:val="en-US" w:bidi="ar"/>
              </w:rPr>
              <w:t>专栏16  低空专业人才引育重点项目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8522" w:type="dxa"/>
          </w:tcPr>
          <w:p>
            <w:pPr>
              <w:spacing w:line="480" w:lineRule="exact"/>
              <w:ind w:firstLine="562" w:firstLineChars="200"/>
              <w:rPr>
                <w:rFonts w:ascii="Times New Roman" w:hAnsi="Times New Roman" w:eastAsia="仿宋_GB2312" w:cs="Times New Roman"/>
                <w:color w:val="auto"/>
                <w:sz w:val="28"/>
                <w:szCs w:val="28"/>
              </w:rPr>
            </w:pPr>
            <w:r>
              <w:rPr>
                <w:rFonts w:hint="eastAsia" w:ascii="Times New Roman" w:hAnsi="Times New Roman" w:eastAsia="仿宋_GB2312" w:cs="Times New Roman"/>
                <w:b/>
                <w:bCs/>
                <w:color w:val="auto"/>
                <w:sz w:val="28"/>
                <w:szCs w:val="28"/>
              </w:rPr>
              <w:t>无人机飞手培训项目（井研县）。</w:t>
            </w:r>
            <w:r>
              <w:rPr>
                <w:rFonts w:hint="eastAsia" w:ascii="Times New Roman" w:hAnsi="Times New Roman" w:eastAsia="仿宋_GB2312" w:cs="Times New Roman"/>
                <w:color w:val="auto"/>
                <w:sz w:val="28"/>
                <w:szCs w:val="28"/>
              </w:rPr>
              <w:t>拟投资约500万元。每年培养300名专业飞手，覆盖植保、测绘、巡检等应用领域，并与井研高级职业中学合作建立无人机培训考点，联合行业协会颁发操作证书。</w:t>
            </w:r>
          </w:p>
          <w:p>
            <w:pPr>
              <w:spacing w:line="480" w:lineRule="exact"/>
              <w:ind w:firstLine="562" w:firstLineChars="200"/>
              <w:rPr>
                <w:rFonts w:ascii="Times New Roman" w:hAnsi="Times New Roman" w:eastAsia="仿宋_GB2312" w:cs="Times New Roman"/>
                <w:color w:val="auto"/>
                <w:sz w:val="28"/>
                <w:szCs w:val="28"/>
              </w:rPr>
            </w:pPr>
            <w:r>
              <w:rPr>
                <w:rFonts w:hint="eastAsia" w:ascii="Times New Roman" w:hAnsi="Times New Roman" w:eastAsia="仿宋_GB2312" w:cs="Times New Roman"/>
                <w:b/>
                <w:bCs/>
                <w:color w:val="auto"/>
                <w:sz w:val="28"/>
                <w:szCs w:val="28"/>
              </w:rPr>
              <w:t>无人机飞手培训项目（夹江县）。</w:t>
            </w:r>
            <w:r>
              <w:rPr>
                <w:rFonts w:hint="eastAsia" w:ascii="Times New Roman" w:hAnsi="Times New Roman" w:eastAsia="仿宋_GB2312" w:cs="Times New Roman"/>
                <w:color w:val="auto"/>
                <w:sz w:val="28"/>
                <w:szCs w:val="28"/>
              </w:rPr>
              <w:t>拟投资约500万元。在夹江县青衣街道，建设3000平方米无人机操作场地、现代化多媒体教室、无人机展厅等，用于无人机飞手培训。</w:t>
            </w:r>
          </w:p>
          <w:p>
            <w:pPr>
              <w:spacing w:line="480" w:lineRule="exact"/>
              <w:ind w:firstLine="562" w:firstLineChars="200"/>
              <w:rPr>
                <w:rFonts w:ascii="Times New Roman" w:hAnsi="Times New Roman" w:eastAsia="仿宋_GB2312" w:cs="Times New Roman"/>
                <w:color w:val="auto"/>
                <w:sz w:val="28"/>
                <w:szCs w:val="28"/>
              </w:rPr>
            </w:pPr>
            <w:r>
              <w:rPr>
                <w:rFonts w:hint="eastAsia" w:ascii="Times New Roman" w:hAnsi="Times New Roman" w:eastAsia="仿宋_GB2312" w:cs="Times New Roman"/>
                <w:b/>
                <w:bCs/>
                <w:color w:val="auto"/>
                <w:sz w:val="28"/>
                <w:szCs w:val="28"/>
              </w:rPr>
              <w:t>无人机产学研一体化实训基地项目（犍为县）。</w:t>
            </w:r>
            <w:r>
              <w:rPr>
                <w:rFonts w:hint="eastAsia" w:ascii="Times New Roman" w:hAnsi="Times New Roman" w:eastAsia="仿宋_GB2312" w:cs="Times New Roman"/>
                <w:color w:val="auto"/>
                <w:sz w:val="28"/>
                <w:szCs w:val="28"/>
              </w:rPr>
              <w:t>引进北京航空航天大学、中国民航飞行学院、成都航空职业技术学院等高校资源，探索建立院士工作站、博士后创新实践基地等高水平科研平台。在犍为职高开设低空经济相关专业，与在乐高校、职业院校联合开展3+2贯通培养模式，共建低空经济产学研教学实践基地、大学生就业实习基地。每年提供100万元的运营管理经费，为校地共建创新平台提供实验室、中试基地等场地和学习实践便利条件。支持星穹智控公司等无人机培训机构加快培养无人机驾驶员、无人机装调检修工和适应植保、巡检、应急救援等应用场景的复合型技能人才，支持申报民航局无人机执照考试中心、人社备案的职业技能培训和认定机构，将无人机相关职业工种纳入政府职业补贴培训目录，培训合格并取得相应证书后可按规定获得职业培训补贴。</w:t>
            </w:r>
          </w:p>
          <w:p>
            <w:pPr>
              <w:spacing w:line="480" w:lineRule="exact"/>
              <w:ind w:firstLine="562" w:firstLineChars="200"/>
              <w:rPr>
                <w:rFonts w:ascii="Times New Roman" w:hAnsi="Times New Roman" w:eastAsia="仿宋_GB2312" w:cs="Times New Roman"/>
                <w:color w:val="auto"/>
                <w:sz w:val="28"/>
                <w:szCs w:val="28"/>
              </w:rPr>
            </w:pPr>
            <w:r>
              <w:rPr>
                <w:rFonts w:hint="eastAsia" w:ascii="Times New Roman" w:hAnsi="Times New Roman" w:eastAsia="仿宋_GB2312" w:cs="Times New Roman"/>
                <w:b/>
                <w:bCs/>
                <w:color w:val="auto"/>
                <w:sz w:val="28"/>
                <w:szCs w:val="28"/>
              </w:rPr>
              <w:t>沐川县中等职业学校无人机应用技术工学一体化实训基地项目（沐川县）。</w:t>
            </w:r>
            <w:r>
              <w:rPr>
                <w:rFonts w:hint="eastAsia" w:ascii="Times New Roman" w:hAnsi="Times New Roman" w:eastAsia="仿宋_GB2312" w:cs="Times New Roman"/>
                <w:color w:val="auto"/>
                <w:sz w:val="28"/>
                <w:szCs w:val="28"/>
              </w:rPr>
              <w:t>沐川县中等职业学校拟投资约</w:t>
            </w:r>
            <w:r>
              <w:rPr>
                <w:rFonts w:ascii="Times New Roman" w:hAnsi="Times New Roman" w:eastAsia="仿宋_GB2312" w:cs="Times New Roman"/>
                <w:color w:val="auto"/>
                <w:sz w:val="28"/>
                <w:szCs w:val="28"/>
              </w:rPr>
              <w:t>500</w:t>
            </w:r>
            <w:r>
              <w:rPr>
                <w:rFonts w:hint="eastAsia" w:ascii="Times New Roman" w:hAnsi="Times New Roman" w:eastAsia="仿宋_GB2312" w:cs="Times New Roman"/>
                <w:color w:val="auto"/>
                <w:sz w:val="28"/>
                <w:szCs w:val="28"/>
              </w:rPr>
              <w:t>万元，建设无人机工学一体化实训基地，引进无人机装调检修、设计研发及加工制造设备，实现“无人机操控员</w:t>
            </w:r>
            <w:r>
              <w:rPr>
                <w:rFonts w:ascii="Times New Roman" w:hAnsi="Times New Roman" w:eastAsia="仿宋_GB2312" w:cs="Times New Roman"/>
                <w:color w:val="auto"/>
                <w:sz w:val="28"/>
                <w:szCs w:val="28"/>
              </w:rPr>
              <w:t>+</w:t>
            </w:r>
            <w:r>
              <w:rPr>
                <w:rFonts w:hint="eastAsia" w:ascii="Times New Roman" w:hAnsi="Times New Roman" w:eastAsia="仿宋_GB2312" w:cs="Times New Roman"/>
                <w:color w:val="auto"/>
                <w:sz w:val="28"/>
                <w:szCs w:val="28"/>
              </w:rPr>
              <w:t>生产制造人员</w:t>
            </w:r>
            <w:r>
              <w:rPr>
                <w:rFonts w:ascii="Times New Roman" w:hAnsi="Times New Roman" w:eastAsia="仿宋_GB2312" w:cs="Times New Roman"/>
                <w:color w:val="auto"/>
                <w:sz w:val="28"/>
                <w:szCs w:val="28"/>
              </w:rPr>
              <w:t>+</w:t>
            </w:r>
            <w:r>
              <w:rPr>
                <w:rFonts w:hint="eastAsia" w:ascii="Times New Roman" w:hAnsi="Times New Roman" w:eastAsia="仿宋_GB2312" w:cs="Times New Roman"/>
                <w:color w:val="auto"/>
                <w:sz w:val="28"/>
                <w:szCs w:val="28"/>
              </w:rPr>
              <w:t>调试维修人员”全链条人才培养，让教育链紧紧铆在产业链，人才链紧密联系创新链。构建“</w:t>
            </w:r>
            <w:r>
              <w:rPr>
                <w:rFonts w:ascii="Times New Roman" w:hAnsi="Times New Roman" w:eastAsia="仿宋_GB2312" w:cs="Times New Roman"/>
                <w:color w:val="auto"/>
                <w:sz w:val="28"/>
                <w:szCs w:val="28"/>
              </w:rPr>
              <w:t>CAAC</w:t>
            </w:r>
            <w:r>
              <w:rPr>
                <w:rFonts w:hint="eastAsia" w:ascii="Times New Roman" w:hAnsi="Times New Roman" w:eastAsia="仿宋_GB2312" w:cs="Times New Roman"/>
                <w:color w:val="auto"/>
                <w:sz w:val="28"/>
                <w:szCs w:val="28"/>
              </w:rPr>
              <w:t>证照培训</w:t>
            </w:r>
            <w:r>
              <w:rPr>
                <w:rFonts w:ascii="Times New Roman" w:hAnsi="Times New Roman" w:eastAsia="仿宋_GB2312" w:cs="Times New Roman"/>
                <w:color w:val="auto"/>
                <w:sz w:val="28"/>
                <w:szCs w:val="28"/>
              </w:rPr>
              <w:t>+</w:t>
            </w:r>
            <w:r>
              <w:rPr>
                <w:rFonts w:hint="eastAsia" w:ascii="Times New Roman" w:hAnsi="Times New Roman" w:eastAsia="仿宋_GB2312" w:cs="Times New Roman"/>
                <w:color w:val="auto"/>
                <w:sz w:val="28"/>
                <w:szCs w:val="28"/>
              </w:rPr>
              <w:t>场景化实训</w:t>
            </w:r>
            <w:r>
              <w:rPr>
                <w:rFonts w:ascii="Times New Roman" w:hAnsi="Times New Roman" w:eastAsia="仿宋_GB2312" w:cs="Times New Roman"/>
                <w:color w:val="auto"/>
                <w:sz w:val="28"/>
                <w:szCs w:val="28"/>
              </w:rPr>
              <w:t>+</w:t>
            </w:r>
            <w:r>
              <w:rPr>
                <w:rFonts w:hint="eastAsia" w:ascii="Times New Roman" w:hAnsi="Times New Roman" w:eastAsia="仿宋_GB2312" w:cs="Times New Roman"/>
                <w:color w:val="auto"/>
                <w:sz w:val="28"/>
                <w:szCs w:val="28"/>
              </w:rPr>
              <w:t>就业推荐”的一体化服务体系，重点结合沐川及周边区域产业需求，开发并输出山区物流（如农产品短途配送、工业建材运输）、设备装调与维修（无人机装调保养与维修）、电力巡检（山区输电线路监测）、农业植保（农药喷洒实操）、应急救援（模拟森林火灾侦查）等特色实训课程，邀请行业资深教练与本地业务骨干联合授课，通过“理论讲解</w:t>
            </w:r>
            <w:r>
              <w:rPr>
                <w:rFonts w:ascii="Times New Roman" w:hAnsi="Times New Roman" w:eastAsia="仿宋_GB2312" w:cs="Times New Roman"/>
                <w:color w:val="auto"/>
                <w:sz w:val="28"/>
                <w:szCs w:val="28"/>
              </w:rPr>
              <w:t>+</w:t>
            </w:r>
            <w:r>
              <w:rPr>
                <w:rFonts w:hint="eastAsia" w:ascii="Times New Roman" w:hAnsi="Times New Roman" w:eastAsia="仿宋_GB2312" w:cs="Times New Roman"/>
                <w:color w:val="auto"/>
                <w:sz w:val="28"/>
                <w:szCs w:val="28"/>
              </w:rPr>
              <w:t>模拟操作</w:t>
            </w:r>
            <w:r>
              <w:rPr>
                <w:rFonts w:ascii="Times New Roman" w:hAnsi="Times New Roman" w:eastAsia="仿宋_GB2312" w:cs="Times New Roman"/>
                <w:color w:val="auto"/>
                <w:sz w:val="28"/>
                <w:szCs w:val="28"/>
              </w:rPr>
              <w:t>+</w:t>
            </w:r>
            <w:r>
              <w:rPr>
                <w:rFonts w:hint="eastAsia" w:ascii="Times New Roman" w:hAnsi="Times New Roman" w:eastAsia="仿宋_GB2312" w:cs="Times New Roman"/>
                <w:color w:val="auto"/>
                <w:sz w:val="28"/>
                <w:szCs w:val="28"/>
              </w:rPr>
              <w:t>实景演练”模式，确保学员掌握适配本地场景的实操技能，推动沐川县以人才振兴带动乡村振兴。</w:t>
            </w:r>
          </w:p>
          <w:p>
            <w:pPr>
              <w:spacing w:line="480" w:lineRule="exact"/>
              <w:ind w:firstLine="562" w:firstLineChars="200"/>
              <w:rPr>
                <w:rFonts w:ascii="Times New Roman" w:hAnsi="Times New Roman" w:eastAsia="仿宋_GB2312" w:cs="Times New Roman"/>
                <w:color w:val="auto"/>
                <w:sz w:val="28"/>
                <w:szCs w:val="28"/>
              </w:rPr>
            </w:pPr>
            <w:r>
              <w:rPr>
                <w:rFonts w:hint="eastAsia" w:ascii="Times New Roman" w:hAnsi="Times New Roman" w:eastAsia="仿宋_GB2312" w:cs="Times New Roman"/>
                <w:b/>
                <w:bCs/>
                <w:color w:val="auto"/>
                <w:sz w:val="28"/>
                <w:szCs w:val="28"/>
              </w:rPr>
              <w:t>无人机飞手培训项目（峨边彝族自治县）。</w:t>
            </w:r>
            <w:r>
              <w:rPr>
                <w:rFonts w:hint="eastAsia" w:ascii="Times New Roman" w:hAnsi="Times New Roman" w:eastAsia="仿宋_GB2312" w:cs="Times New Roman"/>
                <w:color w:val="auto"/>
                <w:sz w:val="28"/>
                <w:szCs w:val="28"/>
              </w:rPr>
              <w:t>在峨边职业高级中学开展无人机培训，打造智能运维体系与实战化飞手人才高地。</w:t>
            </w:r>
          </w:p>
        </w:tc>
      </w:tr>
    </w:tbl>
    <w:p>
      <w:pPr>
        <w:snapToGrid w:val="0"/>
        <w:spacing w:before="156" w:beforeLines="50" w:line="560" w:lineRule="exact"/>
        <w:ind w:firstLine="664" w:firstLineChars="200"/>
        <w:outlineLvl w:val="1"/>
        <w:rPr>
          <w:rFonts w:ascii="Times New Roman" w:hAnsi="Times New Roman" w:eastAsia="楷体_GB2312" w:cs="Times New Roman"/>
          <w:color w:val="auto"/>
          <w:spacing w:val="6"/>
          <w:sz w:val="32"/>
          <w:szCs w:val="32"/>
        </w:rPr>
      </w:pPr>
      <w:bookmarkStart w:id="151" w:name="_Toc207125789"/>
      <w:bookmarkStart w:id="152" w:name="_Toc220270478"/>
      <w:bookmarkStart w:id="153" w:name="_Toc11076"/>
      <w:r>
        <w:rPr>
          <w:rFonts w:hint="eastAsia" w:ascii="Times New Roman" w:hAnsi="Times New Roman" w:eastAsia="楷体_GB2312" w:cs="Times New Roman"/>
          <w:color w:val="auto"/>
          <w:spacing w:val="6"/>
          <w:sz w:val="32"/>
          <w:szCs w:val="32"/>
        </w:rPr>
        <w:t>（五）统筹基础设施建设，建强低空飞行保障</w:t>
      </w:r>
      <w:bookmarkEnd w:id="151"/>
      <w:bookmarkEnd w:id="152"/>
      <w:bookmarkEnd w:id="153"/>
      <w:r>
        <w:rPr>
          <w:rFonts w:hint="eastAsia" w:ascii="Times New Roman" w:hAnsi="Times New Roman" w:eastAsia="楷体_GB2312" w:cs="Times New Roman"/>
          <w:color w:val="auto"/>
          <w:spacing w:val="6"/>
          <w:sz w:val="32"/>
          <w:szCs w:val="32"/>
        </w:rPr>
        <w:t>支撑</w:t>
      </w:r>
    </w:p>
    <w:p>
      <w:pPr>
        <w:spacing w:line="560" w:lineRule="exact"/>
        <w:ind w:firstLine="642" w:firstLineChars="200"/>
        <w:outlineLvl w:val="2"/>
        <w:rPr>
          <w:rFonts w:ascii="Times New Roman" w:hAnsi="Times New Roman" w:eastAsia="仿宋_GB2312" w:cs="Times New Roman"/>
          <w:b/>
          <w:color w:val="auto"/>
          <w:sz w:val="32"/>
          <w:szCs w:val="32"/>
        </w:rPr>
      </w:pPr>
      <w:bookmarkStart w:id="154" w:name="_Toc30591"/>
      <w:bookmarkStart w:id="155" w:name="_Toc220270479"/>
      <w:bookmarkStart w:id="156" w:name="_Toc207125790"/>
      <w:r>
        <w:rPr>
          <w:rFonts w:hint="eastAsia" w:ascii="Times New Roman" w:hAnsi="Times New Roman" w:eastAsia="仿宋_GB2312" w:cs="Times New Roman"/>
          <w:b/>
          <w:color w:val="auto"/>
          <w:sz w:val="32"/>
          <w:szCs w:val="32"/>
        </w:rPr>
        <w:t>1.规划完善低空起降设施</w:t>
      </w:r>
      <w:bookmarkEnd w:id="154"/>
      <w:bookmarkEnd w:id="155"/>
      <w:bookmarkEnd w:id="156"/>
    </w:p>
    <w:p>
      <w:pPr>
        <w:spacing w:after="156" w:afterLines="50" w:line="560" w:lineRule="exact"/>
        <w:ind w:firstLine="640" w:firstLineChars="200"/>
        <w:rPr>
          <w:rFonts w:ascii="Times New Roman" w:hAnsi="Times New Roman" w:eastAsia="仿宋_GB2312" w:cs="Times New Roman"/>
          <w:color w:val="auto"/>
          <w:sz w:val="32"/>
          <w:szCs w:val="32"/>
        </w:rPr>
      </w:pPr>
      <w:r>
        <w:rPr>
          <w:rFonts w:hint="eastAsia" w:ascii="Times New Roman" w:hAnsi="Times New Roman" w:eastAsia="仿宋_GB2312" w:cs="Times New Roman"/>
          <w:color w:val="auto"/>
          <w:sz w:val="32"/>
          <w:szCs w:val="32"/>
        </w:rPr>
        <w:t>结合产业发展与应用场景需求，</w:t>
      </w:r>
      <w:r>
        <w:rPr>
          <w:rFonts w:ascii="Times New Roman" w:hAnsi="Times New Roman" w:eastAsia="仿宋_GB2312" w:cs="Times New Roman"/>
          <w:color w:val="auto"/>
          <w:sz w:val="32"/>
          <w:szCs w:val="32"/>
        </w:rPr>
        <w:t>开展低空起降设施布局专项规划，</w:t>
      </w:r>
      <w:r>
        <w:rPr>
          <w:rFonts w:hint="eastAsia" w:ascii="Times New Roman" w:hAnsi="Times New Roman" w:eastAsia="仿宋_GB2312" w:cs="Times New Roman"/>
          <w:color w:val="auto"/>
          <w:sz w:val="32"/>
          <w:szCs w:val="32"/>
        </w:rPr>
        <w:t>谋划实施一批乐山市低空经济</w:t>
      </w:r>
      <w:r>
        <w:rPr>
          <w:rFonts w:ascii="Times New Roman" w:hAnsi="Times New Roman" w:eastAsia="仿宋_GB2312" w:cs="Times New Roman"/>
          <w:color w:val="auto"/>
          <w:sz w:val="32"/>
          <w:szCs w:val="32"/>
        </w:rPr>
        <w:t>基础设施项目</w:t>
      </w:r>
      <w:r>
        <w:rPr>
          <w:rFonts w:hint="eastAsia" w:ascii="Times New Roman" w:hAnsi="Times New Roman" w:eastAsia="仿宋_GB2312" w:cs="Times New Roman"/>
          <w:color w:val="auto"/>
          <w:sz w:val="32"/>
          <w:szCs w:val="32"/>
        </w:rPr>
        <w:t>，统筹低空垂直起降设施与通用机场、飞行营地等建设</w:t>
      </w:r>
      <w:r>
        <w:rPr>
          <w:rFonts w:ascii="Times New Roman" w:hAnsi="Times New Roman" w:eastAsia="仿宋_GB2312" w:cs="Times New Roman"/>
          <w:color w:val="auto"/>
          <w:sz w:val="32"/>
          <w:szCs w:val="32"/>
        </w:rPr>
        <w:t>。</w:t>
      </w:r>
      <w:r>
        <w:rPr>
          <w:rFonts w:hint="eastAsia" w:ascii="Times New Roman" w:hAnsi="Times New Roman" w:eastAsia="仿宋_GB2312" w:cs="Times New Roman"/>
          <w:color w:val="auto"/>
          <w:sz w:val="32"/>
          <w:szCs w:val="32"/>
        </w:rPr>
        <w:t>结合乐山机场建设，</w:t>
      </w:r>
      <w:r>
        <w:rPr>
          <w:rFonts w:hint="eastAsia" w:ascii="Times New Roman" w:hAnsi="Times New Roman" w:eastAsia="仿宋_GB2312" w:cs="Times New Roman"/>
          <w:color w:val="auto"/>
          <w:spacing w:val="6"/>
          <w:sz w:val="32"/>
          <w:szCs w:val="32"/>
        </w:rPr>
        <w:t>探索建设垂直起降设施，</w:t>
      </w:r>
      <w:r>
        <w:rPr>
          <w:rFonts w:hint="eastAsia" w:ascii="Times New Roman" w:hAnsi="Times New Roman" w:eastAsia="仿宋_GB2312" w:cs="Times New Roman"/>
          <w:color w:val="auto"/>
          <w:sz w:val="32"/>
          <w:szCs w:val="32"/>
        </w:rPr>
        <w:t>增设智能化、集成型、多用途的通用航空保障设施，完善供油、充换电、停机、维修和航材等低空飞行保障能力。有序开展沙湾区、峨眉山市、峨边彝族自治县、马边彝族自治县等通用机场前期工作，适时推进具备条件的通用机场建设项目。聚焦文旅消费场景，在峨眉山、乐山大佛、嘉阳·桫椤湖、东风堰、黑竹沟、沐川竹海、美女峰等重点景区建设</w:t>
      </w:r>
      <w:r>
        <w:rPr>
          <w:rFonts w:hint="eastAsia" w:ascii="Times New Roman" w:hAnsi="Times New Roman" w:eastAsia="仿宋_GB2312" w:cs="Times New Roman"/>
          <w:color w:val="auto"/>
          <w:spacing w:val="6"/>
          <w:sz w:val="32"/>
          <w:szCs w:val="32"/>
        </w:rPr>
        <w:t>具备候机、安检、装卸、补能、停放、维修等综合功能的</w:t>
      </w:r>
      <w:r>
        <w:rPr>
          <w:rFonts w:hint="eastAsia" w:ascii="Times New Roman" w:hAnsi="Times New Roman" w:eastAsia="仿宋_GB2312" w:cs="Times New Roman"/>
          <w:color w:val="auto"/>
          <w:sz w:val="32"/>
          <w:szCs w:val="32"/>
        </w:rPr>
        <w:t>垂直起降设施，打造低空文旅交通枢纽港。</w:t>
      </w:r>
      <w:r>
        <w:rPr>
          <w:rFonts w:hint="eastAsia" w:ascii="Times New Roman" w:hAnsi="Times New Roman" w:eastAsia="仿宋_GB2312" w:cs="Times New Roman"/>
          <w:color w:val="auto"/>
          <w:spacing w:val="-2"/>
          <w:sz w:val="32"/>
          <w:szCs w:val="32"/>
        </w:rPr>
        <w:t>推动在峨眉山高铁站等铁路客运站点建设垂直起降设施，联动峨眉山市黄湾镇等起降场，打造</w:t>
      </w:r>
      <w:r>
        <w:rPr>
          <w:rFonts w:hint="eastAsia" w:ascii="仿宋_GB2312" w:hAnsi="仿宋_GB2312" w:eastAsia="仿宋_GB2312" w:cs="仿宋_GB2312"/>
          <w:color w:val="auto"/>
          <w:spacing w:val="-2"/>
          <w:sz w:val="32"/>
          <w:szCs w:val="32"/>
        </w:rPr>
        <w:t>“空铁联运”</w:t>
      </w:r>
      <w:r>
        <w:rPr>
          <w:rFonts w:hint="eastAsia" w:ascii="Times New Roman" w:hAnsi="Times New Roman" w:eastAsia="仿宋_GB2312" w:cs="Times New Roman"/>
          <w:color w:val="auto"/>
          <w:spacing w:val="-2"/>
          <w:sz w:val="32"/>
          <w:szCs w:val="32"/>
        </w:rPr>
        <w:t>试点示范。</w:t>
      </w:r>
      <w:r>
        <w:rPr>
          <w:rFonts w:hint="eastAsia" w:ascii="Times New Roman" w:hAnsi="Times New Roman" w:eastAsia="仿宋_GB2312" w:cs="Times New Roman"/>
          <w:color w:val="auto"/>
          <w:sz w:val="32"/>
          <w:szCs w:val="32"/>
        </w:rPr>
        <w:t>整合城市治理、农林作业、物流配送、公共服务等场景需求，发挥国资平台引领作用，引导社会资本投入，在重点商圈、景区、医疗机构、农林场站、交通枢纽、快递转运中心等建设一批</w:t>
      </w:r>
      <w:r>
        <w:rPr>
          <w:rFonts w:hint="eastAsia" w:ascii="Times New Roman" w:hAnsi="Times New Roman" w:eastAsia="仿宋_GB2312" w:cs="Times New Roman"/>
          <w:color w:val="auto"/>
          <w:spacing w:val="-2"/>
          <w:sz w:val="32"/>
          <w:szCs w:val="32"/>
        </w:rPr>
        <w:t>垂直起降设施</w:t>
      </w:r>
      <w:r>
        <w:rPr>
          <w:rFonts w:hint="eastAsia" w:ascii="Times New Roman" w:hAnsi="Times New Roman" w:eastAsia="仿宋_GB2312" w:cs="Times New Roman"/>
          <w:color w:val="auto"/>
          <w:sz w:val="32"/>
          <w:szCs w:val="32"/>
        </w:rPr>
        <w:t>。鼓励住宅预留无人机起降场、低空配送接收点。支持航空运动体验基地和航空飞行营地建设发展，</w:t>
      </w:r>
      <w:r>
        <w:rPr>
          <w:rFonts w:hint="eastAsia" w:ascii="Times New Roman" w:hAnsi="Times New Roman" w:eastAsia="仿宋_GB2312" w:cs="Times New Roman"/>
          <w:color w:val="auto"/>
          <w:spacing w:val="6"/>
          <w:sz w:val="32"/>
          <w:szCs w:val="32"/>
        </w:rPr>
        <w:t>差异化开展热气球、滑翔伞、航空模型、航空科普等活动，</w:t>
      </w:r>
      <w:r>
        <w:rPr>
          <w:rFonts w:hint="eastAsia" w:ascii="Times New Roman" w:hAnsi="Times New Roman" w:eastAsia="仿宋_GB2312" w:cs="Times New Roman"/>
          <w:color w:val="auto"/>
          <w:sz w:val="32"/>
          <w:szCs w:val="32"/>
        </w:rPr>
        <w:t>打造一批特色飞行营地。支持在峨秀湖、岷江、大渡河等具备条件的地区探索建设水上机场，探索开展</w:t>
      </w:r>
      <w:r>
        <w:rPr>
          <w:rFonts w:hint="eastAsia" w:ascii="Times New Roman" w:hAnsi="Times New Roman" w:eastAsia="仿宋_GB2312" w:cs="Times New Roman"/>
          <w:color w:val="auto"/>
          <w:spacing w:val="6"/>
          <w:sz w:val="32"/>
          <w:szCs w:val="32"/>
        </w:rPr>
        <w:t>水上飞行运动、水上飞机运营等活动</w:t>
      </w:r>
      <w:r>
        <w:rPr>
          <w:rFonts w:hint="eastAsia" w:ascii="Times New Roman" w:hAnsi="Times New Roman" w:eastAsia="仿宋_GB2312" w:cs="Times New Roman"/>
          <w:color w:val="auto"/>
          <w:sz w:val="32"/>
          <w:szCs w:val="32"/>
        </w:rPr>
        <w:t>。</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8522" w:type="dxa"/>
          </w:tcPr>
          <w:p>
            <w:pPr>
              <w:pStyle w:val="9"/>
              <w:spacing w:line="480" w:lineRule="exact"/>
              <w:jc w:val="center"/>
              <w:rPr>
                <w:rFonts w:ascii="Times New Roman" w:hAnsi="Times New Roman" w:eastAsia="黑体" w:cs="Times New Roman"/>
                <w:color w:val="auto"/>
                <w:lang w:val="en-US" w:bidi="ar-SA"/>
              </w:rPr>
            </w:pPr>
            <w:r>
              <w:rPr>
                <w:rFonts w:hint="eastAsia" w:ascii="Times New Roman" w:hAnsi="Times New Roman" w:eastAsia="黑体" w:cs="Times New Roman"/>
                <w:color w:val="auto"/>
                <w:sz w:val="28"/>
                <w:szCs w:val="28"/>
                <w:lang w:val="en-US" w:bidi="ar"/>
              </w:rPr>
              <w:t>专栏17  低空起降设施重点项目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8522" w:type="dxa"/>
          </w:tcPr>
          <w:p>
            <w:pPr>
              <w:spacing w:line="480" w:lineRule="exact"/>
              <w:ind w:firstLine="562" w:firstLineChars="200"/>
              <w:rPr>
                <w:rFonts w:ascii="Times New Roman" w:hAnsi="Times New Roman" w:eastAsia="仿宋_GB2312" w:cs="Times New Roman"/>
                <w:b/>
                <w:bCs/>
                <w:color w:val="auto"/>
                <w:sz w:val="28"/>
                <w:szCs w:val="28"/>
              </w:rPr>
            </w:pPr>
            <w:r>
              <w:rPr>
                <w:rFonts w:hint="eastAsia" w:ascii="Times New Roman" w:hAnsi="Times New Roman" w:eastAsia="仿宋_GB2312" w:cs="Times New Roman"/>
                <w:b/>
                <w:bCs/>
                <w:color w:val="auto"/>
                <w:sz w:val="28"/>
                <w:szCs w:val="28"/>
              </w:rPr>
              <w:t>1</w:t>
            </w:r>
            <w:r>
              <w:rPr>
                <w:rFonts w:ascii="Times New Roman" w:hAnsi="Times New Roman" w:eastAsia="仿宋_GB2312" w:cs="Times New Roman"/>
                <w:b/>
                <w:bCs/>
                <w:color w:val="auto"/>
                <w:sz w:val="28"/>
                <w:szCs w:val="28"/>
              </w:rPr>
              <w:t>.</w:t>
            </w:r>
            <w:r>
              <w:rPr>
                <w:rFonts w:hint="eastAsia" w:ascii="Times New Roman" w:hAnsi="Times New Roman" w:eastAsia="仿宋_GB2312" w:cs="Times New Roman"/>
                <w:b/>
                <w:bCs/>
                <w:color w:val="auto"/>
                <w:sz w:val="28"/>
                <w:szCs w:val="28"/>
              </w:rPr>
              <w:t>垂直起降设施</w:t>
            </w:r>
          </w:p>
          <w:p>
            <w:pPr>
              <w:spacing w:line="480" w:lineRule="exact"/>
              <w:ind w:firstLine="562" w:firstLineChars="200"/>
              <w:rPr>
                <w:rFonts w:ascii="Times New Roman" w:hAnsi="Times New Roman" w:eastAsia="仿宋_GB2312" w:cs="Times New Roman"/>
                <w:b/>
                <w:bCs/>
                <w:color w:val="auto"/>
                <w:sz w:val="28"/>
                <w:szCs w:val="28"/>
              </w:rPr>
            </w:pPr>
            <w:r>
              <w:rPr>
                <w:rFonts w:hint="eastAsia" w:ascii="Times New Roman" w:hAnsi="Times New Roman" w:eastAsia="仿宋_GB2312" w:cs="Times New Roman"/>
                <w:b/>
                <w:bCs/>
                <w:color w:val="auto"/>
                <w:sz w:val="28"/>
                <w:szCs w:val="28"/>
              </w:rPr>
              <w:t>（1）一级核心节点</w:t>
            </w:r>
          </w:p>
          <w:p>
            <w:pPr>
              <w:spacing w:line="480" w:lineRule="exact"/>
              <w:ind w:firstLine="562" w:firstLineChars="200"/>
              <w:rPr>
                <w:rFonts w:ascii="Times New Roman" w:hAnsi="Times New Roman" w:eastAsia="仿宋_GB2312" w:cs="Times New Roman"/>
                <w:color w:val="auto"/>
                <w:sz w:val="28"/>
                <w:szCs w:val="28"/>
              </w:rPr>
            </w:pPr>
            <w:r>
              <w:rPr>
                <w:rFonts w:hint="eastAsia" w:ascii="Times New Roman" w:hAnsi="Times New Roman" w:eastAsia="仿宋_GB2312" w:cs="Times New Roman"/>
                <w:b/>
                <w:bCs/>
                <w:color w:val="auto"/>
                <w:sz w:val="28"/>
                <w:szCs w:val="28"/>
              </w:rPr>
              <w:t>市中区一级低空垂直起降设施项目。</w:t>
            </w:r>
            <w:r>
              <w:rPr>
                <w:rFonts w:ascii="Times New Roman" w:hAnsi="Times New Roman" w:eastAsia="仿宋_GB2312" w:cs="Times New Roman"/>
                <w:color w:val="auto"/>
                <w:sz w:val="28"/>
                <w:szCs w:val="28"/>
              </w:rPr>
              <w:t>拟投资约5000万元。</w:t>
            </w:r>
            <w:r>
              <w:rPr>
                <w:rFonts w:hint="eastAsia" w:ascii="Times New Roman" w:hAnsi="Times New Roman" w:eastAsia="仿宋_GB2312" w:cs="Times New Roman"/>
                <w:color w:val="auto"/>
                <w:sz w:val="28"/>
                <w:szCs w:val="28"/>
              </w:rPr>
              <w:t>建设一级低空垂直起降设施一个，包含起降区、助航设施、机库、地面通道、能源供应设施、候机室、装卸区、办公区等起降场设施，配备通信、导航、监视、气象等起降保障设施和安防消防、地面接驳设施。</w:t>
            </w:r>
          </w:p>
          <w:p>
            <w:pPr>
              <w:spacing w:line="480" w:lineRule="exact"/>
              <w:ind w:firstLine="562" w:firstLineChars="200"/>
              <w:rPr>
                <w:rFonts w:ascii="Times New Roman" w:hAnsi="Times New Roman" w:eastAsia="仿宋_GB2312" w:cs="Times New Roman"/>
                <w:b/>
                <w:bCs/>
                <w:color w:val="auto"/>
                <w:sz w:val="28"/>
                <w:szCs w:val="28"/>
              </w:rPr>
            </w:pPr>
            <w:r>
              <w:rPr>
                <w:rFonts w:hint="eastAsia" w:ascii="Times New Roman" w:hAnsi="Times New Roman" w:eastAsia="仿宋_GB2312" w:cs="Times New Roman"/>
                <w:b/>
                <w:bCs/>
                <w:color w:val="auto"/>
                <w:sz w:val="28"/>
                <w:szCs w:val="28"/>
              </w:rPr>
              <w:t>（2）二级重要节点</w:t>
            </w:r>
          </w:p>
          <w:p>
            <w:pPr>
              <w:spacing w:line="480" w:lineRule="exact"/>
              <w:ind w:firstLine="562" w:firstLineChars="200"/>
              <w:rPr>
                <w:rFonts w:ascii="Times New Roman" w:hAnsi="Times New Roman" w:eastAsia="仿宋_GB2312" w:cs="Times New Roman"/>
                <w:color w:val="auto"/>
                <w:sz w:val="28"/>
                <w:szCs w:val="28"/>
              </w:rPr>
            </w:pPr>
            <w:r>
              <w:rPr>
                <w:rFonts w:hint="eastAsia" w:ascii="Times New Roman" w:hAnsi="Times New Roman" w:eastAsia="仿宋_GB2312" w:cs="Times New Roman"/>
                <w:b/>
                <w:bCs/>
                <w:color w:val="auto"/>
                <w:sz w:val="28"/>
                <w:szCs w:val="28"/>
              </w:rPr>
              <w:t>峨眉山市峨秀湖二级低空垂直起降设施项目。</w:t>
            </w:r>
            <w:r>
              <w:rPr>
                <w:rFonts w:ascii="Times New Roman" w:hAnsi="Times New Roman" w:eastAsia="仿宋_GB2312" w:cs="Times New Roman"/>
                <w:color w:val="auto"/>
                <w:sz w:val="28"/>
                <w:szCs w:val="28"/>
              </w:rPr>
              <w:t>拟投资约</w:t>
            </w:r>
            <w:r>
              <w:rPr>
                <w:rFonts w:hint="eastAsia" w:ascii="Times New Roman" w:hAnsi="Times New Roman" w:eastAsia="仿宋_GB2312" w:cs="Times New Roman"/>
                <w:color w:val="auto"/>
                <w:sz w:val="28"/>
                <w:szCs w:val="28"/>
              </w:rPr>
              <w:t>3000</w:t>
            </w:r>
            <w:r>
              <w:rPr>
                <w:rFonts w:ascii="Times New Roman" w:hAnsi="Times New Roman" w:eastAsia="仿宋_GB2312" w:cs="Times New Roman"/>
                <w:color w:val="auto"/>
                <w:sz w:val="28"/>
                <w:szCs w:val="28"/>
              </w:rPr>
              <w:t>万元。</w:t>
            </w:r>
            <w:r>
              <w:rPr>
                <w:rFonts w:hint="eastAsia" w:ascii="Times New Roman" w:hAnsi="Times New Roman" w:eastAsia="仿宋_GB2312" w:cs="Times New Roman"/>
                <w:color w:val="auto"/>
                <w:sz w:val="28"/>
                <w:szCs w:val="28"/>
              </w:rPr>
              <w:t>新建1个标准化二级低空垂直起降场，场地硬化面积8000平方米，配套建设300平方米机库、6个快充站及10个慢充桩、50平方米日常维保车间；搭建市域低空调度服务分站，配备北斗导航辅助设备、气象监测设备及通信保障系统；完善场地排水、绿化、照明、围网等附属设施，建设应急通道及临时停车位。</w:t>
            </w:r>
          </w:p>
          <w:p>
            <w:pPr>
              <w:spacing w:line="480" w:lineRule="exact"/>
              <w:ind w:firstLine="562" w:firstLineChars="200"/>
              <w:rPr>
                <w:rFonts w:ascii="Times New Roman" w:hAnsi="Times New Roman" w:eastAsia="仿宋_GB2312" w:cs="Times New Roman"/>
                <w:color w:val="auto"/>
                <w:sz w:val="28"/>
                <w:szCs w:val="28"/>
              </w:rPr>
            </w:pPr>
            <w:r>
              <w:rPr>
                <w:rFonts w:hint="eastAsia" w:ascii="Times New Roman" w:hAnsi="Times New Roman" w:eastAsia="仿宋_GB2312" w:cs="Times New Roman"/>
                <w:b/>
                <w:bCs/>
                <w:color w:val="auto"/>
                <w:sz w:val="28"/>
                <w:szCs w:val="28"/>
              </w:rPr>
              <w:t>沐川县二级低空垂直起降设施项目。</w:t>
            </w:r>
            <w:r>
              <w:rPr>
                <w:rFonts w:ascii="Times New Roman" w:hAnsi="Times New Roman" w:eastAsia="仿宋_GB2312" w:cs="Times New Roman"/>
                <w:color w:val="auto"/>
                <w:sz w:val="28"/>
                <w:szCs w:val="28"/>
              </w:rPr>
              <w:t>拟投资约</w:t>
            </w:r>
            <w:r>
              <w:rPr>
                <w:rFonts w:hint="eastAsia" w:ascii="Times New Roman" w:hAnsi="Times New Roman" w:eastAsia="仿宋_GB2312" w:cs="Times New Roman"/>
                <w:color w:val="auto"/>
                <w:sz w:val="28"/>
                <w:szCs w:val="28"/>
              </w:rPr>
              <w:t>5000</w:t>
            </w:r>
            <w:r>
              <w:rPr>
                <w:rFonts w:ascii="Times New Roman" w:hAnsi="Times New Roman" w:eastAsia="仿宋_GB2312" w:cs="Times New Roman"/>
                <w:color w:val="auto"/>
                <w:sz w:val="28"/>
                <w:szCs w:val="28"/>
              </w:rPr>
              <w:t>万元。</w:t>
            </w:r>
            <w:r>
              <w:rPr>
                <w:rFonts w:hint="eastAsia" w:ascii="Times New Roman" w:hAnsi="Times New Roman" w:eastAsia="仿宋_GB2312" w:cs="Times New Roman"/>
                <w:color w:val="auto"/>
                <w:sz w:val="28"/>
                <w:szCs w:val="28"/>
              </w:rPr>
              <w:t>建设起降区、灯光、指引等助航设施1套、机位6个、地面通道、能源供应设施1套，配备通信、导航、监视、气等起降保障设施1套和安防消防设施1套，建设物流货物装卸区、候机区、办公区、地面接驳等设施1套。</w:t>
            </w:r>
          </w:p>
          <w:p>
            <w:pPr>
              <w:spacing w:line="480" w:lineRule="exact"/>
              <w:ind w:firstLine="562" w:firstLineChars="200"/>
              <w:rPr>
                <w:rFonts w:ascii="Times New Roman" w:hAnsi="Times New Roman" w:eastAsia="仿宋_GB2312" w:cs="Times New Roman"/>
                <w:color w:val="auto"/>
                <w:sz w:val="28"/>
                <w:szCs w:val="28"/>
              </w:rPr>
            </w:pPr>
            <w:r>
              <w:rPr>
                <w:rFonts w:hint="eastAsia" w:ascii="Times New Roman" w:hAnsi="Times New Roman" w:eastAsia="仿宋_GB2312" w:cs="Times New Roman"/>
                <w:b/>
                <w:bCs/>
                <w:color w:val="auto"/>
                <w:sz w:val="28"/>
                <w:szCs w:val="28"/>
              </w:rPr>
              <w:t>沙湾区二级低空垂直起降设施项目。</w:t>
            </w:r>
            <w:r>
              <w:rPr>
                <w:rFonts w:ascii="Times New Roman" w:hAnsi="Times New Roman" w:eastAsia="仿宋_GB2312" w:cs="Times New Roman"/>
                <w:color w:val="auto"/>
                <w:sz w:val="28"/>
                <w:szCs w:val="28"/>
              </w:rPr>
              <w:t>拟投资约</w:t>
            </w:r>
            <w:r>
              <w:rPr>
                <w:rFonts w:hint="eastAsia" w:ascii="Times New Roman" w:hAnsi="Times New Roman" w:eastAsia="仿宋_GB2312" w:cs="Times New Roman"/>
                <w:color w:val="auto"/>
                <w:sz w:val="28"/>
                <w:szCs w:val="28"/>
              </w:rPr>
              <w:t>7000</w:t>
            </w:r>
            <w:r>
              <w:rPr>
                <w:rFonts w:ascii="Times New Roman" w:hAnsi="Times New Roman" w:eastAsia="仿宋_GB2312" w:cs="Times New Roman"/>
                <w:color w:val="auto"/>
                <w:sz w:val="28"/>
                <w:szCs w:val="28"/>
              </w:rPr>
              <w:t>万元。</w:t>
            </w:r>
            <w:r>
              <w:rPr>
                <w:rFonts w:hint="eastAsia" w:ascii="Times New Roman" w:hAnsi="Times New Roman" w:eastAsia="仿宋_GB2312" w:cs="Times New Roman"/>
                <w:color w:val="auto"/>
                <w:sz w:val="28"/>
                <w:szCs w:val="28"/>
              </w:rPr>
              <w:t>占地25亩，具备市域范围内低空垂直起降航空器的综合保障和服务功能，拟建起降场、起降保障设施以及配套设施等。</w:t>
            </w:r>
          </w:p>
          <w:p>
            <w:pPr>
              <w:spacing w:line="480" w:lineRule="exact"/>
              <w:ind w:firstLine="562" w:firstLineChars="200"/>
              <w:rPr>
                <w:rFonts w:ascii="Times New Roman" w:hAnsi="Times New Roman" w:eastAsia="仿宋_GB2312" w:cs="Times New Roman"/>
                <w:color w:val="auto"/>
                <w:sz w:val="28"/>
                <w:szCs w:val="28"/>
              </w:rPr>
            </w:pPr>
            <w:r>
              <w:rPr>
                <w:rFonts w:hint="eastAsia" w:ascii="Times New Roman" w:hAnsi="Times New Roman" w:eastAsia="仿宋_GB2312" w:cs="Times New Roman"/>
                <w:b/>
                <w:bCs/>
                <w:color w:val="auto"/>
                <w:sz w:val="28"/>
                <w:szCs w:val="28"/>
              </w:rPr>
              <w:t>犍为县二级低空垂直起降设施项目。</w:t>
            </w:r>
            <w:r>
              <w:rPr>
                <w:rFonts w:ascii="Times New Roman" w:hAnsi="Times New Roman" w:eastAsia="仿宋_GB2312" w:cs="Times New Roman"/>
                <w:color w:val="auto"/>
                <w:sz w:val="28"/>
                <w:szCs w:val="28"/>
              </w:rPr>
              <w:t>拟投资约</w:t>
            </w:r>
            <w:r>
              <w:rPr>
                <w:rFonts w:hint="eastAsia" w:ascii="Times New Roman" w:hAnsi="Times New Roman" w:eastAsia="仿宋_GB2312" w:cs="Times New Roman"/>
                <w:color w:val="auto"/>
                <w:sz w:val="28"/>
                <w:szCs w:val="28"/>
              </w:rPr>
              <w:t>4000</w:t>
            </w:r>
            <w:r>
              <w:rPr>
                <w:rFonts w:ascii="Times New Roman" w:hAnsi="Times New Roman" w:eastAsia="仿宋_GB2312" w:cs="Times New Roman"/>
                <w:color w:val="auto"/>
                <w:sz w:val="28"/>
                <w:szCs w:val="28"/>
              </w:rPr>
              <w:t>万元。</w:t>
            </w:r>
            <w:r>
              <w:rPr>
                <w:rFonts w:hint="eastAsia" w:ascii="Times New Roman" w:hAnsi="Times New Roman" w:eastAsia="仿宋_GB2312" w:cs="Times New Roman"/>
                <w:color w:val="auto"/>
                <w:sz w:val="28"/>
                <w:szCs w:val="28"/>
              </w:rPr>
              <w:t>规划建设1个30米FATO（供AE200等大型机使用）、2个15米FATO和2个水上30米FATO，配套助航灯光、边界标志与气象站。配置1套基于5G-A与MLAT的通导监视系统实现飞行监视与调度。能源方面设2个360kW超充桩及2个80kW快充桩。建设组合式机库（可停放2架大型机及4架中小型机）及综合服务楼（含调度、候机、商业）。主要承担至乐山周边景区的游客接驳中转（日服务能力超100架次）及县域内通勤物流运输（日容量约150架次），实现与一级枢纽的高效衔接。</w:t>
            </w:r>
          </w:p>
          <w:p>
            <w:pPr>
              <w:spacing w:line="480" w:lineRule="exact"/>
              <w:ind w:firstLine="562" w:firstLineChars="200"/>
              <w:rPr>
                <w:rFonts w:ascii="Times New Roman" w:hAnsi="Times New Roman" w:eastAsia="仿宋_GB2312" w:cs="Times New Roman"/>
                <w:b/>
                <w:bCs/>
                <w:color w:val="auto"/>
                <w:sz w:val="28"/>
                <w:szCs w:val="28"/>
              </w:rPr>
            </w:pPr>
            <w:r>
              <w:rPr>
                <w:rFonts w:hint="eastAsia" w:ascii="Times New Roman" w:hAnsi="Times New Roman" w:eastAsia="仿宋_GB2312" w:cs="Times New Roman"/>
                <w:b/>
                <w:bCs/>
                <w:color w:val="auto"/>
                <w:sz w:val="28"/>
                <w:szCs w:val="28"/>
              </w:rPr>
              <w:t>马边彝族自治县二级低空垂直起降设施项目。</w:t>
            </w:r>
            <w:r>
              <w:rPr>
                <w:rFonts w:ascii="Times New Roman" w:hAnsi="Times New Roman" w:eastAsia="仿宋_GB2312" w:cs="Times New Roman"/>
                <w:color w:val="auto"/>
                <w:sz w:val="28"/>
                <w:szCs w:val="28"/>
              </w:rPr>
              <w:t>拟投资约</w:t>
            </w:r>
            <w:r>
              <w:rPr>
                <w:rFonts w:hint="eastAsia" w:ascii="Times New Roman" w:hAnsi="Times New Roman" w:eastAsia="仿宋_GB2312" w:cs="Times New Roman"/>
                <w:color w:val="auto"/>
                <w:sz w:val="28"/>
                <w:szCs w:val="28"/>
              </w:rPr>
              <w:t>8000</w:t>
            </w:r>
            <w:r>
              <w:rPr>
                <w:rFonts w:ascii="Times New Roman" w:hAnsi="Times New Roman" w:eastAsia="仿宋_GB2312" w:cs="Times New Roman"/>
                <w:color w:val="auto"/>
                <w:sz w:val="28"/>
                <w:szCs w:val="28"/>
              </w:rPr>
              <w:t>万元。</w:t>
            </w:r>
            <w:r>
              <w:rPr>
                <w:rFonts w:hint="eastAsia" w:ascii="Times New Roman" w:hAnsi="Times New Roman" w:eastAsia="仿宋_GB2312" w:cs="Times New Roman"/>
                <w:color w:val="auto"/>
                <w:sz w:val="28"/>
                <w:szCs w:val="28"/>
              </w:rPr>
              <w:t>拟在马边县民建镇建设具有起降、备降、存放、中转的综合性服务保障低空垂直起降设施，包含充换电基础设施、日常维保库房设施及其他配套设施。</w:t>
            </w:r>
          </w:p>
          <w:p>
            <w:pPr>
              <w:spacing w:line="480" w:lineRule="exact"/>
              <w:ind w:firstLine="562" w:firstLineChars="200"/>
              <w:rPr>
                <w:rFonts w:ascii="Times New Roman" w:hAnsi="Times New Roman" w:eastAsia="仿宋_GB2312" w:cs="Times New Roman"/>
                <w:color w:val="auto"/>
                <w:sz w:val="28"/>
                <w:szCs w:val="28"/>
              </w:rPr>
            </w:pPr>
            <w:r>
              <w:rPr>
                <w:rFonts w:hint="eastAsia" w:ascii="Times New Roman" w:hAnsi="Times New Roman" w:eastAsia="仿宋_GB2312" w:cs="Times New Roman"/>
                <w:b/>
                <w:bCs/>
                <w:color w:val="auto"/>
                <w:sz w:val="28"/>
                <w:szCs w:val="28"/>
              </w:rPr>
              <w:t>峨边彝族自治县二级低空垂直起降设施项目。</w:t>
            </w:r>
            <w:r>
              <w:rPr>
                <w:rFonts w:ascii="Times New Roman" w:hAnsi="Times New Roman" w:eastAsia="仿宋_GB2312" w:cs="Times New Roman"/>
                <w:color w:val="auto"/>
                <w:sz w:val="28"/>
                <w:szCs w:val="28"/>
              </w:rPr>
              <w:t>拟投资约</w:t>
            </w:r>
            <w:r>
              <w:rPr>
                <w:rFonts w:hint="eastAsia" w:ascii="Times New Roman" w:hAnsi="Times New Roman" w:eastAsia="仿宋_GB2312" w:cs="Times New Roman"/>
                <w:color w:val="auto"/>
                <w:sz w:val="28"/>
                <w:szCs w:val="28"/>
              </w:rPr>
              <w:t>1000</w:t>
            </w:r>
            <w:r>
              <w:rPr>
                <w:rFonts w:ascii="Times New Roman" w:hAnsi="Times New Roman" w:eastAsia="仿宋_GB2312" w:cs="Times New Roman"/>
                <w:color w:val="auto"/>
                <w:sz w:val="28"/>
                <w:szCs w:val="28"/>
              </w:rPr>
              <w:t>万元。</w:t>
            </w:r>
            <w:r>
              <w:rPr>
                <w:rFonts w:hint="eastAsia" w:ascii="Times New Roman" w:hAnsi="Times New Roman" w:eastAsia="仿宋_GB2312" w:cs="Times New Roman"/>
                <w:color w:val="auto"/>
                <w:sz w:val="28"/>
                <w:szCs w:val="28"/>
              </w:rPr>
              <w:t>规划在沙坪镇中坪村建设占地面积3亩的低空垂直起降设施，提供多种低空垂直起降航空器起降及备降、存放、中转、充换电、日常维护等通用和专用设施及服务。</w:t>
            </w:r>
          </w:p>
          <w:p>
            <w:pPr>
              <w:spacing w:line="480" w:lineRule="exact"/>
              <w:ind w:firstLine="562" w:firstLineChars="200"/>
              <w:rPr>
                <w:rFonts w:ascii="Times New Roman" w:hAnsi="Times New Roman" w:eastAsia="仿宋_GB2312" w:cs="Times New Roman"/>
                <w:b/>
                <w:bCs/>
                <w:color w:val="auto"/>
                <w:sz w:val="28"/>
                <w:szCs w:val="28"/>
              </w:rPr>
            </w:pPr>
            <w:r>
              <w:rPr>
                <w:rFonts w:hint="eastAsia" w:ascii="Times New Roman" w:hAnsi="Times New Roman" w:eastAsia="仿宋_GB2312" w:cs="Times New Roman"/>
                <w:b/>
                <w:bCs/>
                <w:color w:val="auto"/>
                <w:sz w:val="28"/>
                <w:szCs w:val="28"/>
              </w:rPr>
              <w:t>2.通用机场</w:t>
            </w:r>
          </w:p>
          <w:p>
            <w:pPr>
              <w:spacing w:line="480" w:lineRule="exact"/>
              <w:ind w:firstLine="562" w:firstLineChars="200"/>
              <w:rPr>
                <w:rFonts w:ascii="Times New Roman" w:hAnsi="Times New Roman" w:eastAsia="仿宋_GB2312" w:cs="Times New Roman"/>
                <w:color w:val="auto"/>
                <w:sz w:val="28"/>
                <w:szCs w:val="28"/>
              </w:rPr>
            </w:pPr>
            <w:r>
              <w:rPr>
                <w:rFonts w:hint="eastAsia" w:ascii="Times New Roman" w:hAnsi="Times New Roman" w:eastAsia="仿宋_GB2312" w:cs="Times New Roman"/>
                <w:b/>
                <w:bCs/>
                <w:color w:val="auto"/>
                <w:sz w:val="28"/>
                <w:szCs w:val="28"/>
              </w:rPr>
              <w:t>马边彝族自治县通用机场及特色文旅项目。</w:t>
            </w:r>
            <w:r>
              <w:rPr>
                <w:rFonts w:ascii="Times New Roman" w:hAnsi="Times New Roman" w:eastAsia="仿宋_GB2312" w:cs="Times New Roman"/>
                <w:color w:val="auto"/>
                <w:sz w:val="28"/>
                <w:szCs w:val="28"/>
              </w:rPr>
              <w:t>新建通用机场1个，马边通用机场已列入《四川省通用机场布局规划（2016—2030年）》和《关于支持乐山高质量发展加快提升区域中心城市能级的意见》。同时配套打造特色文旅。</w:t>
            </w:r>
          </w:p>
          <w:p>
            <w:pPr>
              <w:spacing w:line="480" w:lineRule="exact"/>
              <w:ind w:firstLine="562" w:firstLineChars="200"/>
              <w:rPr>
                <w:rFonts w:ascii="Times New Roman" w:hAnsi="Times New Roman" w:eastAsia="仿宋_GB2312" w:cs="Times New Roman"/>
                <w:color w:val="auto"/>
                <w:sz w:val="28"/>
                <w:szCs w:val="28"/>
              </w:rPr>
            </w:pPr>
            <w:r>
              <w:rPr>
                <w:rFonts w:hint="eastAsia" w:ascii="Times New Roman" w:hAnsi="Times New Roman" w:eastAsia="仿宋_GB2312" w:cs="Times New Roman"/>
                <w:b/>
                <w:bCs/>
                <w:color w:val="auto"/>
                <w:sz w:val="28"/>
                <w:szCs w:val="28"/>
              </w:rPr>
              <w:t>峨边彝族自治县通用机场（测试基地）项目。</w:t>
            </w:r>
            <w:r>
              <w:rPr>
                <w:rFonts w:hint="eastAsia" w:ascii="Times New Roman" w:hAnsi="Times New Roman" w:eastAsia="仿宋_GB2312" w:cs="Times New Roman"/>
                <w:color w:val="auto"/>
                <w:sz w:val="28"/>
                <w:szCs w:val="28"/>
              </w:rPr>
              <w:t>峨边通用机场已列入《四川省通用机场布局规划（</w:t>
            </w:r>
            <w:r>
              <w:rPr>
                <w:rFonts w:ascii="Times New Roman" w:hAnsi="Times New Roman" w:eastAsia="仿宋_GB2312" w:cs="Times New Roman"/>
                <w:color w:val="auto"/>
                <w:sz w:val="28"/>
                <w:szCs w:val="28"/>
              </w:rPr>
              <w:t>2016</w:t>
            </w:r>
            <w:r>
              <w:rPr>
                <w:rFonts w:hint="eastAsia" w:ascii="Times New Roman" w:hAnsi="Times New Roman" w:eastAsia="仿宋_GB2312" w:cs="Times New Roman"/>
                <w:color w:val="auto"/>
                <w:sz w:val="28"/>
                <w:szCs w:val="28"/>
              </w:rPr>
              <w:t>—</w:t>
            </w:r>
            <w:r>
              <w:rPr>
                <w:rFonts w:ascii="Times New Roman" w:hAnsi="Times New Roman" w:eastAsia="仿宋_GB2312" w:cs="Times New Roman"/>
                <w:color w:val="auto"/>
                <w:sz w:val="28"/>
                <w:szCs w:val="28"/>
              </w:rPr>
              <w:t>2030</w:t>
            </w:r>
            <w:r>
              <w:rPr>
                <w:rFonts w:hint="eastAsia" w:ascii="Times New Roman" w:hAnsi="Times New Roman" w:eastAsia="仿宋_GB2312" w:cs="Times New Roman"/>
                <w:color w:val="auto"/>
                <w:sz w:val="28"/>
                <w:szCs w:val="28"/>
              </w:rPr>
              <w:t>年）》，规划具备应急、培训、文旅等功能，占地面积约</w:t>
            </w:r>
            <w:r>
              <w:rPr>
                <w:rFonts w:ascii="Times New Roman" w:hAnsi="Times New Roman" w:eastAsia="仿宋_GB2312" w:cs="Times New Roman"/>
                <w:color w:val="auto"/>
                <w:sz w:val="28"/>
                <w:szCs w:val="28"/>
              </w:rPr>
              <w:t>450</w:t>
            </w:r>
            <w:r>
              <w:rPr>
                <w:rFonts w:hint="eastAsia" w:ascii="Times New Roman" w:hAnsi="Times New Roman" w:eastAsia="仿宋_GB2312" w:cs="Times New Roman"/>
                <w:color w:val="auto"/>
                <w:sz w:val="28"/>
                <w:szCs w:val="28"/>
              </w:rPr>
              <w:t>亩，跑道规模设计为</w:t>
            </w:r>
            <w:r>
              <w:rPr>
                <w:rFonts w:ascii="Times New Roman" w:hAnsi="Times New Roman" w:eastAsia="仿宋_GB2312" w:cs="Times New Roman"/>
                <w:color w:val="auto"/>
                <w:sz w:val="28"/>
                <w:szCs w:val="28"/>
              </w:rPr>
              <w:t>1200</w:t>
            </w:r>
            <w:r>
              <w:rPr>
                <w:rFonts w:hint="eastAsia" w:ascii="Times New Roman" w:hAnsi="Times New Roman" w:eastAsia="仿宋_GB2312" w:cs="Times New Roman"/>
                <w:color w:val="auto"/>
                <w:sz w:val="28"/>
                <w:szCs w:val="28"/>
              </w:rPr>
              <w:t>米×</w:t>
            </w:r>
            <w:r>
              <w:rPr>
                <w:rFonts w:ascii="Times New Roman" w:hAnsi="Times New Roman" w:eastAsia="仿宋_GB2312" w:cs="Times New Roman"/>
                <w:color w:val="auto"/>
                <w:sz w:val="28"/>
                <w:szCs w:val="28"/>
              </w:rPr>
              <w:t>30</w:t>
            </w:r>
            <w:r>
              <w:rPr>
                <w:rFonts w:hint="eastAsia" w:ascii="Times New Roman" w:hAnsi="Times New Roman" w:eastAsia="仿宋_GB2312" w:cs="Times New Roman"/>
                <w:color w:val="auto"/>
                <w:sz w:val="28"/>
                <w:szCs w:val="28"/>
              </w:rPr>
              <w:t>米，并配套建设</w:t>
            </w:r>
            <w:r>
              <w:rPr>
                <w:rFonts w:ascii="Times New Roman" w:hAnsi="Times New Roman" w:eastAsia="仿宋_GB2312" w:cs="Times New Roman"/>
                <w:color w:val="auto"/>
                <w:sz w:val="28"/>
                <w:szCs w:val="28"/>
              </w:rPr>
              <w:t>12</w:t>
            </w:r>
            <w:r>
              <w:rPr>
                <w:rFonts w:hint="eastAsia" w:ascii="Times New Roman" w:hAnsi="Times New Roman" w:eastAsia="仿宋_GB2312" w:cs="Times New Roman"/>
                <w:color w:val="auto"/>
                <w:sz w:val="28"/>
                <w:szCs w:val="28"/>
              </w:rPr>
              <w:t>个停机位，以及无人机检修区、运行指挥塔台等基础设施。</w:t>
            </w:r>
          </w:p>
          <w:p>
            <w:pPr>
              <w:spacing w:line="480" w:lineRule="exact"/>
              <w:ind w:firstLine="562" w:firstLineChars="200"/>
              <w:rPr>
                <w:rFonts w:ascii="Times New Roman" w:hAnsi="Times New Roman" w:eastAsia="仿宋_GB2312" w:cs="Times New Roman"/>
                <w:color w:val="auto"/>
                <w:sz w:val="28"/>
                <w:szCs w:val="28"/>
              </w:rPr>
            </w:pPr>
            <w:r>
              <w:rPr>
                <w:rFonts w:hint="eastAsia" w:ascii="Times New Roman" w:hAnsi="Times New Roman" w:eastAsia="仿宋_GB2312" w:cs="Times New Roman"/>
                <w:b/>
                <w:bCs/>
                <w:color w:val="auto"/>
                <w:sz w:val="28"/>
                <w:szCs w:val="28"/>
              </w:rPr>
              <w:t>岷江水上机场项目（犍为县）。</w:t>
            </w:r>
            <w:r>
              <w:rPr>
                <w:rFonts w:hint="eastAsia" w:ascii="Times New Roman" w:hAnsi="Times New Roman" w:eastAsia="仿宋_GB2312" w:cs="Times New Roman"/>
                <w:color w:val="auto"/>
                <w:sz w:val="28"/>
                <w:szCs w:val="28"/>
              </w:rPr>
              <w:t>拟投资约5000万元。建设大型水上通用机场，跑道长度2500×200米，配备水—空、水—陆接驳设施，重点支撑水—陆—空物流运输联运，兼顾通航试飞、飞行培训、旅游观光和应急救援。</w:t>
            </w:r>
          </w:p>
          <w:p>
            <w:pPr>
              <w:spacing w:line="480" w:lineRule="exact"/>
              <w:ind w:firstLine="562" w:firstLineChars="200"/>
              <w:rPr>
                <w:rFonts w:ascii="Times New Roman" w:hAnsi="Times New Roman" w:eastAsia="仿宋_GB2312" w:cs="Times New Roman"/>
                <w:color w:val="auto"/>
                <w:sz w:val="28"/>
                <w:szCs w:val="28"/>
              </w:rPr>
            </w:pPr>
            <w:r>
              <w:rPr>
                <w:rFonts w:hint="eastAsia" w:ascii="Times New Roman" w:hAnsi="Times New Roman" w:eastAsia="仿宋_GB2312" w:cs="Times New Roman"/>
                <w:b/>
                <w:bCs/>
                <w:color w:val="auto"/>
                <w:sz w:val="28"/>
                <w:szCs w:val="28"/>
              </w:rPr>
              <w:t>3.飞行营地</w:t>
            </w:r>
          </w:p>
          <w:p>
            <w:pPr>
              <w:spacing w:line="480" w:lineRule="exact"/>
              <w:ind w:firstLine="562" w:firstLineChars="200"/>
              <w:rPr>
                <w:rFonts w:ascii="Times New Roman" w:hAnsi="Times New Roman" w:eastAsia="仿宋_GB2312" w:cs="Times New Roman"/>
                <w:color w:val="auto"/>
                <w:sz w:val="28"/>
                <w:szCs w:val="28"/>
              </w:rPr>
            </w:pPr>
            <w:r>
              <w:rPr>
                <w:rFonts w:hint="eastAsia" w:ascii="Times New Roman" w:hAnsi="Times New Roman" w:eastAsia="仿宋_GB2312" w:cs="Times New Roman"/>
                <w:b/>
                <w:bCs/>
                <w:color w:val="auto"/>
                <w:sz w:val="28"/>
                <w:szCs w:val="28"/>
              </w:rPr>
              <w:t>沙湾区飞行营地项目。</w:t>
            </w:r>
            <w:r>
              <w:rPr>
                <w:rFonts w:hint="eastAsia" w:ascii="Times New Roman" w:hAnsi="Times New Roman" w:eastAsia="仿宋_GB2312" w:cs="Times New Roman"/>
                <w:color w:val="auto"/>
                <w:sz w:val="28"/>
                <w:szCs w:val="28"/>
              </w:rPr>
              <w:t>拟投资约50000万元。包含核心飞行区与配套服务区建设，飞行区新建标准化草地跑道、停机坪、机库及气象监测站，配备跳伞、轻型运动飞机等装备存放与维修车间；配套区新建理论教学室、模拟训练舱以及观景露台、露营区和应急救援站，满足培训与体验需求。建成后，可提供无人机培训、低空旅游观光、低空运动体验、低空特技赛事等服务，激活低空经济消费潜力，同时可通过模拟飞行、航模展示、机型研学，配套建设航空科普基地。</w:t>
            </w:r>
          </w:p>
          <w:p>
            <w:pPr>
              <w:spacing w:line="480" w:lineRule="exact"/>
              <w:ind w:firstLine="562" w:firstLineChars="200"/>
              <w:rPr>
                <w:rFonts w:ascii="Times New Roman" w:hAnsi="Times New Roman" w:eastAsia="仿宋_GB2312" w:cs="Times New Roman"/>
                <w:color w:val="auto"/>
                <w:sz w:val="28"/>
                <w:szCs w:val="28"/>
              </w:rPr>
            </w:pPr>
            <w:r>
              <w:rPr>
                <w:rFonts w:hint="eastAsia" w:ascii="Times New Roman" w:hAnsi="Times New Roman" w:eastAsia="仿宋_GB2312" w:cs="Times New Roman"/>
                <w:b/>
                <w:bCs/>
                <w:color w:val="auto"/>
                <w:sz w:val="28"/>
                <w:szCs w:val="28"/>
              </w:rPr>
              <w:t>峨眉山市飞行营地项目。</w:t>
            </w:r>
            <w:r>
              <w:rPr>
                <w:rFonts w:hint="eastAsia" w:ascii="Times New Roman" w:hAnsi="Times New Roman" w:eastAsia="仿宋_GB2312" w:cs="Times New Roman"/>
                <w:color w:val="auto"/>
                <w:sz w:val="28"/>
                <w:szCs w:val="28"/>
              </w:rPr>
              <w:t>跑道长约800米（可延长至1200米），占地约1600亩左右，建成后能够起降固定翼飞机、直升机、eVTOL、大型无人机等。</w:t>
            </w:r>
          </w:p>
          <w:p>
            <w:pPr>
              <w:spacing w:line="480" w:lineRule="exact"/>
              <w:ind w:firstLine="562" w:firstLineChars="200"/>
              <w:rPr>
                <w:rFonts w:eastAsia="仿宋_GB2312"/>
                <w:color w:val="auto"/>
              </w:rPr>
            </w:pPr>
            <w:r>
              <w:rPr>
                <w:rFonts w:hint="eastAsia" w:ascii="Times New Roman" w:hAnsi="Times New Roman" w:eastAsia="仿宋_GB2312" w:cs="Times New Roman"/>
                <w:b/>
                <w:bCs/>
                <w:color w:val="auto"/>
                <w:sz w:val="28"/>
                <w:szCs w:val="28"/>
              </w:rPr>
              <w:t>夹江县飞行营地项目。</w:t>
            </w:r>
            <w:r>
              <w:rPr>
                <w:rFonts w:hint="eastAsia" w:ascii="Times New Roman" w:hAnsi="Times New Roman" w:eastAsia="仿宋_GB2312" w:cs="Times New Roman"/>
                <w:color w:val="auto"/>
                <w:sz w:val="28"/>
                <w:szCs w:val="28"/>
              </w:rPr>
              <w:t>拟投资约30000万元。打造绿色飞行营地、水上飞行营地等示范应用场景，配套建设跑道、停机坪、起降平台、游客中心、停车场、绿地以及供水、供电、充电、消防等基础设施等。</w:t>
            </w:r>
          </w:p>
        </w:tc>
      </w:tr>
    </w:tbl>
    <w:p>
      <w:pPr>
        <w:spacing w:before="156" w:beforeLines="50" w:line="560" w:lineRule="exact"/>
        <w:ind w:firstLine="642" w:firstLineChars="200"/>
        <w:outlineLvl w:val="2"/>
        <w:rPr>
          <w:rFonts w:ascii="Times New Roman" w:hAnsi="Times New Roman" w:eastAsia="仿宋_GB2312" w:cs="Times New Roman"/>
          <w:b/>
          <w:color w:val="auto"/>
          <w:sz w:val="32"/>
          <w:szCs w:val="32"/>
        </w:rPr>
      </w:pPr>
      <w:bookmarkStart w:id="157" w:name="_Toc21755"/>
      <w:bookmarkStart w:id="158" w:name="_Toc220270480"/>
      <w:bookmarkStart w:id="159" w:name="_Toc207125791"/>
      <w:r>
        <w:rPr>
          <w:rFonts w:hint="eastAsia" w:ascii="Times New Roman" w:hAnsi="Times New Roman" w:eastAsia="仿宋_GB2312" w:cs="Times New Roman"/>
          <w:b/>
          <w:color w:val="auto"/>
          <w:sz w:val="32"/>
          <w:szCs w:val="32"/>
        </w:rPr>
        <w:t>2.布局建设低空信息设施</w:t>
      </w:r>
      <w:bookmarkEnd w:id="157"/>
      <w:bookmarkEnd w:id="158"/>
      <w:bookmarkEnd w:id="159"/>
    </w:p>
    <w:p>
      <w:pPr>
        <w:spacing w:after="156" w:afterLines="50" w:line="560" w:lineRule="exact"/>
        <w:ind w:firstLine="640" w:firstLineChars="200"/>
        <w:rPr>
          <w:rFonts w:ascii="Times New Roman" w:hAnsi="Times New Roman" w:eastAsia="仿宋_GB2312" w:cs="Times New Roman"/>
          <w:color w:val="auto"/>
          <w:sz w:val="32"/>
          <w:szCs w:val="32"/>
        </w:rPr>
      </w:pPr>
      <w:r>
        <w:rPr>
          <w:rFonts w:hint="eastAsia" w:ascii="Times New Roman" w:hAnsi="Times New Roman" w:eastAsia="仿宋_GB2312" w:cs="Times New Roman"/>
          <w:color w:val="auto"/>
          <w:sz w:val="32"/>
          <w:szCs w:val="32"/>
        </w:rPr>
        <w:t>积极响应、紧密衔接国家及省级低空经济发展政策，依托空中交通管理、通信运营商等专业机构，融合运用第五代移动通信演进、北斗导航、卫星通信等技术，结合航路划设、低空起降设施布局及场景需求，开展低空新基建补盲加密，完善通信、导航、监视、气象等低空飞行保障设施，在乐山机场、能源设施、化工园区、重要交通设施等重点区域布设低空侦测反制设施设备，逐步实现全市低空应用场景范围内通信、导航、监视、气象、反制能力全覆盖，满足低空飞行保障与安全防控需要。强化低空数据算力供给，支持企业围绕算法、算力等大模型，聚焦空间三维建模、AI目标识别、多源视频智能分析、动态风险评估和预测等功能，建设低空飞行算力平台与智能决策中枢，全面提升低空飞行安全管控与运行效率。</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8522" w:type="dxa"/>
          </w:tcPr>
          <w:p>
            <w:pPr>
              <w:pStyle w:val="9"/>
              <w:spacing w:line="480" w:lineRule="exact"/>
              <w:jc w:val="center"/>
              <w:rPr>
                <w:rFonts w:ascii="Times New Roman" w:hAnsi="Times New Roman" w:eastAsia="黑体" w:cs="Times New Roman"/>
                <w:color w:val="auto"/>
                <w:lang w:val="en-US" w:bidi="ar-SA"/>
              </w:rPr>
            </w:pPr>
            <w:r>
              <w:rPr>
                <w:rFonts w:hint="eastAsia" w:ascii="Times New Roman" w:hAnsi="Times New Roman" w:eastAsia="黑体" w:cs="Times New Roman"/>
                <w:color w:val="auto"/>
                <w:sz w:val="28"/>
                <w:szCs w:val="28"/>
                <w:lang w:val="en-US" w:bidi="ar"/>
              </w:rPr>
              <w:t>专栏18  低空信息设施建设重点方向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8522" w:type="dxa"/>
          </w:tcPr>
          <w:p>
            <w:pPr>
              <w:spacing w:line="480" w:lineRule="exact"/>
              <w:ind w:firstLine="562" w:firstLineChars="200"/>
              <w:rPr>
                <w:rFonts w:ascii="Times New Roman" w:hAnsi="Times New Roman" w:eastAsia="仿宋_GB2312" w:cs="Times New Roman"/>
                <w:color w:val="auto"/>
                <w:sz w:val="28"/>
                <w:szCs w:val="28"/>
              </w:rPr>
            </w:pPr>
            <w:r>
              <w:rPr>
                <w:rFonts w:hint="eastAsia" w:ascii="Times New Roman" w:hAnsi="Times New Roman" w:eastAsia="仿宋_GB2312" w:cs="Times New Roman"/>
                <w:b/>
                <w:bCs/>
                <w:color w:val="auto"/>
                <w:sz w:val="28"/>
                <w:szCs w:val="28"/>
              </w:rPr>
              <w:t>低空通信。</w:t>
            </w:r>
            <w:r>
              <w:rPr>
                <w:rFonts w:hint="eastAsia" w:ascii="Times New Roman" w:hAnsi="Times New Roman" w:eastAsia="仿宋_GB2312" w:cs="Times New Roman"/>
                <w:color w:val="auto"/>
                <w:sz w:val="28"/>
                <w:szCs w:val="28"/>
              </w:rPr>
              <w:t>对现有5G网络进行技术升级，充分提升人员密集、业务热点区域的信号稳定性，支撑密集区域低空飞行活动信号传输；在重点区域和场景率先部署通感一体网络；推动北斗数据链、低轨卫星互联网等通信技术融合应用，利用北斗独立的双向通信功能，构建</w:t>
            </w:r>
            <w:r>
              <w:rPr>
                <w:rFonts w:hint="eastAsia" w:ascii="仿宋_GB2312" w:hAnsi="仿宋_GB2312" w:eastAsia="仿宋_GB2312" w:cs="仿宋_GB2312"/>
                <w:color w:val="auto"/>
                <w:sz w:val="28"/>
                <w:szCs w:val="28"/>
              </w:rPr>
              <w:t>“</w:t>
            </w:r>
            <w:r>
              <w:rPr>
                <w:rFonts w:hint="eastAsia" w:ascii="Times New Roman" w:hAnsi="Times New Roman" w:eastAsia="仿宋_GB2312" w:cs="Times New Roman"/>
                <w:color w:val="auto"/>
                <w:sz w:val="28"/>
                <w:szCs w:val="28"/>
              </w:rPr>
              <w:t>5G+北斗</w:t>
            </w:r>
            <w:r>
              <w:rPr>
                <w:rFonts w:hint="eastAsia" w:ascii="仿宋_GB2312" w:hAnsi="仿宋_GB2312" w:eastAsia="仿宋_GB2312" w:cs="仿宋_GB2312"/>
                <w:color w:val="auto"/>
                <w:sz w:val="28"/>
                <w:szCs w:val="28"/>
              </w:rPr>
              <w:t>”</w:t>
            </w:r>
            <w:r>
              <w:rPr>
                <w:rFonts w:hint="eastAsia" w:ascii="Times New Roman" w:hAnsi="Times New Roman" w:eastAsia="仿宋_GB2312" w:cs="Times New Roman"/>
                <w:color w:val="auto"/>
                <w:sz w:val="28"/>
                <w:szCs w:val="28"/>
              </w:rPr>
              <w:t>天地一体网络，实现低空空域通信高效、安全运行。</w:t>
            </w:r>
          </w:p>
          <w:p>
            <w:pPr>
              <w:spacing w:line="480" w:lineRule="exact"/>
              <w:ind w:firstLine="562" w:firstLineChars="200"/>
              <w:rPr>
                <w:rFonts w:ascii="Times New Roman" w:hAnsi="Times New Roman" w:eastAsia="仿宋_GB2312" w:cs="Times New Roman"/>
                <w:color w:val="auto"/>
                <w:sz w:val="28"/>
                <w:szCs w:val="28"/>
              </w:rPr>
            </w:pPr>
            <w:r>
              <w:rPr>
                <w:rFonts w:hint="eastAsia" w:ascii="Times New Roman" w:hAnsi="Times New Roman" w:eastAsia="仿宋_GB2312" w:cs="Times New Roman"/>
                <w:b/>
                <w:bCs/>
                <w:color w:val="auto"/>
                <w:sz w:val="28"/>
                <w:szCs w:val="28"/>
              </w:rPr>
              <w:t>低空导航。</w:t>
            </w:r>
            <w:r>
              <w:rPr>
                <w:rFonts w:hint="eastAsia" w:ascii="Times New Roman" w:hAnsi="Times New Roman" w:eastAsia="仿宋_GB2312" w:cs="Times New Roman"/>
                <w:color w:val="auto"/>
                <w:sz w:val="28"/>
                <w:szCs w:val="28"/>
              </w:rPr>
              <w:t>结合航路划设，增加导航台站布设。完善北斗卫星导航系统的地基增强系统建设，重点布局在通用机场周边、城市人口密集区等关键区域，通过RTK组网和增强网络，实时消减误差，为低空运行设备提供精准、稳定、可靠的导航定位服务。探索惯性导航与全球卫星导航、视觉导航等技术融合，提升复杂环境中的导航精度和可靠性。</w:t>
            </w:r>
          </w:p>
          <w:p>
            <w:pPr>
              <w:spacing w:line="480" w:lineRule="exact"/>
              <w:ind w:firstLine="562" w:firstLineChars="200"/>
              <w:rPr>
                <w:rFonts w:ascii="Times New Roman" w:hAnsi="Times New Roman" w:eastAsia="仿宋_GB2312" w:cs="Times New Roman"/>
                <w:color w:val="auto"/>
                <w:sz w:val="28"/>
                <w:szCs w:val="28"/>
              </w:rPr>
            </w:pPr>
            <w:r>
              <w:rPr>
                <w:rFonts w:hint="eastAsia" w:ascii="Times New Roman" w:hAnsi="Times New Roman" w:eastAsia="仿宋_GB2312" w:cs="Times New Roman"/>
                <w:b/>
                <w:bCs/>
                <w:color w:val="auto"/>
                <w:sz w:val="28"/>
                <w:szCs w:val="28"/>
              </w:rPr>
              <w:t>低空监视。</w:t>
            </w:r>
            <w:r>
              <w:rPr>
                <w:rFonts w:hint="eastAsia" w:ascii="Times New Roman" w:hAnsi="Times New Roman" w:eastAsia="仿宋_GB2312" w:cs="Times New Roman"/>
                <w:color w:val="auto"/>
                <w:sz w:val="28"/>
                <w:szCs w:val="28"/>
              </w:rPr>
              <w:t>有针对性地加密ADS-B、广播式接收装置、毫米波雷达等设备。区分合作机和非合作机，构建低空空域监视网络。针对合作机，采用ADS-B、Remote-ID、通感一体等技术，实现可视、可管、可溯；针对非合作机，采用无线电侦测技术，实现有效识别、定位。</w:t>
            </w:r>
          </w:p>
          <w:p>
            <w:pPr>
              <w:spacing w:line="480" w:lineRule="exact"/>
              <w:ind w:firstLine="562" w:firstLineChars="200"/>
              <w:rPr>
                <w:rFonts w:ascii="Times New Roman" w:hAnsi="Times New Roman" w:eastAsia="仿宋_GB2312" w:cs="Times New Roman"/>
                <w:color w:val="auto"/>
                <w:sz w:val="28"/>
                <w:szCs w:val="28"/>
              </w:rPr>
            </w:pPr>
            <w:r>
              <w:rPr>
                <w:rFonts w:hint="eastAsia" w:ascii="Times New Roman" w:hAnsi="Times New Roman" w:eastAsia="仿宋_GB2312" w:cs="Times New Roman"/>
                <w:b/>
                <w:bCs/>
                <w:color w:val="auto"/>
                <w:sz w:val="28"/>
                <w:szCs w:val="28"/>
              </w:rPr>
              <w:t>低空气象。</w:t>
            </w:r>
            <w:r>
              <w:rPr>
                <w:rFonts w:hint="eastAsia" w:ascii="Times New Roman" w:hAnsi="Times New Roman" w:eastAsia="仿宋_GB2312" w:cs="Times New Roman"/>
                <w:color w:val="auto"/>
                <w:sz w:val="28"/>
                <w:szCs w:val="28"/>
              </w:rPr>
              <w:t>有针对性地加密布设相控阵雷达、风廓线雷达、气象监测站等监测设施，提升微尺度天气捕捉能力。深化气象与相关部门合作机制，探索建立跨部门的航空气象智慧服务系统、基于AI航线定制化预报预警系统等，研究建立低空气象预警指标和精细化服务产品体系，研究开展定制化、精细化的飞机起降、航线、飞行、空管等气象服务。</w:t>
            </w:r>
          </w:p>
          <w:p>
            <w:pPr>
              <w:spacing w:line="480" w:lineRule="exact"/>
              <w:ind w:firstLine="562" w:firstLineChars="200"/>
              <w:rPr>
                <w:rFonts w:ascii="Times New Roman" w:hAnsi="Times New Roman" w:eastAsia="仿宋_GB2312" w:cs="Times New Roman"/>
                <w:color w:val="auto"/>
                <w:sz w:val="28"/>
                <w:szCs w:val="28"/>
              </w:rPr>
            </w:pPr>
            <w:r>
              <w:rPr>
                <w:rFonts w:hint="eastAsia" w:ascii="Times New Roman" w:hAnsi="Times New Roman" w:eastAsia="仿宋_GB2312" w:cs="Times New Roman"/>
                <w:b/>
                <w:bCs/>
                <w:color w:val="auto"/>
                <w:sz w:val="28"/>
                <w:szCs w:val="28"/>
              </w:rPr>
              <w:t>低空安防。</w:t>
            </w:r>
            <w:r>
              <w:rPr>
                <w:rFonts w:hint="eastAsia" w:ascii="仿宋_GB2312" w:hAnsi="仿宋_GB2312" w:eastAsia="仿宋_GB2312" w:cs="仿宋_GB2312"/>
                <w:color w:val="auto"/>
                <w:sz w:val="28"/>
                <w:szCs w:val="28"/>
              </w:rPr>
              <w:t>建立低空反制网络，在重点部位、要害部门，建设一批集侦测、识别、定位、预警、监视和反制的低空防御系统，对未经许可的黑飞、侵犯隐私、侵犯领空和实施恶意攻击等行为实现动态感知和管控，形成全方位、多层次的侦测反制体系，满足低空安全防控需要</w:t>
            </w:r>
            <w:r>
              <w:rPr>
                <w:rFonts w:hint="eastAsia" w:ascii="Times New Roman" w:hAnsi="Times New Roman" w:eastAsia="仿宋_GB2312" w:cs="Times New Roman"/>
                <w:color w:val="auto"/>
                <w:sz w:val="28"/>
                <w:szCs w:val="28"/>
              </w:rPr>
              <w:t>。</w:t>
            </w:r>
          </w:p>
          <w:p>
            <w:pPr>
              <w:spacing w:line="480" w:lineRule="exact"/>
              <w:ind w:firstLine="562" w:firstLineChars="200"/>
              <w:rPr>
                <w:rFonts w:ascii="Times New Roman" w:hAnsi="Times New Roman" w:eastAsia="仿宋_GB2312" w:cs="Times New Roman"/>
                <w:color w:val="auto"/>
                <w:sz w:val="28"/>
                <w:szCs w:val="28"/>
              </w:rPr>
            </w:pPr>
            <w:r>
              <w:rPr>
                <w:rFonts w:hint="eastAsia" w:ascii="Times New Roman" w:hAnsi="Times New Roman" w:eastAsia="仿宋_GB2312" w:cs="Times New Roman"/>
                <w:b/>
                <w:bCs/>
                <w:color w:val="auto"/>
                <w:sz w:val="28"/>
                <w:szCs w:val="28"/>
              </w:rPr>
              <w:t>数字底座。</w:t>
            </w:r>
            <w:r>
              <w:rPr>
                <w:rFonts w:hint="eastAsia" w:ascii="Times New Roman" w:hAnsi="Times New Roman" w:eastAsia="仿宋_GB2312" w:cs="Times New Roman"/>
                <w:color w:val="auto"/>
                <w:sz w:val="28"/>
                <w:szCs w:val="28"/>
              </w:rPr>
              <w:t>依托实景三维中国等数据资源绘制非空中禁区低空高精度三维地图，推进实景三维数据与低空数字空域的融合，提供包括数字地图、数字空域、数字航路气象数据、飞行数据、应用数据、安全数据等在内的泛低空大数据，通过数字网格化等技术打造三维高精地图数字底座，为低空管理服务提供数字化基础支撑，满足低空飞行需要，探索实现低空航路航线自主规划。</w:t>
            </w:r>
          </w:p>
        </w:tc>
      </w:tr>
    </w:tbl>
    <w:p>
      <w:pPr>
        <w:spacing w:before="156" w:beforeLines="50" w:line="560" w:lineRule="exact"/>
        <w:ind w:firstLine="642" w:firstLineChars="200"/>
        <w:outlineLvl w:val="2"/>
        <w:rPr>
          <w:rFonts w:ascii="Times New Roman" w:hAnsi="Times New Roman" w:eastAsia="仿宋_GB2312" w:cs="Times New Roman"/>
          <w:b/>
          <w:color w:val="auto"/>
          <w:sz w:val="32"/>
          <w:szCs w:val="32"/>
        </w:rPr>
      </w:pPr>
      <w:bookmarkStart w:id="160" w:name="_Toc32496"/>
      <w:bookmarkStart w:id="161" w:name="_Toc207125792"/>
      <w:bookmarkStart w:id="162" w:name="_Toc220270481"/>
      <w:r>
        <w:rPr>
          <w:rFonts w:hint="eastAsia" w:ascii="Times New Roman" w:hAnsi="Times New Roman" w:eastAsia="仿宋_GB2312" w:cs="Times New Roman"/>
          <w:b/>
          <w:color w:val="auto"/>
          <w:sz w:val="32"/>
          <w:szCs w:val="32"/>
        </w:rPr>
        <w:t>3.搭建低空航路航线网络</w:t>
      </w:r>
      <w:bookmarkEnd w:id="160"/>
      <w:bookmarkEnd w:id="161"/>
      <w:bookmarkEnd w:id="162"/>
    </w:p>
    <w:p>
      <w:pPr>
        <w:spacing w:after="156" w:afterLines="50" w:line="560" w:lineRule="exact"/>
        <w:ind w:firstLine="640" w:firstLineChars="200"/>
        <w:rPr>
          <w:rFonts w:ascii="Times New Roman" w:hAnsi="Times New Roman" w:eastAsia="仿宋_GB2312" w:cs="Times New Roman"/>
          <w:color w:val="auto"/>
          <w:sz w:val="32"/>
          <w:szCs w:val="32"/>
        </w:rPr>
      </w:pPr>
      <w:r>
        <w:rPr>
          <w:rFonts w:hint="eastAsia" w:ascii="Times New Roman" w:hAnsi="Times New Roman" w:eastAsia="仿宋_GB2312" w:cs="Times New Roman"/>
          <w:color w:val="auto"/>
          <w:sz w:val="32"/>
          <w:szCs w:val="32"/>
        </w:rPr>
        <w:t>积极对接军民航管理部门、驻地部队，争取省级支持，加快盘活和释放更多低空空域资源，定期调整优化W类空域，推动划设低空专用类空域。以跨江跨河、具有较大运输需求和较长里程的运输通道为重点，拟制形成乐山市航路设施建设需求，争取省级相关部门支持，推动划设低空公共航路。聚焦城市空中交通、低空文旅消费等场景需求，协同成渝地区低空飞行资源，支持低空运营企业加密低空航线网络，构建低空跨市通道、低空市内主干航路、低空区域支线航路，实现与周边主要城市的低空交通联络和县（市、区）之间的快速联通。依据相关政策标准，围绕需求分析评估、障碍物排查测绘、航线水平保护区划设、气象探测环境保护规划、气象灾害风险、强电磁干扰区域规避、目视航图绘制等方向，开展低空航路航线规划研究，实现飞行需求集中区域低空航路航线全覆盖。</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8522" w:type="dxa"/>
          </w:tcPr>
          <w:p>
            <w:pPr>
              <w:pStyle w:val="9"/>
              <w:spacing w:line="480" w:lineRule="exact"/>
              <w:jc w:val="center"/>
              <w:rPr>
                <w:rFonts w:ascii="Times New Roman" w:hAnsi="Times New Roman" w:eastAsia="黑体" w:cs="Times New Roman"/>
                <w:color w:val="auto"/>
                <w:lang w:val="en-US" w:bidi="ar-SA"/>
              </w:rPr>
            </w:pPr>
            <w:r>
              <w:rPr>
                <w:rFonts w:hint="eastAsia" w:ascii="Times New Roman" w:hAnsi="Times New Roman" w:eastAsia="黑体" w:cs="Times New Roman"/>
                <w:color w:val="auto"/>
                <w:sz w:val="28"/>
                <w:szCs w:val="28"/>
                <w:lang w:bidi="ar"/>
              </w:rPr>
              <w:t>专栏</w:t>
            </w:r>
            <w:r>
              <w:rPr>
                <w:rFonts w:hint="eastAsia" w:ascii="Times New Roman" w:hAnsi="Times New Roman" w:eastAsia="黑体" w:cs="Times New Roman"/>
                <w:color w:val="auto"/>
                <w:sz w:val="28"/>
                <w:szCs w:val="28"/>
                <w:lang w:val="en-US" w:bidi="ar"/>
              </w:rPr>
              <w:t>19</w:t>
            </w:r>
            <w:r>
              <w:rPr>
                <w:rFonts w:hint="eastAsia" w:ascii="Times New Roman" w:hAnsi="Times New Roman" w:eastAsia="黑体" w:cs="Times New Roman"/>
                <w:color w:val="auto"/>
                <w:sz w:val="28"/>
                <w:szCs w:val="28"/>
                <w:lang w:bidi="ar"/>
              </w:rPr>
              <w:t xml:space="preserve">  低空空域</w:t>
            </w:r>
            <w:r>
              <w:rPr>
                <w:rFonts w:hint="eastAsia" w:ascii="Times New Roman" w:hAnsi="Times New Roman" w:eastAsia="黑体" w:cs="Times New Roman"/>
                <w:color w:val="auto"/>
                <w:sz w:val="28"/>
                <w:szCs w:val="28"/>
                <w:lang w:val="en-US" w:bidi="ar"/>
              </w:rPr>
              <w:t>及航路航线</w:t>
            </w:r>
            <w:r>
              <w:rPr>
                <w:rFonts w:hint="eastAsia" w:ascii="Times New Roman" w:hAnsi="Times New Roman" w:eastAsia="黑体" w:cs="Times New Roman"/>
                <w:color w:val="auto"/>
                <w:sz w:val="28"/>
                <w:szCs w:val="28"/>
                <w:lang w:bidi="ar"/>
              </w:rPr>
              <w:t>分层划设</w:t>
            </w:r>
            <w:r>
              <w:rPr>
                <w:rFonts w:hint="eastAsia" w:ascii="Times New Roman" w:hAnsi="Times New Roman" w:eastAsia="黑体" w:cs="Times New Roman"/>
                <w:color w:val="auto"/>
                <w:sz w:val="28"/>
                <w:szCs w:val="28"/>
                <w:lang w:val="en-US" w:bidi="ar"/>
              </w:rPr>
              <w:t>初步方案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8522" w:type="dxa"/>
          </w:tcPr>
          <w:p>
            <w:pPr>
              <w:spacing w:line="480" w:lineRule="exact"/>
              <w:ind w:firstLine="562" w:firstLineChars="200"/>
              <w:rPr>
                <w:rFonts w:ascii="Times New Roman" w:hAnsi="Times New Roman" w:eastAsia="仿宋_GB2312" w:cs="Times New Roman"/>
                <w:color w:val="auto"/>
                <w:sz w:val="28"/>
                <w:szCs w:val="28"/>
              </w:rPr>
            </w:pPr>
            <w:r>
              <w:rPr>
                <w:rFonts w:hint="eastAsia" w:ascii="Times New Roman" w:hAnsi="Times New Roman" w:eastAsia="仿宋_GB2312" w:cs="Times New Roman"/>
                <w:b/>
                <w:bCs/>
                <w:color w:val="auto"/>
                <w:sz w:val="28"/>
                <w:szCs w:val="28"/>
              </w:rPr>
              <w:t>近期</w:t>
            </w:r>
            <w:r>
              <w:rPr>
                <w:rFonts w:hint="eastAsia" w:ascii="Times New Roman" w:hAnsi="Times New Roman" w:eastAsia="仿宋_GB2312" w:cs="Times New Roman"/>
                <w:color w:val="auto"/>
                <w:sz w:val="28"/>
                <w:szCs w:val="28"/>
              </w:rPr>
              <w:t>。对低空空域实行分层划设管理：真高120米以下空域为微型、轻型、小型无人机适飞空域（敏感区域上空除外），主要应用于末端物流、智慧城市管理等场景；真高120米到300米空域主要应用于低空物流、空中游览等场景，推荐机型为中大型无人机、eVTOL，划设大型货运的固定运输航线；真高300米到</w:t>
            </w:r>
            <w:r>
              <w:rPr>
                <w:rFonts w:ascii="Times New Roman" w:hAnsi="Times New Roman" w:eastAsia="仿宋_GB2312" w:cs="Times New Roman"/>
                <w:color w:val="auto"/>
                <w:sz w:val="28"/>
                <w:szCs w:val="28"/>
              </w:rPr>
              <w:t>6</w:t>
            </w:r>
            <w:r>
              <w:rPr>
                <w:rFonts w:hint="eastAsia" w:ascii="Times New Roman" w:hAnsi="Times New Roman" w:eastAsia="仿宋_GB2312" w:cs="Times New Roman"/>
                <w:color w:val="auto"/>
                <w:sz w:val="28"/>
                <w:szCs w:val="28"/>
              </w:rPr>
              <w:t>00米（根据政策适时调整到1000米）空域主要应用于城市内的载人载客低空飞行等场景，推荐机型为通用飞机、直升机及eVTOL等航空器；真高1000米到3000米（根据政策适时调整到6000米）空域主要应用于城际间的载货载人载客低空飞行等场景，推荐机型为通用飞机、直升机，划设跨市低空通道，开通邻近城市间的航线。为避免各类航空器融合飞行的安全风险，近期总体按高度分层独立运行，实行无人机之间、无人机与有人机、载物航空器与载人航空器、eVTOL与民航客机等多类航空器之间的间隔管理。</w:t>
            </w:r>
          </w:p>
          <w:p>
            <w:pPr>
              <w:spacing w:line="480" w:lineRule="exact"/>
              <w:ind w:firstLine="562" w:firstLineChars="200"/>
              <w:rPr>
                <w:rFonts w:ascii="Times New Roman" w:hAnsi="Times New Roman" w:eastAsia="仿宋_GB2312" w:cs="Times New Roman"/>
                <w:color w:val="auto"/>
                <w:sz w:val="28"/>
                <w:szCs w:val="28"/>
              </w:rPr>
            </w:pPr>
            <w:r>
              <w:rPr>
                <w:rFonts w:hint="eastAsia" w:ascii="Times New Roman" w:hAnsi="Times New Roman" w:eastAsia="仿宋_GB2312" w:cs="Times New Roman"/>
                <w:b/>
                <w:bCs/>
                <w:color w:val="auto"/>
                <w:sz w:val="28"/>
                <w:szCs w:val="28"/>
              </w:rPr>
              <w:t>中远期</w:t>
            </w:r>
            <w:r>
              <w:rPr>
                <w:rFonts w:hint="eastAsia" w:ascii="Times New Roman" w:hAnsi="Times New Roman" w:eastAsia="仿宋_GB2312" w:cs="Times New Roman"/>
                <w:color w:val="auto"/>
                <w:sz w:val="28"/>
                <w:szCs w:val="28"/>
              </w:rPr>
              <w:t>。选择合适的通用机场或垂直起降设施试点“有人+无人”融合运行，待低空运行高度基准进一步明确以及乐山市低空空域数字底座建设完善后，探索建立低空空域分类使用和灵活调配机制，根据应用场景按高度、空域类型等因素实施分类管理和动态调整，满足空域用户的差异化需求，逐步实行多种低空航空器融合飞行，实现空域资源有效管理和充分利用。</w:t>
            </w:r>
          </w:p>
        </w:tc>
      </w:tr>
    </w:tbl>
    <w:p>
      <w:pPr>
        <w:spacing w:before="156" w:beforeLines="50" w:line="560" w:lineRule="exact"/>
        <w:ind w:firstLine="642" w:firstLineChars="200"/>
        <w:outlineLvl w:val="2"/>
        <w:rPr>
          <w:rFonts w:ascii="Times New Roman" w:hAnsi="Times New Roman" w:eastAsia="仿宋_GB2312" w:cs="Times New Roman"/>
          <w:b/>
          <w:bCs/>
          <w:color w:val="auto"/>
          <w:sz w:val="32"/>
          <w:szCs w:val="32"/>
        </w:rPr>
      </w:pPr>
      <w:bookmarkStart w:id="163" w:name="_Toc24330"/>
      <w:bookmarkStart w:id="164" w:name="_Toc220270482"/>
      <w:bookmarkStart w:id="165" w:name="_Toc207125793"/>
      <w:r>
        <w:rPr>
          <w:rFonts w:hint="eastAsia" w:ascii="Times New Roman" w:hAnsi="Times New Roman" w:eastAsia="仿宋_GB2312" w:cs="Times New Roman"/>
          <w:b/>
          <w:bCs/>
          <w:color w:val="auto"/>
          <w:sz w:val="32"/>
          <w:szCs w:val="32"/>
        </w:rPr>
        <w:t>4.建设低空飞行管服平台</w:t>
      </w:r>
      <w:bookmarkEnd w:id="163"/>
      <w:bookmarkEnd w:id="164"/>
      <w:bookmarkEnd w:id="165"/>
    </w:p>
    <w:p>
      <w:pPr>
        <w:spacing w:line="560" w:lineRule="exact"/>
        <w:ind w:firstLine="664" w:firstLineChars="200"/>
        <w:rPr>
          <w:rFonts w:ascii="Times New Roman" w:hAnsi="Times New Roman" w:eastAsia="仿宋_GB2312" w:cs="Times New Roman"/>
          <w:color w:val="auto"/>
          <w:sz w:val="32"/>
          <w:szCs w:val="32"/>
        </w:rPr>
      </w:pPr>
      <w:r>
        <w:rPr>
          <w:rFonts w:hint="eastAsia" w:ascii="Times New Roman" w:hAnsi="Times New Roman" w:eastAsia="仿宋_GB2312" w:cs="Times New Roman"/>
          <w:color w:val="auto"/>
          <w:spacing w:val="6"/>
          <w:sz w:val="32"/>
          <w:szCs w:val="32"/>
        </w:rPr>
        <w:t>对接国、省</w:t>
      </w:r>
      <w:r>
        <w:rPr>
          <w:rFonts w:hint="eastAsia" w:ascii="Times New Roman" w:hAnsi="Times New Roman" w:eastAsia="仿宋_GB2312" w:cs="Times New Roman"/>
          <w:color w:val="auto"/>
          <w:sz w:val="32"/>
          <w:szCs w:val="32"/>
        </w:rPr>
        <w:t>低空智能网联系统建设，依托全省一体化低空运行管理服务平台建设，按需建设乐山市低空飞行综合监管服务平台，兼顾低空监管和低空服务两个功能，与空中交通管理、公安、民航等监管服务系统有机衔接，接入省级平台，实现计划申报、情报服务、飞行器控制、通感一体化、监管处置、数据共享等功能，提供包括通信、导航、监视、地图、航路、气象、空中信息、起降点分配调度等一站式低空飞行智能信息服务，</w:t>
      </w:r>
      <w:r>
        <w:rPr>
          <w:rFonts w:hint="eastAsia" w:ascii="仿宋_GB2312" w:hAnsi="仿宋_GB2312" w:eastAsia="仿宋_GB2312" w:cs="仿宋_GB2312"/>
          <w:color w:val="auto"/>
          <w:sz w:val="32"/>
          <w:szCs w:val="32"/>
        </w:rPr>
        <w:t>实现全市低空飞行“一窗受理、一网通办”、低空航空器“看得见、呼得到、管得住”</w:t>
      </w:r>
      <w:r>
        <w:rPr>
          <w:rFonts w:hint="eastAsia" w:ascii="Times New Roman" w:hAnsi="Times New Roman" w:eastAsia="仿宋_GB2312" w:cs="Times New Roman"/>
          <w:color w:val="auto"/>
          <w:sz w:val="32"/>
          <w:szCs w:val="32"/>
        </w:rPr>
        <w:t>。探索建设乐山市空天数据集成服务平台，为各类低空应用场景提供大数据存储、地理信息采集处理等服务，为空域划设、航路航线划设、飞行评估等提供动态数据支撑。</w:t>
      </w:r>
    </w:p>
    <w:p>
      <w:pPr>
        <w:spacing w:line="560" w:lineRule="exact"/>
        <w:ind w:firstLine="642" w:firstLineChars="200"/>
        <w:outlineLvl w:val="2"/>
        <w:rPr>
          <w:rFonts w:ascii="Times New Roman" w:hAnsi="Times New Roman" w:eastAsia="仿宋_GB2312" w:cs="Times New Roman"/>
          <w:b/>
          <w:color w:val="auto"/>
          <w:sz w:val="32"/>
          <w:szCs w:val="32"/>
        </w:rPr>
      </w:pPr>
      <w:bookmarkStart w:id="166" w:name="_Toc207125794"/>
      <w:bookmarkStart w:id="167" w:name="_Toc220270483"/>
      <w:bookmarkStart w:id="168" w:name="_Toc30015"/>
      <w:r>
        <w:rPr>
          <w:rFonts w:hint="eastAsia" w:ascii="Times New Roman" w:hAnsi="Times New Roman" w:eastAsia="仿宋_GB2312" w:cs="Times New Roman"/>
          <w:b/>
          <w:color w:val="auto"/>
          <w:sz w:val="32"/>
          <w:szCs w:val="32"/>
        </w:rPr>
        <w:t>5.打造高水平产业承载区</w:t>
      </w:r>
      <w:bookmarkEnd w:id="166"/>
      <w:bookmarkEnd w:id="167"/>
      <w:bookmarkEnd w:id="168"/>
    </w:p>
    <w:p>
      <w:pPr>
        <w:spacing w:line="560" w:lineRule="exact"/>
        <w:ind w:firstLine="640" w:firstLineChars="200"/>
        <w:rPr>
          <w:rFonts w:hint="eastAsia" w:ascii="仿宋_GB2312" w:hAnsi="仿宋_GB2312" w:eastAsia="仿宋_GB2312" w:cs="仿宋_GB2312"/>
          <w:color w:val="auto"/>
          <w:sz w:val="32"/>
          <w:szCs w:val="32"/>
        </w:rPr>
      </w:pPr>
      <w:r>
        <w:rPr>
          <w:rFonts w:hint="eastAsia" w:ascii="Times New Roman" w:hAnsi="Times New Roman" w:eastAsia="仿宋_GB2312"/>
          <w:bCs/>
          <w:color w:val="auto"/>
          <w:sz w:val="32"/>
          <w:szCs w:val="32"/>
        </w:rPr>
        <w:t>以加速低空产业集群、规范产业园区发展为导向，</w:t>
      </w:r>
      <w:r>
        <w:rPr>
          <w:rFonts w:hint="eastAsia" w:ascii="Times New Roman" w:hAnsi="Times New Roman" w:eastAsia="仿宋_GB2312"/>
          <w:color w:val="auto"/>
          <w:sz w:val="32"/>
          <w:szCs w:val="32"/>
        </w:rPr>
        <w:t>引导县（市、区）结合产业基础、资源禀赋、储备项目，合理规划、精准培育、错位发展低空技术研发、先进制造、运营保障、场景应用、数据处理等各具特色的低空经济专业化园区，避免同质化竞争；鼓励既有产业园区向低空经济领域拓展延伸，优化园区基础设施功能，提升园区产业承载能力，引导重点企业、重大项目在园区落地，打造高水平特色园区；</w:t>
      </w:r>
      <w:r>
        <w:rPr>
          <w:rFonts w:hint="eastAsia" w:ascii="仿宋_GB2312" w:hAnsi="仿宋_GB2312" w:eastAsia="仿宋_GB2312" w:cs="仿宋_GB2312"/>
          <w:color w:val="auto"/>
          <w:sz w:val="32"/>
          <w:szCs w:val="32"/>
        </w:rPr>
        <w:t>强化资源要素保障，全力保障具有引领性和带动性的关键项目和企业落地，助力特色园区以园聚链、以链集群，实现区域间产业优势互补、协同发展良好局面。</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Borders>
              <w:top w:val="single" w:color="auto" w:sz="4" w:space="0"/>
              <w:left w:val="single" w:color="auto" w:sz="4" w:space="0"/>
              <w:bottom w:val="single" w:color="auto" w:sz="4" w:space="0"/>
              <w:right w:val="single" w:color="auto" w:sz="4" w:space="0"/>
            </w:tcBorders>
          </w:tcPr>
          <w:p>
            <w:pPr>
              <w:pStyle w:val="9"/>
              <w:spacing w:line="480" w:lineRule="exact"/>
              <w:jc w:val="center"/>
              <w:rPr>
                <w:rFonts w:hint="eastAsia"/>
                <w:color w:val="auto"/>
              </w:rPr>
            </w:pPr>
            <w:r>
              <w:rPr>
                <w:rFonts w:hint="eastAsia" w:ascii="Times New Roman" w:hAnsi="Times New Roman" w:eastAsia="黑体" w:cs="Times New Roman"/>
                <w:color w:val="auto"/>
                <w:sz w:val="28"/>
                <w:szCs w:val="28"/>
                <w:lang w:val="en-US" w:bidi="ar"/>
              </w:rPr>
              <w:t>专栏20</w:t>
            </w:r>
            <w:r>
              <w:rPr>
                <w:rFonts w:ascii="Times New Roman" w:hAnsi="Times New Roman" w:eastAsia="黑体" w:cs="Times New Roman"/>
                <w:color w:val="auto"/>
                <w:sz w:val="28"/>
                <w:szCs w:val="28"/>
                <w:lang w:val="en-US" w:bidi="ar"/>
              </w:rPr>
              <w:t xml:space="preserve">  </w:t>
            </w:r>
            <w:r>
              <w:rPr>
                <w:rFonts w:hint="eastAsia" w:ascii="Times New Roman" w:hAnsi="Times New Roman" w:eastAsia="黑体" w:cs="Times New Roman"/>
                <w:color w:val="auto"/>
                <w:sz w:val="28"/>
                <w:szCs w:val="28"/>
                <w:lang w:val="en-US" w:bidi="ar"/>
              </w:rPr>
              <w:t>低空产业承载区重点项目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8522" w:type="dxa"/>
            <w:tcBorders>
              <w:top w:val="single" w:color="auto" w:sz="4" w:space="0"/>
              <w:left w:val="single" w:color="auto" w:sz="4" w:space="0"/>
              <w:bottom w:val="single" w:color="auto" w:sz="4" w:space="0"/>
              <w:right w:val="single" w:color="auto" w:sz="4" w:space="0"/>
            </w:tcBorders>
          </w:tcPr>
          <w:p>
            <w:pPr>
              <w:spacing w:line="480" w:lineRule="exact"/>
              <w:ind w:firstLine="562" w:firstLineChars="200"/>
              <w:rPr>
                <w:rFonts w:ascii="Times New Roman" w:hAnsi="Times New Roman" w:eastAsia="仿宋_GB2312" w:cs="Times New Roman"/>
                <w:color w:val="auto"/>
                <w:sz w:val="28"/>
                <w:szCs w:val="28"/>
              </w:rPr>
            </w:pPr>
            <w:r>
              <w:rPr>
                <w:rFonts w:hint="eastAsia" w:ascii="Times New Roman" w:hAnsi="Times New Roman" w:eastAsia="仿宋_GB2312" w:cs="Times New Roman"/>
                <w:b/>
                <w:bCs/>
                <w:color w:val="auto"/>
                <w:sz w:val="28"/>
                <w:szCs w:val="28"/>
              </w:rPr>
              <w:t>高新区低空产业多功能加速器。</w:t>
            </w:r>
            <w:r>
              <w:rPr>
                <w:rFonts w:hint="eastAsia" w:ascii="Times New Roman" w:hAnsi="Times New Roman" w:eastAsia="仿宋_GB2312" w:cs="Times New Roman"/>
                <w:color w:val="auto"/>
                <w:sz w:val="28"/>
                <w:szCs w:val="28"/>
              </w:rPr>
              <w:t>拟投资约</w:t>
            </w:r>
            <w:r>
              <w:rPr>
                <w:rFonts w:ascii="Times New Roman" w:hAnsi="Times New Roman" w:eastAsia="仿宋_GB2312" w:cs="Times New Roman"/>
                <w:color w:val="auto"/>
                <w:sz w:val="28"/>
                <w:szCs w:val="28"/>
              </w:rPr>
              <w:t>25000</w:t>
            </w:r>
            <w:r>
              <w:rPr>
                <w:rFonts w:hint="eastAsia" w:ascii="Times New Roman" w:hAnsi="Times New Roman" w:eastAsia="仿宋_GB2312" w:cs="Times New Roman"/>
                <w:color w:val="auto"/>
                <w:sz w:val="28"/>
                <w:szCs w:val="28"/>
              </w:rPr>
              <w:t>万元。该项目占地</w:t>
            </w:r>
            <w:r>
              <w:rPr>
                <w:rFonts w:ascii="Times New Roman" w:hAnsi="Times New Roman" w:eastAsia="仿宋_GB2312" w:cs="Times New Roman"/>
                <w:color w:val="auto"/>
                <w:sz w:val="28"/>
                <w:szCs w:val="28"/>
              </w:rPr>
              <w:t>80</w:t>
            </w:r>
            <w:r>
              <w:rPr>
                <w:rFonts w:hint="eastAsia" w:ascii="Times New Roman" w:hAnsi="Times New Roman" w:eastAsia="仿宋_GB2312" w:cs="Times New Roman"/>
                <w:color w:val="auto"/>
                <w:sz w:val="28"/>
                <w:szCs w:val="28"/>
              </w:rPr>
              <w:t>余亩，建筑面积</w:t>
            </w:r>
            <w:r>
              <w:rPr>
                <w:rFonts w:ascii="Times New Roman" w:hAnsi="Times New Roman" w:eastAsia="仿宋_GB2312" w:cs="Times New Roman"/>
                <w:color w:val="auto"/>
                <w:sz w:val="28"/>
                <w:szCs w:val="28"/>
              </w:rPr>
              <w:t>5</w:t>
            </w:r>
            <w:r>
              <w:rPr>
                <w:rFonts w:hint="eastAsia" w:ascii="Times New Roman" w:hAnsi="Times New Roman" w:eastAsia="仿宋_GB2312" w:cs="Times New Roman"/>
                <w:color w:val="auto"/>
                <w:sz w:val="28"/>
                <w:szCs w:val="28"/>
              </w:rPr>
              <w:t>万平方米，规划建设低空产业多功能加速器。组织有条件的企业嵌入低空研发制造及配套服务链条并集中入驻。同时，围绕低空经济上下游产业链进行精准招商。逐步实现低空经济产业聚集，打造高新区低空产业多功能加速器。</w:t>
            </w:r>
          </w:p>
          <w:p>
            <w:pPr>
              <w:spacing w:line="480" w:lineRule="exact"/>
              <w:ind w:firstLine="562" w:firstLineChars="200"/>
              <w:rPr>
                <w:rFonts w:ascii="Times New Roman" w:hAnsi="Times New Roman" w:eastAsia="仿宋_GB2312" w:cs="Times New Roman"/>
                <w:color w:val="auto"/>
                <w:sz w:val="28"/>
                <w:szCs w:val="28"/>
              </w:rPr>
            </w:pPr>
            <w:r>
              <w:rPr>
                <w:rFonts w:hint="eastAsia" w:ascii="Times New Roman" w:hAnsi="Times New Roman" w:eastAsia="仿宋_GB2312" w:cs="Times New Roman"/>
                <w:b/>
                <w:bCs/>
                <w:color w:val="auto"/>
                <w:sz w:val="28"/>
                <w:szCs w:val="28"/>
              </w:rPr>
              <w:t>犍为县低空配套制造基地。</w:t>
            </w:r>
            <w:r>
              <w:rPr>
                <w:rFonts w:hint="eastAsia" w:ascii="Times New Roman" w:hAnsi="Times New Roman" w:eastAsia="仿宋_GB2312" w:cs="Times New Roman"/>
                <w:color w:val="auto"/>
                <w:sz w:val="28"/>
                <w:szCs w:val="28"/>
              </w:rPr>
              <w:t>拟投资约</w:t>
            </w:r>
            <w:r>
              <w:rPr>
                <w:rFonts w:ascii="Times New Roman" w:hAnsi="Times New Roman" w:eastAsia="仿宋_GB2312" w:cs="Times New Roman"/>
                <w:color w:val="auto"/>
                <w:sz w:val="28"/>
                <w:szCs w:val="28"/>
              </w:rPr>
              <w:t>32277</w:t>
            </w:r>
            <w:r>
              <w:rPr>
                <w:rFonts w:hint="eastAsia" w:ascii="Times New Roman" w:hAnsi="Times New Roman" w:eastAsia="仿宋_GB2312" w:cs="Times New Roman"/>
                <w:color w:val="auto"/>
                <w:sz w:val="28"/>
                <w:szCs w:val="28"/>
              </w:rPr>
              <w:t>万元。项目占地</w:t>
            </w:r>
            <w:r>
              <w:rPr>
                <w:rFonts w:ascii="Times New Roman" w:hAnsi="Times New Roman" w:eastAsia="仿宋_GB2312" w:cs="Times New Roman"/>
                <w:color w:val="auto"/>
                <w:sz w:val="28"/>
                <w:szCs w:val="28"/>
              </w:rPr>
              <w:t>318</w:t>
            </w:r>
            <w:r>
              <w:rPr>
                <w:rFonts w:hint="eastAsia" w:ascii="Times New Roman" w:hAnsi="Times New Roman" w:eastAsia="仿宋_GB2312" w:cs="Times New Roman"/>
                <w:color w:val="auto"/>
                <w:sz w:val="28"/>
                <w:szCs w:val="28"/>
              </w:rPr>
              <w:t>亩。建设无人机生产厂房</w:t>
            </w:r>
            <w:r>
              <w:rPr>
                <w:rFonts w:ascii="Times New Roman" w:hAnsi="Times New Roman" w:eastAsia="仿宋_GB2312" w:cs="Times New Roman"/>
                <w:color w:val="auto"/>
                <w:sz w:val="28"/>
                <w:szCs w:val="28"/>
              </w:rPr>
              <w:t>80000</w:t>
            </w:r>
            <w:r>
              <w:rPr>
                <w:rFonts w:hint="eastAsia" w:ascii="Times New Roman" w:hAnsi="Times New Roman" w:eastAsia="仿宋_GB2312" w:cs="Times New Roman"/>
                <w:color w:val="auto"/>
                <w:sz w:val="28"/>
                <w:szCs w:val="28"/>
              </w:rPr>
              <w:t>平方米，附属配套用房</w:t>
            </w:r>
            <w:r>
              <w:rPr>
                <w:rFonts w:ascii="Times New Roman" w:hAnsi="Times New Roman" w:eastAsia="仿宋_GB2312" w:cs="Times New Roman"/>
                <w:color w:val="auto"/>
                <w:sz w:val="28"/>
                <w:szCs w:val="28"/>
              </w:rPr>
              <w:t>8000</w:t>
            </w:r>
            <w:r>
              <w:rPr>
                <w:rFonts w:hint="eastAsia" w:ascii="Times New Roman" w:hAnsi="Times New Roman" w:eastAsia="仿宋_GB2312" w:cs="Times New Roman"/>
                <w:color w:val="auto"/>
                <w:sz w:val="28"/>
                <w:szCs w:val="28"/>
              </w:rPr>
              <w:t>平方米、综合服务中心</w:t>
            </w:r>
            <w:r>
              <w:rPr>
                <w:rFonts w:ascii="Times New Roman" w:hAnsi="Times New Roman" w:eastAsia="仿宋_GB2312" w:cs="Times New Roman"/>
                <w:color w:val="auto"/>
                <w:sz w:val="28"/>
                <w:szCs w:val="28"/>
              </w:rPr>
              <w:t>3000</w:t>
            </w:r>
            <w:r>
              <w:rPr>
                <w:rFonts w:hint="eastAsia" w:ascii="Times New Roman" w:hAnsi="Times New Roman" w:eastAsia="仿宋_GB2312" w:cs="Times New Roman"/>
                <w:color w:val="auto"/>
                <w:sz w:val="28"/>
                <w:szCs w:val="28"/>
              </w:rPr>
              <w:t>平方米及其他相应的配套设施设备等。</w:t>
            </w:r>
          </w:p>
          <w:p>
            <w:pPr>
              <w:spacing w:line="480" w:lineRule="exact"/>
              <w:ind w:firstLine="562" w:firstLineChars="200"/>
              <w:rPr>
                <w:rFonts w:ascii="Times New Roman" w:hAnsi="Times New Roman" w:eastAsia="仿宋_GB2312" w:cs="Times New Roman"/>
                <w:color w:val="auto"/>
                <w:sz w:val="28"/>
                <w:szCs w:val="28"/>
              </w:rPr>
            </w:pPr>
            <w:r>
              <w:rPr>
                <w:rFonts w:hint="eastAsia" w:ascii="Times New Roman" w:hAnsi="Times New Roman" w:eastAsia="仿宋_GB2312" w:cs="Times New Roman"/>
                <w:b/>
                <w:bCs/>
                <w:color w:val="auto"/>
                <w:sz w:val="28"/>
                <w:szCs w:val="28"/>
              </w:rPr>
              <w:t>夹江县航空复材产业园。</w:t>
            </w:r>
            <w:r>
              <w:rPr>
                <w:rFonts w:hint="eastAsia" w:ascii="Times New Roman" w:hAnsi="Times New Roman" w:eastAsia="仿宋_GB2312" w:cs="Times New Roman"/>
                <w:color w:val="auto"/>
                <w:sz w:val="28"/>
                <w:szCs w:val="28"/>
              </w:rPr>
              <w:t>拟投资约</w:t>
            </w:r>
            <w:r>
              <w:rPr>
                <w:rFonts w:ascii="Times New Roman" w:hAnsi="Times New Roman" w:eastAsia="仿宋_GB2312" w:cs="Times New Roman"/>
                <w:color w:val="auto"/>
                <w:sz w:val="28"/>
                <w:szCs w:val="28"/>
              </w:rPr>
              <w:t>100000</w:t>
            </w:r>
            <w:r>
              <w:rPr>
                <w:rFonts w:hint="eastAsia" w:ascii="Times New Roman" w:hAnsi="Times New Roman" w:eastAsia="仿宋_GB2312" w:cs="Times New Roman"/>
                <w:color w:val="auto"/>
                <w:sz w:val="28"/>
                <w:szCs w:val="28"/>
              </w:rPr>
              <w:t>万元。项目总占地面积约</w:t>
            </w:r>
            <w:r>
              <w:rPr>
                <w:rFonts w:ascii="Times New Roman" w:hAnsi="Times New Roman" w:eastAsia="仿宋_GB2312" w:cs="Times New Roman"/>
                <w:color w:val="auto"/>
                <w:sz w:val="28"/>
                <w:szCs w:val="28"/>
              </w:rPr>
              <w:t>500</w:t>
            </w:r>
            <w:r>
              <w:rPr>
                <w:rFonts w:hint="eastAsia" w:ascii="Times New Roman" w:hAnsi="Times New Roman" w:eastAsia="仿宋_GB2312" w:cs="Times New Roman"/>
                <w:color w:val="auto"/>
                <w:sz w:val="28"/>
                <w:szCs w:val="28"/>
              </w:rPr>
              <w:t>亩，建筑面积约</w:t>
            </w:r>
            <w:r>
              <w:rPr>
                <w:rFonts w:ascii="Times New Roman" w:hAnsi="Times New Roman" w:eastAsia="仿宋_GB2312" w:cs="Times New Roman"/>
                <w:color w:val="auto"/>
                <w:sz w:val="28"/>
                <w:szCs w:val="28"/>
              </w:rPr>
              <w:t>253000</w:t>
            </w:r>
            <w:r>
              <w:rPr>
                <w:rFonts w:hint="eastAsia" w:ascii="Times New Roman" w:hAnsi="Times New Roman" w:eastAsia="仿宋_GB2312" w:cs="Times New Roman"/>
                <w:color w:val="auto"/>
                <w:sz w:val="28"/>
                <w:szCs w:val="28"/>
              </w:rPr>
              <w:t>平方米。包括：无人机生产制造中心</w:t>
            </w:r>
            <w:r>
              <w:rPr>
                <w:rFonts w:ascii="Times New Roman" w:hAnsi="Times New Roman" w:eastAsia="仿宋_GB2312" w:cs="Times New Roman"/>
                <w:color w:val="auto"/>
                <w:sz w:val="28"/>
                <w:szCs w:val="28"/>
              </w:rPr>
              <w:t>180000</w:t>
            </w:r>
            <w:r>
              <w:rPr>
                <w:rFonts w:hint="eastAsia" w:ascii="Times New Roman" w:hAnsi="Times New Roman" w:eastAsia="仿宋_GB2312" w:cs="Times New Roman"/>
                <w:color w:val="auto"/>
                <w:sz w:val="28"/>
                <w:szCs w:val="28"/>
              </w:rPr>
              <w:t>平方米、物流仓储中心</w:t>
            </w:r>
            <w:r>
              <w:rPr>
                <w:rFonts w:ascii="Times New Roman" w:hAnsi="Times New Roman" w:eastAsia="仿宋_GB2312" w:cs="Times New Roman"/>
                <w:color w:val="auto"/>
                <w:sz w:val="28"/>
                <w:szCs w:val="28"/>
              </w:rPr>
              <w:t>80000</w:t>
            </w:r>
            <w:r>
              <w:rPr>
                <w:rFonts w:hint="eastAsia" w:ascii="Times New Roman" w:hAnsi="Times New Roman" w:eastAsia="仿宋_GB2312" w:cs="Times New Roman"/>
                <w:color w:val="auto"/>
                <w:sz w:val="28"/>
                <w:szCs w:val="28"/>
              </w:rPr>
              <w:t>平方米、研发中心</w:t>
            </w:r>
            <w:r>
              <w:rPr>
                <w:rFonts w:ascii="Times New Roman" w:hAnsi="Times New Roman" w:eastAsia="仿宋_GB2312" w:cs="Times New Roman"/>
                <w:color w:val="auto"/>
                <w:sz w:val="28"/>
                <w:szCs w:val="28"/>
              </w:rPr>
              <w:t>30000</w:t>
            </w:r>
            <w:r>
              <w:rPr>
                <w:rFonts w:hint="eastAsia" w:ascii="Times New Roman" w:hAnsi="Times New Roman" w:eastAsia="仿宋_GB2312" w:cs="Times New Roman"/>
                <w:color w:val="auto"/>
                <w:sz w:val="28"/>
                <w:szCs w:val="28"/>
              </w:rPr>
              <w:t>平方米、办公用房</w:t>
            </w:r>
            <w:r>
              <w:rPr>
                <w:rFonts w:ascii="Times New Roman" w:hAnsi="Times New Roman" w:eastAsia="仿宋_GB2312" w:cs="Times New Roman"/>
                <w:color w:val="auto"/>
                <w:sz w:val="28"/>
                <w:szCs w:val="28"/>
              </w:rPr>
              <w:t>20000</w:t>
            </w:r>
            <w:r>
              <w:rPr>
                <w:rFonts w:hint="eastAsia" w:ascii="Times New Roman" w:hAnsi="Times New Roman" w:eastAsia="仿宋_GB2312" w:cs="Times New Roman"/>
                <w:color w:val="auto"/>
                <w:sz w:val="28"/>
                <w:szCs w:val="28"/>
              </w:rPr>
              <w:t>平方米、综合服务中心</w:t>
            </w:r>
            <w:r>
              <w:rPr>
                <w:rFonts w:ascii="Times New Roman" w:hAnsi="Times New Roman" w:eastAsia="仿宋_GB2312" w:cs="Times New Roman"/>
                <w:color w:val="auto"/>
                <w:sz w:val="28"/>
                <w:szCs w:val="28"/>
              </w:rPr>
              <w:t>10000</w:t>
            </w:r>
            <w:r>
              <w:rPr>
                <w:rFonts w:hint="eastAsia" w:ascii="Times New Roman" w:hAnsi="Times New Roman" w:eastAsia="仿宋_GB2312" w:cs="Times New Roman"/>
                <w:color w:val="auto"/>
                <w:sz w:val="28"/>
                <w:szCs w:val="28"/>
              </w:rPr>
              <w:t>平方米、无人机展厅</w:t>
            </w:r>
            <w:r>
              <w:rPr>
                <w:rFonts w:ascii="Times New Roman" w:hAnsi="Times New Roman" w:eastAsia="仿宋_GB2312" w:cs="Times New Roman"/>
                <w:color w:val="auto"/>
                <w:sz w:val="28"/>
                <w:szCs w:val="28"/>
              </w:rPr>
              <w:t>5000</w:t>
            </w:r>
            <w:r>
              <w:rPr>
                <w:rFonts w:hint="eastAsia" w:ascii="Times New Roman" w:hAnsi="Times New Roman" w:eastAsia="仿宋_GB2312" w:cs="Times New Roman"/>
                <w:color w:val="auto"/>
                <w:sz w:val="28"/>
                <w:szCs w:val="28"/>
              </w:rPr>
              <w:t>平方米、低空测试中心、中试场地以及园区配套基础设施等。</w:t>
            </w:r>
          </w:p>
          <w:p>
            <w:pPr>
              <w:spacing w:line="480" w:lineRule="exact"/>
              <w:ind w:firstLine="562" w:firstLineChars="200"/>
              <w:rPr>
                <w:rFonts w:ascii="Times New Roman" w:hAnsi="Times New Roman" w:eastAsia="仿宋_GB2312" w:cs="Times New Roman"/>
                <w:color w:val="auto"/>
                <w:sz w:val="28"/>
                <w:szCs w:val="28"/>
              </w:rPr>
            </w:pPr>
            <w:r>
              <w:rPr>
                <w:rFonts w:hint="eastAsia" w:ascii="Times New Roman" w:hAnsi="Times New Roman" w:eastAsia="仿宋_GB2312" w:cs="Times New Roman"/>
                <w:b/>
                <w:bCs/>
                <w:color w:val="auto"/>
                <w:sz w:val="28"/>
                <w:szCs w:val="28"/>
              </w:rPr>
              <w:t>沙湾区低空飞行智能制造基地。</w:t>
            </w:r>
            <w:r>
              <w:rPr>
                <w:rFonts w:hint="eastAsia" w:ascii="Times New Roman" w:hAnsi="Times New Roman" w:eastAsia="仿宋_GB2312" w:cs="Times New Roman"/>
                <w:color w:val="auto"/>
                <w:sz w:val="28"/>
                <w:szCs w:val="28"/>
              </w:rPr>
              <w:t>拟投资约</w:t>
            </w:r>
            <w:r>
              <w:rPr>
                <w:rFonts w:ascii="Times New Roman" w:hAnsi="Times New Roman" w:eastAsia="仿宋_GB2312" w:cs="Times New Roman"/>
                <w:color w:val="auto"/>
                <w:sz w:val="28"/>
                <w:szCs w:val="28"/>
              </w:rPr>
              <w:t>80000</w:t>
            </w:r>
            <w:r>
              <w:rPr>
                <w:rFonts w:hint="eastAsia" w:ascii="Times New Roman" w:hAnsi="Times New Roman" w:eastAsia="仿宋_GB2312" w:cs="Times New Roman"/>
                <w:color w:val="auto"/>
                <w:sz w:val="28"/>
                <w:szCs w:val="28"/>
              </w:rPr>
              <w:t>万元。建设基础设施，包括但不限于飞行器起降场（点），无人机巢、布置空天一体化网络、智算中心，物联网等。利用经开区现有的建设用地，规划建设低空航空器研发制造、飞行基础设施建设运营，飞行服务保障、产业服务与应用场景等。</w:t>
            </w:r>
          </w:p>
          <w:p>
            <w:pPr>
              <w:spacing w:line="480" w:lineRule="exact"/>
              <w:ind w:firstLine="562" w:firstLineChars="200"/>
              <w:rPr>
                <w:rFonts w:ascii="Times New Roman" w:hAnsi="Times New Roman" w:eastAsia="仿宋_GB2312" w:cs="Times New Roman"/>
                <w:color w:val="auto"/>
                <w:sz w:val="28"/>
                <w:szCs w:val="28"/>
              </w:rPr>
            </w:pPr>
            <w:r>
              <w:rPr>
                <w:rFonts w:hint="eastAsia" w:ascii="Times New Roman" w:hAnsi="Times New Roman" w:eastAsia="仿宋_GB2312" w:cs="Times New Roman"/>
                <w:b/>
                <w:bCs/>
                <w:color w:val="auto"/>
                <w:sz w:val="28"/>
                <w:szCs w:val="28"/>
              </w:rPr>
              <w:t>沙湾区航空先进材料配套制造产业园。</w:t>
            </w:r>
            <w:r>
              <w:rPr>
                <w:rFonts w:hint="eastAsia" w:ascii="Times New Roman" w:hAnsi="Times New Roman" w:eastAsia="仿宋_GB2312" w:cs="Times New Roman"/>
                <w:color w:val="auto"/>
                <w:sz w:val="28"/>
                <w:szCs w:val="28"/>
              </w:rPr>
              <w:t>拟投资约</w:t>
            </w:r>
            <w:r>
              <w:rPr>
                <w:rFonts w:ascii="Times New Roman" w:hAnsi="Times New Roman" w:eastAsia="仿宋_GB2312" w:cs="Times New Roman"/>
                <w:color w:val="auto"/>
                <w:sz w:val="28"/>
                <w:szCs w:val="28"/>
              </w:rPr>
              <w:t>500000</w:t>
            </w:r>
            <w:r>
              <w:rPr>
                <w:rFonts w:hint="eastAsia" w:ascii="Times New Roman" w:hAnsi="Times New Roman" w:eastAsia="仿宋_GB2312" w:cs="Times New Roman"/>
                <w:color w:val="auto"/>
                <w:sz w:val="28"/>
                <w:szCs w:val="28"/>
              </w:rPr>
              <w:t>万元。依托动思新材料科技有限公司，扩大产能，规划建设低空航空器零部件及整机生产厂房，形成低空经济循环发展产业园区。</w:t>
            </w:r>
          </w:p>
          <w:p>
            <w:pPr>
              <w:spacing w:line="480" w:lineRule="exact"/>
              <w:ind w:firstLine="562" w:firstLineChars="200"/>
              <w:rPr>
                <w:rFonts w:ascii="Times New Roman" w:hAnsi="Times New Roman" w:eastAsia="仿宋_GB2312" w:cs="Times New Roman"/>
                <w:color w:val="auto"/>
                <w:sz w:val="28"/>
                <w:szCs w:val="28"/>
              </w:rPr>
            </w:pPr>
            <w:r>
              <w:rPr>
                <w:rFonts w:hint="eastAsia" w:ascii="Times New Roman" w:hAnsi="Times New Roman" w:eastAsia="仿宋_GB2312" w:cs="Times New Roman"/>
                <w:b/>
                <w:bCs/>
                <w:color w:val="auto"/>
                <w:sz w:val="28"/>
                <w:szCs w:val="28"/>
              </w:rPr>
              <w:t>井研县农用无人机研发生产基地。</w:t>
            </w:r>
            <w:r>
              <w:rPr>
                <w:rFonts w:hint="eastAsia" w:ascii="Times New Roman" w:hAnsi="Times New Roman" w:eastAsia="仿宋_GB2312" w:cs="Times New Roman"/>
                <w:color w:val="auto"/>
                <w:sz w:val="28"/>
                <w:szCs w:val="28"/>
              </w:rPr>
              <w:t>总投资</w:t>
            </w:r>
            <w:r>
              <w:rPr>
                <w:rFonts w:ascii="Times New Roman" w:hAnsi="Times New Roman" w:eastAsia="仿宋_GB2312" w:cs="Times New Roman"/>
                <w:color w:val="auto"/>
                <w:sz w:val="28"/>
                <w:szCs w:val="28"/>
              </w:rPr>
              <w:t>5.5</w:t>
            </w:r>
            <w:r>
              <w:rPr>
                <w:rFonts w:hint="eastAsia" w:ascii="Times New Roman" w:hAnsi="Times New Roman" w:eastAsia="仿宋_GB2312" w:cs="Times New Roman"/>
                <w:color w:val="auto"/>
                <w:sz w:val="28"/>
                <w:szCs w:val="28"/>
              </w:rPr>
              <w:t>亿元，占地</w:t>
            </w:r>
            <w:r>
              <w:rPr>
                <w:rFonts w:ascii="Times New Roman" w:hAnsi="Times New Roman" w:eastAsia="仿宋_GB2312" w:cs="Times New Roman"/>
                <w:color w:val="auto"/>
                <w:sz w:val="28"/>
                <w:szCs w:val="28"/>
              </w:rPr>
              <w:t>80</w:t>
            </w:r>
            <w:r>
              <w:rPr>
                <w:rFonts w:hint="eastAsia" w:ascii="Times New Roman" w:hAnsi="Times New Roman" w:eastAsia="仿宋_GB2312" w:cs="Times New Roman"/>
                <w:color w:val="auto"/>
                <w:sz w:val="28"/>
                <w:szCs w:val="28"/>
              </w:rPr>
              <w:t>亩，聚焦丘陵地形适配机型研发生产，助力“天府粮仓”建设，建设智能化生产车间、复合材料生产线、丘陵试飞场及产学研中心，配套无人机维修站与农机手培训基地。达产后年产能约</w:t>
            </w:r>
            <w:r>
              <w:rPr>
                <w:rFonts w:ascii="Times New Roman" w:hAnsi="Times New Roman" w:eastAsia="仿宋_GB2312" w:cs="Times New Roman"/>
                <w:color w:val="auto"/>
                <w:sz w:val="28"/>
                <w:szCs w:val="28"/>
              </w:rPr>
              <w:t>2000</w:t>
            </w:r>
            <w:r>
              <w:rPr>
                <w:rFonts w:hint="eastAsia" w:ascii="Times New Roman" w:hAnsi="Times New Roman" w:eastAsia="仿宋_GB2312" w:cs="Times New Roman"/>
                <w:color w:val="auto"/>
                <w:sz w:val="28"/>
                <w:szCs w:val="28"/>
              </w:rPr>
              <w:t>台，涵盖植保、播种等机型。</w:t>
            </w:r>
          </w:p>
          <w:p>
            <w:pPr>
              <w:spacing w:line="480" w:lineRule="exact"/>
              <w:ind w:firstLine="562" w:firstLineChars="200"/>
              <w:rPr>
                <w:color w:val="auto"/>
              </w:rPr>
            </w:pPr>
            <w:r>
              <w:rPr>
                <w:rFonts w:hint="eastAsia" w:ascii="Times New Roman" w:hAnsi="Times New Roman" w:eastAsia="仿宋_GB2312" w:cs="Times New Roman"/>
                <w:b/>
                <w:bCs/>
                <w:color w:val="auto"/>
                <w:sz w:val="28"/>
                <w:szCs w:val="28"/>
              </w:rPr>
              <w:t>峨边低空经济综合体。</w:t>
            </w:r>
            <w:r>
              <w:rPr>
                <w:rFonts w:hint="eastAsia" w:ascii="Times New Roman" w:hAnsi="Times New Roman" w:eastAsia="仿宋_GB2312" w:cs="Times New Roman"/>
                <w:color w:val="auto"/>
                <w:sz w:val="28"/>
                <w:szCs w:val="28"/>
              </w:rPr>
              <w:t>拟投资约</w:t>
            </w:r>
            <w:r>
              <w:rPr>
                <w:rFonts w:ascii="Times New Roman" w:hAnsi="Times New Roman" w:eastAsia="仿宋_GB2312" w:cs="Times New Roman"/>
                <w:color w:val="auto"/>
                <w:sz w:val="28"/>
                <w:szCs w:val="28"/>
              </w:rPr>
              <w:t>90000</w:t>
            </w:r>
            <w:r>
              <w:rPr>
                <w:rFonts w:hint="eastAsia" w:ascii="Times New Roman" w:hAnsi="Times New Roman" w:eastAsia="仿宋_GB2312" w:cs="Times New Roman"/>
                <w:color w:val="auto"/>
                <w:sz w:val="28"/>
                <w:szCs w:val="28"/>
              </w:rPr>
              <w:t>万元。以低空飞行活动为核心，融合空域、数据两个生产要素，新建试飞基地、数据处理平台、培训基地等，占地</w:t>
            </w:r>
            <w:r>
              <w:rPr>
                <w:rFonts w:ascii="Times New Roman" w:hAnsi="Times New Roman" w:eastAsia="仿宋_GB2312" w:cs="Times New Roman"/>
                <w:color w:val="auto"/>
                <w:sz w:val="28"/>
                <w:szCs w:val="28"/>
              </w:rPr>
              <w:t>50</w:t>
            </w:r>
            <w:r>
              <w:rPr>
                <w:rFonts w:hint="eastAsia" w:ascii="Times New Roman" w:hAnsi="Times New Roman" w:eastAsia="仿宋_GB2312" w:cs="Times New Roman"/>
                <w:color w:val="auto"/>
                <w:sz w:val="28"/>
                <w:szCs w:val="28"/>
              </w:rPr>
              <w:t>亩。</w:t>
            </w:r>
          </w:p>
        </w:tc>
      </w:tr>
    </w:tbl>
    <w:p>
      <w:pPr>
        <w:snapToGrid w:val="0"/>
        <w:spacing w:before="156" w:beforeLines="50" w:line="560" w:lineRule="exact"/>
        <w:ind w:firstLine="664" w:firstLineChars="200"/>
        <w:outlineLvl w:val="1"/>
        <w:rPr>
          <w:rFonts w:ascii="Times New Roman" w:hAnsi="Times New Roman" w:eastAsia="楷体_GB2312" w:cs="Times New Roman"/>
          <w:color w:val="auto"/>
          <w:spacing w:val="6"/>
          <w:sz w:val="32"/>
          <w:szCs w:val="32"/>
        </w:rPr>
      </w:pPr>
      <w:bookmarkStart w:id="169" w:name="_Toc24003"/>
      <w:r>
        <w:rPr>
          <w:rFonts w:hint="eastAsia" w:ascii="Times New Roman" w:hAnsi="Times New Roman" w:eastAsia="楷体_GB2312" w:cs="Times New Roman"/>
          <w:color w:val="auto"/>
          <w:spacing w:val="6"/>
          <w:sz w:val="32"/>
          <w:szCs w:val="32"/>
        </w:rPr>
        <w:t>（六）强化低空安全治理，</w:t>
      </w:r>
      <w:r>
        <w:rPr>
          <w:rFonts w:hint="eastAsia" w:ascii="Times New Roman" w:hAnsi="Times New Roman" w:eastAsia="楷体_GB2312" w:cs="Times New Roman"/>
          <w:color w:val="auto"/>
          <w:sz w:val="32"/>
          <w:szCs w:val="32"/>
          <w:shd w:val="clear" w:color="auto" w:fill="FFFFFF"/>
        </w:rPr>
        <w:t>筑牢低空安全发展底线</w:t>
      </w:r>
      <w:bookmarkEnd w:id="169"/>
    </w:p>
    <w:p>
      <w:pPr>
        <w:spacing w:line="560" w:lineRule="exact"/>
        <w:ind w:firstLine="642" w:firstLineChars="200"/>
        <w:outlineLvl w:val="2"/>
        <w:rPr>
          <w:rFonts w:ascii="仿宋_GB2312" w:eastAsia="仿宋_GB2312"/>
          <w:b/>
          <w:color w:val="auto"/>
          <w:sz w:val="32"/>
          <w:szCs w:val="32"/>
        </w:rPr>
      </w:pPr>
      <w:bookmarkStart w:id="170" w:name="_Toc18871"/>
      <w:bookmarkStart w:id="171" w:name="_Toc30396"/>
      <w:bookmarkStart w:id="172" w:name="_Toc16087"/>
      <w:r>
        <w:rPr>
          <w:rFonts w:hint="eastAsia" w:ascii="仿宋_GB2312" w:eastAsia="仿宋_GB2312"/>
          <w:b/>
          <w:color w:val="auto"/>
          <w:sz w:val="32"/>
          <w:szCs w:val="32"/>
        </w:rPr>
        <w:t>1.加强低空飞行活动监管</w:t>
      </w:r>
      <w:bookmarkEnd w:id="170"/>
      <w:bookmarkEnd w:id="171"/>
    </w:p>
    <w:p>
      <w:pPr>
        <w:spacing w:line="560" w:lineRule="exact"/>
        <w:ind w:firstLine="640" w:firstLineChars="200"/>
        <w:rPr>
          <w:rFonts w:ascii="Times New Roman" w:hAnsi="Times New Roman" w:eastAsia="仿宋_GB2312" w:cs="Times New Roman"/>
          <w:color w:val="auto"/>
          <w:sz w:val="32"/>
          <w:szCs w:val="32"/>
        </w:rPr>
      </w:pPr>
      <w:r>
        <w:rPr>
          <w:rFonts w:hint="eastAsia" w:ascii="Times New Roman" w:hAnsi="Times New Roman" w:eastAsia="仿宋_GB2312" w:cs="Times New Roman"/>
          <w:color w:val="auto"/>
          <w:sz w:val="32"/>
          <w:szCs w:val="32"/>
        </w:rPr>
        <w:t>做好国家、省政府低空安全监管要求的衔接与落地，科学界定省、市、县（区）三级在低空领域的管理权责与服务范围。</w:t>
      </w:r>
      <w:r>
        <w:rPr>
          <w:rFonts w:hint="eastAsia" w:ascii="仿宋_GB2312" w:hAnsi="宋体" w:eastAsia="仿宋_GB2312" w:cs="黑体"/>
          <w:color w:val="auto"/>
          <w:sz w:val="32"/>
          <w:szCs w:val="32"/>
        </w:rPr>
        <w:t>强化低空飞行运营企业安全</w:t>
      </w:r>
      <w:r>
        <w:rPr>
          <w:rFonts w:hint="eastAsia" w:ascii="仿宋_GB2312" w:hAnsi="仿宋_GB2312" w:eastAsia="仿宋_GB2312" w:cs="仿宋_GB2312"/>
          <w:color w:val="auto"/>
          <w:sz w:val="32"/>
        </w:rPr>
        <w:t>主体责任，督促企业严格遵守低空相关法律法规和规章制度，</w:t>
      </w:r>
      <w:r>
        <w:rPr>
          <w:rFonts w:hint="eastAsia" w:ascii="仿宋_GB2312" w:hAnsi="宋体" w:eastAsia="仿宋_GB2312" w:cs="黑体"/>
          <w:color w:val="auto"/>
          <w:sz w:val="32"/>
          <w:szCs w:val="32"/>
        </w:rPr>
        <w:t>加强安全意识与能力培养</w:t>
      </w:r>
      <w:r>
        <w:rPr>
          <w:rFonts w:hint="eastAsia" w:ascii="仿宋_GB2312" w:hAnsi="仿宋_GB2312" w:eastAsia="仿宋_GB2312" w:cs="仿宋_GB2312"/>
          <w:color w:val="auto"/>
          <w:sz w:val="32"/>
        </w:rPr>
        <w:t>。</w:t>
      </w:r>
      <w:r>
        <w:rPr>
          <w:rFonts w:hint="eastAsia" w:ascii="Times New Roman" w:hAnsi="Times New Roman" w:eastAsia="仿宋_GB2312" w:cs="Times New Roman"/>
          <w:color w:val="auto"/>
          <w:sz w:val="32"/>
          <w:szCs w:val="32"/>
        </w:rPr>
        <w:t>建成市、县两级低空安全联合指挥协同与信息共享平台，实现监管信息互通、指令同步、行动一体。构建“资格认证+专业培训+实战演练”的警务能力提升体系，确保对违规飞行行为的查处精准高效，形成有效震慑。出台</w:t>
      </w:r>
      <w:bookmarkStart w:id="173" w:name="OLE_LINK14"/>
      <w:r>
        <w:rPr>
          <w:rFonts w:hint="eastAsia" w:ascii="Times New Roman" w:hAnsi="Times New Roman" w:eastAsia="仿宋_GB2312" w:cs="Times New Roman"/>
          <w:color w:val="auto"/>
          <w:sz w:val="32"/>
          <w:szCs w:val="32"/>
        </w:rPr>
        <w:t>《乐山市低空飞行违规行为执法指引》</w:t>
      </w:r>
      <w:bookmarkEnd w:id="173"/>
      <w:r>
        <w:rPr>
          <w:rFonts w:hint="eastAsia" w:ascii="Times New Roman" w:hAnsi="Times New Roman" w:eastAsia="仿宋_GB2312" w:cs="Times New Roman"/>
          <w:color w:val="auto"/>
          <w:sz w:val="32"/>
          <w:szCs w:val="32"/>
        </w:rPr>
        <w:t>，为规范执法提供明确依据，</w:t>
      </w:r>
      <w:r>
        <w:rPr>
          <w:rFonts w:hint="eastAsia" w:ascii="仿宋_GB2312" w:hAnsi="宋体" w:eastAsia="仿宋_GB2312" w:cs="黑体"/>
          <w:color w:val="auto"/>
          <w:sz w:val="32"/>
          <w:szCs w:val="32"/>
        </w:rPr>
        <w:t>对偏离申报航线、闯入管制空域等异常行为实施自动告警与干预处置，</w:t>
      </w:r>
      <w:r>
        <w:rPr>
          <w:rFonts w:hint="eastAsia" w:ascii="Times New Roman" w:hAnsi="Times New Roman" w:eastAsia="仿宋_GB2312" w:cs="Times New Roman"/>
          <w:color w:val="auto"/>
          <w:sz w:val="32"/>
          <w:szCs w:val="32"/>
        </w:rPr>
        <w:t>重点打击“黑飞”、非法侵入禁飞区等行为。</w:t>
      </w:r>
    </w:p>
    <w:p>
      <w:pPr>
        <w:spacing w:line="560" w:lineRule="exact"/>
        <w:ind w:firstLine="642" w:firstLineChars="200"/>
        <w:outlineLvl w:val="2"/>
        <w:rPr>
          <w:rFonts w:ascii="仿宋_GB2312" w:eastAsia="仿宋_GB2312"/>
          <w:b/>
          <w:color w:val="auto"/>
          <w:sz w:val="32"/>
          <w:szCs w:val="32"/>
        </w:rPr>
      </w:pPr>
      <w:bookmarkStart w:id="174" w:name="_Toc30838"/>
      <w:r>
        <w:rPr>
          <w:rFonts w:ascii="仿宋_GB2312" w:eastAsia="仿宋_GB2312"/>
          <w:b/>
          <w:color w:val="auto"/>
          <w:sz w:val="32"/>
          <w:szCs w:val="32"/>
        </w:rPr>
        <w:t>2.</w:t>
      </w:r>
      <w:r>
        <w:rPr>
          <w:rFonts w:hint="eastAsia" w:ascii="仿宋_GB2312" w:eastAsia="仿宋_GB2312"/>
          <w:b/>
          <w:color w:val="auto"/>
          <w:sz w:val="32"/>
          <w:szCs w:val="32"/>
        </w:rPr>
        <w:t>强化低空安全主动防御</w:t>
      </w:r>
      <w:bookmarkEnd w:id="174"/>
    </w:p>
    <w:p>
      <w:pPr>
        <w:spacing w:line="560" w:lineRule="exact"/>
        <w:ind w:firstLine="640" w:firstLineChars="200"/>
        <w:rPr>
          <w:rFonts w:hint="eastAsia" w:ascii="仿宋_GB2312" w:hAnsi="仿宋_GB2312" w:eastAsia="仿宋_GB2312" w:cs="仿宋_GB2312"/>
          <w:color w:val="auto"/>
          <w:sz w:val="32"/>
        </w:rPr>
      </w:pPr>
      <w:r>
        <w:rPr>
          <w:rFonts w:hint="eastAsia" w:ascii="Times New Roman" w:hAnsi="Times New Roman" w:eastAsia="仿宋_GB2312" w:cs="Times New Roman"/>
          <w:color w:val="auto"/>
          <w:sz w:val="32"/>
          <w:szCs w:val="32"/>
        </w:rPr>
        <w:t>聚焦党政军要地、民用机场、交通枢纽、重大活动场所等敏感区域，统筹规划、合理布局低空无人机防御系统，实现精准布防。进一步明确并强化公安机关在低空安全领域的行政执法、风险防控、应急处置等核心职能。支持市公安局组建专职化、专业化的低空警务队伍。统筹区县公安机关落实属地责任，根据低空基础设施布局和产业活动密集度，分阶段、分区域配置警用无人机及侦测反制装备，提升“以机管机”和社会面管控能力。</w:t>
      </w:r>
      <w:r>
        <w:rPr>
          <w:rFonts w:hint="eastAsia" w:ascii="仿宋_GB2312" w:hAnsi="宋体" w:eastAsia="仿宋_GB2312" w:cs="黑体"/>
          <w:color w:val="auto"/>
          <w:sz w:val="32"/>
          <w:szCs w:val="32"/>
        </w:rPr>
        <w:t>严格规范低空领域无线电频率资源管理，建立覆盖低空航空器与专用反制设备频率使用、台站设置的全链条监管体系。落实管制空域地面警示标志设置、电子围栏精细化划定和日常巡查维护等制度。</w:t>
      </w:r>
    </w:p>
    <w:p>
      <w:pPr>
        <w:spacing w:line="560" w:lineRule="exact"/>
        <w:ind w:firstLine="642" w:firstLineChars="200"/>
        <w:outlineLvl w:val="2"/>
        <w:rPr>
          <w:rFonts w:ascii="仿宋_GB2312" w:eastAsia="仿宋_GB2312"/>
          <w:b/>
          <w:color w:val="auto"/>
          <w:sz w:val="32"/>
          <w:szCs w:val="32"/>
        </w:rPr>
      </w:pPr>
      <w:bookmarkStart w:id="175" w:name="_Toc12418"/>
      <w:bookmarkStart w:id="176" w:name="_Toc198"/>
      <w:r>
        <w:rPr>
          <w:rFonts w:hint="eastAsia" w:ascii="仿宋_GB2312" w:eastAsia="仿宋_GB2312"/>
          <w:b/>
          <w:color w:val="auto"/>
          <w:sz w:val="32"/>
          <w:szCs w:val="32"/>
        </w:rPr>
        <w:t>3.实施航空器全周期管理</w:t>
      </w:r>
      <w:bookmarkEnd w:id="175"/>
      <w:bookmarkEnd w:id="176"/>
    </w:p>
    <w:p>
      <w:pPr>
        <w:spacing w:line="560" w:lineRule="exact"/>
        <w:ind w:firstLine="640" w:firstLineChars="200"/>
        <w:rPr>
          <w:rFonts w:hint="eastAsia" w:ascii="仿宋_GB2312" w:hAnsi="宋体" w:eastAsia="仿宋_GB2312" w:cs="黑体"/>
          <w:color w:val="auto"/>
          <w:sz w:val="32"/>
          <w:szCs w:val="32"/>
        </w:rPr>
      </w:pPr>
      <w:r>
        <w:rPr>
          <w:rFonts w:hint="eastAsia" w:ascii="仿宋_GB2312" w:hAnsi="宋体" w:eastAsia="仿宋_GB2312" w:cs="黑体"/>
          <w:color w:val="auto"/>
          <w:sz w:val="32"/>
          <w:szCs w:val="32"/>
        </w:rPr>
        <w:t>建立健全低空航空器设计、生产、登记、运行至报废退出的全生命周期管理制度，强化低空航空器维修维护、状态监控与报废注销管理，实现低空航空器从出厂到退出各环节可追溯、可监管。督促无人机整机生产企业落实唯一产品识别码，加强线上、线下销售监管，严防不合格或违规改装等产品流入市场。落实无人机实名登记和操控员身份识别制度。加强对低空制造企业的产品质量监督，严格执行国家和行业安全标准，定期开展产品抽查检查和质量评估，推动企业建立完善的质量追溯和缺陷产品召回机制。规范航空器维修保养和报废处置流程，探索航空器退役回收与资源化利用。</w:t>
      </w:r>
    </w:p>
    <w:p>
      <w:pPr>
        <w:spacing w:line="560" w:lineRule="exact"/>
        <w:ind w:firstLine="642" w:firstLineChars="200"/>
        <w:outlineLvl w:val="2"/>
        <w:rPr>
          <w:rFonts w:ascii="仿宋_GB2312" w:eastAsia="仿宋_GB2312"/>
          <w:b/>
          <w:color w:val="auto"/>
          <w:sz w:val="32"/>
          <w:szCs w:val="32"/>
        </w:rPr>
      </w:pPr>
      <w:bookmarkStart w:id="177" w:name="_Toc7504"/>
      <w:bookmarkStart w:id="178" w:name="_Toc9486"/>
      <w:r>
        <w:rPr>
          <w:rFonts w:hint="eastAsia" w:ascii="仿宋_GB2312" w:eastAsia="仿宋_GB2312"/>
          <w:b/>
          <w:color w:val="auto"/>
          <w:sz w:val="32"/>
          <w:szCs w:val="32"/>
        </w:rPr>
        <w:t>4.</w:t>
      </w:r>
      <w:bookmarkEnd w:id="177"/>
      <w:r>
        <w:rPr>
          <w:rFonts w:hint="eastAsia" w:ascii="仿宋_GB2312" w:eastAsia="仿宋_GB2312"/>
          <w:b/>
          <w:color w:val="auto"/>
          <w:sz w:val="32"/>
          <w:szCs w:val="32"/>
        </w:rPr>
        <w:t>健全低空安全治理机制</w:t>
      </w:r>
      <w:bookmarkEnd w:id="178"/>
    </w:p>
    <w:p>
      <w:pPr>
        <w:spacing w:after="156" w:afterLines="50" w:line="560" w:lineRule="exact"/>
        <w:ind w:firstLine="640" w:firstLineChars="200"/>
        <w:rPr>
          <w:rFonts w:ascii="Times New Roman" w:hAnsi="Times New Roman" w:eastAsia="仿宋_GB2312" w:cs="Times New Roman"/>
          <w:color w:val="auto"/>
          <w:sz w:val="32"/>
          <w:szCs w:val="32"/>
        </w:rPr>
      </w:pPr>
      <w:r>
        <w:rPr>
          <w:rFonts w:hint="eastAsia" w:ascii="Times New Roman" w:hAnsi="Times New Roman" w:eastAsia="仿宋_GB2312" w:cs="Times New Roman"/>
          <w:color w:val="auto"/>
          <w:sz w:val="32"/>
          <w:szCs w:val="32"/>
        </w:rPr>
        <w:t>依托我市低空经济产业链协同推进机制，强化与军民航等部门的常态化协同建立跨部门、跨领域的联合监管与应急联动机制。</w:t>
      </w:r>
      <w:r>
        <w:rPr>
          <w:rFonts w:hint="eastAsia" w:ascii="仿宋_GB2312" w:hAnsi="宋体" w:eastAsia="仿宋_GB2312" w:cs="黑体"/>
          <w:color w:val="auto"/>
          <w:sz w:val="32"/>
          <w:szCs w:val="32"/>
        </w:rPr>
        <w:t>建立应急管理体系，分级分类制定低空安全防控方案和应急处置预案，常态化开展应急处置演练。</w:t>
      </w:r>
      <w:bookmarkEnd w:id="172"/>
      <w:r>
        <w:rPr>
          <w:rFonts w:hint="eastAsia" w:ascii="仿宋_GB2312" w:hAnsi="宋体" w:eastAsia="仿宋_GB2312" w:cs="黑体"/>
          <w:color w:val="auto"/>
          <w:sz w:val="32"/>
          <w:szCs w:val="32"/>
        </w:rPr>
        <w:t>落实国家安全保密要求，明确低空数据采集、传输、存储与使用等环节的安全责任边界，建立分级分类保护制度，完善全流程数据安全管理体系。</w:t>
      </w:r>
      <w:r>
        <w:rPr>
          <w:rFonts w:hint="eastAsia" w:ascii="Times New Roman" w:hAnsi="Times New Roman" w:eastAsia="仿宋_GB2312" w:cs="Times New Roman"/>
          <w:color w:val="auto"/>
          <w:sz w:val="32"/>
          <w:szCs w:val="32"/>
        </w:rPr>
        <w:t>将低空安全风险全面纳入全市公共安全风险管理体系统筹管理，建立动态风险评估与预警机制，健全风险分级管控和隐患排查治理双重预防体系。推动制定并完善市级低空突发事件专项应急预案，压实项目业主和运营单位安全主体责任，定期组织多部门参与的应急演练，全面提升快速协同处置能力。</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Borders>
              <w:top w:val="single" w:color="auto" w:sz="4" w:space="0"/>
              <w:left w:val="single" w:color="auto" w:sz="4" w:space="0"/>
              <w:bottom w:val="single" w:color="auto" w:sz="4" w:space="0"/>
              <w:right w:val="single" w:color="auto" w:sz="4" w:space="0"/>
            </w:tcBorders>
          </w:tcPr>
          <w:p>
            <w:pPr>
              <w:pStyle w:val="9"/>
              <w:spacing w:line="480" w:lineRule="exact"/>
              <w:jc w:val="center"/>
              <w:rPr>
                <w:rFonts w:hint="eastAsia"/>
                <w:color w:val="auto"/>
              </w:rPr>
            </w:pPr>
            <w:r>
              <w:rPr>
                <w:rFonts w:hint="eastAsia" w:ascii="Times New Roman" w:hAnsi="Times New Roman" w:eastAsia="黑体" w:cs="Times New Roman"/>
                <w:color w:val="auto"/>
                <w:sz w:val="28"/>
                <w:szCs w:val="28"/>
                <w:lang w:val="en-US" w:bidi="ar"/>
              </w:rPr>
              <w:t>专栏21</w:t>
            </w:r>
            <w:r>
              <w:rPr>
                <w:rFonts w:ascii="Times New Roman" w:hAnsi="Times New Roman" w:eastAsia="黑体" w:cs="Times New Roman"/>
                <w:color w:val="auto"/>
                <w:sz w:val="28"/>
                <w:szCs w:val="28"/>
                <w:lang w:val="en-US" w:bidi="ar"/>
              </w:rPr>
              <w:t xml:space="preserve">  </w:t>
            </w:r>
            <w:r>
              <w:rPr>
                <w:rFonts w:hint="eastAsia" w:ascii="Times New Roman" w:hAnsi="Times New Roman" w:eastAsia="黑体" w:cs="Times New Roman"/>
                <w:color w:val="auto"/>
                <w:sz w:val="28"/>
                <w:szCs w:val="28"/>
                <w:lang w:val="en-US" w:bidi="ar"/>
              </w:rPr>
              <w:t>低空安防能力建设重点项目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8522" w:type="dxa"/>
            <w:tcBorders>
              <w:top w:val="single" w:color="auto" w:sz="4" w:space="0"/>
              <w:left w:val="single" w:color="auto" w:sz="4" w:space="0"/>
              <w:bottom w:val="single" w:color="auto" w:sz="4" w:space="0"/>
              <w:right w:val="single" w:color="auto" w:sz="4" w:space="0"/>
            </w:tcBorders>
          </w:tcPr>
          <w:p>
            <w:pPr>
              <w:spacing w:line="480" w:lineRule="exact"/>
              <w:ind w:firstLine="562" w:firstLineChars="200"/>
              <w:rPr>
                <w:rFonts w:ascii="Times New Roman" w:hAnsi="Times New Roman" w:eastAsia="仿宋_GB2312" w:cs="Times New Roman"/>
                <w:color w:val="auto"/>
                <w:sz w:val="28"/>
                <w:szCs w:val="28"/>
              </w:rPr>
            </w:pPr>
            <w:r>
              <w:rPr>
                <w:rFonts w:hint="eastAsia" w:ascii="Times New Roman" w:hAnsi="Times New Roman" w:eastAsia="仿宋_GB2312" w:cs="Times New Roman"/>
                <w:b/>
                <w:bCs/>
                <w:color w:val="auto"/>
                <w:sz w:val="28"/>
                <w:szCs w:val="28"/>
              </w:rPr>
              <w:t>五通桥区低空飞行全域安全防护体系建设项目。</w:t>
            </w:r>
            <w:r>
              <w:rPr>
                <w:rFonts w:hint="eastAsia" w:ascii="Times New Roman" w:hAnsi="Times New Roman" w:eastAsia="仿宋_GB2312" w:cs="Times New Roman"/>
                <w:color w:val="auto"/>
                <w:sz w:val="28"/>
                <w:szCs w:val="28"/>
              </w:rPr>
              <w:t>拟投资约5</w:t>
            </w:r>
            <w:r>
              <w:rPr>
                <w:rFonts w:ascii="Times New Roman" w:hAnsi="Times New Roman" w:eastAsia="仿宋_GB2312" w:cs="Times New Roman"/>
                <w:color w:val="auto"/>
                <w:sz w:val="28"/>
                <w:szCs w:val="28"/>
              </w:rPr>
              <w:t>000</w:t>
            </w:r>
            <w:r>
              <w:rPr>
                <w:rFonts w:hint="eastAsia" w:ascii="Times New Roman" w:hAnsi="Times New Roman" w:eastAsia="仿宋_GB2312" w:cs="Times New Roman"/>
                <w:color w:val="auto"/>
                <w:sz w:val="28"/>
                <w:szCs w:val="28"/>
              </w:rPr>
              <w:t>万元。为保障乐山机场净空区、七个一级反恐重点目标工业聚集区、两个航电枢纽以及区域内高铁沿线低空安全，实现全域低空态势统一监控、指令统一调度、处置统一闭环。构建五通桥区低空飞行安全防护体系，建设全域低空安全防护指挥中心，包含一体化综合管控应用平台、低空感知系统、监测管理系统、防御反制系统、警航应用系统、应急处置系统、智慧调度系统等。配套建设固定式低空感知设备260个（包括频谱、光电、雷达、RID等），便携式侦测设备30个，固定式防御反制设备8个，便携式反制设备10个，一体化侦测反制车2台，警用无人驾驶反制航空器自动化机巢18个，单兵反制无人驾驶航空器28架及相关配套挂载，固定式无人机单北斗RTK（反制通讯）基准站15个，高机动反制警用无人驾驶航空器起降运输车2台，无人化智能感知巡逻车2台，反制指挥车3台，便携式指挥平板10台，AI智能算法服务器，以及相关建设运行配套设施设备。</w:t>
            </w:r>
          </w:p>
          <w:p>
            <w:pPr>
              <w:spacing w:line="480" w:lineRule="exact"/>
              <w:ind w:firstLine="562" w:firstLineChars="200"/>
              <w:rPr>
                <w:rFonts w:ascii="Times New Roman" w:hAnsi="Times New Roman" w:eastAsia="仿宋_GB2312" w:cs="Times New Roman"/>
                <w:color w:val="auto"/>
                <w:sz w:val="28"/>
                <w:szCs w:val="28"/>
              </w:rPr>
            </w:pPr>
            <w:r>
              <w:rPr>
                <w:rFonts w:hint="eastAsia" w:ascii="Times New Roman" w:hAnsi="Times New Roman" w:eastAsia="仿宋_GB2312" w:cs="Times New Roman"/>
                <w:b/>
                <w:bCs/>
                <w:color w:val="auto"/>
                <w:sz w:val="28"/>
                <w:szCs w:val="28"/>
              </w:rPr>
              <w:t>金口河区低空经济无人机防御系统。</w:t>
            </w:r>
            <w:r>
              <w:rPr>
                <w:rFonts w:hint="eastAsia" w:ascii="Times New Roman" w:hAnsi="Times New Roman" w:eastAsia="仿宋_GB2312" w:cs="Times New Roman"/>
                <w:color w:val="auto"/>
                <w:sz w:val="28"/>
                <w:szCs w:val="28"/>
              </w:rPr>
              <w:t>拟投资约16</w:t>
            </w:r>
            <w:r>
              <w:rPr>
                <w:rFonts w:ascii="Times New Roman" w:hAnsi="Times New Roman" w:eastAsia="仿宋_GB2312" w:cs="Times New Roman"/>
                <w:color w:val="auto"/>
                <w:sz w:val="28"/>
                <w:szCs w:val="28"/>
              </w:rPr>
              <w:t>00</w:t>
            </w:r>
            <w:r>
              <w:rPr>
                <w:rFonts w:hint="eastAsia" w:ascii="Times New Roman" w:hAnsi="Times New Roman" w:eastAsia="仿宋_GB2312" w:cs="Times New Roman"/>
                <w:color w:val="auto"/>
                <w:sz w:val="28"/>
                <w:szCs w:val="28"/>
              </w:rPr>
              <w:t>万元。实现3座水电站（枕头坝一级、二级和沙坪一级水电站）大坝、1处军事管理区（红华公司老旧基地核心厂区）及区政府办公大楼全域低空覆盖，系统由前端侦测感知、中端反制处置、后端指挥管控及配套基础保障组成。前端全域部署无线电频谱侦测与光电跟踪设备，按大坝、军事区、政府楼等场景差异化选型，实现无人机无死角探测识别与定位跟踪。中端配置固定式与机动反制装备，采取定向干扰为主、导航诱骗为辅的策略，实现精准非破坏性管控。后端搭建统一网格化管控平台，具备态势可视化、智能联动、数据管理与跨部门互联互通功能。配套工程包括利用现有场所建设双指挥中心、标准化机房，完善防雷接地、光纤供电布线，配备UPS电源，并实施必要场地改造，保障系统稳定运行。</w:t>
            </w:r>
          </w:p>
          <w:p>
            <w:pPr>
              <w:spacing w:line="480" w:lineRule="exact"/>
              <w:ind w:firstLine="562" w:firstLineChars="200"/>
              <w:rPr>
                <w:rFonts w:ascii="Times New Roman" w:hAnsi="Times New Roman" w:eastAsia="仿宋_GB2312" w:cs="Times New Roman"/>
                <w:color w:val="auto"/>
                <w:sz w:val="28"/>
                <w:szCs w:val="28"/>
              </w:rPr>
            </w:pPr>
            <w:r>
              <w:rPr>
                <w:rFonts w:hint="eastAsia" w:ascii="Times New Roman" w:hAnsi="Times New Roman" w:eastAsia="仿宋_GB2312" w:cs="Times New Roman"/>
                <w:b/>
                <w:bCs/>
                <w:color w:val="auto"/>
                <w:sz w:val="28"/>
                <w:szCs w:val="28"/>
              </w:rPr>
              <w:t>市中区低空安全防护系统基础设施建设项目。</w:t>
            </w:r>
            <w:r>
              <w:rPr>
                <w:rFonts w:hint="eastAsia" w:ascii="Times New Roman" w:hAnsi="Times New Roman" w:eastAsia="仿宋_GB2312" w:cs="Times New Roman"/>
                <w:color w:val="auto"/>
                <w:sz w:val="28"/>
                <w:szCs w:val="28"/>
              </w:rPr>
              <w:t>拟投资约250</w:t>
            </w:r>
            <w:r>
              <w:rPr>
                <w:rFonts w:ascii="Times New Roman" w:hAnsi="Times New Roman" w:eastAsia="仿宋_GB2312" w:cs="Times New Roman"/>
                <w:color w:val="auto"/>
                <w:sz w:val="28"/>
                <w:szCs w:val="28"/>
              </w:rPr>
              <w:t>00</w:t>
            </w:r>
            <w:r>
              <w:rPr>
                <w:rFonts w:hint="eastAsia" w:ascii="Times New Roman" w:hAnsi="Times New Roman" w:eastAsia="仿宋_GB2312" w:cs="Times New Roman"/>
                <w:color w:val="auto"/>
                <w:sz w:val="28"/>
                <w:szCs w:val="28"/>
              </w:rPr>
              <w:t>万元。在主城区、苏稽古镇等重点区域构建多层次低空安全防护体系，主要包括布设20套低空监视雷达、35套光电跟踪设备和50套无线电监测设备，组建覆盖核心区、缓冲区和外围区的立体监测网络。同时配备15套固定式反制系统、8台车载移动反制平台和25套便携式干扰设备，配套建设低空安全指挥中心及综合管理平台。项目将形成"监测-识别-预警-处置"全流程闭环管理能力，实现重点区域低空飞行器全天候、全方位监控防护，有效提升城市低空安全管理水平。</w:t>
            </w:r>
          </w:p>
          <w:p>
            <w:pPr>
              <w:spacing w:line="480" w:lineRule="exact"/>
              <w:ind w:firstLine="562" w:firstLineChars="200"/>
              <w:rPr>
                <w:rFonts w:ascii="Times New Roman" w:hAnsi="Times New Roman" w:eastAsia="仿宋_GB2312" w:cs="Times New Roman"/>
                <w:color w:val="auto"/>
                <w:sz w:val="28"/>
                <w:szCs w:val="28"/>
              </w:rPr>
            </w:pPr>
            <w:r>
              <w:rPr>
                <w:rFonts w:hint="eastAsia" w:ascii="Times New Roman" w:hAnsi="Times New Roman" w:eastAsia="仿宋_GB2312" w:cs="Times New Roman"/>
                <w:b/>
                <w:bCs/>
                <w:color w:val="auto"/>
                <w:sz w:val="28"/>
                <w:szCs w:val="28"/>
              </w:rPr>
              <w:t>峨眉山市低空全域安全防护与智能监测一体化建设项目。</w:t>
            </w:r>
            <w:r>
              <w:rPr>
                <w:rFonts w:hint="eastAsia" w:ascii="Times New Roman" w:hAnsi="Times New Roman" w:eastAsia="仿宋_GB2312" w:cs="Times New Roman"/>
                <w:color w:val="auto"/>
                <w:sz w:val="28"/>
                <w:szCs w:val="28"/>
              </w:rPr>
              <w:t>拟投资约20</w:t>
            </w:r>
            <w:r>
              <w:rPr>
                <w:rFonts w:ascii="Times New Roman" w:hAnsi="Times New Roman" w:eastAsia="仿宋_GB2312" w:cs="Times New Roman"/>
                <w:color w:val="auto"/>
                <w:sz w:val="28"/>
                <w:szCs w:val="28"/>
              </w:rPr>
              <w:t>00</w:t>
            </w:r>
            <w:r>
              <w:rPr>
                <w:rFonts w:hint="eastAsia" w:ascii="Times New Roman" w:hAnsi="Times New Roman" w:eastAsia="仿宋_GB2312" w:cs="Times New Roman"/>
                <w:color w:val="auto"/>
                <w:sz w:val="28"/>
                <w:szCs w:val="28"/>
              </w:rPr>
              <w:t>万元。构建低空主航路及重点区域的低空安全防护体系，建设全域安全指挥中心约400平方米，配置空域管控平台、应急处置联动系统，在航路沿线关键节点设置10处低空禁入预警桩、部署20个低空侧雷达点位、30个高清视频监控点位及15套无线电侦测设备、8套反制设备，建设监测数据传输专线及云存储平台，实现雷达、视频、无线电数据融合分析。构建低空安全移动防护体系，配置移动监测车3辆、便携式侦察设备6套、便携式反制设备6套，察打无人机设备2套、便携式红外无人机6套、固定式机巢1套、侦察机器狗1套。</w:t>
            </w:r>
          </w:p>
          <w:p>
            <w:pPr>
              <w:spacing w:line="480" w:lineRule="exact"/>
              <w:ind w:firstLine="562" w:firstLineChars="200"/>
              <w:rPr>
                <w:color w:val="auto"/>
              </w:rPr>
            </w:pPr>
            <w:r>
              <w:rPr>
                <w:rFonts w:hint="eastAsia" w:ascii="Times New Roman" w:hAnsi="Times New Roman" w:eastAsia="仿宋_GB2312" w:cs="Times New Roman"/>
                <w:b/>
                <w:bCs/>
                <w:color w:val="auto"/>
                <w:sz w:val="28"/>
                <w:szCs w:val="28"/>
              </w:rPr>
              <w:t>重点企业（峨眉山市）低空防御系统建设项目。</w:t>
            </w:r>
            <w:r>
              <w:rPr>
                <w:rFonts w:hint="eastAsia" w:ascii="Times New Roman" w:hAnsi="Times New Roman" w:eastAsia="仿宋_GB2312" w:cs="Times New Roman"/>
                <w:color w:val="auto"/>
                <w:sz w:val="28"/>
                <w:szCs w:val="28"/>
              </w:rPr>
              <w:t>拟投资约10</w:t>
            </w:r>
            <w:r>
              <w:rPr>
                <w:rFonts w:ascii="Times New Roman" w:hAnsi="Times New Roman" w:eastAsia="仿宋_GB2312" w:cs="Times New Roman"/>
                <w:color w:val="auto"/>
                <w:sz w:val="28"/>
                <w:szCs w:val="28"/>
              </w:rPr>
              <w:t>00</w:t>
            </w:r>
            <w:r>
              <w:rPr>
                <w:rFonts w:hint="eastAsia" w:ascii="Times New Roman" w:hAnsi="Times New Roman" w:eastAsia="仿宋_GB2312" w:cs="Times New Roman"/>
                <w:color w:val="auto"/>
                <w:sz w:val="28"/>
                <w:szCs w:val="28"/>
              </w:rPr>
              <w:t>万元。在厂区部署先进的低空小型飞行器入侵防御系统，完成对厂区周围5km范围内各类低空小型飞行器探测、跟踪、识别、确认、驱离、迫降、诱骗降落等防御任务，保障厂区的低空空域安全。</w:t>
            </w:r>
          </w:p>
        </w:tc>
      </w:tr>
    </w:tbl>
    <w:p>
      <w:pPr>
        <w:rPr>
          <w:rFonts w:ascii="Times New Roman" w:hAnsi="Times New Roman" w:eastAsia="仿宋_GB2312" w:cs="Times New Roman"/>
          <w:color w:val="auto"/>
          <w:kern w:val="0"/>
          <w:sz w:val="32"/>
          <w:szCs w:val="32"/>
        </w:rPr>
      </w:pPr>
      <w:r>
        <w:rPr>
          <w:rFonts w:hint="eastAsia" w:ascii="Times New Roman" w:hAnsi="Times New Roman" w:eastAsia="仿宋_GB2312" w:cs="Times New Roman"/>
          <w:color w:val="auto"/>
          <w:kern w:val="0"/>
          <w:sz w:val="32"/>
          <w:szCs w:val="32"/>
        </w:rPr>
        <w:br w:type="page"/>
      </w:r>
    </w:p>
    <w:p>
      <w:pPr>
        <w:widowControl/>
        <w:spacing w:line="560" w:lineRule="exact"/>
        <w:ind w:firstLine="640" w:firstLineChars="200"/>
        <w:outlineLvl w:val="0"/>
        <w:rPr>
          <w:rFonts w:ascii="Times New Roman" w:hAnsi="Times New Roman" w:eastAsia="黑体" w:cs="Times New Roman"/>
          <w:color w:val="auto"/>
          <w:sz w:val="32"/>
          <w:szCs w:val="32"/>
          <w:shd w:val="clear" w:color="auto" w:fill="FFFFFF"/>
        </w:rPr>
      </w:pPr>
      <w:bookmarkStart w:id="179" w:name="_Toc3968"/>
      <w:bookmarkStart w:id="180" w:name="_Toc220270484"/>
      <w:bookmarkStart w:id="181" w:name="_Toc207125795"/>
      <w:r>
        <w:rPr>
          <w:rFonts w:hint="eastAsia" w:ascii="Times New Roman" w:hAnsi="Times New Roman" w:eastAsia="黑体" w:cs="Times New Roman"/>
          <w:color w:val="auto"/>
          <w:sz w:val="32"/>
          <w:szCs w:val="32"/>
          <w:shd w:val="clear" w:color="auto" w:fill="FFFFFF"/>
        </w:rPr>
        <w:t>四、保障措施</w:t>
      </w:r>
      <w:bookmarkEnd w:id="179"/>
      <w:bookmarkEnd w:id="180"/>
      <w:bookmarkEnd w:id="181"/>
    </w:p>
    <w:p>
      <w:pPr>
        <w:spacing w:line="560" w:lineRule="exact"/>
        <w:ind w:firstLine="640" w:firstLineChars="200"/>
        <w:outlineLvl w:val="1"/>
        <w:rPr>
          <w:rFonts w:ascii="Times New Roman" w:hAnsi="Times New Roman" w:eastAsia="楷体_GB2312" w:cs="Times New Roman"/>
          <w:color w:val="auto"/>
          <w:sz w:val="32"/>
          <w:szCs w:val="32"/>
        </w:rPr>
      </w:pPr>
      <w:bookmarkStart w:id="182" w:name="_Toc198194808"/>
      <w:bookmarkStart w:id="183" w:name="_Toc32491"/>
      <w:bookmarkStart w:id="184" w:name="_Toc31577"/>
      <w:bookmarkStart w:id="185" w:name="_Toc197353919"/>
      <w:bookmarkStart w:id="186" w:name="_Toc4139"/>
      <w:bookmarkStart w:id="187" w:name="_Toc2388"/>
      <w:bookmarkStart w:id="188" w:name="_Toc23929"/>
      <w:bookmarkStart w:id="189" w:name="_Toc220270485"/>
      <w:bookmarkStart w:id="190" w:name="_Toc207125796"/>
      <w:bookmarkStart w:id="191" w:name="_Toc1051"/>
      <w:bookmarkStart w:id="192" w:name="_Toc191519421"/>
      <w:r>
        <w:rPr>
          <w:rFonts w:hint="eastAsia" w:ascii="Times New Roman" w:hAnsi="Times New Roman" w:eastAsia="楷体_GB2312" w:cs="Times New Roman"/>
          <w:color w:val="auto"/>
          <w:sz w:val="32"/>
          <w:szCs w:val="32"/>
        </w:rPr>
        <w:t>（一）</w:t>
      </w:r>
      <w:bookmarkEnd w:id="182"/>
      <w:bookmarkEnd w:id="183"/>
      <w:bookmarkEnd w:id="184"/>
      <w:bookmarkEnd w:id="185"/>
      <w:bookmarkEnd w:id="186"/>
      <w:bookmarkEnd w:id="187"/>
      <w:r>
        <w:rPr>
          <w:rFonts w:hint="eastAsia" w:ascii="Times New Roman" w:hAnsi="Times New Roman" w:eastAsia="楷体_GB2312" w:cs="Times New Roman"/>
          <w:color w:val="auto"/>
          <w:sz w:val="32"/>
          <w:szCs w:val="32"/>
        </w:rPr>
        <w:t>强化组织保障协同</w:t>
      </w:r>
      <w:bookmarkEnd w:id="188"/>
      <w:bookmarkEnd w:id="189"/>
      <w:bookmarkEnd w:id="190"/>
    </w:p>
    <w:p>
      <w:pPr>
        <w:spacing w:line="560" w:lineRule="exact"/>
        <w:ind w:firstLine="640" w:firstLineChars="200"/>
        <w:rPr>
          <w:rFonts w:ascii="Times New Roman" w:hAnsi="Times New Roman" w:eastAsia="仿宋_GB2312" w:cs="Times New Roman"/>
          <w:color w:val="auto"/>
          <w:sz w:val="32"/>
          <w:szCs w:val="32"/>
        </w:rPr>
      </w:pPr>
      <w:r>
        <w:rPr>
          <w:rFonts w:hint="eastAsia" w:ascii="Times New Roman" w:hAnsi="Times New Roman" w:eastAsia="仿宋_GB2312" w:cs="Times New Roman"/>
          <w:color w:val="auto"/>
          <w:sz w:val="32"/>
          <w:szCs w:val="32"/>
        </w:rPr>
        <w:t>建立完善乐山市低空经济产业链协同推进机制，研究制定政策措施，协调解决重大问题，统筹推动全市低空经济安全健康发展。建立低空经济产业链重点项目清单，加强项目跟踪服务，加快推动重大项目建设。各县（市、区）要因地制宜，进一步压实工作责任，积极参与低空产业建链补链延链强链，推动低空经济发展。支持市属国有企业，围绕低空产业投资孵化、低空运行管理服务、低空基础设施投建营管、低空空域协同管理、低空飞行管理服务、低空物流服务等布局业务，探索组建乐山市低空经济发展平台公司。加强与军方、民航主管部门、高校院所沟通力度，构建与省内其他市州的低空经济发展协作机制，加强在产业协作、空域协调、安全管理等方面的合作，推动区域低空产业协同发展。</w:t>
      </w:r>
    </w:p>
    <w:bookmarkEnd w:id="191"/>
    <w:bookmarkEnd w:id="192"/>
    <w:p>
      <w:pPr>
        <w:spacing w:line="560" w:lineRule="exact"/>
        <w:ind w:firstLine="640" w:firstLineChars="200"/>
        <w:outlineLvl w:val="1"/>
        <w:rPr>
          <w:rFonts w:ascii="Times New Roman" w:hAnsi="Times New Roman" w:eastAsia="楷体_GB2312" w:cs="Times New Roman"/>
          <w:color w:val="auto"/>
          <w:sz w:val="32"/>
          <w:szCs w:val="32"/>
        </w:rPr>
      </w:pPr>
      <w:bookmarkStart w:id="193" w:name="_Toc21109"/>
      <w:bookmarkStart w:id="194" w:name="_Toc198194809"/>
      <w:bookmarkStart w:id="195" w:name="_Toc197353920"/>
      <w:bookmarkStart w:id="196" w:name="_Toc21009"/>
      <w:bookmarkStart w:id="197" w:name="_Toc220270486"/>
      <w:bookmarkStart w:id="198" w:name="_Toc207125797"/>
      <w:r>
        <w:rPr>
          <w:rFonts w:hint="eastAsia" w:ascii="Times New Roman" w:hAnsi="Times New Roman" w:eastAsia="楷体_GB2312" w:cs="Times New Roman"/>
          <w:color w:val="auto"/>
          <w:sz w:val="32"/>
          <w:szCs w:val="32"/>
        </w:rPr>
        <w:t>（二）</w:t>
      </w:r>
      <w:bookmarkEnd w:id="193"/>
      <w:bookmarkEnd w:id="194"/>
      <w:bookmarkEnd w:id="195"/>
      <w:r>
        <w:rPr>
          <w:rFonts w:hint="eastAsia" w:ascii="Times New Roman" w:hAnsi="Times New Roman" w:eastAsia="楷体_GB2312" w:cs="Times New Roman"/>
          <w:color w:val="auto"/>
          <w:sz w:val="32"/>
          <w:szCs w:val="32"/>
          <w:shd w:val="clear" w:color="auto" w:fill="FFFFFF"/>
        </w:rPr>
        <w:t>加强要素资源保障</w:t>
      </w:r>
      <w:bookmarkEnd w:id="196"/>
      <w:bookmarkEnd w:id="197"/>
      <w:bookmarkEnd w:id="198"/>
    </w:p>
    <w:p>
      <w:pPr>
        <w:spacing w:line="560" w:lineRule="exact"/>
        <w:ind w:firstLine="640" w:firstLineChars="200"/>
        <w:rPr>
          <w:rFonts w:ascii="Times New Roman" w:hAnsi="Times New Roman" w:eastAsia="仿宋_GB2312" w:cs="Times New Roman"/>
          <w:color w:val="auto"/>
          <w:sz w:val="32"/>
          <w:szCs w:val="32"/>
        </w:rPr>
      </w:pPr>
      <w:r>
        <w:rPr>
          <w:rFonts w:hint="eastAsia" w:ascii="Times New Roman" w:hAnsi="Times New Roman" w:eastAsia="仿宋_GB2312" w:cs="Times New Roman"/>
          <w:color w:val="auto"/>
          <w:sz w:val="32"/>
          <w:szCs w:val="32"/>
        </w:rPr>
        <w:t>根据省级方案，指导相关主体积极申报，争取乐山市纳入</w:t>
      </w:r>
      <w:bookmarkStart w:id="199" w:name="OLE_LINK1"/>
      <w:r>
        <w:rPr>
          <w:rFonts w:hint="eastAsia" w:ascii="Times New Roman" w:hAnsi="Times New Roman" w:eastAsia="仿宋_GB2312" w:cs="Times New Roman"/>
          <w:color w:val="auto"/>
          <w:sz w:val="32"/>
          <w:szCs w:val="32"/>
        </w:rPr>
        <w:t>全省低空运行管理试点空域覆盖范围</w:t>
      </w:r>
      <w:bookmarkEnd w:id="199"/>
      <w:r>
        <w:rPr>
          <w:rFonts w:hint="eastAsia" w:ascii="Times New Roman" w:hAnsi="Times New Roman" w:eastAsia="仿宋_GB2312" w:cs="Times New Roman"/>
          <w:color w:val="auto"/>
          <w:sz w:val="32"/>
          <w:szCs w:val="32"/>
        </w:rPr>
        <w:t>。推动全市空域分类划设，完善无人驾驶航空器适飞空域划设，争取公共航路及测试试飞专属空域划设。推动将低空基础设施用地纳入国土空间规划，统筹布局低空起降设施、测试试飞基地、产业园区等重点项目用地，依法依规做好项目用地保障工作。积极争取中央、省级专项资金补助，争取超长期特别国债、专项债、科技创新和技术改造再贷款等政策工具支持。积极对接四川省产业投资基金，全力争取省级低空经济产业投资基金直投乐山市低空经济企业（项目）。发挥乐山市政府产业引导投资基金作用，支持乐山</w:t>
      </w:r>
      <w:r>
        <w:rPr>
          <w:rFonts w:hint="eastAsia" w:ascii="Times New Roman" w:hAnsi="Times New Roman" w:eastAsia="仿宋_GB2312" w:cs="Times New Roman"/>
          <w:color w:val="auto"/>
          <w:sz w:val="32"/>
          <w:szCs w:val="32"/>
          <w:shd w:val="clear" w:color="auto" w:fill="FFFFFF"/>
        </w:rPr>
        <w:t>市</w:t>
      </w:r>
      <w:r>
        <w:rPr>
          <w:rFonts w:hint="eastAsia" w:ascii="Times New Roman" w:hAnsi="Times New Roman" w:eastAsia="仿宋_GB2312" w:cs="Times New Roman"/>
          <w:color w:val="auto"/>
          <w:sz w:val="32"/>
          <w:szCs w:val="32"/>
        </w:rPr>
        <w:t>低空经济产业布局、企业招引、项目包装落地等工作，吸引撬动社会资本参与乐山</w:t>
      </w:r>
      <w:r>
        <w:rPr>
          <w:rFonts w:hint="eastAsia" w:ascii="Times New Roman" w:hAnsi="Times New Roman" w:eastAsia="仿宋_GB2312" w:cs="Times New Roman"/>
          <w:color w:val="auto"/>
          <w:sz w:val="32"/>
          <w:szCs w:val="32"/>
          <w:shd w:val="clear" w:color="auto" w:fill="FFFFFF"/>
        </w:rPr>
        <w:t>市</w:t>
      </w:r>
      <w:r>
        <w:rPr>
          <w:rFonts w:hint="eastAsia" w:ascii="Times New Roman" w:hAnsi="Times New Roman" w:eastAsia="仿宋_GB2312" w:cs="Times New Roman"/>
          <w:color w:val="auto"/>
          <w:sz w:val="32"/>
          <w:szCs w:val="32"/>
        </w:rPr>
        <w:t>低空经济产业发展。引进融资租赁公司，</w:t>
      </w:r>
      <w:r>
        <w:rPr>
          <w:rFonts w:ascii="Times New Roman" w:hAnsi="Times New Roman" w:eastAsia="仿宋_GB2312" w:cs="Times New Roman"/>
          <w:color w:val="auto"/>
          <w:sz w:val="32"/>
          <w:szCs w:val="32"/>
        </w:rPr>
        <w:t>探索</w:t>
      </w:r>
      <w:r>
        <w:rPr>
          <w:rFonts w:hint="eastAsia" w:ascii="Times New Roman" w:hAnsi="Times New Roman" w:eastAsia="仿宋_GB2312" w:cs="Times New Roman"/>
          <w:color w:val="auto"/>
          <w:sz w:val="32"/>
          <w:szCs w:val="32"/>
        </w:rPr>
        <w:t>低空经营性租赁和融资租赁业务。组织开展政银企对接，积极推动银企合作。鼓励金融机构创新低空经济领域信贷、保险、外汇等产品和服务，探索多种金融工具组合支持方式。完善人才引进、培养、激励机制，加大低空经济领域高层次专业人才引进力度，建立更加开放灵活的引才机制。聚焦低空经济产业链发展需求，结合乐山市实际，谋划出台支持低空经济产业发展若干政策措施。</w:t>
      </w:r>
    </w:p>
    <w:p>
      <w:pPr>
        <w:spacing w:line="560" w:lineRule="exact"/>
        <w:ind w:firstLine="640" w:firstLineChars="200"/>
        <w:outlineLvl w:val="1"/>
        <w:rPr>
          <w:rFonts w:ascii="Times New Roman" w:hAnsi="Times New Roman" w:eastAsia="楷体_GB2312" w:cs="Times New Roman"/>
          <w:color w:val="auto"/>
          <w:sz w:val="32"/>
          <w:szCs w:val="32"/>
          <w:shd w:val="clear" w:color="auto" w:fill="FFFFFF"/>
        </w:rPr>
      </w:pPr>
      <w:bookmarkStart w:id="200" w:name="_Toc198194810"/>
      <w:bookmarkStart w:id="201" w:name="_Toc1390"/>
      <w:bookmarkStart w:id="202" w:name="_Toc220270487"/>
      <w:bookmarkStart w:id="203" w:name="_Toc207125798"/>
      <w:bookmarkStart w:id="204" w:name="_Toc8292"/>
      <w:r>
        <w:rPr>
          <w:rFonts w:hint="eastAsia" w:ascii="Times New Roman" w:hAnsi="Times New Roman" w:eastAsia="楷体_GB2312" w:cs="Times New Roman"/>
          <w:color w:val="auto"/>
          <w:sz w:val="32"/>
          <w:szCs w:val="32"/>
          <w:shd w:val="clear" w:color="auto" w:fill="FFFFFF"/>
        </w:rPr>
        <w:t>（三）加强动态监测评估</w:t>
      </w:r>
      <w:bookmarkEnd w:id="200"/>
      <w:bookmarkEnd w:id="201"/>
      <w:bookmarkEnd w:id="202"/>
      <w:bookmarkEnd w:id="203"/>
      <w:bookmarkEnd w:id="204"/>
    </w:p>
    <w:p>
      <w:pPr>
        <w:spacing w:line="560" w:lineRule="exact"/>
        <w:ind w:firstLine="640" w:firstLineChars="200"/>
        <w:rPr>
          <w:rFonts w:ascii="Times New Roman" w:hAnsi="Times New Roman" w:eastAsia="仿宋_GB2312" w:cs="Times New Roman"/>
          <w:color w:val="auto"/>
          <w:sz w:val="32"/>
          <w:szCs w:val="32"/>
        </w:rPr>
      </w:pPr>
      <w:r>
        <w:rPr>
          <w:rFonts w:hint="eastAsia" w:ascii="Times New Roman" w:hAnsi="Times New Roman" w:eastAsia="仿宋_GB2312" w:cs="Times New Roman"/>
          <w:color w:val="auto"/>
          <w:sz w:val="32"/>
          <w:szCs w:val="32"/>
        </w:rPr>
        <w:t>加强对低空经济发展状况的监测评估，构建乐山市低空经济高质量发展评估体系，定期开展低空经济运行数据、产业重点项目、基础设施建设、科技创新进展的跟踪监测，定期评估低空经济整体发展成效。健全完善规划实施的评价、评估和激励机制，探索引入第三方机构开展低空经济发展绩效评估，将各部门和县市区推动低空经济发展的工作成绩纳入督查激励机制。发挥新一代信息技术手段的辅助决策作用，实现对低空经济发展的动态跟踪，及时发现和统筹研究解决各项目实施中的新问题、新情况，适时调整优化相关政策和目标任务，动态完善低空经济各领域重点项目，确保规划落地见效。</w:t>
      </w:r>
    </w:p>
    <w:p>
      <w:pPr>
        <w:spacing w:line="560" w:lineRule="exact"/>
        <w:ind w:firstLine="640" w:firstLineChars="200"/>
        <w:outlineLvl w:val="1"/>
        <w:rPr>
          <w:rFonts w:ascii="Times New Roman" w:hAnsi="Times New Roman" w:eastAsia="楷体_GB2312" w:cs="Times New Roman"/>
          <w:color w:val="auto"/>
          <w:sz w:val="32"/>
          <w:szCs w:val="32"/>
          <w:shd w:val="clear" w:color="auto" w:fill="FFFFFF"/>
        </w:rPr>
      </w:pPr>
      <w:bookmarkStart w:id="205" w:name="_Toc198194811"/>
      <w:bookmarkStart w:id="206" w:name="_Toc29142"/>
      <w:bookmarkStart w:id="207" w:name="_Toc3584"/>
      <w:bookmarkStart w:id="208" w:name="_Toc197353921"/>
      <w:bookmarkStart w:id="209" w:name="_Toc207125800"/>
      <w:bookmarkStart w:id="210" w:name="_Toc220270489"/>
      <w:r>
        <w:rPr>
          <w:rFonts w:hint="eastAsia" w:ascii="Times New Roman" w:hAnsi="Times New Roman" w:eastAsia="楷体_GB2312" w:cs="Times New Roman"/>
          <w:color w:val="auto"/>
          <w:sz w:val="32"/>
          <w:szCs w:val="32"/>
          <w:shd w:val="clear" w:color="auto" w:fill="FFFFFF"/>
        </w:rPr>
        <w:t>（四）营造良好</w:t>
      </w:r>
      <w:bookmarkEnd w:id="205"/>
      <w:bookmarkEnd w:id="206"/>
      <w:bookmarkEnd w:id="207"/>
      <w:bookmarkEnd w:id="208"/>
      <w:bookmarkEnd w:id="209"/>
      <w:bookmarkEnd w:id="210"/>
      <w:r>
        <w:rPr>
          <w:rFonts w:hint="eastAsia" w:ascii="Times New Roman" w:hAnsi="Times New Roman" w:eastAsia="楷体_GB2312" w:cs="Times New Roman"/>
          <w:color w:val="auto"/>
          <w:sz w:val="32"/>
          <w:szCs w:val="32"/>
          <w:shd w:val="clear" w:color="auto" w:fill="FFFFFF"/>
        </w:rPr>
        <w:t>发展氛围</w:t>
      </w:r>
    </w:p>
    <w:p>
      <w:pPr>
        <w:spacing w:line="560" w:lineRule="exact"/>
        <w:ind w:firstLine="640" w:firstLineChars="200"/>
        <w:rPr>
          <w:rFonts w:ascii="Times New Roman" w:hAnsi="Times New Roman" w:eastAsia="宋体" w:cs="Times New Roman"/>
          <w:snapToGrid w:val="0"/>
          <w:color w:val="auto"/>
          <w:sz w:val="32"/>
          <w:szCs w:val="32"/>
        </w:rPr>
      </w:pPr>
      <w:r>
        <w:rPr>
          <w:rFonts w:hint="eastAsia" w:ascii="Times New Roman" w:hAnsi="Times New Roman" w:eastAsia="仿宋_GB2312" w:cs="Times New Roman"/>
          <w:color w:val="auto"/>
          <w:sz w:val="32"/>
          <w:szCs w:val="32"/>
        </w:rPr>
        <w:t>持续优化政策体系，做好与国家、省级产业政策的有效衔接，确保政策落地；强化政策宣贯，帮助企业用足用好现有政策。编制出台拓展低空经济应用场景实施方案，</w:t>
      </w:r>
      <w:r>
        <w:rPr>
          <w:rFonts w:hint="eastAsia" w:ascii="仿宋_GB2312" w:hAnsi="仿宋_GB2312" w:eastAsia="仿宋_GB2312" w:cs="仿宋_GB2312"/>
          <w:color w:val="auto"/>
          <w:sz w:val="32"/>
          <w:szCs w:val="32"/>
        </w:rPr>
        <w:t>定期开展场景清单征集、需求对接等活动，助力企业拓展应用场景、创新商业模式。支持重点企业牵头组建市级低空经济行业组织，集聚上下游资源，助力产业项目落地。</w:t>
      </w:r>
      <w:r>
        <w:rPr>
          <w:rFonts w:hint="eastAsia" w:ascii="Times New Roman" w:hAnsi="Times New Roman" w:eastAsia="仿宋_GB2312" w:cs="Times New Roman"/>
          <w:color w:val="auto"/>
          <w:sz w:val="32"/>
          <w:szCs w:val="32"/>
        </w:rPr>
        <w:t>发挥主流媒体</w:t>
      </w:r>
      <w:r>
        <w:rPr>
          <w:rFonts w:hint="eastAsia" w:ascii="Times New Roman" w:hAnsi="Times New Roman" w:eastAsia="仿宋_GB2312" w:cs="Times New Roman"/>
          <w:bCs/>
          <w:color w:val="auto"/>
          <w:sz w:val="32"/>
          <w:szCs w:val="32"/>
        </w:rPr>
        <w:t>作用，及时宣传低空经济领域新技术、新模式、新场景，加强地方先进经验、示范场景应用和企业典型案例报道，优化低空经济健康发展的舆论环境。</w:t>
      </w:r>
      <w:r>
        <w:rPr>
          <w:rFonts w:hint="eastAsia" w:ascii="仿宋_GB2312" w:hAnsi="仿宋_GB2312" w:eastAsia="仿宋_GB2312" w:cs="仿宋_GB2312"/>
          <w:bCs/>
          <w:color w:val="auto"/>
          <w:sz w:val="32"/>
          <w:szCs w:val="32"/>
        </w:rPr>
        <w:t>推进低空文化科普“进校园”“进课堂”</w:t>
      </w:r>
      <w:r>
        <w:rPr>
          <w:rFonts w:hint="eastAsia" w:ascii="Times New Roman" w:hAnsi="Times New Roman" w:eastAsia="仿宋_GB2312" w:cs="Times New Roman"/>
          <w:bCs/>
          <w:color w:val="auto"/>
          <w:sz w:val="32"/>
          <w:szCs w:val="32"/>
        </w:rPr>
        <w:t>，提升公众对低空经济的认知度和接受度，</w:t>
      </w:r>
      <w:r>
        <w:rPr>
          <w:rFonts w:hint="eastAsia" w:ascii="Times New Roman" w:hAnsi="Times New Roman" w:eastAsia="仿宋_GB2312" w:cs="Times New Roman"/>
          <w:color w:val="auto"/>
          <w:sz w:val="32"/>
          <w:szCs w:val="32"/>
        </w:rPr>
        <w:t>引导社会公众积极参与低空经济活动。</w:t>
      </w:r>
    </w:p>
    <w:p>
      <w:pPr>
        <w:pStyle w:val="9"/>
        <w:rPr>
          <w:rFonts w:ascii="Times New Roman" w:hAnsi="Times New Roman" w:cs="Times New Roman"/>
          <w:color w:val="auto"/>
        </w:rPr>
      </w:pPr>
    </w:p>
    <w:p>
      <w:pPr>
        <w:rPr>
          <w:rFonts w:ascii="Times New Roman" w:hAnsi="Times New Roman" w:eastAsia="黑体" w:cs="Times New Roman"/>
          <w:color w:val="auto"/>
          <w:sz w:val="32"/>
          <w:szCs w:val="32"/>
          <w:shd w:val="clear" w:color="auto" w:fill="FFFFFF"/>
        </w:rPr>
      </w:pPr>
      <w:r>
        <w:rPr>
          <w:rFonts w:hint="eastAsia" w:ascii="Times New Roman" w:hAnsi="Times New Roman" w:eastAsia="黑体" w:cs="Times New Roman"/>
          <w:color w:val="auto"/>
          <w:sz w:val="32"/>
          <w:szCs w:val="32"/>
          <w:shd w:val="clear" w:color="auto" w:fill="FFFFFF"/>
        </w:rPr>
        <w:br w:type="page"/>
      </w:r>
    </w:p>
    <w:p>
      <w:pPr>
        <w:outlineLvl w:val="0"/>
        <w:rPr>
          <w:rFonts w:ascii="Times New Roman" w:hAnsi="Times New Roman" w:eastAsia="黑体" w:cs="Times New Roman"/>
          <w:color w:val="auto"/>
          <w:sz w:val="32"/>
          <w:szCs w:val="32"/>
        </w:rPr>
      </w:pPr>
      <w:bookmarkStart w:id="211" w:name="_Toc220270490"/>
      <w:bookmarkStart w:id="212" w:name="_Toc6984"/>
      <w:bookmarkStart w:id="213" w:name="_Toc11091"/>
      <w:bookmarkStart w:id="214" w:name="_Toc207125801"/>
      <w:bookmarkStart w:id="215" w:name="_Toc198194813"/>
      <w:r>
        <w:rPr>
          <w:rFonts w:hint="eastAsia" w:ascii="Times New Roman" w:hAnsi="Times New Roman" w:eastAsia="黑体" w:cs="Times New Roman"/>
          <w:color w:val="auto"/>
          <w:sz w:val="32"/>
          <w:szCs w:val="32"/>
        </w:rPr>
        <w:t>附件1：规划依据</w:t>
      </w:r>
      <w:bookmarkEnd w:id="211"/>
      <w:bookmarkEnd w:id="212"/>
      <w:bookmarkEnd w:id="213"/>
      <w:bookmarkEnd w:id="214"/>
      <w:bookmarkEnd w:id="215"/>
    </w:p>
    <w:p>
      <w:pPr>
        <w:spacing w:line="600" w:lineRule="exact"/>
        <w:ind w:firstLine="640" w:firstLineChars="200"/>
        <w:rPr>
          <w:rFonts w:ascii="Times New Roman" w:hAnsi="Times New Roman" w:eastAsia="仿宋_GB2312" w:cs="Times New Roman"/>
          <w:color w:val="auto"/>
          <w:sz w:val="32"/>
          <w:szCs w:val="32"/>
        </w:rPr>
      </w:pPr>
      <w:r>
        <w:rPr>
          <w:rFonts w:hint="eastAsia" w:ascii="Times New Roman" w:hAnsi="Times New Roman" w:eastAsia="仿宋_GB2312" w:cs="Times New Roman"/>
          <w:color w:val="auto"/>
          <w:sz w:val="32"/>
          <w:szCs w:val="32"/>
        </w:rPr>
        <w:t>1.《中华人民共和国民用航空法》；</w:t>
      </w:r>
    </w:p>
    <w:p>
      <w:pPr>
        <w:spacing w:line="600" w:lineRule="exact"/>
        <w:ind w:firstLine="640" w:firstLineChars="200"/>
        <w:rPr>
          <w:rFonts w:ascii="Times New Roman" w:hAnsi="Times New Roman" w:eastAsia="仿宋_GB2312" w:cs="Times New Roman"/>
          <w:color w:val="auto"/>
          <w:sz w:val="32"/>
          <w:szCs w:val="32"/>
        </w:rPr>
      </w:pPr>
      <w:r>
        <w:rPr>
          <w:rFonts w:hint="eastAsia" w:ascii="Times New Roman" w:hAnsi="Times New Roman" w:eastAsia="仿宋_GB2312" w:cs="Times New Roman"/>
          <w:color w:val="auto"/>
          <w:sz w:val="32"/>
          <w:szCs w:val="32"/>
        </w:rPr>
        <w:t>2.《无人驾驶航空器飞行管理暂行条例》(国令第761号)；</w:t>
      </w:r>
    </w:p>
    <w:p>
      <w:pPr>
        <w:spacing w:line="600" w:lineRule="exact"/>
        <w:ind w:firstLine="640" w:firstLineChars="200"/>
        <w:rPr>
          <w:rFonts w:ascii="Times New Roman" w:hAnsi="Times New Roman" w:eastAsia="仿宋_GB2312" w:cs="Times New Roman"/>
          <w:color w:val="auto"/>
          <w:sz w:val="32"/>
          <w:szCs w:val="32"/>
        </w:rPr>
      </w:pPr>
      <w:r>
        <w:rPr>
          <w:rFonts w:hint="eastAsia" w:ascii="Times New Roman" w:hAnsi="Times New Roman" w:eastAsia="仿宋_GB2312" w:cs="Times New Roman"/>
          <w:color w:val="auto"/>
          <w:sz w:val="32"/>
          <w:szCs w:val="32"/>
        </w:rPr>
        <w:t>3.《民用无人驾驶航空器运行安全管理规则》(交通运输部令2024年第1号)；</w:t>
      </w:r>
    </w:p>
    <w:p>
      <w:pPr>
        <w:spacing w:line="600" w:lineRule="exact"/>
        <w:ind w:firstLine="640" w:firstLineChars="200"/>
        <w:rPr>
          <w:rFonts w:ascii="Times New Roman" w:hAnsi="Times New Roman" w:eastAsia="仿宋_GB2312" w:cs="Times New Roman"/>
          <w:color w:val="auto"/>
          <w:sz w:val="32"/>
          <w:szCs w:val="32"/>
        </w:rPr>
      </w:pPr>
      <w:r>
        <w:rPr>
          <w:rFonts w:hint="eastAsia" w:ascii="Times New Roman" w:hAnsi="Times New Roman" w:eastAsia="仿宋_GB2312" w:cs="Times New Roman"/>
          <w:color w:val="auto"/>
          <w:sz w:val="32"/>
          <w:szCs w:val="32"/>
        </w:rPr>
        <w:t>4.《国家空域基础分类方法》（2023年12月21日发布）；</w:t>
      </w:r>
    </w:p>
    <w:p>
      <w:pPr>
        <w:spacing w:line="600" w:lineRule="exact"/>
        <w:ind w:firstLine="640" w:firstLineChars="200"/>
        <w:rPr>
          <w:rFonts w:ascii="Times New Roman" w:hAnsi="Times New Roman" w:eastAsia="仿宋_GB2312" w:cs="Times New Roman"/>
          <w:color w:val="auto"/>
          <w:sz w:val="32"/>
          <w:szCs w:val="32"/>
        </w:rPr>
      </w:pPr>
      <w:r>
        <w:rPr>
          <w:rFonts w:hint="eastAsia" w:ascii="Times New Roman" w:hAnsi="Times New Roman" w:eastAsia="仿宋_GB2312" w:cs="Times New Roman"/>
          <w:color w:val="auto"/>
          <w:sz w:val="32"/>
          <w:szCs w:val="32"/>
        </w:rPr>
        <w:t>5.《国家综合立体交通网规划纲要》(国务院公报2021年第8号)；</w:t>
      </w:r>
    </w:p>
    <w:p>
      <w:pPr>
        <w:spacing w:line="600" w:lineRule="exact"/>
        <w:ind w:firstLine="640" w:firstLineChars="200"/>
        <w:rPr>
          <w:rFonts w:ascii="Times New Roman" w:hAnsi="Times New Roman" w:eastAsia="仿宋_GB2312" w:cs="Times New Roman"/>
          <w:color w:val="auto"/>
          <w:sz w:val="32"/>
          <w:szCs w:val="32"/>
        </w:rPr>
      </w:pPr>
      <w:r>
        <w:rPr>
          <w:rFonts w:hint="eastAsia" w:ascii="Times New Roman" w:hAnsi="Times New Roman" w:eastAsia="仿宋_GB2312" w:cs="Times New Roman"/>
          <w:color w:val="auto"/>
          <w:sz w:val="32"/>
          <w:szCs w:val="32"/>
        </w:rPr>
        <w:t>6.《绿色航空制造业发展纲要(2023—2035年)》(工信部联重装〔2023〕181号)；</w:t>
      </w:r>
    </w:p>
    <w:p>
      <w:pPr>
        <w:spacing w:line="600" w:lineRule="exact"/>
        <w:ind w:firstLine="640" w:firstLineChars="200"/>
        <w:rPr>
          <w:rFonts w:ascii="Times New Roman" w:hAnsi="Times New Roman" w:eastAsia="仿宋_GB2312" w:cs="Times New Roman"/>
          <w:color w:val="auto"/>
          <w:sz w:val="32"/>
          <w:szCs w:val="32"/>
        </w:rPr>
      </w:pPr>
      <w:r>
        <w:rPr>
          <w:rFonts w:hint="eastAsia" w:ascii="Times New Roman" w:hAnsi="Times New Roman" w:eastAsia="仿宋_GB2312" w:cs="Times New Roman"/>
          <w:color w:val="auto"/>
          <w:sz w:val="32"/>
          <w:szCs w:val="32"/>
        </w:rPr>
        <w:t>7.《低空飞行服务保障体系建设总体方案》(民航发〔2018〕100号)；</w:t>
      </w:r>
    </w:p>
    <w:p>
      <w:pPr>
        <w:spacing w:line="600" w:lineRule="exact"/>
        <w:ind w:firstLine="640" w:firstLineChars="200"/>
        <w:rPr>
          <w:rFonts w:ascii="Times New Roman" w:hAnsi="Times New Roman" w:eastAsia="仿宋_GB2312" w:cs="Times New Roman"/>
          <w:color w:val="auto"/>
          <w:sz w:val="32"/>
          <w:szCs w:val="32"/>
        </w:rPr>
      </w:pPr>
      <w:r>
        <w:rPr>
          <w:rFonts w:hint="eastAsia" w:ascii="Times New Roman" w:hAnsi="Times New Roman" w:eastAsia="仿宋_GB2312" w:cs="Times New Roman"/>
          <w:color w:val="auto"/>
          <w:sz w:val="32"/>
          <w:szCs w:val="32"/>
        </w:rPr>
        <w:t>8.《通用航空装备创新应用实施方案（2024-2030年）》（工信部联重装〔2024〕52号）；</w:t>
      </w:r>
    </w:p>
    <w:p>
      <w:pPr>
        <w:spacing w:line="600" w:lineRule="exact"/>
        <w:ind w:firstLine="640" w:firstLineChars="200"/>
        <w:rPr>
          <w:rFonts w:ascii="Times New Roman" w:hAnsi="Times New Roman" w:eastAsia="仿宋_GB2312" w:cs="Times New Roman"/>
          <w:color w:val="auto"/>
          <w:sz w:val="32"/>
          <w:szCs w:val="32"/>
        </w:rPr>
      </w:pPr>
      <w:r>
        <w:rPr>
          <w:rFonts w:hint="eastAsia" w:ascii="Times New Roman" w:hAnsi="Times New Roman" w:eastAsia="仿宋_GB2312" w:cs="Times New Roman"/>
          <w:color w:val="auto"/>
          <w:sz w:val="32"/>
          <w:szCs w:val="32"/>
        </w:rPr>
        <w:t>9.《中共中央关于制定国民经济和社会发展第十五个五年规划的建议》</w:t>
      </w:r>
    </w:p>
    <w:p>
      <w:pPr>
        <w:spacing w:line="600" w:lineRule="exact"/>
        <w:ind w:firstLine="640" w:firstLineChars="200"/>
        <w:rPr>
          <w:rFonts w:ascii="Times New Roman" w:hAnsi="Times New Roman" w:eastAsia="仿宋_GB2312" w:cs="Times New Roman"/>
          <w:color w:val="auto"/>
          <w:sz w:val="32"/>
          <w:szCs w:val="32"/>
        </w:rPr>
      </w:pPr>
      <w:r>
        <w:rPr>
          <w:rFonts w:hint="eastAsia" w:ascii="Times New Roman" w:hAnsi="Times New Roman" w:eastAsia="仿宋_GB2312" w:cs="Times New Roman"/>
          <w:color w:val="auto"/>
          <w:sz w:val="32"/>
          <w:szCs w:val="32"/>
        </w:rPr>
        <w:t>10.《关于推进低空经济高质量发展的意见》</w:t>
      </w:r>
    </w:p>
    <w:p>
      <w:pPr>
        <w:spacing w:line="600" w:lineRule="exact"/>
        <w:ind w:firstLine="640" w:firstLineChars="200"/>
        <w:rPr>
          <w:rFonts w:ascii="Times New Roman" w:hAnsi="Times New Roman" w:eastAsia="仿宋_GB2312" w:cs="Times New Roman"/>
          <w:color w:val="auto"/>
          <w:sz w:val="32"/>
          <w:szCs w:val="32"/>
        </w:rPr>
      </w:pPr>
      <w:r>
        <w:rPr>
          <w:rFonts w:hint="eastAsia" w:ascii="Times New Roman" w:hAnsi="Times New Roman" w:eastAsia="仿宋_GB2312" w:cs="Times New Roman"/>
          <w:color w:val="auto"/>
          <w:sz w:val="32"/>
          <w:szCs w:val="32"/>
        </w:rPr>
        <w:t>11.《低空经济及其核心产业统计分类（试行）》（发改低空〔2025〕1676号）；</w:t>
      </w:r>
    </w:p>
    <w:p>
      <w:pPr>
        <w:spacing w:line="600" w:lineRule="exact"/>
        <w:ind w:firstLine="640" w:firstLineChars="200"/>
        <w:rPr>
          <w:rFonts w:hint="eastAsia" w:ascii="Times New Roman" w:hAnsi="Times New Roman" w:eastAsia="仿宋_GB2312" w:cs="Times New Roman"/>
          <w:color w:val="auto"/>
          <w:sz w:val="32"/>
          <w:szCs w:val="32"/>
        </w:rPr>
      </w:pPr>
      <w:r>
        <w:rPr>
          <w:rFonts w:hint="eastAsia" w:ascii="Times New Roman" w:hAnsi="Times New Roman" w:eastAsia="仿宋_GB2312" w:cs="Times New Roman"/>
          <w:color w:val="auto"/>
          <w:sz w:val="32"/>
          <w:szCs w:val="32"/>
        </w:rPr>
        <w:t>12.《关于推动低空保险高质量发展的实施意见》（发改低空〔2026〕123号）</w:t>
      </w:r>
    </w:p>
    <w:p>
      <w:pPr>
        <w:spacing w:line="600" w:lineRule="exact"/>
        <w:ind w:firstLine="640" w:firstLineChars="200"/>
        <w:rPr>
          <w:rFonts w:ascii="Times New Roman" w:hAnsi="Times New Roman" w:eastAsia="仿宋_GB2312" w:cs="Times New Roman"/>
          <w:color w:val="auto"/>
          <w:sz w:val="32"/>
          <w:szCs w:val="32"/>
        </w:rPr>
      </w:pPr>
      <w:r>
        <w:rPr>
          <w:rFonts w:hint="eastAsia" w:ascii="Times New Roman" w:hAnsi="Times New Roman" w:eastAsia="仿宋_GB2312" w:cs="Times New Roman"/>
          <w:color w:val="auto"/>
          <w:kern w:val="0"/>
          <w:sz w:val="32"/>
          <w:szCs w:val="32"/>
        </w:rPr>
        <w:t>13</w:t>
      </w:r>
      <w:r>
        <w:rPr>
          <w:rFonts w:hint="eastAsia" w:ascii="Times New Roman" w:hAnsi="Times New Roman" w:eastAsia="仿宋_GB2312" w:cs="Times New Roman"/>
          <w:color w:val="auto"/>
          <w:sz w:val="32"/>
          <w:szCs w:val="32"/>
        </w:rPr>
        <w:t>.《四川省国民经济和社会发展第十四个五年规划和二〇三五年远景目标纲要》</w:t>
      </w:r>
    </w:p>
    <w:p>
      <w:pPr>
        <w:spacing w:line="600" w:lineRule="exact"/>
        <w:ind w:firstLine="640" w:firstLineChars="200"/>
        <w:rPr>
          <w:rFonts w:ascii="Times New Roman" w:hAnsi="Times New Roman" w:eastAsia="仿宋_GB2312" w:cs="Times New Roman"/>
          <w:color w:val="auto"/>
          <w:sz w:val="32"/>
          <w:szCs w:val="32"/>
        </w:rPr>
      </w:pPr>
      <w:r>
        <w:rPr>
          <w:rFonts w:hint="eastAsia" w:ascii="Times New Roman" w:hAnsi="Times New Roman" w:eastAsia="仿宋_GB2312" w:cs="Times New Roman"/>
          <w:color w:val="auto"/>
          <w:sz w:val="32"/>
          <w:szCs w:val="32"/>
        </w:rPr>
        <w:t>14.《中共四川省委关于制定四川省国民经济和社会发展第十五个五年规划的建议》；</w:t>
      </w:r>
    </w:p>
    <w:p>
      <w:pPr>
        <w:spacing w:line="600" w:lineRule="exact"/>
        <w:ind w:firstLine="640" w:firstLineChars="200"/>
        <w:rPr>
          <w:rFonts w:ascii="Times New Roman" w:hAnsi="Times New Roman" w:eastAsia="仿宋_GB2312" w:cs="Times New Roman"/>
          <w:color w:val="auto"/>
          <w:sz w:val="32"/>
          <w:szCs w:val="32"/>
        </w:rPr>
      </w:pPr>
      <w:r>
        <w:rPr>
          <w:rFonts w:hint="eastAsia" w:ascii="Times New Roman" w:hAnsi="Times New Roman" w:eastAsia="仿宋_GB2312" w:cs="Times New Roman"/>
          <w:color w:val="auto"/>
          <w:sz w:val="32"/>
          <w:szCs w:val="32"/>
        </w:rPr>
        <w:t>15.《中共四川省委关于以发展新质生产力为重要着力点扎实推进高质量发展的决定》</w:t>
      </w:r>
    </w:p>
    <w:p>
      <w:pPr>
        <w:spacing w:line="600" w:lineRule="exact"/>
        <w:ind w:firstLine="640" w:firstLineChars="200"/>
        <w:rPr>
          <w:rFonts w:ascii="Times New Roman" w:hAnsi="Times New Roman" w:eastAsia="仿宋_GB2312" w:cs="Times New Roman"/>
          <w:color w:val="auto"/>
          <w:kern w:val="0"/>
          <w:sz w:val="32"/>
          <w:szCs w:val="32"/>
        </w:rPr>
      </w:pPr>
      <w:r>
        <w:rPr>
          <w:rFonts w:hint="eastAsia" w:ascii="Times New Roman" w:hAnsi="Times New Roman" w:eastAsia="仿宋_GB2312" w:cs="Times New Roman"/>
          <w:color w:val="auto"/>
          <w:kern w:val="0"/>
          <w:sz w:val="32"/>
          <w:szCs w:val="32"/>
        </w:rPr>
        <w:t>16.《四川省通用机场布局规划（2016</w:t>
      </w:r>
      <w:r>
        <w:rPr>
          <w:rFonts w:hint="eastAsia" w:ascii="Times New Roman" w:hAnsi="Times New Roman" w:eastAsia="仿宋_GB2312" w:cs="Times New Roman"/>
          <w:color w:val="auto"/>
          <w:sz w:val="32"/>
          <w:szCs w:val="32"/>
        </w:rPr>
        <w:t>—</w:t>
      </w:r>
      <w:r>
        <w:rPr>
          <w:rFonts w:hint="eastAsia" w:ascii="Times New Roman" w:hAnsi="Times New Roman" w:eastAsia="仿宋_GB2312" w:cs="Times New Roman"/>
          <w:color w:val="auto"/>
          <w:kern w:val="0"/>
          <w:sz w:val="32"/>
          <w:szCs w:val="32"/>
        </w:rPr>
        <w:t>2030年）》（川府发〔2017</w:t>
      </w:r>
      <w:r>
        <w:rPr>
          <w:rFonts w:hint="eastAsia" w:ascii="Times New Roman" w:hAnsi="Times New Roman" w:eastAsia="仿宋_GB2312" w:cs="Times New Roman"/>
          <w:color w:val="auto"/>
          <w:sz w:val="32"/>
          <w:szCs w:val="32"/>
        </w:rPr>
        <w:t>〕</w:t>
      </w:r>
      <w:r>
        <w:rPr>
          <w:rFonts w:hint="eastAsia" w:ascii="Times New Roman" w:hAnsi="Times New Roman" w:eastAsia="仿宋_GB2312" w:cs="Times New Roman"/>
          <w:color w:val="auto"/>
          <w:kern w:val="0"/>
          <w:sz w:val="32"/>
          <w:szCs w:val="32"/>
        </w:rPr>
        <w:t>18号）；</w:t>
      </w:r>
    </w:p>
    <w:p>
      <w:pPr>
        <w:spacing w:line="600" w:lineRule="exact"/>
        <w:ind w:firstLine="640" w:firstLineChars="200"/>
        <w:rPr>
          <w:rFonts w:ascii="Times New Roman" w:hAnsi="Times New Roman" w:eastAsia="仿宋_GB2312" w:cs="Times New Roman"/>
          <w:color w:val="auto"/>
          <w:sz w:val="32"/>
          <w:szCs w:val="32"/>
        </w:rPr>
      </w:pPr>
      <w:r>
        <w:rPr>
          <w:rFonts w:hint="eastAsia" w:ascii="Times New Roman" w:hAnsi="Times New Roman" w:eastAsia="仿宋_GB2312" w:cs="Times New Roman"/>
          <w:color w:val="auto"/>
          <w:sz w:val="32"/>
          <w:szCs w:val="32"/>
        </w:rPr>
        <w:t>17.《四川省人民政府办公厅关于促进低空经济发展的指导意见》（川办发〔2024〕24号）；</w:t>
      </w:r>
    </w:p>
    <w:p>
      <w:pPr>
        <w:spacing w:line="600" w:lineRule="exact"/>
        <w:ind w:firstLine="640" w:firstLineChars="200"/>
        <w:rPr>
          <w:rFonts w:ascii="Times New Roman" w:hAnsi="Times New Roman" w:eastAsia="仿宋_GB2312" w:cs="Times New Roman"/>
          <w:color w:val="auto"/>
          <w:sz w:val="32"/>
          <w:szCs w:val="32"/>
        </w:rPr>
      </w:pPr>
      <w:r>
        <w:rPr>
          <w:rFonts w:hint="eastAsia" w:ascii="Times New Roman" w:hAnsi="Times New Roman" w:eastAsia="仿宋_GB2312" w:cs="Times New Roman"/>
          <w:color w:val="auto"/>
          <w:sz w:val="32"/>
          <w:szCs w:val="32"/>
        </w:rPr>
        <w:t>18.《四川省低空经济产业链协同推进机制工作方案（2024—2027年）》（川发改基础〔2024〕611号）</w:t>
      </w:r>
    </w:p>
    <w:p>
      <w:pPr>
        <w:spacing w:line="600" w:lineRule="exact"/>
        <w:ind w:firstLine="640" w:firstLineChars="200"/>
        <w:rPr>
          <w:rFonts w:ascii="Times New Roman" w:hAnsi="Times New Roman" w:eastAsia="仿宋_GB2312" w:cs="Times New Roman"/>
          <w:color w:val="auto"/>
          <w:kern w:val="0"/>
          <w:sz w:val="32"/>
          <w:szCs w:val="32"/>
        </w:rPr>
      </w:pPr>
      <w:r>
        <w:rPr>
          <w:rFonts w:hint="eastAsia" w:ascii="Times New Roman" w:hAnsi="Times New Roman" w:eastAsia="仿宋_GB2312" w:cs="Times New Roman"/>
          <w:color w:val="auto"/>
          <w:kern w:val="0"/>
          <w:sz w:val="32"/>
          <w:szCs w:val="32"/>
        </w:rPr>
        <w:t>19.《支持低空经济发展的若干政策措施》（川发改基础〔2025〕177号）；</w:t>
      </w:r>
    </w:p>
    <w:p>
      <w:pPr>
        <w:spacing w:line="600" w:lineRule="exact"/>
        <w:ind w:firstLine="640" w:firstLineChars="200"/>
        <w:rPr>
          <w:rFonts w:ascii="Times New Roman" w:hAnsi="Times New Roman" w:eastAsia="仿宋_GB2312" w:cs="Times New Roman"/>
          <w:color w:val="auto"/>
          <w:kern w:val="0"/>
          <w:sz w:val="32"/>
          <w:szCs w:val="32"/>
        </w:rPr>
      </w:pPr>
      <w:r>
        <w:rPr>
          <w:rFonts w:hint="eastAsia" w:ascii="Times New Roman" w:hAnsi="Times New Roman" w:eastAsia="仿宋_GB2312" w:cs="Times New Roman"/>
          <w:color w:val="auto"/>
          <w:kern w:val="0"/>
          <w:sz w:val="32"/>
          <w:szCs w:val="32"/>
        </w:rPr>
        <w:t>20.《四川省低空智能重点产品培育工作方案》（四川省科技厅（省人工智能产业链链长办公室）、省发展改革委）</w:t>
      </w:r>
    </w:p>
    <w:p>
      <w:pPr>
        <w:spacing w:line="600" w:lineRule="exact"/>
        <w:ind w:firstLine="640" w:firstLineChars="200"/>
        <w:rPr>
          <w:rFonts w:ascii="Times New Roman" w:hAnsi="Times New Roman" w:eastAsia="仿宋_GB2312" w:cs="Times New Roman"/>
          <w:color w:val="auto"/>
          <w:kern w:val="0"/>
          <w:sz w:val="32"/>
          <w:szCs w:val="32"/>
        </w:rPr>
      </w:pPr>
      <w:r>
        <w:rPr>
          <w:rFonts w:hint="eastAsia" w:ascii="Times New Roman" w:hAnsi="Times New Roman" w:eastAsia="仿宋_GB2312" w:cs="Times New Roman"/>
          <w:color w:val="auto"/>
          <w:kern w:val="0"/>
          <w:sz w:val="32"/>
          <w:szCs w:val="32"/>
        </w:rPr>
        <w:t>21.《四川省农业农村厅关于加快农业领域低空经济发展的通知》（川农发〔2025〕11号）；</w:t>
      </w:r>
    </w:p>
    <w:p>
      <w:pPr>
        <w:spacing w:line="600" w:lineRule="exact"/>
        <w:ind w:firstLine="640" w:firstLineChars="200"/>
        <w:rPr>
          <w:rFonts w:ascii="Times New Roman" w:hAnsi="Times New Roman" w:eastAsia="仿宋_GB2312" w:cs="Times New Roman"/>
          <w:color w:val="auto"/>
          <w:kern w:val="0"/>
          <w:sz w:val="32"/>
          <w:szCs w:val="32"/>
        </w:rPr>
      </w:pPr>
      <w:r>
        <w:rPr>
          <w:rFonts w:hint="eastAsia" w:ascii="Times New Roman" w:hAnsi="Times New Roman" w:eastAsia="仿宋_GB2312" w:cs="Times New Roman"/>
          <w:color w:val="auto"/>
          <w:kern w:val="0"/>
          <w:sz w:val="32"/>
          <w:szCs w:val="32"/>
        </w:rPr>
        <w:t>22.</w:t>
      </w:r>
      <w:bookmarkStart w:id="216" w:name="OLE_LINK9"/>
      <w:r>
        <w:rPr>
          <w:rFonts w:hint="eastAsia" w:ascii="Times New Roman" w:hAnsi="Times New Roman" w:eastAsia="仿宋_GB2312" w:cs="Times New Roman"/>
          <w:color w:val="auto"/>
          <w:kern w:val="0"/>
          <w:sz w:val="32"/>
          <w:szCs w:val="32"/>
        </w:rPr>
        <w:t>《乐山市国民经济和社会发展第十四个五年规划和二Ｏ三五年远景目标纲要》；</w:t>
      </w:r>
      <w:bookmarkEnd w:id="216"/>
    </w:p>
    <w:p>
      <w:pPr>
        <w:spacing w:line="600" w:lineRule="exact"/>
        <w:ind w:firstLine="640" w:firstLineChars="200"/>
        <w:rPr>
          <w:rFonts w:ascii="Times New Roman" w:hAnsi="Times New Roman" w:eastAsia="仿宋_GB2312" w:cs="Times New Roman"/>
          <w:color w:val="auto"/>
          <w:kern w:val="0"/>
          <w:sz w:val="32"/>
          <w:szCs w:val="32"/>
        </w:rPr>
      </w:pPr>
      <w:r>
        <w:rPr>
          <w:rFonts w:hint="eastAsia" w:ascii="Times New Roman" w:hAnsi="Times New Roman" w:eastAsia="仿宋_GB2312" w:cs="Times New Roman"/>
          <w:color w:val="auto"/>
          <w:kern w:val="0"/>
          <w:sz w:val="32"/>
          <w:szCs w:val="32"/>
        </w:rPr>
        <w:t>23.《中共乐山市委关于制定乐山市国民经济和社会发展第十五个五年规划的建议》；</w:t>
      </w:r>
    </w:p>
    <w:p>
      <w:pPr>
        <w:spacing w:line="600" w:lineRule="exact"/>
        <w:ind w:firstLine="640" w:firstLineChars="200"/>
        <w:rPr>
          <w:rFonts w:hint="eastAsia" w:ascii="Times New Roman" w:hAnsi="Times New Roman" w:eastAsia="仿宋_GB2312" w:cs="Times New Roman"/>
          <w:color w:val="auto"/>
          <w:kern w:val="0"/>
          <w:sz w:val="32"/>
          <w:szCs w:val="32"/>
        </w:rPr>
      </w:pPr>
      <w:bookmarkStart w:id="217" w:name="OLE_LINK12"/>
      <w:r>
        <w:rPr>
          <w:rFonts w:hint="eastAsia" w:ascii="Times New Roman" w:hAnsi="Times New Roman" w:eastAsia="仿宋_GB2312" w:cs="Times New Roman"/>
          <w:color w:val="auto"/>
          <w:kern w:val="0"/>
          <w:sz w:val="32"/>
          <w:szCs w:val="32"/>
        </w:rPr>
        <w:t>24.《乐山市国民经济和社会发展第十五个五年规划纲要》</w:t>
      </w:r>
      <w:bookmarkEnd w:id="217"/>
      <w:r>
        <w:rPr>
          <w:rFonts w:hint="eastAsia" w:ascii="Times New Roman" w:hAnsi="Times New Roman" w:eastAsia="仿宋_GB2312" w:cs="Times New Roman"/>
          <w:color w:val="auto"/>
          <w:kern w:val="0"/>
          <w:sz w:val="32"/>
          <w:szCs w:val="32"/>
        </w:rPr>
        <w:t>；</w:t>
      </w:r>
    </w:p>
    <w:p>
      <w:pPr>
        <w:spacing w:line="600" w:lineRule="exact"/>
        <w:ind w:firstLine="640" w:firstLineChars="200"/>
        <w:rPr>
          <w:rFonts w:ascii="Times New Roman" w:hAnsi="Times New Roman" w:eastAsia="仿宋_GB2312" w:cs="Times New Roman"/>
          <w:color w:val="auto"/>
          <w:kern w:val="0"/>
          <w:sz w:val="32"/>
          <w:szCs w:val="32"/>
        </w:rPr>
      </w:pPr>
      <w:r>
        <w:rPr>
          <w:rFonts w:hint="eastAsia" w:ascii="Times New Roman" w:hAnsi="Times New Roman" w:eastAsia="仿宋_GB2312" w:cs="Times New Roman"/>
          <w:color w:val="auto"/>
          <w:kern w:val="0"/>
          <w:sz w:val="32"/>
          <w:szCs w:val="32"/>
        </w:rPr>
        <w:t>25.《乐山市国土空间总体规划（2021-2035年）》（乐府发〔2024〕15号）；</w:t>
      </w:r>
    </w:p>
    <w:p>
      <w:pPr>
        <w:spacing w:line="600" w:lineRule="exact"/>
        <w:ind w:firstLine="640" w:firstLineChars="200"/>
        <w:rPr>
          <w:rFonts w:ascii="Times New Roman" w:hAnsi="Times New Roman" w:eastAsia="仿宋_GB2312" w:cs="Times New Roman"/>
          <w:color w:val="auto"/>
          <w:kern w:val="0"/>
          <w:sz w:val="32"/>
          <w:szCs w:val="32"/>
        </w:rPr>
      </w:pPr>
      <w:r>
        <w:rPr>
          <w:rFonts w:hint="eastAsia" w:ascii="Times New Roman" w:hAnsi="Times New Roman" w:eastAsia="仿宋_GB2312" w:cs="Times New Roman"/>
          <w:color w:val="auto"/>
          <w:kern w:val="0"/>
          <w:sz w:val="32"/>
          <w:szCs w:val="32"/>
        </w:rPr>
        <w:t>26.《乐山市低空经济产业链协同推进机制》（乐低空链长办〔2025〕2号）；</w:t>
      </w:r>
    </w:p>
    <w:p>
      <w:pPr>
        <w:spacing w:line="600" w:lineRule="exact"/>
        <w:ind w:firstLine="640" w:firstLineChars="200"/>
        <w:rPr>
          <w:rFonts w:ascii="Times New Roman" w:hAnsi="Times New Roman" w:eastAsia="仿宋_GB2312" w:cs="Times New Roman"/>
          <w:color w:val="auto"/>
          <w:kern w:val="0"/>
          <w:sz w:val="32"/>
          <w:szCs w:val="32"/>
        </w:rPr>
      </w:pPr>
      <w:r>
        <w:rPr>
          <w:rFonts w:hint="eastAsia" w:ascii="Times New Roman" w:hAnsi="Times New Roman" w:eastAsia="仿宋_GB2312" w:cs="Times New Roman"/>
          <w:color w:val="auto"/>
          <w:kern w:val="0"/>
          <w:sz w:val="32"/>
          <w:szCs w:val="32"/>
        </w:rPr>
        <w:t>27.</w:t>
      </w:r>
      <w:bookmarkStart w:id="218" w:name="OLE_LINK10"/>
      <w:r>
        <w:rPr>
          <w:rFonts w:hint="eastAsia" w:ascii="Times New Roman" w:hAnsi="Times New Roman" w:eastAsia="仿宋_GB2312" w:cs="Times New Roman"/>
          <w:color w:val="auto"/>
          <w:kern w:val="0"/>
          <w:sz w:val="32"/>
          <w:szCs w:val="32"/>
        </w:rPr>
        <w:t>《乐山市低空经济发展重大任务工作清单（2025年）》</w:t>
      </w:r>
      <w:bookmarkEnd w:id="218"/>
      <w:r>
        <w:rPr>
          <w:rFonts w:hint="eastAsia" w:ascii="Times New Roman" w:hAnsi="Times New Roman" w:eastAsia="仿宋_GB2312" w:cs="Times New Roman"/>
          <w:color w:val="auto"/>
          <w:kern w:val="0"/>
          <w:sz w:val="32"/>
          <w:szCs w:val="32"/>
        </w:rPr>
        <w:t>;</w:t>
      </w:r>
    </w:p>
    <w:p>
      <w:pPr>
        <w:spacing w:line="600" w:lineRule="exact"/>
        <w:ind w:firstLine="640" w:firstLineChars="200"/>
        <w:rPr>
          <w:rFonts w:ascii="Times New Roman" w:hAnsi="Times New Roman" w:eastAsia="仿宋_GB2312" w:cs="Times New Roman"/>
          <w:color w:val="auto"/>
          <w:kern w:val="0"/>
          <w:sz w:val="32"/>
          <w:szCs w:val="32"/>
        </w:rPr>
      </w:pPr>
      <w:r>
        <w:rPr>
          <w:rFonts w:hint="eastAsia" w:ascii="Times New Roman" w:hAnsi="Times New Roman" w:eastAsia="仿宋_GB2312" w:cs="Times New Roman"/>
          <w:color w:val="auto"/>
          <w:kern w:val="0"/>
          <w:sz w:val="32"/>
          <w:szCs w:val="32"/>
        </w:rPr>
        <w:t>28.《乐山市推动低空经济高质量发展行动方案（2025-2027年）》；</w:t>
      </w:r>
    </w:p>
    <w:p>
      <w:pPr>
        <w:spacing w:line="600" w:lineRule="exact"/>
        <w:ind w:firstLine="640" w:firstLineChars="200"/>
        <w:rPr>
          <w:rFonts w:ascii="Times New Roman" w:hAnsi="Times New Roman" w:eastAsia="仿宋_GB2312" w:cs="Times New Roman"/>
          <w:color w:val="auto"/>
          <w:kern w:val="0"/>
          <w:sz w:val="32"/>
          <w:szCs w:val="32"/>
        </w:rPr>
      </w:pPr>
      <w:r>
        <w:rPr>
          <w:rFonts w:hint="eastAsia" w:ascii="Times New Roman" w:hAnsi="Times New Roman" w:eastAsia="仿宋_GB2312" w:cs="Times New Roman"/>
          <w:color w:val="auto"/>
          <w:kern w:val="0"/>
          <w:sz w:val="32"/>
          <w:szCs w:val="32"/>
        </w:rPr>
        <w:t>29.国家、四川省、乐山市其他相关法律法规和标准规范。</w:t>
      </w:r>
    </w:p>
    <w:p>
      <w:pPr>
        <w:spacing w:line="560" w:lineRule="exact"/>
        <w:rPr>
          <w:rFonts w:ascii="Times New Roman" w:hAnsi="Times New Roman" w:eastAsia="宋体" w:cs="Times New Roman"/>
          <w:color w:val="auto"/>
          <w:sz w:val="32"/>
          <w:szCs w:val="32"/>
          <w:shd w:val="clear" w:color="auto" w:fill="FFFFFF"/>
          <w:lang w:val="zh-TW" w:eastAsia="zh-TW"/>
        </w:rPr>
      </w:pPr>
    </w:p>
    <w:p>
      <w:pPr>
        <w:pStyle w:val="9"/>
        <w:rPr>
          <w:rFonts w:ascii="Times New Roman" w:hAnsi="Times New Roman" w:eastAsia="仿宋_GB2312" w:cs="Times New Roman"/>
          <w:color w:val="auto"/>
          <w:kern w:val="0"/>
          <w:sz w:val="32"/>
          <w:szCs w:val="32"/>
          <w:lang w:val="en-US"/>
        </w:rPr>
      </w:pPr>
    </w:p>
    <w:p>
      <w:pPr>
        <w:pStyle w:val="9"/>
        <w:rPr>
          <w:rFonts w:ascii="Times New Roman" w:hAnsi="Times New Roman" w:eastAsia="宋体" w:cs="Times New Roman"/>
          <w:snapToGrid w:val="0"/>
          <w:color w:val="auto"/>
          <w:sz w:val="32"/>
          <w:szCs w:val="32"/>
          <w:lang w:val="en-US"/>
        </w:rPr>
        <w:sectPr>
          <w:footerReference r:id="rId4" w:type="default"/>
          <w:pgSz w:w="11906" w:h="16838"/>
          <w:pgMar w:top="2098" w:right="1474" w:bottom="1984" w:left="1587" w:header="851" w:footer="992" w:gutter="0"/>
          <w:pgNumType w:start="1"/>
          <w:cols w:space="425" w:num="1"/>
          <w:docGrid w:type="lines" w:linePitch="312" w:charSpace="0"/>
        </w:sectPr>
      </w:pPr>
    </w:p>
    <w:p>
      <w:pPr>
        <w:outlineLvl w:val="0"/>
        <w:rPr>
          <w:rFonts w:ascii="Times New Roman" w:hAnsi="Times New Roman" w:eastAsia="黑体" w:cs="Times New Roman"/>
          <w:color w:val="auto"/>
          <w:sz w:val="32"/>
          <w:szCs w:val="32"/>
        </w:rPr>
      </w:pPr>
      <w:bookmarkStart w:id="219" w:name="_Toc207125802"/>
      <w:bookmarkStart w:id="220" w:name="_Toc3121"/>
      <w:bookmarkStart w:id="221" w:name="_Toc220270491"/>
      <w:r>
        <w:rPr>
          <w:rFonts w:hint="eastAsia" w:ascii="Times New Roman" w:hAnsi="Times New Roman" w:eastAsia="黑体" w:cs="Times New Roman"/>
          <w:color w:val="auto"/>
          <w:sz w:val="32"/>
          <w:szCs w:val="32"/>
        </w:rPr>
        <w:t>附件2：乐山市低空经济产业链重点企业培育清单</w:t>
      </w:r>
      <w:bookmarkEnd w:id="219"/>
      <w:bookmarkEnd w:id="220"/>
      <w:bookmarkEnd w:id="221"/>
    </w:p>
    <w:tbl>
      <w:tblPr>
        <w:tblStyle w:val="39"/>
        <w:tblW w:w="129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5"/>
        <w:gridCol w:w="4609"/>
        <w:gridCol w:w="2304"/>
        <w:gridCol w:w="51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915" w:type="dxa"/>
            <w:vAlign w:val="center"/>
          </w:tcPr>
          <w:p>
            <w:pPr>
              <w:adjustRightInd w:val="0"/>
              <w:snapToGrid w:val="0"/>
              <w:spacing w:line="440" w:lineRule="exact"/>
              <w:jc w:val="center"/>
              <w:rPr>
                <w:rFonts w:ascii="Times New Roman" w:hAnsi="Times New Roman" w:eastAsia="黑体" w:cs="Times New Roman"/>
                <w:color w:val="auto"/>
                <w:sz w:val="24"/>
                <w:szCs w:val="24"/>
              </w:rPr>
            </w:pPr>
            <w:r>
              <w:rPr>
                <w:rFonts w:hint="eastAsia" w:ascii="Times New Roman" w:hAnsi="Times New Roman" w:eastAsia="黑体" w:cs="Times New Roman"/>
                <w:color w:val="auto"/>
                <w:sz w:val="24"/>
                <w:szCs w:val="24"/>
              </w:rPr>
              <w:t>序号</w:t>
            </w:r>
          </w:p>
        </w:tc>
        <w:tc>
          <w:tcPr>
            <w:tcW w:w="4609" w:type="dxa"/>
            <w:vAlign w:val="center"/>
          </w:tcPr>
          <w:p>
            <w:pPr>
              <w:adjustRightInd w:val="0"/>
              <w:snapToGrid w:val="0"/>
              <w:spacing w:line="440" w:lineRule="exact"/>
              <w:jc w:val="center"/>
              <w:rPr>
                <w:rFonts w:ascii="Times New Roman" w:hAnsi="Times New Roman" w:eastAsia="黑体" w:cs="Times New Roman"/>
                <w:color w:val="auto"/>
                <w:sz w:val="24"/>
                <w:szCs w:val="24"/>
              </w:rPr>
            </w:pPr>
            <w:r>
              <w:rPr>
                <w:rFonts w:hint="eastAsia" w:ascii="Times New Roman" w:hAnsi="Times New Roman" w:eastAsia="黑体" w:cs="Times New Roman"/>
                <w:color w:val="auto"/>
                <w:sz w:val="24"/>
                <w:szCs w:val="24"/>
              </w:rPr>
              <w:t>企业名称</w:t>
            </w:r>
          </w:p>
        </w:tc>
        <w:tc>
          <w:tcPr>
            <w:tcW w:w="2304" w:type="dxa"/>
            <w:vAlign w:val="center"/>
          </w:tcPr>
          <w:p>
            <w:pPr>
              <w:adjustRightInd w:val="0"/>
              <w:snapToGrid w:val="0"/>
              <w:spacing w:line="440" w:lineRule="exact"/>
              <w:jc w:val="center"/>
              <w:rPr>
                <w:rFonts w:ascii="Times New Roman" w:hAnsi="Times New Roman" w:eastAsia="黑体" w:cs="Times New Roman"/>
                <w:color w:val="auto"/>
                <w:sz w:val="24"/>
                <w:szCs w:val="24"/>
              </w:rPr>
            </w:pPr>
            <w:r>
              <w:rPr>
                <w:rFonts w:hint="eastAsia" w:ascii="Times New Roman" w:hAnsi="Times New Roman" w:eastAsia="黑体" w:cs="Times New Roman"/>
                <w:color w:val="auto"/>
                <w:sz w:val="24"/>
                <w:szCs w:val="24"/>
              </w:rPr>
              <w:t>注册县（市、区）</w:t>
            </w:r>
          </w:p>
        </w:tc>
        <w:tc>
          <w:tcPr>
            <w:tcW w:w="5143" w:type="dxa"/>
            <w:vAlign w:val="center"/>
          </w:tcPr>
          <w:p>
            <w:pPr>
              <w:adjustRightInd w:val="0"/>
              <w:snapToGrid w:val="0"/>
              <w:spacing w:line="440" w:lineRule="exact"/>
              <w:jc w:val="center"/>
              <w:rPr>
                <w:rFonts w:ascii="Times New Roman" w:hAnsi="Times New Roman" w:eastAsia="黑体" w:cs="Times New Roman"/>
                <w:color w:val="auto"/>
                <w:sz w:val="24"/>
                <w:szCs w:val="24"/>
              </w:rPr>
            </w:pPr>
            <w:r>
              <w:rPr>
                <w:rFonts w:hint="eastAsia" w:ascii="Times New Roman" w:hAnsi="Times New Roman" w:eastAsia="黑体" w:cs="Times New Roman"/>
                <w:color w:val="auto"/>
                <w:sz w:val="24"/>
                <w:szCs w:val="24"/>
              </w:rPr>
              <w:t>主营业务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71" w:type="dxa"/>
            <w:gridSpan w:val="4"/>
            <w:vAlign w:val="center"/>
          </w:tcPr>
          <w:p>
            <w:pPr>
              <w:adjustRightInd w:val="0"/>
              <w:snapToGrid w:val="0"/>
              <w:spacing w:line="440" w:lineRule="exact"/>
              <w:jc w:val="left"/>
              <w:rPr>
                <w:rFonts w:ascii="Times New Roman" w:hAnsi="Times New Roman" w:eastAsia="黑体" w:cs="Times New Roman"/>
                <w:color w:val="auto"/>
                <w:sz w:val="24"/>
                <w:szCs w:val="24"/>
              </w:rPr>
            </w:pPr>
            <w:r>
              <w:rPr>
                <w:rFonts w:hint="eastAsia" w:ascii="Times New Roman" w:hAnsi="Times New Roman" w:eastAsia="黑体" w:cs="Times New Roman"/>
                <w:color w:val="auto"/>
                <w:kern w:val="0"/>
                <w:sz w:val="24"/>
                <w:szCs w:val="24"/>
                <w:lang w:bidi="ar"/>
              </w:rPr>
              <w:t>一、低空制造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5" w:type="dxa"/>
            <w:vAlign w:val="center"/>
          </w:tcPr>
          <w:p>
            <w:pPr>
              <w:adjustRightInd w:val="0"/>
              <w:snapToGrid w:val="0"/>
              <w:spacing w:line="440" w:lineRule="exact"/>
              <w:jc w:val="center"/>
              <w:rPr>
                <w:rFonts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szCs w:val="24"/>
              </w:rPr>
              <w:t>1</w:t>
            </w:r>
          </w:p>
        </w:tc>
        <w:tc>
          <w:tcPr>
            <w:tcW w:w="4609" w:type="dxa"/>
            <w:vAlign w:val="center"/>
          </w:tcPr>
          <w:p>
            <w:pPr>
              <w:adjustRightInd w:val="0"/>
              <w:snapToGrid w:val="0"/>
              <w:spacing w:line="440" w:lineRule="exact"/>
              <w:jc w:val="center"/>
              <w:rPr>
                <w:rFonts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rPr>
              <w:t>乐山光启超材料技术有限公司</w:t>
            </w:r>
          </w:p>
        </w:tc>
        <w:tc>
          <w:tcPr>
            <w:tcW w:w="2304" w:type="dxa"/>
            <w:vAlign w:val="center"/>
          </w:tcPr>
          <w:p>
            <w:pPr>
              <w:adjustRightInd w:val="0"/>
              <w:snapToGrid w:val="0"/>
              <w:spacing w:line="440" w:lineRule="exact"/>
              <w:jc w:val="center"/>
              <w:rPr>
                <w:rFonts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szCs w:val="24"/>
              </w:rPr>
              <w:t>高新区</w:t>
            </w:r>
          </w:p>
        </w:tc>
        <w:tc>
          <w:tcPr>
            <w:tcW w:w="5143" w:type="dxa"/>
            <w:vAlign w:val="center"/>
          </w:tcPr>
          <w:p>
            <w:pPr>
              <w:adjustRightInd w:val="0"/>
              <w:snapToGrid w:val="0"/>
              <w:spacing w:line="440" w:lineRule="exact"/>
              <w:jc w:val="left"/>
              <w:rPr>
                <w:rFonts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szCs w:val="24"/>
              </w:rPr>
              <w:t>整机制造。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15" w:type="dxa"/>
            <w:vAlign w:val="center"/>
          </w:tcPr>
          <w:p>
            <w:pPr>
              <w:adjustRightInd w:val="0"/>
              <w:snapToGrid w:val="0"/>
              <w:spacing w:line="440" w:lineRule="exact"/>
              <w:jc w:val="center"/>
              <w:rPr>
                <w:rFonts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szCs w:val="24"/>
              </w:rPr>
              <w:t>2</w:t>
            </w:r>
          </w:p>
        </w:tc>
        <w:tc>
          <w:tcPr>
            <w:tcW w:w="460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40" w:lineRule="exact"/>
              <w:jc w:val="center"/>
              <w:rPr>
                <w:rFonts w:ascii="Times New Roman" w:hAnsi="Times New Roman" w:eastAsia="仿宋_GB2312" w:cs="Times New Roman"/>
                <w:color w:val="auto"/>
                <w:sz w:val="24"/>
              </w:rPr>
            </w:pPr>
            <w:r>
              <w:rPr>
                <w:rFonts w:hint="eastAsia" w:ascii="仿宋_GB2312" w:hAnsi="Times New Roman" w:eastAsia="仿宋_GB2312"/>
                <w:color w:val="auto"/>
                <w:sz w:val="24"/>
                <w:szCs w:val="24"/>
              </w:rPr>
              <w:t>天陆海（四川）导航智能设备有限公司</w:t>
            </w:r>
          </w:p>
        </w:tc>
        <w:tc>
          <w:tcPr>
            <w:tcW w:w="230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40" w:lineRule="exact"/>
              <w:jc w:val="center"/>
              <w:rPr>
                <w:rFonts w:ascii="Times New Roman" w:hAnsi="Times New Roman" w:eastAsia="仿宋_GB2312" w:cs="Times New Roman"/>
                <w:color w:val="auto"/>
                <w:sz w:val="24"/>
                <w:szCs w:val="24"/>
              </w:rPr>
            </w:pPr>
            <w:r>
              <w:rPr>
                <w:rFonts w:hint="eastAsia" w:ascii="仿宋_GB2312" w:hAnsi="Times New Roman" w:eastAsia="仿宋_GB2312"/>
                <w:color w:val="auto"/>
                <w:sz w:val="24"/>
                <w:szCs w:val="24"/>
              </w:rPr>
              <w:t>高新区</w:t>
            </w:r>
          </w:p>
        </w:tc>
        <w:tc>
          <w:tcPr>
            <w:tcW w:w="514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40" w:lineRule="exact"/>
              <w:jc w:val="left"/>
              <w:rPr>
                <w:rFonts w:ascii="Times New Roman" w:hAnsi="Times New Roman" w:eastAsia="仿宋_GB2312" w:cs="Times New Roman"/>
                <w:color w:val="auto"/>
                <w:sz w:val="24"/>
                <w:szCs w:val="24"/>
              </w:rPr>
            </w:pPr>
            <w:r>
              <w:rPr>
                <w:rFonts w:hint="eastAsia" w:ascii="仿宋_GB2312" w:hAnsi="Times New Roman" w:eastAsia="仿宋_GB2312"/>
                <w:color w:val="auto"/>
                <w:sz w:val="24"/>
                <w:szCs w:val="24"/>
              </w:rPr>
              <w:t>智能仪器仪表制造。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5" w:type="dxa"/>
            <w:vAlign w:val="center"/>
          </w:tcPr>
          <w:p>
            <w:pPr>
              <w:adjustRightInd w:val="0"/>
              <w:snapToGrid w:val="0"/>
              <w:spacing w:line="440" w:lineRule="exact"/>
              <w:jc w:val="center"/>
              <w:rPr>
                <w:rFonts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szCs w:val="24"/>
              </w:rPr>
              <w:t>3</w:t>
            </w:r>
          </w:p>
        </w:tc>
        <w:tc>
          <w:tcPr>
            <w:tcW w:w="460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40" w:lineRule="exact"/>
              <w:jc w:val="center"/>
              <w:rPr>
                <w:rFonts w:ascii="Times New Roman" w:hAnsi="Times New Roman" w:eastAsia="仿宋_GB2312" w:cs="Times New Roman"/>
                <w:color w:val="auto"/>
                <w:sz w:val="24"/>
                <w:szCs w:val="24"/>
              </w:rPr>
            </w:pPr>
            <w:r>
              <w:rPr>
                <w:rFonts w:hint="eastAsia" w:ascii="仿宋_GB2312" w:hAnsi="Times New Roman" w:eastAsia="仿宋_GB2312"/>
                <w:color w:val="auto"/>
                <w:sz w:val="24"/>
                <w:szCs w:val="24"/>
              </w:rPr>
              <w:t>乐山经芯达科技有限公司</w:t>
            </w:r>
          </w:p>
        </w:tc>
        <w:tc>
          <w:tcPr>
            <w:tcW w:w="230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40" w:lineRule="exact"/>
              <w:jc w:val="center"/>
              <w:rPr>
                <w:rFonts w:ascii="Times New Roman" w:hAnsi="Times New Roman" w:eastAsia="仿宋_GB2312" w:cs="Times New Roman"/>
                <w:color w:val="auto"/>
                <w:sz w:val="24"/>
                <w:szCs w:val="24"/>
              </w:rPr>
            </w:pPr>
            <w:r>
              <w:rPr>
                <w:rFonts w:hint="eastAsia" w:ascii="仿宋_GB2312" w:hAnsi="Times New Roman" w:eastAsia="仿宋_GB2312"/>
                <w:color w:val="auto"/>
                <w:sz w:val="24"/>
                <w:szCs w:val="24"/>
              </w:rPr>
              <w:t>高新区</w:t>
            </w:r>
          </w:p>
        </w:tc>
        <w:tc>
          <w:tcPr>
            <w:tcW w:w="514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40" w:lineRule="exact"/>
              <w:jc w:val="left"/>
              <w:rPr>
                <w:rFonts w:ascii="Times New Roman" w:hAnsi="Times New Roman" w:eastAsia="仿宋_GB2312" w:cs="Times New Roman"/>
                <w:color w:val="auto"/>
                <w:sz w:val="24"/>
              </w:rPr>
            </w:pPr>
            <w:r>
              <w:rPr>
                <w:rFonts w:hint="eastAsia" w:ascii="仿宋_GB2312" w:hAnsi="Times New Roman" w:eastAsia="仿宋_GB2312"/>
                <w:color w:val="auto"/>
                <w:sz w:val="24"/>
                <w:szCs w:val="24"/>
              </w:rPr>
              <w:t>无人机及航空器的标准化产品研发生产和销售。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5" w:type="dxa"/>
            <w:vAlign w:val="center"/>
          </w:tcPr>
          <w:p>
            <w:pPr>
              <w:adjustRightInd w:val="0"/>
              <w:snapToGrid w:val="0"/>
              <w:spacing w:line="440" w:lineRule="exact"/>
              <w:jc w:val="center"/>
              <w:rPr>
                <w:rFonts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szCs w:val="24"/>
              </w:rPr>
              <w:t>4</w:t>
            </w:r>
          </w:p>
        </w:tc>
        <w:tc>
          <w:tcPr>
            <w:tcW w:w="4609" w:type="dxa"/>
            <w:vAlign w:val="center"/>
          </w:tcPr>
          <w:p>
            <w:pPr>
              <w:adjustRightInd w:val="0"/>
              <w:snapToGrid w:val="0"/>
              <w:spacing w:line="440" w:lineRule="exact"/>
              <w:jc w:val="center"/>
              <w:rPr>
                <w:rFonts w:ascii="Times New Roman" w:hAnsi="Times New Roman" w:eastAsia="仿宋_GB2312" w:cs="Times New Roman"/>
                <w:color w:val="auto"/>
                <w:sz w:val="24"/>
              </w:rPr>
            </w:pPr>
            <w:r>
              <w:rPr>
                <w:rFonts w:hint="eastAsia" w:ascii="Times New Roman" w:hAnsi="Times New Roman" w:eastAsia="仿宋_GB2312" w:cs="Times New Roman"/>
                <w:color w:val="auto"/>
                <w:sz w:val="24"/>
              </w:rPr>
              <w:t>京实海泰（四川）智能科技有限公司</w:t>
            </w:r>
          </w:p>
        </w:tc>
        <w:tc>
          <w:tcPr>
            <w:tcW w:w="2304" w:type="dxa"/>
            <w:vAlign w:val="center"/>
          </w:tcPr>
          <w:p>
            <w:pPr>
              <w:adjustRightInd w:val="0"/>
              <w:snapToGrid w:val="0"/>
              <w:spacing w:line="440" w:lineRule="exact"/>
              <w:jc w:val="center"/>
              <w:rPr>
                <w:rFonts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szCs w:val="24"/>
              </w:rPr>
              <w:t>高新区</w:t>
            </w:r>
          </w:p>
        </w:tc>
        <w:tc>
          <w:tcPr>
            <w:tcW w:w="5143" w:type="dxa"/>
            <w:vAlign w:val="center"/>
          </w:tcPr>
          <w:p>
            <w:pPr>
              <w:tabs>
                <w:tab w:val="left" w:pos="886"/>
              </w:tabs>
              <w:adjustRightInd w:val="0"/>
              <w:snapToGrid w:val="0"/>
              <w:spacing w:line="440" w:lineRule="exact"/>
              <w:jc w:val="left"/>
              <w:rPr>
                <w:rFonts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rPr>
              <w:t>航空装备智能检测。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5" w:type="dxa"/>
            <w:vAlign w:val="center"/>
          </w:tcPr>
          <w:p>
            <w:pPr>
              <w:adjustRightInd w:val="0"/>
              <w:snapToGrid w:val="0"/>
              <w:spacing w:line="440" w:lineRule="exact"/>
              <w:jc w:val="center"/>
              <w:rPr>
                <w:rFonts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szCs w:val="24"/>
              </w:rPr>
              <w:t>5</w:t>
            </w:r>
          </w:p>
        </w:tc>
        <w:tc>
          <w:tcPr>
            <w:tcW w:w="4609" w:type="dxa"/>
            <w:vAlign w:val="center"/>
          </w:tcPr>
          <w:p>
            <w:pPr>
              <w:adjustRightInd w:val="0"/>
              <w:snapToGrid w:val="0"/>
              <w:spacing w:line="440" w:lineRule="exact"/>
              <w:jc w:val="center"/>
              <w:rPr>
                <w:rFonts w:ascii="Times New Roman" w:hAnsi="Times New Roman" w:eastAsia="仿宋_GB2312" w:cs="Times New Roman"/>
                <w:color w:val="auto"/>
                <w:sz w:val="24"/>
              </w:rPr>
            </w:pPr>
            <w:r>
              <w:rPr>
                <w:rFonts w:hint="eastAsia" w:ascii="Times New Roman" w:hAnsi="Times New Roman" w:eastAsia="仿宋_GB2312" w:cs="Times New Roman"/>
                <w:color w:val="auto"/>
                <w:sz w:val="24"/>
              </w:rPr>
              <w:t>乾鸿微（四川）电子有限公司</w:t>
            </w:r>
          </w:p>
        </w:tc>
        <w:tc>
          <w:tcPr>
            <w:tcW w:w="2304" w:type="dxa"/>
            <w:vAlign w:val="center"/>
          </w:tcPr>
          <w:p>
            <w:pPr>
              <w:adjustRightInd w:val="0"/>
              <w:snapToGrid w:val="0"/>
              <w:spacing w:line="440" w:lineRule="exact"/>
              <w:jc w:val="center"/>
              <w:rPr>
                <w:rFonts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szCs w:val="24"/>
              </w:rPr>
              <w:t>高新区</w:t>
            </w:r>
          </w:p>
        </w:tc>
        <w:tc>
          <w:tcPr>
            <w:tcW w:w="5143" w:type="dxa"/>
            <w:vAlign w:val="center"/>
          </w:tcPr>
          <w:p>
            <w:pPr>
              <w:tabs>
                <w:tab w:val="left" w:pos="886"/>
              </w:tabs>
              <w:adjustRightInd w:val="0"/>
              <w:snapToGrid w:val="0"/>
              <w:spacing w:line="440" w:lineRule="exact"/>
              <w:jc w:val="left"/>
              <w:rPr>
                <w:rFonts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rPr>
              <w:t>无人机发射平台。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15" w:type="dxa"/>
            <w:vAlign w:val="center"/>
          </w:tcPr>
          <w:p>
            <w:pPr>
              <w:adjustRightInd w:val="0"/>
              <w:snapToGrid w:val="0"/>
              <w:spacing w:line="440" w:lineRule="exact"/>
              <w:jc w:val="center"/>
              <w:rPr>
                <w:rFonts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szCs w:val="24"/>
              </w:rPr>
              <w:t>6</w:t>
            </w:r>
          </w:p>
        </w:tc>
        <w:tc>
          <w:tcPr>
            <w:tcW w:w="4609" w:type="dxa"/>
            <w:vAlign w:val="center"/>
          </w:tcPr>
          <w:p>
            <w:pPr>
              <w:adjustRightInd w:val="0"/>
              <w:snapToGrid w:val="0"/>
              <w:spacing w:line="440" w:lineRule="exact"/>
              <w:jc w:val="center"/>
              <w:rPr>
                <w:rFonts w:ascii="Times New Roman" w:hAnsi="Times New Roman" w:eastAsia="仿宋_GB2312" w:cs="Times New Roman"/>
                <w:color w:val="auto"/>
                <w:sz w:val="24"/>
              </w:rPr>
            </w:pPr>
            <w:r>
              <w:rPr>
                <w:rFonts w:hint="eastAsia" w:ascii="Times New Roman" w:hAnsi="Times New Roman" w:eastAsia="仿宋_GB2312" w:cs="Times New Roman"/>
                <w:color w:val="auto"/>
                <w:sz w:val="24"/>
              </w:rPr>
              <w:t>南京经纬达汽车科技有限公司</w:t>
            </w:r>
          </w:p>
        </w:tc>
        <w:tc>
          <w:tcPr>
            <w:tcW w:w="2304" w:type="dxa"/>
            <w:vAlign w:val="center"/>
          </w:tcPr>
          <w:p>
            <w:pPr>
              <w:adjustRightInd w:val="0"/>
              <w:snapToGrid w:val="0"/>
              <w:spacing w:line="440" w:lineRule="exact"/>
              <w:jc w:val="center"/>
              <w:rPr>
                <w:rFonts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szCs w:val="24"/>
              </w:rPr>
              <w:t>高新区</w:t>
            </w:r>
          </w:p>
        </w:tc>
        <w:tc>
          <w:tcPr>
            <w:tcW w:w="5143" w:type="dxa"/>
            <w:vAlign w:val="center"/>
          </w:tcPr>
          <w:p>
            <w:pPr>
              <w:tabs>
                <w:tab w:val="left" w:pos="886"/>
              </w:tabs>
              <w:adjustRightInd w:val="0"/>
              <w:snapToGrid w:val="0"/>
              <w:spacing w:line="440" w:lineRule="exact"/>
              <w:jc w:val="left"/>
              <w:rPr>
                <w:rFonts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rPr>
              <w:t>芯片。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5" w:type="dxa"/>
            <w:vAlign w:val="center"/>
          </w:tcPr>
          <w:p>
            <w:pPr>
              <w:adjustRightInd w:val="0"/>
              <w:snapToGrid w:val="0"/>
              <w:spacing w:line="440" w:lineRule="exact"/>
              <w:jc w:val="center"/>
              <w:rPr>
                <w:rFonts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szCs w:val="24"/>
              </w:rPr>
              <w:t>7</w:t>
            </w:r>
          </w:p>
        </w:tc>
        <w:tc>
          <w:tcPr>
            <w:tcW w:w="460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40" w:lineRule="exact"/>
              <w:jc w:val="center"/>
              <w:rPr>
                <w:rFonts w:ascii="Times New Roman" w:hAnsi="Times New Roman" w:eastAsia="仿宋_GB2312" w:cs="Times New Roman"/>
                <w:color w:val="auto"/>
                <w:sz w:val="24"/>
              </w:rPr>
            </w:pPr>
            <w:r>
              <w:rPr>
                <w:rFonts w:hint="eastAsia" w:ascii="仿宋_GB2312" w:hAnsi="Times New Roman" w:eastAsia="仿宋_GB2312"/>
                <w:color w:val="auto"/>
                <w:sz w:val="24"/>
                <w:szCs w:val="24"/>
              </w:rPr>
              <w:t>乐山天穹动力科技有限公司</w:t>
            </w:r>
          </w:p>
        </w:tc>
        <w:tc>
          <w:tcPr>
            <w:tcW w:w="230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40" w:lineRule="exact"/>
              <w:jc w:val="center"/>
              <w:rPr>
                <w:rFonts w:ascii="Times New Roman" w:hAnsi="Times New Roman" w:eastAsia="仿宋_GB2312" w:cs="Times New Roman"/>
                <w:color w:val="auto"/>
                <w:sz w:val="24"/>
                <w:szCs w:val="24"/>
              </w:rPr>
            </w:pPr>
            <w:r>
              <w:rPr>
                <w:rFonts w:hint="eastAsia" w:ascii="仿宋_GB2312" w:hAnsi="Times New Roman" w:eastAsia="仿宋_GB2312"/>
                <w:color w:val="auto"/>
                <w:sz w:val="24"/>
                <w:szCs w:val="24"/>
              </w:rPr>
              <w:t>高新区</w:t>
            </w:r>
          </w:p>
        </w:tc>
        <w:tc>
          <w:tcPr>
            <w:tcW w:w="5143" w:type="dxa"/>
            <w:tcBorders>
              <w:top w:val="single" w:color="auto" w:sz="4" w:space="0"/>
              <w:left w:val="single" w:color="auto" w:sz="4" w:space="0"/>
              <w:bottom w:val="single" w:color="auto" w:sz="4" w:space="0"/>
              <w:right w:val="single" w:color="auto" w:sz="4" w:space="0"/>
            </w:tcBorders>
            <w:vAlign w:val="center"/>
          </w:tcPr>
          <w:p>
            <w:pPr>
              <w:tabs>
                <w:tab w:val="left" w:pos="886"/>
              </w:tabs>
              <w:adjustRightInd w:val="0"/>
              <w:snapToGrid w:val="0"/>
              <w:spacing w:line="440" w:lineRule="exact"/>
              <w:jc w:val="left"/>
              <w:rPr>
                <w:rFonts w:ascii="Times New Roman" w:hAnsi="Times New Roman" w:eastAsia="仿宋_GB2312" w:cs="Times New Roman"/>
                <w:color w:val="auto"/>
                <w:sz w:val="24"/>
                <w:szCs w:val="24"/>
              </w:rPr>
            </w:pPr>
            <w:r>
              <w:rPr>
                <w:rFonts w:hint="eastAsia" w:ascii="仿宋_GB2312" w:hAnsi="Times New Roman" w:eastAsia="仿宋_GB2312"/>
                <w:color w:val="auto"/>
                <w:sz w:val="24"/>
                <w:szCs w:val="24"/>
              </w:rPr>
              <w:t>无人机及航空器的产品研发生产和销售。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5" w:type="dxa"/>
            <w:vAlign w:val="center"/>
          </w:tcPr>
          <w:p>
            <w:pPr>
              <w:adjustRightInd w:val="0"/>
              <w:snapToGrid w:val="0"/>
              <w:spacing w:line="440" w:lineRule="exact"/>
              <w:jc w:val="center"/>
              <w:rPr>
                <w:rFonts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szCs w:val="24"/>
              </w:rPr>
              <w:t>8</w:t>
            </w:r>
          </w:p>
        </w:tc>
        <w:tc>
          <w:tcPr>
            <w:tcW w:w="460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40" w:lineRule="exact"/>
              <w:jc w:val="center"/>
              <w:rPr>
                <w:rFonts w:ascii="Times New Roman" w:hAnsi="Times New Roman" w:eastAsia="仿宋_GB2312" w:cs="Times New Roman"/>
                <w:color w:val="auto"/>
                <w:sz w:val="24"/>
              </w:rPr>
            </w:pPr>
            <w:r>
              <w:rPr>
                <w:rFonts w:hint="eastAsia" w:ascii="仿宋_GB2312" w:hAnsi="Times New Roman" w:eastAsia="仿宋_GB2312"/>
                <w:color w:val="auto"/>
                <w:sz w:val="24"/>
                <w:szCs w:val="24"/>
              </w:rPr>
              <w:t>四川霸王龙专用车制造有限公司</w:t>
            </w:r>
          </w:p>
        </w:tc>
        <w:tc>
          <w:tcPr>
            <w:tcW w:w="230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40" w:lineRule="exact"/>
              <w:jc w:val="center"/>
              <w:rPr>
                <w:rFonts w:ascii="Times New Roman" w:hAnsi="Times New Roman" w:eastAsia="仿宋_GB2312" w:cs="Times New Roman"/>
                <w:color w:val="auto"/>
                <w:sz w:val="24"/>
                <w:szCs w:val="24"/>
              </w:rPr>
            </w:pPr>
            <w:r>
              <w:rPr>
                <w:rFonts w:hint="eastAsia" w:ascii="仿宋_GB2312" w:hAnsi="Times New Roman" w:eastAsia="仿宋_GB2312"/>
                <w:color w:val="auto"/>
                <w:sz w:val="24"/>
                <w:szCs w:val="24"/>
              </w:rPr>
              <w:t>高新区</w:t>
            </w:r>
          </w:p>
        </w:tc>
        <w:tc>
          <w:tcPr>
            <w:tcW w:w="5143" w:type="dxa"/>
            <w:tcBorders>
              <w:top w:val="single" w:color="auto" w:sz="4" w:space="0"/>
              <w:left w:val="single" w:color="auto" w:sz="4" w:space="0"/>
              <w:bottom w:val="single" w:color="auto" w:sz="4" w:space="0"/>
              <w:right w:val="single" w:color="auto" w:sz="4" w:space="0"/>
            </w:tcBorders>
            <w:vAlign w:val="center"/>
          </w:tcPr>
          <w:p>
            <w:pPr>
              <w:tabs>
                <w:tab w:val="left" w:pos="886"/>
              </w:tabs>
              <w:adjustRightInd w:val="0"/>
              <w:snapToGrid w:val="0"/>
              <w:spacing w:line="440" w:lineRule="exact"/>
              <w:jc w:val="left"/>
              <w:rPr>
                <w:rFonts w:ascii="Times New Roman" w:hAnsi="Times New Roman" w:eastAsia="仿宋_GB2312" w:cs="Times New Roman"/>
                <w:color w:val="auto"/>
                <w:sz w:val="24"/>
                <w:szCs w:val="24"/>
              </w:rPr>
            </w:pPr>
            <w:r>
              <w:rPr>
                <w:rFonts w:hint="eastAsia" w:ascii="仿宋_GB2312" w:hAnsi="Times New Roman" w:eastAsia="仿宋_GB2312"/>
                <w:color w:val="auto"/>
                <w:sz w:val="24"/>
                <w:szCs w:val="24"/>
              </w:rPr>
              <w:t>飞行器结构件。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5" w:type="dxa"/>
            <w:vAlign w:val="center"/>
          </w:tcPr>
          <w:p>
            <w:pPr>
              <w:adjustRightInd w:val="0"/>
              <w:snapToGrid w:val="0"/>
              <w:spacing w:line="440" w:lineRule="exact"/>
              <w:jc w:val="center"/>
              <w:rPr>
                <w:rFonts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szCs w:val="24"/>
              </w:rPr>
              <w:t>9</w:t>
            </w:r>
          </w:p>
        </w:tc>
        <w:tc>
          <w:tcPr>
            <w:tcW w:w="4609" w:type="dxa"/>
            <w:vAlign w:val="center"/>
          </w:tcPr>
          <w:p>
            <w:pPr>
              <w:adjustRightInd w:val="0"/>
              <w:snapToGrid w:val="0"/>
              <w:spacing w:line="440" w:lineRule="exact"/>
              <w:jc w:val="center"/>
              <w:rPr>
                <w:rFonts w:ascii="Times New Roman" w:hAnsi="Times New Roman" w:eastAsia="仿宋_GB2312" w:cs="Times New Roman"/>
                <w:color w:val="auto"/>
                <w:sz w:val="24"/>
              </w:rPr>
            </w:pPr>
            <w:r>
              <w:rPr>
                <w:rFonts w:hint="eastAsia" w:ascii="Times New Roman" w:hAnsi="Times New Roman" w:eastAsia="仿宋_GB2312" w:cs="Times New Roman"/>
                <w:color w:val="auto"/>
                <w:sz w:val="24"/>
              </w:rPr>
              <w:t>四川北都电子有限公司</w:t>
            </w:r>
          </w:p>
        </w:tc>
        <w:tc>
          <w:tcPr>
            <w:tcW w:w="2304" w:type="dxa"/>
            <w:vAlign w:val="center"/>
          </w:tcPr>
          <w:p>
            <w:pPr>
              <w:adjustRightInd w:val="0"/>
              <w:snapToGrid w:val="0"/>
              <w:spacing w:line="440" w:lineRule="exact"/>
              <w:jc w:val="center"/>
              <w:rPr>
                <w:rFonts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szCs w:val="24"/>
              </w:rPr>
              <w:t>高新区</w:t>
            </w:r>
          </w:p>
        </w:tc>
        <w:tc>
          <w:tcPr>
            <w:tcW w:w="5143" w:type="dxa"/>
            <w:vAlign w:val="center"/>
          </w:tcPr>
          <w:p>
            <w:pPr>
              <w:tabs>
                <w:tab w:val="left" w:pos="886"/>
              </w:tabs>
              <w:adjustRightInd w:val="0"/>
              <w:snapToGrid w:val="0"/>
              <w:spacing w:line="440" w:lineRule="exact"/>
              <w:jc w:val="left"/>
              <w:rPr>
                <w:rFonts w:ascii="Times New Roman" w:hAnsi="Times New Roman" w:eastAsia="仿宋_GB2312" w:cs="Times New Roman"/>
                <w:color w:val="auto"/>
                <w:sz w:val="24"/>
              </w:rPr>
            </w:pPr>
            <w:r>
              <w:rPr>
                <w:rFonts w:hint="eastAsia" w:ascii="Times New Roman" w:hAnsi="Times New Roman" w:eastAsia="仿宋_GB2312" w:cs="Times New Roman"/>
                <w:color w:val="auto"/>
                <w:sz w:val="24"/>
              </w:rPr>
              <w:t>极细同轴线束、航空头线束等，广泛用于航空器、无人机设备的信号和电力传输。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15" w:type="dxa"/>
            <w:vAlign w:val="center"/>
          </w:tcPr>
          <w:p>
            <w:pPr>
              <w:adjustRightInd w:val="0"/>
              <w:snapToGrid w:val="0"/>
              <w:spacing w:line="440" w:lineRule="exact"/>
              <w:jc w:val="center"/>
              <w:rPr>
                <w:rFonts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szCs w:val="24"/>
              </w:rPr>
              <w:t>10</w:t>
            </w:r>
          </w:p>
        </w:tc>
        <w:tc>
          <w:tcPr>
            <w:tcW w:w="4609" w:type="dxa"/>
            <w:vAlign w:val="center"/>
          </w:tcPr>
          <w:p>
            <w:pPr>
              <w:adjustRightInd w:val="0"/>
              <w:snapToGrid w:val="0"/>
              <w:spacing w:line="440" w:lineRule="exact"/>
              <w:jc w:val="center"/>
              <w:rPr>
                <w:rFonts w:ascii="Times New Roman" w:hAnsi="Times New Roman" w:eastAsia="仿宋_GB2312" w:cs="Times New Roman"/>
                <w:color w:val="auto"/>
                <w:sz w:val="24"/>
              </w:rPr>
            </w:pPr>
            <w:r>
              <w:rPr>
                <w:rFonts w:hint="eastAsia" w:ascii="Times New Roman" w:hAnsi="Times New Roman" w:eastAsia="仿宋_GB2312" w:cs="Times New Roman"/>
                <w:color w:val="auto"/>
                <w:sz w:val="24"/>
              </w:rPr>
              <w:t>乐山环睿电子科技有限公司</w:t>
            </w:r>
          </w:p>
        </w:tc>
        <w:tc>
          <w:tcPr>
            <w:tcW w:w="2304" w:type="dxa"/>
            <w:vAlign w:val="center"/>
          </w:tcPr>
          <w:p>
            <w:pPr>
              <w:adjustRightInd w:val="0"/>
              <w:snapToGrid w:val="0"/>
              <w:spacing w:line="440" w:lineRule="exact"/>
              <w:jc w:val="center"/>
              <w:rPr>
                <w:rFonts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szCs w:val="24"/>
              </w:rPr>
              <w:t>高新区</w:t>
            </w:r>
          </w:p>
        </w:tc>
        <w:tc>
          <w:tcPr>
            <w:tcW w:w="5143" w:type="dxa"/>
            <w:vAlign w:val="center"/>
          </w:tcPr>
          <w:p>
            <w:pPr>
              <w:tabs>
                <w:tab w:val="left" w:pos="886"/>
              </w:tabs>
              <w:adjustRightInd w:val="0"/>
              <w:snapToGrid w:val="0"/>
              <w:spacing w:line="440" w:lineRule="exact"/>
              <w:jc w:val="left"/>
              <w:rPr>
                <w:rFonts w:ascii="Times New Roman" w:hAnsi="Times New Roman" w:eastAsia="仿宋_GB2312" w:cs="Times New Roman"/>
                <w:color w:val="auto"/>
                <w:sz w:val="24"/>
              </w:rPr>
            </w:pPr>
            <w:r>
              <w:rPr>
                <w:rFonts w:hint="eastAsia" w:ascii="Times New Roman" w:hAnsi="Times New Roman" w:eastAsia="仿宋_GB2312" w:cs="Times New Roman"/>
                <w:color w:val="auto"/>
                <w:sz w:val="24"/>
              </w:rPr>
              <w:t>极细同轴线束、航空头线束等，广泛用于航空器、无人机设备的信号和电力传输。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5" w:type="dxa"/>
            <w:vAlign w:val="center"/>
          </w:tcPr>
          <w:p>
            <w:pPr>
              <w:adjustRightInd w:val="0"/>
              <w:snapToGrid w:val="0"/>
              <w:spacing w:line="440" w:lineRule="exact"/>
              <w:jc w:val="center"/>
              <w:rPr>
                <w:rFonts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szCs w:val="24"/>
              </w:rPr>
              <w:t>11</w:t>
            </w:r>
          </w:p>
        </w:tc>
        <w:tc>
          <w:tcPr>
            <w:tcW w:w="4609" w:type="dxa"/>
            <w:vAlign w:val="center"/>
          </w:tcPr>
          <w:p>
            <w:pPr>
              <w:adjustRightInd w:val="0"/>
              <w:snapToGrid w:val="0"/>
              <w:spacing w:line="440" w:lineRule="exact"/>
              <w:jc w:val="center"/>
              <w:rPr>
                <w:rFonts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rPr>
              <w:t>四川兴宇航科技有限公司</w:t>
            </w:r>
          </w:p>
        </w:tc>
        <w:tc>
          <w:tcPr>
            <w:tcW w:w="2304" w:type="dxa"/>
            <w:vAlign w:val="center"/>
          </w:tcPr>
          <w:p>
            <w:pPr>
              <w:adjustRightInd w:val="0"/>
              <w:snapToGrid w:val="0"/>
              <w:spacing w:line="440" w:lineRule="exact"/>
              <w:jc w:val="center"/>
              <w:rPr>
                <w:rFonts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szCs w:val="24"/>
              </w:rPr>
              <w:t>夹江县</w:t>
            </w:r>
          </w:p>
        </w:tc>
        <w:tc>
          <w:tcPr>
            <w:tcW w:w="5143" w:type="dxa"/>
            <w:vAlign w:val="center"/>
          </w:tcPr>
          <w:p>
            <w:pPr>
              <w:adjustRightInd w:val="0"/>
              <w:snapToGrid w:val="0"/>
              <w:spacing w:line="440" w:lineRule="exact"/>
              <w:jc w:val="left"/>
              <w:rPr>
                <w:rFonts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rPr>
              <w:t>碳纤维机身及无人机制造。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5" w:type="dxa"/>
            <w:vAlign w:val="center"/>
          </w:tcPr>
          <w:p>
            <w:pPr>
              <w:adjustRightInd w:val="0"/>
              <w:snapToGrid w:val="0"/>
              <w:spacing w:line="440" w:lineRule="exact"/>
              <w:jc w:val="center"/>
              <w:rPr>
                <w:rFonts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szCs w:val="24"/>
              </w:rPr>
              <w:t>12</w:t>
            </w:r>
          </w:p>
        </w:tc>
        <w:tc>
          <w:tcPr>
            <w:tcW w:w="4609" w:type="dxa"/>
            <w:vAlign w:val="center"/>
          </w:tcPr>
          <w:p>
            <w:pPr>
              <w:adjustRightInd w:val="0"/>
              <w:snapToGrid w:val="0"/>
              <w:spacing w:line="440" w:lineRule="exact"/>
              <w:jc w:val="center"/>
              <w:rPr>
                <w:rFonts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szCs w:val="24"/>
              </w:rPr>
              <w:t>四川省新万兴碳纤维复合材料有限公司</w:t>
            </w:r>
          </w:p>
        </w:tc>
        <w:tc>
          <w:tcPr>
            <w:tcW w:w="2304" w:type="dxa"/>
            <w:vAlign w:val="center"/>
          </w:tcPr>
          <w:p>
            <w:pPr>
              <w:adjustRightInd w:val="0"/>
              <w:snapToGrid w:val="0"/>
              <w:spacing w:line="440" w:lineRule="exact"/>
              <w:jc w:val="center"/>
              <w:rPr>
                <w:rFonts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szCs w:val="24"/>
              </w:rPr>
              <w:t>夹江县</w:t>
            </w:r>
          </w:p>
        </w:tc>
        <w:tc>
          <w:tcPr>
            <w:tcW w:w="5143" w:type="dxa"/>
            <w:vAlign w:val="center"/>
          </w:tcPr>
          <w:p>
            <w:pPr>
              <w:adjustRightInd w:val="0"/>
              <w:snapToGrid w:val="0"/>
              <w:spacing w:line="440" w:lineRule="exact"/>
              <w:jc w:val="left"/>
              <w:rPr>
                <w:rFonts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rPr>
              <w:t>碳纤维机身及无人机制造。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5" w:type="dxa"/>
            <w:vAlign w:val="center"/>
          </w:tcPr>
          <w:p>
            <w:pPr>
              <w:adjustRightInd w:val="0"/>
              <w:snapToGrid w:val="0"/>
              <w:spacing w:line="440" w:lineRule="exact"/>
              <w:jc w:val="center"/>
              <w:rPr>
                <w:rFonts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szCs w:val="24"/>
              </w:rPr>
              <w:t>13</w:t>
            </w:r>
          </w:p>
        </w:tc>
        <w:tc>
          <w:tcPr>
            <w:tcW w:w="4609" w:type="dxa"/>
            <w:vAlign w:val="center"/>
          </w:tcPr>
          <w:p>
            <w:pPr>
              <w:adjustRightInd w:val="0"/>
              <w:snapToGrid w:val="0"/>
              <w:spacing w:line="440" w:lineRule="exact"/>
              <w:jc w:val="center"/>
              <w:rPr>
                <w:rFonts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szCs w:val="24"/>
              </w:rPr>
              <w:t>东方电气(乐山）峨半高纯材料有限公司</w:t>
            </w:r>
          </w:p>
        </w:tc>
        <w:tc>
          <w:tcPr>
            <w:tcW w:w="2304" w:type="dxa"/>
            <w:vAlign w:val="center"/>
          </w:tcPr>
          <w:p>
            <w:pPr>
              <w:adjustRightInd w:val="0"/>
              <w:snapToGrid w:val="0"/>
              <w:spacing w:line="440" w:lineRule="exact"/>
              <w:jc w:val="center"/>
              <w:rPr>
                <w:rFonts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szCs w:val="24"/>
              </w:rPr>
              <w:t>夹江县</w:t>
            </w:r>
          </w:p>
        </w:tc>
        <w:tc>
          <w:tcPr>
            <w:tcW w:w="5143" w:type="dxa"/>
            <w:vAlign w:val="center"/>
          </w:tcPr>
          <w:p>
            <w:pPr>
              <w:adjustRightInd w:val="0"/>
              <w:snapToGrid w:val="0"/>
              <w:spacing w:line="440" w:lineRule="exact"/>
              <w:jc w:val="left"/>
              <w:rPr>
                <w:rFonts w:ascii="Times New Roman" w:hAnsi="Times New Roman" w:eastAsia="仿宋_GB2312" w:cs="Times New Roman"/>
                <w:color w:val="auto"/>
                <w:sz w:val="24"/>
              </w:rPr>
            </w:pPr>
            <w:r>
              <w:rPr>
                <w:rFonts w:hint="eastAsia" w:ascii="Times New Roman" w:hAnsi="Times New Roman" w:eastAsia="仿宋_GB2312" w:cs="Times New Roman"/>
                <w:color w:val="auto"/>
                <w:sz w:val="24"/>
              </w:rPr>
              <w:t>高纯金属及化合物、半导体材料，广泛应用于探测、航天、装备、半导体材料等行业。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15" w:type="dxa"/>
            <w:vAlign w:val="center"/>
          </w:tcPr>
          <w:p>
            <w:pPr>
              <w:adjustRightInd w:val="0"/>
              <w:snapToGrid w:val="0"/>
              <w:spacing w:line="440" w:lineRule="exact"/>
              <w:jc w:val="center"/>
              <w:rPr>
                <w:rFonts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szCs w:val="24"/>
              </w:rPr>
              <w:t>14</w:t>
            </w:r>
          </w:p>
        </w:tc>
        <w:tc>
          <w:tcPr>
            <w:tcW w:w="4609" w:type="dxa"/>
            <w:vAlign w:val="center"/>
          </w:tcPr>
          <w:p>
            <w:pPr>
              <w:adjustRightInd w:val="0"/>
              <w:snapToGrid w:val="0"/>
              <w:spacing w:line="440" w:lineRule="exact"/>
              <w:jc w:val="center"/>
              <w:rPr>
                <w:rFonts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rPr>
              <w:t>四川动思新材料科技有限公司</w:t>
            </w:r>
          </w:p>
        </w:tc>
        <w:tc>
          <w:tcPr>
            <w:tcW w:w="2304" w:type="dxa"/>
            <w:vAlign w:val="center"/>
          </w:tcPr>
          <w:p>
            <w:pPr>
              <w:adjustRightInd w:val="0"/>
              <w:snapToGrid w:val="0"/>
              <w:spacing w:line="440" w:lineRule="exact"/>
              <w:jc w:val="center"/>
              <w:rPr>
                <w:rFonts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szCs w:val="24"/>
              </w:rPr>
              <w:t>沙湾区</w:t>
            </w:r>
          </w:p>
        </w:tc>
        <w:tc>
          <w:tcPr>
            <w:tcW w:w="5143" w:type="dxa"/>
            <w:vAlign w:val="center"/>
          </w:tcPr>
          <w:p>
            <w:pPr>
              <w:adjustRightInd w:val="0"/>
              <w:snapToGrid w:val="0"/>
              <w:spacing w:line="440" w:lineRule="exact"/>
              <w:jc w:val="left"/>
              <w:rPr>
                <w:rFonts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szCs w:val="24"/>
              </w:rPr>
              <w:t>超高温热防材料、高性能纤维及复合材料生产、深冷特种保温材料，主要运用于航空航天、低空海洋等高精尖领域，已具备无人机组装能力。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5" w:type="dxa"/>
            <w:vAlign w:val="center"/>
          </w:tcPr>
          <w:p>
            <w:pPr>
              <w:adjustRightInd w:val="0"/>
              <w:snapToGrid w:val="0"/>
              <w:spacing w:line="440" w:lineRule="exact"/>
              <w:jc w:val="center"/>
              <w:rPr>
                <w:rFonts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szCs w:val="24"/>
              </w:rPr>
              <w:t>15</w:t>
            </w:r>
          </w:p>
        </w:tc>
        <w:tc>
          <w:tcPr>
            <w:tcW w:w="4609" w:type="dxa"/>
            <w:vAlign w:val="center"/>
          </w:tcPr>
          <w:p>
            <w:pPr>
              <w:adjustRightInd w:val="0"/>
              <w:snapToGrid w:val="0"/>
              <w:spacing w:line="440" w:lineRule="exact"/>
              <w:jc w:val="center"/>
              <w:rPr>
                <w:rFonts w:ascii="Times New Roman" w:hAnsi="Times New Roman" w:eastAsia="仿宋_GB2312" w:cs="Times New Roman"/>
                <w:color w:val="auto"/>
                <w:sz w:val="24"/>
              </w:rPr>
            </w:pPr>
            <w:r>
              <w:rPr>
                <w:rFonts w:hint="eastAsia" w:ascii="Times New Roman" w:hAnsi="Times New Roman" w:eastAsia="仿宋_GB2312" w:cs="Times New Roman"/>
                <w:color w:val="auto"/>
                <w:sz w:val="24"/>
              </w:rPr>
              <w:t>四川沃耐稀新材料科技有限公司</w:t>
            </w:r>
          </w:p>
        </w:tc>
        <w:tc>
          <w:tcPr>
            <w:tcW w:w="2304" w:type="dxa"/>
            <w:vAlign w:val="center"/>
          </w:tcPr>
          <w:p>
            <w:pPr>
              <w:adjustRightInd w:val="0"/>
              <w:snapToGrid w:val="0"/>
              <w:spacing w:line="440" w:lineRule="exact"/>
              <w:jc w:val="center"/>
              <w:rPr>
                <w:rFonts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szCs w:val="24"/>
              </w:rPr>
              <w:t>沙湾区</w:t>
            </w:r>
          </w:p>
        </w:tc>
        <w:tc>
          <w:tcPr>
            <w:tcW w:w="5143" w:type="dxa"/>
            <w:vAlign w:val="center"/>
          </w:tcPr>
          <w:p>
            <w:pPr>
              <w:adjustRightInd w:val="0"/>
              <w:snapToGrid w:val="0"/>
              <w:spacing w:line="440" w:lineRule="exact"/>
              <w:jc w:val="left"/>
              <w:rPr>
                <w:rFonts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szCs w:val="24"/>
              </w:rPr>
              <w:t>稀土新材料，可运用在航天耐高温材料领域。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5" w:type="dxa"/>
            <w:vAlign w:val="center"/>
          </w:tcPr>
          <w:p>
            <w:pPr>
              <w:adjustRightInd w:val="0"/>
              <w:snapToGrid w:val="0"/>
              <w:spacing w:line="440" w:lineRule="exact"/>
              <w:jc w:val="center"/>
              <w:rPr>
                <w:rFonts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szCs w:val="24"/>
              </w:rPr>
              <w:t>16</w:t>
            </w:r>
          </w:p>
        </w:tc>
        <w:tc>
          <w:tcPr>
            <w:tcW w:w="4609" w:type="dxa"/>
            <w:vAlign w:val="center"/>
          </w:tcPr>
          <w:p>
            <w:pPr>
              <w:adjustRightInd w:val="0"/>
              <w:snapToGrid w:val="0"/>
              <w:spacing w:line="440" w:lineRule="exact"/>
              <w:jc w:val="center"/>
              <w:rPr>
                <w:rFonts w:ascii="Times New Roman" w:hAnsi="Times New Roman" w:eastAsia="仿宋_GB2312" w:cs="Times New Roman"/>
                <w:color w:val="auto"/>
                <w:sz w:val="24"/>
              </w:rPr>
            </w:pPr>
            <w:r>
              <w:rPr>
                <w:rFonts w:hint="eastAsia" w:ascii="Times New Roman" w:hAnsi="Times New Roman" w:eastAsia="仿宋_GB2312" w:cs="Times New Roman"/>
                <w:color w:val="auto"/>
                <w:sz w:val="24"/>
              </w:rPr>
              <w:t>四川晶鼎科技有限公司</w:t>
            </w:r>
          </w:p>
        </w:tc>
        <w:tc>
          <w:tcPr>
            <w:tcW w:w="2304" w:type="dxa"/>
            <w:vAlign w:val="center"/>
          </w:tcPr>
          <w:p>
            <w:pPr>
              <w:adjustRightInd w:val="0"/>
              <w:snapToGrid w:val="0"/>
              <w:spacing w:line="440" w:lineRule="exact"/>
              <w:jc w:val="center"/>
              <w:rPr>
                <w:rFonts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szCs w:val="24"/>
              </w:rPr>
              <w:t>沙湾区</w:t>
            </w:r>
          </w:p>
        </w:tc>
        <w:tc>
          <w:tcPr>
            <w:tcW w:w="5143" w:type="dxa"/>
            <w:vAlign w:val="center"/>
          </w:tcPr>
          <w:p>
            <w:pPr>
              <w:adjustRightInd w:val="0"/>
              <w:snapToGrid w:val="0"/>
              <w:spacing w:line="440" w:lineRule="exact"/>
              <w:jc w:val="left"/>
              <w:rPr>
                <w:rFonts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szCs w:val="24"/>
              </w:rPr>
              <w:t>电子级高纯、超高纯半导体材料，可运用于低空航空器芯片、新能源电池等领域。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5" w:type="dxa"/>
            <w:vAlign w:val="center"/>
          </w:tcPr>
          <w:p>
            <w:pPr>
              <w:adjustRightInd w:val="0"/>
              <w:snapToGrid w:val="0"/>
              <w:spacing w:line="440" w:lineRule="exact"/>
              <w:jc w:val="center"/>
              <w:rPr>
                <w:rFonts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szCs w:val="24"/>
              </w:rPr>
              <w:t>17</w:t>
            </w:r>
          </w:p>
        </w:tc>
        <w:tc>
          <w:tcPr>
            <w:tcW w:w="4609" w:type="dxa"/>
            <w:vAlign w:val="center"/>
          </w:tcPr>
          <w:p>
            <w:pPr>
              <w:adjustRightInd w:val="0"/>
              <w:snapToGrid w:val="0"/>
              <w:spacing w:line="440" w:lineRule="exact"/>
              <w:jc w:val="center"/>
              <w:rPr>
                <w:rFonts w:ascii="Times New Roman" w:hAnsi="Times New Roman" w:eastAsia="仿宋_GB2312" w:cs="Times New Roman"/>
                <w:color w:val="auto"/>
                <w:sz w:val="24"/>
              </w:rPr>
            </w:pPr>
            <w:r>
              <w:rPr>
                <w:rFonts w:hint="eastAsia" w:ascii="Times New Roman" w:hAnsi="Times New Roman" w:eastAsia="仿宋_GB2312" w:cs="Times New Roman"/>
                <w:color w:val="auto"/>
                <w:sz w:val="24"/>
              </w:rPr>
              <w:t>乐山达启未来科技有限公司</w:t>
            </w:r>
          </w:p>
        </w:tc>
        <w:tc>
          <w:tcPr>
            <w:tcW w:w="2304" w:type="dxa"/>
            <w:vAlign w:val="center"/>
          </w:tcPr>
          <w:p>
            <w:pPr>
              <w:adjustRightInd w:val="0"/>
              <w:snapToGrid w:val="0"/>
              <w:spacing w:line="440" w:lineRule="exact"/>
              <w:jc w:val="center"/>
              <w:rPr>
                <w:rFonts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szCs w:val="24"/>
              </w:rPr>
              <w:t>犍为县</w:t>
            </w:r>
          </w:p>
        </w:tc>
        <w:tc>
          <w:tcPr>
            <w:tcW w:w="5143" w:type="dxa"/>
            <w:vAlign w:val="center"/>
          </w:tcPr>
          <w:p>
            <w:pPr>
              <w:adjustRightInd w:val="0"/>
              <w:snapToGrid w:val="0"/>
              <w:spacing w:line="440" w:lineRule="exact"/>
              <w:jc w:val="left"/>
              <w:rPr>
                <w:rFonts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szCs w:val="24"/>
              </w:rPr>
              <w:t>表演、航拍类小型无人机。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15" w:type="dxa"/>
            <w:vAlign w:val="center"/>
          </w:tcPr>
          <w:p>
            <w:pPr>
              <w:adjustRightInd w:val="0"/>
              <w:snapToGrid w:val="0"/>
              <w:spacing w:line="440" w:lineRule="exact"/>
              <w:jc w:val="center"/>
              <w:rPr>
                <w:rFonts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szCs w:val="24"/>
              </w:rPr>
              <w:t>187</w:t>
            </w:r>
          </w:p>
        </w:tc>
        <w:tc>
          <w:tcPr>
            <w:tcW w:w="4609" w:type="dxa"/>
            <w:vAlign w:val="center"/>
          </w:tcPr>
          <w:p>
            <w:pPr>
              <w:adjustRightInd w:val="0"/>
              <w:snapToGrid w:val="0"/>
              <w:spacing w:line="440" w:lineRule="exact"/>
              <w:jc w:val="center"/>
              <w:rPr>
                <w:rFonts w:ascii="Times New Roman" w:hAnsi="Times New Roman" w:eastAsia="仿宋_GB2312" w:cs="Times New Roman"/>
                <w:color w:val="auto"/>
                <w:sz w:val="24"/>
              </w:rPr>
            </w:pPr>
            <w:r>
              <w:rPr>
                <w:rFonts w:hint="eastAsia" w:ascii="Times New Roman" w:hAnsi="Times New Roman" w:eastAsia="仿宋_GB2312" w:cs="Times New Roman"/>
                <w:color w:val="auto"/>
                <w:sz w:val="24"/>
              </w:rPr>
              <w:t>经纬达智能科技（犍为）有限公司</w:t>
            </w:r>
          </w:p>
        </w:tc>
        <w:tc>
          <w:tcPr>
            <w:tcW w:w="2304" w:type="dxa"/>
            <w:vAlign w:val="center"/>
          </w:tcPr>
          <w:p>
            <w:pPr>
              <w:adjustRightInd w:val="0"/>
              <w:snapToGrid w:val="0"/>
              <w:spacing w:line="440" w:lineRule="exact"/>
              <w:jc w:val="center"/>
              <w:rPr>
                <w:rFonts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szCs w:val="24"/>
              </w:rPr>
              <w:t>犍为县</w:t>
            </w:r>
          </w:p>
        </w:tc>
        <w:tc>
          <w:tcPr>
            <w:tcW w:w="5143" w:type="dxa"/>
            <w:vAlign w:val="center"/>
          </w:tcPr>
          <w:p>
            <w:pPr>
              <w:adjustRightInd w:val="0"/>
              <w:snapToGrid w:val="0"/>
              <w:spacing w:line="440" w:lineRule="exact"/>
              <w:jc w:val="left"/>
              <w:rPr>
                <w:rFonts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szCs w:val="24"/>
              </w:rPr>
              <w:t>无人机生产平台、发射车部件制造。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5" w:type="dxa"/>
            <w:vAlign w:val="center"/>
          </w:tcPr>
          <w:p>
            <w:pPr>
              <w:adjustRightInd w:val="0"/>
              <w:snapToGrid w:val="0"/>
              <w:spacing w:line="440" w:lineRule="exact"/>
              <w:jc w:val="center"/>
              <w:rPr>
                <w:rFonts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szCs w:val="24"/>
              </w:rPr>
              <w:t>19</w:t>
            </w:r>
          </w:p>
        </w:tc>
        <w:tc>
          <w:tcPr>
            <w:tcW w:w="4609" w:type="dxa"/>
            <w:vAlign w:val="center"/>
          </w:tcPr>
          <w:p>
            <w:pPr>
              <w:adjustRightInd w:val="0"/>
              <w:snapToGrid w:val="0"/>
              <w:spacing w:line="440" w:lineRule="exact"/>
              <w:jc w:val="center"/>
              <w:rPr>
                <w:rFonts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rPr>
              <w:t>峨眉山市中山新材料科技有限公司</w:t>
            </w:r>
          </w:p>
        </w:tc>
        <w:tc>
          <w:tcPr>
            <w:tcW w:w="2304" w:type="dxa"/>
            <w:vAlign w:val="center"/>
          </w:tcPr>
          <w:p>
            <w:pPr>
              <w:adjustRightInd w:val="0"/>
              <w:snapToGrid w:val="0"/>
              <w:spacing w:line="440" w:lineRule="exact"/>
              <w:jc w:val="center"/>
              <w:rPr>
                <w:rFonts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szCs w:val="24"/>
              </w:rPr>
              <w:t>峨眉山市</w:t>
            </w:r>
          </w:p>
        </w:tc>
        <w:tc>
          <w:tcPr>
            <w:tcW w:w="5143" w:type="dxa"/>
            <w:vAlign w:val="center"/>
          </w:tcPr>
          <w:p>
            <w:pPr>
              <w:adjustRightInd w:val="0"/>
              <w:snapToGrid w:val="0"/>
              <w:spacing w:line="440" w:lineRule="exact"/>
              <w:jc w:val="left"/>
              <w:rPr>
                <w:rFonts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szCs w:val="24"/>
              </w:rPr>
              <w:t>氧化铍、铍铜母合金、硅锰合金，可用于低空航空器发动机、陀螺仪、电刷、机身框架、机翼连接件、起落架等。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5" w:type="dxa"/>
            <w:vAlign w:val="center"/>
          </w:tcPr>
          <w:p>
            <w:pPr>
              <w:adjustRightInd w:val="0"/>
              <w:snapToGrid w:val="0"/>
              <w:spacing w:line="440" w:lineRule="exact"/>
              <w:jc w:val="center"/>
              <w:rPr>
                <w:rFonts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szCs w:val="24"/>
              </w:rPr>
              <w:t>20</w:t>
            </w:r>
          </w:p>
        </w:tc>
        <w:tc>
          <w:tcPr>
            <w:tcW w:w="4609" w:type="dxa"/>
            <w:vAlign w:val="center"/>
          </w:tcPr>
          <w:p>
            <w:pPr>
              <w:adjustRightInd w:val="0"/>
              <w:snapToGrid w:val="0"/>
              <w:spacing w:line="440" w:lineRule="exact"/>
              <w:jc w:val="center"/>
              <w:rPr>
                <w:rFonts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rPr>
              <w:t>峨眉山市</w:t>
            </w:r>
            <w:r>
              <w:rPr>
                <w:rFonts w:hint="eastAsia" w:ascii="Times New Roman" w:hAnsi="Times New Roman" w:eastAsia="仿宋_GB2312" w:cs="Times New Roman"/>
                <w:color w:val="auto"/>
                <w:sz w:val="24"/>
                <w:szCs w:val="24"/>
              </w:rPr>
              <w:t>欧尼光电科技有限公司</w:t>
            </w:r>
          </w:p>
        </w:tc>
        <w:tc>
          <w:tcPr>
            <w:tcW w:w="2304" w:type="dxa"/>
            <w:vAlign w:val="center"/>
          </w:tcPr>
          <w:p>
            <w:pPr>
              <w:adjustRightInd w:val="0"/>
              <w:snapToGrid w:val="0"/>
              <w:spacing w:line="440" w:lineRule="exact"/>
              <w:jc w:val="center"/>
              <w:rPr>
                <w:rFonts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szCs w:val="24"/>
              </w:rPr>
              <w:t>峨眉山市</w:t>
            </w:r>
          </w:p>
        </w:tc>
        <w:tc>
          <w:tcPr>
            <w:tcW w:w="5143" w:type="dxa"/>
            <w:vAlign w:val="center"/>
          </w:tcPr>
          <w:p>
            <w:pPr>
              <w:tabs>
                <w:tab w:val="left" w:pos="886"/>
              </w:tabs>
              <w:adjustRightInd w:val="0"/>
              <w:snapToGrid w:val="0"/>
              <w:spacing w:line="440" w:lineRule="exact"/>
              <w:jc w:val="left"/>
              <w:rPr>
                <w:rFonts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szCs w:val="24"/>
              </w:rPr>
              <w:t>军工级光学玻璃及元件主要用于夜视设备、激光测距仪、瞄准系统等领域，为大疆无人机镜头组件的间接供货企业。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5" w:type="dxa"/>
            <w:vAlign w:val="center"/>
          </w:tcPr>
          <w:p>
            <w:pPr>
              <w:adjustRightInd w:val="0"/>
              <w:snapToGrid w:val="0"/>
              <w:spacing w:line="440" w:lineRule="exact"/>
              <w:jc w:val="center"/>
              <w:rPr>
                <w:rFonts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szCs w:val="24"/>
              </w:rPr>
              <w:t>21</w:t>
            </w:r>
          </w:p>
        </w:tc>
        <w:tc>
          <w:tcPr>
            <w:tcW w:w="4609" w:type="dxa"/>
            <w:vAlign w:val="center"/>
          </w:tcPr>
          <w:p>
            <w:pPr>
              <w:adjustRightInd w:val="0"/>
              <w:snapToGrid w:val="0"/>
              <w:spacing w:line="440" w:lineRule="exact"/>
              <w:jc w:val="center"/>
              <w:rPr>
                <w:rFonts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szCs w:val="24"/>
              </w:rPr>
              <w:t>峨眉山市普兴电子有限公司</w:t>
            </w:r>
          </w:p>
        </w:tc>
        <w:tc>
          <w:tcPr>
            <w:tcW w:w="2304" w:type="dxa"/>
            <w:vAlign w:val="center"/>
          </w:tcPr>
          <w:p>
            <w:pPr>
              <w:adjustRightInd w:val="0"/>
              <w:snapToGrid w:val="0"/>
              <w:spacing w:line="440" w:lineRule="exact"/>
              <w:jc w:val="center"/>
              <w:rPr>
                <w:rFonts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szCs w:val="24"/>
              </w:rPr>
              <w:t>峨眉山市</w:t>
            </w:r>
          </w:p>
        </w:tc>
        <w:tc>
          <w:tcPr>
            <w:tcW w:w="5143" w:type="dxa"/>
            <w:vAlign w:val="center"/>
          </w:tcPr>
          <w:p>
            <w:pPr>
              <w:tabs>
                <w:tab w:val="left" w:pos="886"/>
              </w:tabs>
              <w:adjustRightInd w:val="0"/>
              <w:snapToGrid w:val="0"/>
              <w:spacing w:line="440" w:lineRule="exact"/>
              <w:jc w:val="left"/>
              <w:rPr>
                <w:rFonts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szCs w:val="24"/>
              </w:rPr>
              <w:t>滤波器等电子元器件，是低空航空器实现滤除信号干扰、高精度通信、实时数据传输、导航避障的重要组件。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0" w:hRule="atLeast"/>
          <w:jc w:val="center"/>
        </w:trPr>
        <w:tc>
          <w:tcPr>
            <w:tcW w:w="915" w:type="dxa"/>
            <w:vAlign w:val="center"/>
          </w:tcPr>
          <w:p>
            <w:pPr>
              <w:adjustRightInd w:val="0"/>
              <w:snapToGrid w:val="0"/>
              <w:spacing w:line="440" w:lineRule="exact"/>
              <w:jc w:val="center"/>
              <w:rPr>
                <w:rFonts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szCs w:val="24"/>
              </w:rPr>
              <w:t>22</w:t>
            </w:r>
          </w:p>
        </w:tc>
        <w:tc>
          <w:tcPr>
            <w:tcW w:w="4609" w:type="dxa"/>
            <w:vAlign w:val="center"/>
          </w:tcPr>
          <w:p>
            <w:pPr>
              <w:adjustRightInd w:val="0"/>
              <w:snapToGrid w:val="0"/>
              <w:spacing w:line="440" w:lineRule="exact"/>
              <w:jc w:val="center"/>
              <w:rPr>
                <w:rFonts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szCs w:val="24"/>
              </w:rPr>
              <w:t>峨眉山市鑫锐新材料有限公司</w:t>
            </w:r>
          </w:p>
        </w:tc>
        <w:tc>
          <w:tcPr>
            <w:tcW w:w="2304" w:type="dxa"/>
            <w:vAlign w:val="center"/>
          </w:tcPr>
          <w:p>
            <w:pPr>
              <w:adjustRightInd w:val="0"/>
              <w:snapToGrid w:val="0"/>
              <w:spacing w:line="440" w:lineRule="exact"/>
              <w:jc w:val="center"/>
              <w:rPr>
                <w:rFonts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szCs w:val="24"/>
              </w:rPr>
              <w:t>峨眉山市</w:t>
            </w:r>
          </w:p>
        </w:tc>
        <w:tc>
          <w:tcPr>
            <w:tcW w:w="5143" w:type="dxa"/>
            <w:vAlign w:val="center"/>
          </w:tcPr>
          <w:p>
            <w:pPr>
              <w:tabs>
                <w:tab w:val="left" w:pos="886"/>
              </w:tabs>
              <w:adjustRightInd w:val="0"/>
              <w:snapToGrid w:val="0"/>
              <w:spacing w:line="440" w:lineRule="exact"/>
              <w:jc w:val="left"/>
              <w:rPr>
                <w:rFonts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szCs w:val="24"/>
              </w:rPr>
              <w:t>空心碳化硅微珠，可掺合到多种金属基材料中，制造出超轻、超强、耐高温的金属复合材料，具有吸音、吸波、耐磨、抗冲击等优点，可广泛运用于航天、航空、航海等领域。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5" w:type="dxa"/>
            <w:vAlign w:val="center"/>
          </w:tcPr>
          <w:p>
            <w:pPr>
              <w:adjustRightInd w:val="0"/>
              <w:snapToGrid w:val="0"/>
              <w:spacing w:line="440" w:lineRule="exact"/>
              <w:jc w:val="center"/>
              <w:rPr>
                <w:rFonts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szCs w:val="24"/>
              </w:rPr>
              <w:t>23</w:t>
            </w:r>
          </w:p>
        </w:tc>
        <w:tc>
          <w:tcPr>
            <w:tcW w:w="4609" w:type="dxa"/>
            <w:vAlign w:val="center"/>
          </w:tcPr>
          <w:p>
            <w:pPr>
              <w:adjustRightInd w:val="0"/>
              <w:snapToGrid w:val="0"/>
              <w:spacing w:line="440" w:lineRule="exact"/>
              <w:jc w:val="center"/>
              <w:rPr>
                <w:rFonts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szCs w:val="24"/>
              </w:rPr>
              <w:t>川投峨眉铁合金（集团）有限责任公司</w:t>
            </w:r>
          </w:p>
        </w:tc>
        <w:tc>
          <w:tcPr>
            <w:tcW w:w="2304" w:type="dxa"/>
            <w:vAlign w:val="center"/>
          </w:tcPr>
          <w:p>
            <w:pPr>
              <w:adjustRightInd w:val="0"/>
              <w:snapToGrid w:val="0"/>
              <w:spacing w:line="440" w:lineRule="exact"/>
              <w:jc w:val="center"/>
              <w:rPr>
                <w:rFonts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szCs w:val="24"/>
              </w:rPr>
              <w:t>峨眉山市</w:t>
            </w:r>
          </w:p>
        </w:tc>
        <w:tc>
          <w:tcPr>
            <w:tcW w:w="5143" w:type="dxa"/>
            <w:vAlign w:val="center"/>
          </w:tcPr>
          <w:p>
            <w:pPr>
              <w:tabs>
                <w:tab w:val="left" w:pos="886"/>
              </w:tabs>
              <w:adjustRightInd w:val="0"/>
              <w:snapToGrid w:val="0"/>
              <w:spacing w:line="440" w:lineRule="exact"/>
              <w:jc w:val="left"/>
              <w:rPr>
                <w:rFonts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szCs w:val="24"/>
              </w:rPr>
              <w:t>硅锰合金，可用于低空航空器的机身框架、机翼连接件、起落架等核心结构部件。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5" w:type="dxa"/>
            <w:vAlign w:val="center"/>
          </w:tcPr>
          <w:p>
            <w:pPr>
              <w:adjustRightInd w:val="0"/>
              <w:snapToGrid w:val="0"/>
              <w:spacing w:line="440" w:lineRule="exact"/>
              <w:jc w:val="center"/>
              <w:rPr>
                <w:rFonts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szCs w:val="24"/>
              </w:rPr>
              <w:t>24</w:t>
            </w:r>
          </w:p>
        </w:tc>
        <w:tc>
          <w:tcPr>
            <w:tcW w:w="4609" w:type="dxa"/>
            <w:vAlign w:val="center"/>
          </w:tcPr>
          <w:p>
            <w:pPr>
              <w:adjustRightInd w:val="0"/>
              <w:snapToGrid w:val="0"/>
              <w:spacing w:line="440" w:lineRule="exact"/>
              <w:jc w:val="center"/>
              <w:rPr>
                <w:rFonts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szCs w:val="24"/>
              </w:rPr>
              <w:t>井研县荣大机械制造有限公司</w:t>
            </w:r>
          </w:p>
        </w:tc>
        <w:tc>
          <w:tcPr>
            <w:tcW w:w="2304" w:type="dxa"/>
            <w:vAlign w:val="center"/>
          </w:tcPr>
          <w:p>
            <w:pPr>
              <w:adjustRightInd w:val="0"/>
              <w:snapToGrid w:val="0"/>
              <w:spacing w:line="440" w:lineRule="exact"/>
              <w:jc w:val="center"/>
              <w:rPr>
                <w:rFonts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szCs w:val="24"/>
              </w:rPr>
              <w:t>井研县</w:t>
            </w:r>
          </w:p>
        </w:tc>
        <w:tc>
          <w:tcPr>
            <w:tcW w:w="5143" w:type="dxa"/>
            <w:vAlign w:val="center"/>
          </w:tcPr>
          <w:p>
            <w:pPr>
              <w:tabs>
                <w:tab w:val="left" w:pos="886"/>
              </w:tabs>
              <w:adjustRightInd w:val="0"/>
              <w:snapToGrid w:val="0"/>
              <w:spacing w:line="440" w:lineRule="exact"/>
              <w:jc w:val="left"/>
              <w:rPr>
                <w:rFonts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szCs w:val="24"/>
              </w:rPr>
              <w:t>研发、生产农机产品、钣金制品、铆焊件等。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5" w:type="dxa"/>
            <w:vAlign w:val="center"/>
          </w:tcPr>
          <w:p>
            <w:pPr>
              <w:adjustRightInd w:val="0"/>
              <w:snapToGrid w:val="0"/>
              <w:spacing w:line="440" w:lineRule="exact"/>
              <w:jc w:val="center"/>
              <w:rPr>
                <w:rFonts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szCs w:val="24"/>
              </w:rPr>
              <w:t>25</w:t>
            </w:r>
          </w:p>
        </w:tc>
        <w:tc>
          <w:tcPr>
            <w:tcW w:w="4609" w:type="dxa"/>
            <w:vAlign w:val="center"/>
          </w:tcPr>
          <w:p>
            <w:pPr>
              <w:adjustRightInd w:val="0"/>
              <w:snapToGrid w:val="0"/>
              <w:spacing w:line="440" w:lineRule="exact"/>
              <w:jc w:val="center"/>
              <w:rPr>
                <w:rFonts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szCs w:val="24"/>
              </w:rPr>
              <w:t>驭风云途</w:t>
            </w:r>
            <w:r>
              <w:rPr>
                <w:rFonts w:ascii="仿宋_GB2312" w:hAnsi="仿宋_GB2312" w:eastAsia="仿宋_GB2312" w:cs="仿宋_GB2312"/>
                <w:color w:val="auto"/>
                <w:sz w:val="24"/>
                <w:szCs w:val="24"/>
              </w:rPr>
              <w:t>(</w:t>
            </w:r>
            <w:r>
              <w:rPr>
                <w:rFonts w:hint="eastAsia" w:ascii="仿宋_GB2312" w:hAnsi="仿宋_GB2312" w:eastAsia="仿宋_GB2312" w:cs="仿宋_GB2312"/>
                <w:color w:val="auto"/>
                <w:sz w:val="24"/>
                <w:szCs w:val="24"/>
              </w:rPr>
              <w:t>乐山</w:t>
            </w:r>
            <w:r>
              <w:rPr>
                <w:rFonts w:ascii="仿宋_GB2312" w:hAnsi="仿宋_GB2312" w:eastAsia="仿宋_GB2312" w:cs="仿宋_GB2312"/>
                <w:color w:val="auto"/>
                <w:sz w:val="24"/>
                <w:szCs w:val="24"/>
              </w:rPr>
              <w:t>)</w:t>
            </w:r>
            <w:r>
              <w:rPr>
                <w:rFonts w:hint="eastAsia" w:ascii="Times New Roman" w:hAnsi="Times New Roman" w:eastAsia="仿宋_GB2312" w:cs="Times New Roman"/>
                <w:color w:val="auto"/>
                <w:sz w:val="24"/>
                <w:szCs w:val="24"/>
              </w:rPr>
              <w:t>智能装备有限公司</w:t>
            </w:r>
          </w:p>
        </w:tc>
        <w:tc>
          <w:tcPr>
            <w:tcW w:w="2304" w:type="dxa"/>
            <w:vAlign w:val="center"/>
          </w:tcPr>
          <w:p>
            <w:pPr>
              <w:adjustRightInd w:val="0"/>
              <w:snapToGrid w:val="0"/>
              <w:spacing w:line="440" w:lineRule="exact"/>
              <w:jc w:val="center"/>
              <w:rPr>
                <w:rFonts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szCs w:val="24"/>
              </w:rPr>
              <w:t>市中区</w:t>
            </w:r>
          </w:p>
        </w:tc>
        <w:tc>
          <w:tcPr>
            <w:tcW w:w="5143" w:type="dxa"/>
            <w:vAlign w:val="center"/>
          </w:tcPr>
          <w:p>
            <w:pPr>
              <w:tabs>
                <w:tab w:val="left" w:pos="886"/>
              </w:tabs>
              <w:adjustRightInd w:val="0"/>
              <w:snapToGrid w:val="0"/>
              <w:spacing w:line="440" w:lineRule="exact"/>
              <w:jc w:val="left"/>
              <w:rPr>
                <w:rFonts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szCs w:val="24"/>
              </w:rPr>
              <w:t>大载重长距离运输无人机制造。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71" w:type="dxa"/>
            <w:gridSpan w:val="4"/>
            <w:vAlign w:val="center"/>
          </w:tcPr>
          <w:p>
            <w:pPr>
              <w:adjustRightInd w:val="0"/>
              <w:snapToGrid w:val="0"/>
              <w:spacing w:line="440" w:lineRule="exact"/>
              <w:jc w:val="left"/>
              <w:rPr>
                <w:rFonts w:ascii="Times New Roman" w:hAnsi="Times New Roman" w:eastAsia="仿宋_GB2312" w:cs="Times New Roman"/>
                <w:color w:val="auto"/>
                <w:sz w:val="24"/>
                <w:szCs w:val="24"/>
              </w:rPr>
            </w:pPr>
            <w:r>
              <w:rPr>
                <w:rFonts w:hint="eastAsia" w:ascii="Times New Roman" w:hAnsi="Times New Roman" w:eastAsia="黑体" w:cs="Times New Roman"/>
                <w:color w:val="auto"/>
                <w:kern w:val="0"/>
                <w:sz w:val="24"/>
                <w:szCs w:val="24"/>
                <w:lang w:bidi="ar"/>
              </w:rPr>
              <w:t>二、低空运营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5" w:type="dxa"/>
            <w:vAlign w:val="center"/>
          </w:tcPr>
          <w:p>
            <w:pPr>
              <w:adjustRightInd w:val="0"/>
              <w:snapToGrid w:val="0"/>
              <w:spacing w:line="440" w:lineRule="exact"/>
              <w:jc w:val="center"/>
              <w:rPr>
                <w:rFonts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szCs w:val="24"/>
              </w:rPr>
              <w:t>1</w:t>
            </w:r>
          </w:p>
        </w:tc>
        <w:tc>
          <w:tcPr>
            <w:tcW w:w="4609" w:type="dxa"/>
            <w:vAlign w:val="center"/>
          </w:tcPr>
          <w:p>
            <w:pPr>
              <w:adjustRightInd w:val="0"/>
              <w:snapToGrid w:val="0"/>
              <w:spacing w:line="440" w:lineRule="exact"/>
              <w:jc w:val="center"/>
              <w:rPr>
                <w:rFonts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rPr>
              <w:t>四川三汇安防科技有限公司</w:t>
            </w:r>
          </w:p>
        </w:tc>
        <w:tc>
          <w:tcPr>
            <w:tcW w:w="2304" w:type="dxa"/>
            <w:vAlign w:val="center"/>
          </w:tcPr>
          <w:p>
            <w:pPr>
              <w:adjustRightInd w:val="0"/>
              <w:snapToGrid w:val="0"/>
              <w:spacing w:line="440" w:lineRule="exact"/>
              <w:jc w:val="center"/>
              <w:rPr>
                <w:rFonts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szCs w:val="24"/>
              </w:rPr>
              <w:t>高新区</w:t>
            </w:r>
          </w:p>
        </w:tc>
        <w:tc>
          <w:tcPr>
            <w:tcW w:w="5143" w:type="dxa"/>
            <w:vAlign w:val="center"/>
          </w:tcPr>
          <w:p>
            <w:pPr>
              <w:adjustRightInd w:val="0"/>
              <w:snapToGrid w:val="0"/>
              <w:spacing w:line="440" w:lineRule="exact"/>
              <w:jc w:val="left"/>
              <w:rPr>
                <w:rFonts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szCs w:val="24"/>
              </w:rPr>
              <w:t>安保、监测、防灾、应急、巡检、管控等领域的低空运营管理。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9" w:hRule="atLeast"/>
          <w:jc w:val="center"/>
        </w:trPr>
        <w:tc>
          <w:tcPr>
            <w:tcW w:w="915" w:type="dxa"/>
            <w:vAlign w:val="center"/>
          </w:tcPr>
          <w:p>
            <w:pPr>
              <w:adjustRightInd w:val="0"/>
              <w:snapToGrid w:val="0"/>
              <w:spacing w:line="440" w:lineRule="exact"/>
              <w:jc w:val="center"/>
              <w:rPr>
                <w:rFonts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szCs w:val="24"/>
              </w:rPr>
              <w:t>2</w:t>
            </w:r>
          </w:p>
        </w:tc>
        <w:tc>
          <w:tcPr>
            <w:tcW w:w="4609" w:type="dxa"/>
            <w:vAlign w:val="center"/>
          </w:tcPr>
          <w:p>
            <w:pPr>
              <w:adjustRightInd w:val="0"/>
              <w:snapToGrid w:val="0"/>
              <w:spacing w:line="440" w:lineRule="exact"/>
              <w:jc w:val="center"/>
              <w:rPr>
                <w:rFonts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szCs w:val="24"/>
              </w:rPr>
              <w:t>峨眉山市蒲公英滑翔伞俱乐部</w:t>
            </w:r>
          </w:p>
        </w:tc>
        <w:tc>
          <w:tcPr>
            <w:tcW w:w="2304" w:type="dxa"/>
            <w:vAlign w:val="center"/>
          </w:tcPr>
          <w:p>
            <w:pPr>
              <w:adjustRightInd w:val="0"/>
              <w:snapToGrid w:val="0"/>
              <w:spacing w:line="440" w:lineRule="exact"/>
              <w:jc w:val="center"/>
              <w:rPr>
                <w:rFonts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szCs w:val="24"/>
              </w:rPr>
              <w:t>峨眉山市</w:t>
            </w:r>
          </w:p>
        </w:tc>
        <w:tc>
          <w:tcPr>
            <w:tcW w:w="5143" w:type="dxa"/>
            <w:vAlign w:val="center"/>
          </w:tcPr>
          <w:p>
            <w:pPr>
              <w:adjustRightInd w:val="0"/>
              <w:snapToGrid w:val="0"/>
              <w:spacing w:line="440" w:lineRule="exact"/>
              <w:jc w:val="left"/>
              <w:rPr>
                <w:rFonts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szCs w:val="24"/>
              </w:rPr>
              <w:t>滑翔伞飞行体验、教学培训、赛事组织、专业器材销售等。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9" w:hRule="atLeast"/>
          <w:jc w:val="center"/>
        </w:trPr>
        <w:tc>
          <w:tcPr>
            <w:tcW w:w="915" w:type="dxa"/>
            <w:vAlign w:val="center"/>
          </w:tcPr>
          <w:p>
            <w:pPr>
              <w:adjustRightInd w:val="0"/>
              <w:snapToGrid w:val="0"/>
              <w:spacing w:line="440" w:lineRule="exact"/>
              <w:jc w:val="center"/>
              <w:rPr>
                <w:rFonts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szCs w:val="24"/>
              </w:rPr>
              <w:t>3</w:t>
            </w:r>
          </w:p>
        </w:tc>
        <w:tc>
          <w:tcPr>
            <w:tcW w:w="4609" w:type="dxa"/>
            <w:vAlign w:val="center"/>
          </w:tcPr>
          <w:p>
            <w:pPr>
              <w:adjustRightInd w:val="0"/>
              <w:snapToGrid w:val="0"/>
              <w:spacing w:line="440" w:lineRule="exact"/>
              <w:jc w:val="center"/>
              <w:rPr>
                <w:rFonts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szCs w:val="24"/>
              </w:rPr>
              <w:t>峨眉山云海智慧科技有限公司</w:t>
            </w:r>
          </w:p>
        </w:tc>
        <w:tc>
          <w:tcPr>
            <w:tcW w:w="2304" w:type="dxa"/>
            <w:vAlign w:val="center"/>
          </w:tcPr>
          <w:p>
            <w:pPr>
              <w:adjustRightInd w:val="0"/>
              <w:snapToGrid w:val="0"/>
              <w:spacing w:line="440" w:lineRule="exact"/>
              <w:jc w:val="center"/>
              <w:rPr>
                <w:rFonts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szCs w:val="24"/>
              </w:rPr>
              <w:t>峨眉山市</w:t>
            </w:r>
          </w:p>
        </w:tc>
        <w:tc>
          <w:tcPr>
            <w:tcW w:w="5143" w:type="dxa"/>
            <w:vAlign w:val="center"/>
          </w:tcPr>
          <w:p>
            <w:pPr>
              <w:adjustRightInd w:val="0"/>
              <w:snapToGrid w:val="0"/>
              <w:spacing w:line="440" w:lineRule="exact"/>
              <w:jc w:val="left"/>
              <w:rPr>
                <w:rFonts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szCs w:val="24"/>
              </w:rPr>
              <w:t>低空物流、应急救援、消防巡检、无人机研发制造、影视拍摄、无人机矩阵表演等诸多方面。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5" w:type="dxa"/>
            <w:vAlign w:val="center"/>
          </w:tcPr>
          <w:p>
            <w:pPr>
              <w:adjustRightInd w:val="0"/>
              <w:snapToGrid w:val="0"/>
              <w:spacing w:line="440" w:lineRule="exact"/>
              <w:jc w:val="center"/>
              <w:rPr>
                <w:rFonts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szCs w:val="24"/>
              </w:rPr>
              <w:t>4</w:t>
            </w:r>
          </w:p>
        </w:tc>
        <w:tc>
          <w:tcPr>
            <w:tcW w:w="4609" w:type="dxa"/>
            <w:vAlign w:val="center"/>
          </w:tcPr>
          <w:p>
            <w:pPr>
              <w:adjustRightInd w:val="0"/>
              <w:snapToGrid w:val="0"/>
              <w:spacing w:line="440" w:lineRule="exact"/>
              <w:jc w:val="center"/>
              <w:rPr>
                <w:rFonts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szCs w:val="24"/>
              </w:rPr>
              <w:t>九鼎驾校翼翔无人机飞行学院</w:t>
            </w:r>
          </w:p>
        </w:tc>
        <w:tc>
          <w:tcPr>
            <w:tcW w:w="2304" w:type="dxa"/>
            <w:vAlign w:val="center"/>
          </w:tcPr>
          <w:p>
            <w:pPr>
              <w:adjustRightInd w:val="0"/>
              <w:snapToGrid w:val="0"/>
              <w:spacing w:line="440" w:lineRule="exact"/>
              <w:jc w:val="center"/>
              <w:rPr>
                <w:rFonts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szCs w:val="24"/>
              </w:rPr>
              <w:t>市中区</w:t>
            </w:r>
          </w:p>
        </w:tc>
        <w:tc>
          <w:tcPr>
            <w:tcW w:w="5143" w:type="dxa"/>
            <w:vAlign w:val="center"/>
          </w:tcPr>
          <w:p>
            <w:pPr>
              <w:adjustRightInd w:val="0"/>
              <w:snapToGrid w:val="0"/>
              <w:spacing w:line="440" w:lineRule="exact"/>
              <w:jc w:val="left"/>
              <w:rPr>
                <w:rFonts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szCs w:val="24"/>
              </w:rPr>
              <w:t>无人机飞手培训。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5" w:type="dxa"/>
            <w:vAlign w:val="center"/>
          </w:tcPr>
          <w:p>
            <w:pPr>
              <w:adjustRightInd w:val="0"/>
              <w:snapToGrid w:val="0"/>
              <w:spacing w:line="440" w:lineRule="exact"/>
              <w:jc w:val="center"/>
              <w:rPr>
                <w:rFonts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szCs w:val="24"/>
              </w:rPr>
              <w:t>5</w:t>
            </w:r>
          </w:p>
        </w:tc>
        <w:tc>
          <w:tcPr>
            <w:tcW w:w="4609" w:type="dxa"/>
            <w:vAlign w:val="center"/>
          </w:tcPr>
          <w:p>
            <w:pPr>
              <w:adjustRightInd w:val="0"/>
              <w:snapToGrid w:val="0"/>
              <w:spacing w:line="440" w:lineRule="exact"/>
              <w:jc w:val="center"/>
              <w:rPr>
                <w:rFonts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szCs w:val="24"/>
              </w:rPr>
              <w:t>四川邦力达乐天农业服务有限公司</w:t>
            </w:r>
          </w:p>
        </w:tc>
        <w:tc>
          <w:tcPr>
            <w:tcW w:w="2304" w:type="dxa"/>
            <w:vAlign w:val="center"/>
          </w:tcPr>
          <w:p>
            <w:pPr>
              <w:adjustRightInd w:val="0"/>
              <w:snapToGrid w:val="0"/>
              <w:spacing w:line="440" w:lineRule="exact"/>
              <w:jc w:val="center"/>
              <w:rPr>
                <w:rFonts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szCs w:val="24"/>
              </w:rPr>
              <w:t>夹江县</w:t>
            </w:r>
          </w:p>
        </w:tc>
        <w:tc>
          <w:tcPr>
            <w:tcW w:w="5143" w:type="dxa"/>
            <w:vAlign w:val="center"/>
          </w:tcPr>
          <w:p>
            <w:pPr>
              <w:adjustRightInd w:val="0"/>
              <w:snapToGrid w:val="0"/>
              <w:spacing w:line="440" w:lineRule="exact"/>
              <w:jc w:val="left"/>
              <w:rPr>
                <w:rFonts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szCs w:val="24"/>
              </w:rPr>
              <w:t>无人机农林植保。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5" w:type="dxa"/>
            <w:vAlign w:val="center"/>
          </w:tcPr>
          <w:p>
            <w:pPr>
              <w:adjustRightInd w:val="0"/>
              <w:snapToGrid w:val="0"/>
              <w:spacing w:line="440" w:lineRule="exact"/>
              <w:jc w:val="center"/>
              <w:rPr>
                <w:rFonts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szCs w:val="24"/>
              </w:rPr>
              <w:t>6</w:t>
            </w:r>
          </w:p>
        </w:tc>
        <w:tc>
          <w:tcPr>
            <w:tcW w:w="4609" w:type="dxa"/>
            <w:vAlign w:val="center"/>
          </w:tcPr>
          <w:p>
            <w:pPr>
              <w:adjustRightInd w:val="0"/>
              <w:snapToGrid w:val="0"/>
              <w:spacing w:line="440" w:lineRule="exact"/>
              <w:jc w:val="center"/>
              <w:rPr>
                <w:rFonts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szCs w:val="24"/>
              </w:rPr>
              <w:t>井研县汇源机动车驾驶培训有限公司</w:t>
            </w:r>
          </w:p>
        </w:tc>
        <w:tc>
          <w:tcPr>
            <w:tcW w:w="2304" w:type="dxa"/>
            <w:vAlign w:val="center"/>
          </w:tcPr>
          <w:p>
            <w:pPr>
              <w:adjustRightInd w:val="0"/>
              <w:snapToGrid w:val="0"/>
              <w:spacing w:line="440" w:lineRule="exact"/>
              <w:jc w:val="center"/>
              <w:rPr>
                <w:rFonts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szCs w:val="24"/>
              </w:rPr>
              <w:t>井研县</w:t>
            </w:r>
          </w:p>
        </w:tc>
        <w:tc>
          <w:tcPr>
            <w:tcW w:w="5143" w:type="dxa"/>
            <w:vAlign w:val="center"/>
          </w:tcPr>
          <w:p>
            <w:pPr>
              <w:adjustRightInd w:val="0"/>
              <w:snapToGrid w:val="0"/>
              <w:spacing w:line="440" w:lineRule="exact"/>
              <w:jc w:val="left"/>
              <w:rPr>
                <w:rFonts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szCs w:val="24"/>
              </w:rPr>
              <w:t>无人机飞手培训。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5" w:type="dxa"/>
            <w:vAlign w:val="center"/>
          </w:tcPr>
          <w:p>
            <w:pPr>
              <w:adjustRightInd w:val="0"/>
              <w:snapToGrid w:val="0"/>
              <w:spacing w:line="440" w:lineRule="exact"/>
              <w:jc w:val="center"/>
              <w:rPr>
                <w:rFonts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szCs w:val="24"/>
              </w:rPr>
              <w:t>7</w:t>
            </w:r>
          </w:p>
        </w:tc>
        <w:tc>
          <w:tcPr>
            <w:tcW w:w="460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40" w:lineRule="exact"/>
              <w:jc w:val="center"/>
              <w:rPr>
                <w:rFonts w:ascii="Times New Roman" w:hAnsi="Times New Roman" w:eastAsia="仿宋_GB2312" w:cs="Times New Roman"/>
                <w:color w:val="auto"/>
                <w:sz w:val="24"/>
                <w:szCs w:val="24"/>
              </w:rPr>
            </w:pPr>
            <w:r>
              <w:rPr>
                <w:rFonts w:hint="eastAsia" w:ascii="Times New Roman" w:hAnsi="Times New Roman" w:eastAsia="仿宋_GB2312"/>
                <w:color w:val="auto"/>
              </w:rPr>
              <w:t>乐山市沙湾区明阳</w:t>
            </w:r>
            <w:r>
              <w:rPr>
                <w:rFonts w:hint="eastAsia" w:ascii="Times New Roman" w:hAnsi="Times New Roman" w:eastAsia="仿宋_GB2312" w:cs="Times New Roman"/>
                <w:color w:val="auto"/>
                <w:sz w:val="24"/>
                <w:szCs w:val="24"/>
              </w:rPr>
              <w:t>汽车驾驶培训有限公司</w:t>
            </w:r>
          </w:p>
        </w:tc>
        <w:tc>
          <w:tcPr>
            <w:tcW w:w="230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40" w:lineRule="exact"/>
              <w:jc w:val="center"/>
              <w:rPr>
                <w:rFonts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szCs w:val="24"/>
              </w:rPr>
              <w:t>沙湾区</w:t>
            </w:r>
          </w:p>
        </w:tc>
        <w:tc>
          <w:tcPr>
            <w:tcW w:w="514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40" w:lineRule="exact"/>
              <w:jc w:val="center"/>
              <w:rPr>
                <w:rFonts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szCs w:val="24"/>
              </w:rPr>
              <w:t>无人机飞手培训。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71" w:type="dxa"/>
            <w:gridSpan w:val="4"/>
            <w:vAlign w:val="center"/>
          </w:tcPr>
          <w:p>
            <w:pPr>
              <w:adjustRightInd w:val="0"/>
              <w:snapToGrid w:val="0"/>
              <w:spacing w:line="440" w:lineRule="exact"/>
              <w:jc w:val="left"/>
              <w:rPr>
                <w:rFonts w:ascii="Times New Roman" w:hAnsi="Times New Roman" w:eastAsia="仿宋_GB2312" w:cs="Times New Roman"/>
                <w:color w:val="auto"/>
                <w:sz w:val="24"/>
                <w:szCs w:val="24"/>
              </w:rPr>
            </w:pPr>
            <w:r>
              <w:rPr>
                <w:rFonts w:hint="eastAsia" w:ascii="Times New Roman" w:hAnsi="Times New Roman" w:eastAsia="黑体" w:cs="Times New Roman"/>
                <w:color w:val="auto"/>
                <w:kern w:val="0"/>
                <w:sz w:val="24"/>
                <w:szCs w:val="24"/>
                <w:lang w:bidi="ar"/>
              </w:rPr>
              <w:t>三、低空保障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5" w:type="dxa"/>
            <w:vAlign w:val="center"/>
          </w:tcPr>
          <w:p>
            <w:pPr>
              <w:adjustRightInd w:val="0"/>
              <w:snapToGrid w:val="0"/>
              <w:spacing w:line="440" w:lineRule="exact"/>
              <w:jc w:val="center"/>
              <w:rPr>
                <w:rFonts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szCs w:val="24"/>
              </w:rPr>
              <w:t>1</w:t>
            </w:r>
          </w:p>
        </w:tc>
        <w:tc>
          <w:tcPr>
            <w:tcW w:w="4609" w:type="dxa"/>
            <w:vAlign w:val="center"/>
          </w:tcPr>
          <w:p>
            <w:pPr>
              <w:adjustRightInd w:val="0"/>
              <w:snapToGrid w:val="0"/>
              <w:spacing w:line="440" w:lineRule="exact"/>
              <w:jc w:val="center"/>
              <w:rPr>
                <w:rFonts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szCs w:val="24"/>
              </w:rPr>
              <w:t>乐山机场投资发展(集团)有限公司</w:t>
            </w:r>
          </w:p>
        </w:tc>
        <w:tc>
          <w:tcPr>
            <w:tcW w:w="2304" w:type="dxa"/>
            <w:vAlign w:val="center"/>
          </w:tcPr>
          <w:p>
            <w:pPr>
              <w:adjustRightInd w:val="0"/>
              <w:snapToGrid w:val="0"/>
              <w:spacing w:line="440" w:lineRule="exact"/>
              <w:jc w:val="center"/>
              <w:rPr>
                <w:rFonts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szCs w:val="24"/>
              </w:rPr>
              <w:t>五通桥区</w:t>
            </w:r>
          </w:p>
        </w:tc>
        <w:tc>
          <w:tcPr>
            <w:tcW w:w="5143" w:type="dxa"/>
            <w:vAlign w:val="center"/>
          </w:tcPr>
          <w:p>
            <w:pPr>
              <w:adjustRightInd w:val="0"/>
              <w:snapToGrid w:val="0"/>
              <w:spacing w:line="440" w:lineRule="exact"/>
              <w:jc w:val="left"/>
              <w:rPr>
                <w:rFonts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szCs w:val="24"/>
              </w:rPr>
              <w:t>机场投资建设、航空运输服务及旅游开发等。</w:t>
            </w:r>
          </w:p>
        </w:tc>
      </w:tr>
    </w:tbl>
    <w:p>
      <w:pPr>
        <w:rPr>
          <w:rFonts w:ascii="Times New Roman" w:hAnsi="Times New Roman" w:cs="Times New Roman"/>
          <w:color w:val="auto"/>
        </w:rPr>
      </w:pPr>
      <w:r>
        <w:rPr>
          <w:rFonts w:ascii="Times New Roman" w:hAnsi="Times New Roman" w:cs="Times New Roman"/>
          <w:color w:val="auto"/>
        </w:rPr>
        <w:br w:type="page"/>
      </w:r>
    </w:p>
    <w:p>
      <w:pPr>
        <w:outlineLvl w:val="0"/>
        <w:rPr>
          <w:rFonts w:ascii="Times New Roman" w:hAnsi="Times New Roman" w:eastAsia="黑体" w:cs="Times New Roman"/>
          <w:color w:val="auto"/>
          <w:sz w:val="32"/>
          <w:szCs w:val="32"/>
        </w:rPr>
      </w:pPr>
      <w:bookmarkStart w:id="222" w:name="_Toc25928"/>
      <w:bookmarkStart w:id="223" w:name="_Toc220270492"/>
      <w:bookmarkStart w:id="224" w:name="_Toc207125803"/>
      <w:r>
        <w:rPr>
          <w:rFonts w:hint="eastAsia" w:ascii="Times New Roman" w:hAnsi="Times New Roman" w:eastAsia="黑体" w:cs="Times New Roman"/>
          <w:color w:val="auto"/>
          <w:sz w:val="32"/>
          <w:szCs w:val="32"/>
        </w:rPr>
        <w:t>附件3：乐山市低空经济现有主要发展载体清单</w:t>
      </w:r>
      <w:bookmarkEnd w:id="222"/>
      <w:bookmarkEnd w:id="223"/>
      <w:bookmarkEnd w:id="224"/>
    </w:p>
    <w:tbl>
      <w:tblPr>
        <w:tblStyle w:val="3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5"/>
        <w:gridCol w:w="1741"/>
        <w:gridCol w:w="3186"/>
        <w:gridCol w:w="2025"/>
        <w:gridCol w:w="50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745" w:type="dxa"/>
            <w:vAlign w:val="center"/>
          </w:tcPr>
          <w:p>
            <w:pPr>
              <w:adjustRightInd w:val="0"/>
              <w:snapToGrid w:val="0"/>
              <w:spacing w:line="440" w:lineRule="exact"/>
              <w:jc w:val="center"/>
              <w:rPr>
                <w:rFonts w:ascii="Times New Roman" w:hAnsi="Times New Roman" w:eastAsia="黑体" w:cs="Times New Roman"/>
                <w:color w:val="auto"/>
                <w:sz w:val="24"/>
                <w:szCs w:val="24"/>
              </w:rPr>
            </w:pPr>
            <w:r>
              <w:rPr>
                <w:rFonts w:hint="eastAsia" w:ascii="Times New Roman" w:hAnsi="Times New Roman" w:eastAsia="黑体" w:cs="Times New Roman"/>
                <w:color w:val="auto"/>
                <w:sz w:val="24"/>
                <w:szCs w:val="24"/>
              </w:rPr>
              <w:t>序号</w:t>
            </w:r>
          </w:p>
        </w:tc>
        <w:tc>
          <w:tcPr>
            <w:tcW w:w="1741" w:type="dxa"/>
            <w:vAlign w:val="center"/>
          </w:tcPr>
          <w:p>
            <w:pPr>
              <w:adjustRightInd w:val="0"/>
              <w:snapToGrid w:val="0"/>
              <w:spacing w:line="440" w:lineRule="exact"/>
              <w:jc w:val="center"/>
              <w:rPr>
                <w:rFonts w:ascii="Times New Roman" w:hAnsi="Times New Roman" w:eastAsia="黑体" w:cs="Times New Roman"/>
                <w:color w:val="auto"/>
                <w:sz w:val="24"/>
                <w:szCs w:val="24"/>
              </w:rPr>
            </w:pPr>
            <w:r>
              <w:rPr>
                <w:rFonts w:hint="eastAsia" w:ascii="Times New Roman" w:hAnsi="Times New Roman" w:eastAsia="黑体" w:cs="Times New Roman"/>
                <w:color w:val="auto"/>
                <w:sz w:val="24"/>
                <w:szCs w:val="24"/>
              </w:rPr>
              <w:t>类别</w:t>
            </w:r>
          </w:p>
        </w:tc>
        <w:tc>
          <w:tcPr>
            <w:tcW w:w="3186" w:type="dxa"/>
            <w:vAlign w:val="center"/>
          </w:tcPr>
          <w:p>
            <w:pPr>
              <w:adjustRightInd w:val="0"/>
              <w:snapToGrid w:val="0"/>
              <w:spacing w:line="440" w:lineRule="exact"/>
              <w:jc w:val="center"/>
              <w:rPr>
                <w:rFonts w:ascii="Times New Roman" w:hAnsi="Times New Roman" w:eastAsia="黑体" w:cs="Times New Roman"/>
                <w:color w:val="auto"/>
                <w:sz w:val="24"/>
                <w:szCs w:val="24"/>
              </w:rPr>
            </w:pPr>
            <w:r>
              <w:rPr>
                <w:rFonts w:hint="eastAsia" w:ascii="Times New Roman" w:hAnsi="Times New Roman" w:eastAsia="黑体" w:cs="Times New Roman"/>
                <w:color w:val="auto"/>
                <w:sz w:val="24"/>
                <w:szCs w:val="24"/>
              </w:rPr>
              <w:t>名称</w:t>
            </w:r>
          </w:p>
        </w:tc>
        <w:tc>
          <w:tcPr>
            <w:tcW w:w="2025" w:type="dxa"/>
            <w:vAlign w:val="center"/>
          </w:tcPr>
          <w:p>
            <w:pPr>
              <w:adjustRightInd w:val="0"/>
              <w:snapToGrid w:val="0"/>
              <w:spacing w:line="440" w:lineRule="exact"/>
              <w:jc w:val="center"/>
              <w:rPr>
                <w:rFonts w:ascii="Times New Roman" w:hAnsi="Times New Roman" w:eastAsia="黑体" w:cs="Times New Roman"/>
                <w:color w:val="auto"/>
                <w:sz w:val="24"/>
                <w:szCs w:val="24"/>
              </w:rPr>
            </w:pPr>
            <w:r>
              <w:rPr>
                <w:rFonts w:hint="eastAsia" w:ascii="Times New Roman" w:hAnsi="Times New Roman" w:eastAsia="黑体" w:cs="Times New Roman"/>
                <w:color w:val="auto"/>
                <w:sz w:val="24"/>
                <w:szCs w:val="24"/>
              </w:rPr>
              <w:t>所在县（市、区）</w:t>
            </w:r>
          </w:p>
        </w:tc>
        <w:tc>
          <w:tcPr>
            <w:tcW w:w="5048" w:type="dxa"/>
            <w:vAlign w:val="center"/>
          </w:tcPr>
          <w:p>
            <w:pPr>
              <w:adjustRightInd w:val="0"/>
              <w:snapToGrid w:val="0"/>
              <w:spacing w:line="440" w:lineRule="exact"/>
              <w:jc w:val="center"/>
              <w:rPr>
                <w:rFonts w:ascii="Times New Roman" w:hAnsi="Times New Roman" w:eastAsia="黑体" w:cs="Times New Roman"/>
                <w:color w:val="auto"/>
                <w:sz w:val="24"/>
                <w:szCs w:val="24"/>
              </w:rPr>
            </w:pPr>
            <w:r>
              <w:rPr>
                <w:rFonts w:hint="eastAsia" w:ascii="Times New Roman" w:hAnsi="Times New Roman" w:eastAsia="黑体" w:cs="Times New Roman"/>
                <w:color w:val="auto"/>
                <w:sz w:val="24"/>
                <w:szCs w:val="24"/>
              </w:rPr>
              <w:t>设施条件与服务保障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45" w:type="dxa"/>
            <w:gridSpan w:val="5"/>
            <w:vAlign w:val="center"/>
          </w:tcPr>
          <w:p>
            <w:pPr>
              <w:adjustRightInd w:val="0"/>
              <w:snapToGrid w:val="0"/>
              <w:spacing w:line="440" w:lineRule="exact"/>
              <w:jc w:val="left"/>
              <w:rPr>
                <w:rFonts w:ascii="Times New Roman" w:hAnsi="Times New Roman" w:eastAsia="黑体" w:cs="Times New Roman"/>
                <w:color w:val="auto"/>
                <w:kern w:val="0"/>
                <w:sz w:val="24"/>
                <w:szCs w:val="24"/>
                <w:lang w:bidi="ar"/>
              </w:rPr>
            </w:pPr>
            <w:r>
              <w:rPr>
                <w:rFonts w:hint="eastAsia" w:ascii="Times New Roman" w:hAnsi="Times New Roman" w:eastAsia="黑体" w:cs="Times New Roman"/>
                <w:color w:val="auto"/>
                <w:kern w:val="0"/>
                <w:sz w:val="24"/>
                <w:szCs w:val="24"/>
                <w:lang w:bidi="ar"/>
              </w:rPr>
              <w:t>一、起降设施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5" w:type="dxa"/>
            <w:vAlign w:val="center"/>
          </w:tcPr>
          <w:p>
            <w:pPr>
              <w:adjustRightInd w:val="0"/>
              <w:snapToGrid w:val="0"/>
              <w:spacing w:line="440" w:lineRule="exact"/>
              <w:jc w:val="center"/>
              <w:rPr>
                <w:rFonts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szCs w:val="24"/>
              </w:rPr>
              <w:t>1</w:t>
            </w:r>
          </w:p>
        </w:tc>
        <w:tc>
          <w:tcPr>
            <w:tcW w:w="1741" w:type="dxa"/>
            <w:vAlign w:val="center"/>
          </w:tcPr>
          <w:p>
            <w:pPr>
              <w:adjustRightInd w:val="0"/>
              <w:snapToGrid w:val="0"/>
              <w:spacing w:line="440" w:lineRule="exact"/>
              <w:jc w:val="center"/>
              <w:rPr>
                <w:rFonts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rPr>
              <w:t>在建机场</w:t>
            </w:r>
          </w:p>
        </w:tc>
        <w:tc>
          <w:tcPr>
            <w:tcW w:w="3186" w:type="dxa"/>
            <w:vAlign w:val="center"/>
          </w:tcPr>
          <w:p>
            <w:pPr>
              <w:adjustRightInd w:val="0"/>
              <w:snapToGrid w:val="0"/>
              <w:spacing w:line="440" w:lineRule="exact"/>
              <w:jc w:val="center"/>
              <w:rPr>
                <w:rFonts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szCs w:val="24"/>
              </w:rPr>
              <w:t>乐山机场</w:t>
            </w:r>
          </w:p>
        </w:tc>
        <w:tc>
          <w:tcPr>
            <w:tcW w:w="2025" w:type="dxa"/>
            <w:vAlign w:val="center"/>
          </w:tcPr>
          <w:p>
            <w:pPr>
              <w:adjustRightInd w:val="0"/>
              <w:snapToGrid w:val="0"/>
              <w:spacing w:line="440" w:lineRule="exact"/>
              <w:jc w:val="center"/>
              <w:rPr>
                <w:rFonts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szCs w:val="24"/>
              </w:rPr>
              <w:t>五通桥区</w:t>
            </w:r>
          </w:p>
        </w:tc>
        <w:tc>
          <w:tcPr>
            <w:tcW w:w="5048" w:type="dxa"/>
            <w:vAlign w:val="center"/>
          </w:tcPr>
          <w:p>
            <w:pPr>
              <w:adjustRightInd w:val="0"/>
              <w:snapToGrid w:val="0"/>
              <w:spacing w:line="440" w:lineRule="exact"/>
              <w:jc w:val="left"/>
              <w:rPr>
                <w:rFonts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szCs w:val="24"/>
              </w:rPr>
              <w:t>按民航4C等级标准建设，军民合用机场，跑道长2800米、宽50米，航站楼面积3万平方米，民航站坪设10个机位。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5" w:type="dxa"/>
            <w:vAlign w:val="center"/>
          </w:tcPr>
          <w:p>
            <w:pPr>
              <w:adjustRightInd w:val="0"/>
              <w:snapToGrid w:val="0"/>
              <w:spacing w:line="440" w:lineRule="exact"/>
              <w:jc w:val="center"/>
              <w:rPr>
                <w:rFonts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szCs w:val="24"/>
              </w:rPr>
              <w:t>2</w:t>
            </w:r>
          </w:p>
        </w:tc>
        <w:tc>
          <w:tcPr>
            <w:tcW w:w="1741" w:type="dxa"/>
            <w:vAlign w:val="center"/>
          </w:tcPr>
          <w:p>
            <w:pPr>
              <w:adjustRightInd w:val="0"/>
              <w:snapToGrid w:val="0"/>
              <w:spacing w:line="440" w:lineRule="exact"/>
              <w:jc w:val="center"/>
              <w:rPr>
                <w:rFonts w:ascii="Times New Roman" w:hAnsi="Times New Roman" w:eastAsia="仿宋_GB2312" w:cs="Times New Roman"/>
                <w:color w:val="auto"/>
                <w:sz w:val="24"/>
              </w:rPr>
            </w:pPr>
            <w:r>
              <w:rPr>
                <w:rFonts w:hint="eastAsia" w:ascii="Times New Roman" w:hAnsi="Times New Roman" w:eastAsia="仿宋_GB2312" w:cs="Times New Roman"/>
                <w:color w:val="auto"/>
                <w:sz w:val="24"/>
              </w:rPr>
              <w:t>直升机场</w:t>
            </w:r>
          </w:p>
        </w:tc>
        <w:tc>
          <w:tcPr>
            <w:tcW w:w="3186" w:type="dxa"/>
            <w:vAlign w:val="center"/>
          </w:tcPr>
          <w:p>
            <w:pPr>
              <w:adjustRightInd w:val="0"/>
              <w:snapToGrid w:val="0"/>
              <w:spacing w:line="440" w:lineRule="exact"/>
              <w:jc w:val="center"/>
              <w:rPr>
                <w:rFonts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szCs w:val="24"/>
              </w:rPr>
              <w:t>西林凤腾恒邦直升机场</w:t>
            </w:r>
          </w:p>
        </w:tc>
        <w:tc>
          <w:tcPr>
            <w:tcW w:w="2025" w:type="dxa"/>
            <w:vAlign w:val="center"/>
          </w:tcPr>
          <w:p>
            <w:pPr>
              <w:adjustRightInd w:val="0"/>
              <w:snapToGrid w:val="0"/>
              <w:spacing w:line="440" w:lineRule="exact"/>
              <w:jc w:val="center"/>
              <w:rPr>
                <w:rFonts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szCs w:val="24"/>
              </w:rPr>
              <w:t>峨眉山市</w:t>
            </w:r>
          </w:p>
        </w:tc>
        <w:tc>
          <w:tcPr>
            <w:tcW w:w="5048" w:type="dxa"/>
            <w:vAlign w:val="center"/>
          </w:tcPr>
          <w:p>
            <w:pPr>
              <w:adjustRightInd w:val="0"/>
              <w:snapToGrid w:val="0"/>
              <w:spacing w:line="440" w:lineRule="exact"/>
              <w:jc w:val="left"/>
              <w:rPr>
                <w:rFonts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szCs w:val="24"/>
              </w:rPr>
              <w:t>具备6架直升机同时起降能力及夜航条件，现已停用。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5" w:type="dxa"/>
            <w:vAlign w:val="center"/>
          </w:tcPr>
          <w:p>
            <w:pPr>
              <w:adjustRightInd w:val="0"/>
              <w:snapToGrid w:val="0"/>
              <w:spacing w:line="440" w:lineRule="exact"/>
              <w:jc w:val="center"/>
              <w:rPr>
                <w:rFonts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szCs w:val="24"/>
              </w:rPr>
              <w:t>3</w:t>
            </w:r>
          </w:p>
        </w:tc>
        <w:tc>
          <w:tcPr>
            <w:tcW w:w="1741" w:type="dxa"/>
            <w:vMerge w:val="restart"/>
            <w:vAlign w:val="center"/>
          </w:tcPr>
          <w:p>
            <w:pPr>
              <w:adjustRightInd w:val="0"/>
              <w:snapToGrid w:val="0"/>
              <w:spacing w:line="440" w:lineRule="exact"/>
              <w:jc w:val="center"/>
              <w:rPr>
                <w:rFonts w:ascii="Times New Roman" w:hAnsi="Times New Roman" w:eastAsia="仿宋_GB2312" w:cs="Times New Roman"/>
                <w:color w:val="auto"/>
                <w:sz w:val="24"/>
              </w:rPr>
            </w:pPr>
            <w:r>
              <w:rPr>
                <w:rFonts w:hint="eastAsia" w:ascii="Times New Roman" w:hAnsi="Times New Roman" w:eastAsia="仿宋_GB2312" w:cs="Times New Roman"/>
                <w:color w:val="auto"/>
                <w:sz w:val="24"/>
              </w:rPr>
              <w:t>垂直起降设施</w:t>
            </w:r>
          </w:p>
        </w:tc>
        <w:tc>
          <w:tcPr>
            <w:tcW w:w="3186" w:type="dxa"/>
            <w:vAlign w:val="center"/>
          </w:tcPr>
          <w:p>
            <w:pPr>
              <w:adjustRightInd w:val="0"/>
              <w:snapToGrid w:val="0"/>
              <w:spacing w:line="440" w:lineRule="exact"/>
              <w:jc w:val="center"/>
              <w:rPr>
                <w:rFonts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szCs w:val="24"/>
              </w:rPr>
              <w:t>峨眉山景区垂直起降设施</w:t>
            </w:r>
          </w:p>
        </w:tc>
        <w:tc>
          <w:tcPr>
            <w:tcW w:w="2025" w:type="dxa"/>
            <w:vAlign w:val="center"/>
          </w:tcPr>
          <w:p>
            <w:pPr>
              <w:adjustRightInd w:val="0"/>
              <w:snapToGrid w:val="0"/>
              <w:spacing w:line="440" w:lineRule="exact"/>
              <w:jc w:val="center"/>
              <w:rPr>
                <w:rFonts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szCs w:val="24"/>
              </w:rPr>
              <w:t>峨眉山市</w:t>
            </w:r>
          </w:p>
        </w:tc>
        <w:tc>
          <w:tcPr>
            <w:tcW w:w="5048" w:type="dxa"/>
            <w:vAlign w:val="center"/>
          </w:tcPr>
          <w:p>
            <w:pPr>
              <w:adjustRightInd w:val="0"/>
              <w:snapToGrid w:val="0"/>
              <w:spacing w:line="440" w:lineRule="exact"/>
              <w:jc w:val="left"/>
              <w:rPr>
                <w:rFonts w:ascii="Times New Roman" w:hAnsi="Times New Roman" w:eastAsia="仿宋_GB2312" w:cs="Times New Roman"/>
                <w:color w:val="auto"/>
                <w:sz w:val="24"/>
              </w:rPr>
            </w:pPr>
            <w:r>
              <w:rPr>
                <w:rFonts w:hint="eastAsia" w:ascii="Times New Roman" w:hAnsi="Times New Roman" w:eastAsia="仿宋_GB2312" w:cs="Times New Roman"/>
                <w:color w:val="auto"/>
                <w:sz w:val="24"/>
                <w:szCs w:val="24"/>
              </w:rPr>
              <w:t>总建筑面积约830</w:t>
            </w:r>
            <w:r>
              <w:rPr>
                <w:rFonts w:hint="eastAsia" w:ascii="Times New Roman" w:hAnsi="Times New Roman" w:eastAsia="微软雅黑" w:cs="Times New Roman"/>
                <w:color w:val="auto"/>
                <w:sz w:val="24"/>
                <w:szCs w:val="24"/>
              </w:rPr>
              <w:t>㎡</w:t>
            </w:r>
            <w:r>
              <w:rPr>
                <w:rFonts w:hint="eastAsia" w:ascii="Times New Roman" w:hAnsi="Times New Roman" w:eastAsia="仿宋_GB2312" w:cs="Times New Roman"/>
                <w:color w:val="auto"/>
                <w:sz w:val="24"/>
                <w:szCs w:val="24"/>
              </w:rPr>
              <w:t>，配套建设航管通信、气象监测、消防救援等设施，在起降点下方建筑内设置综合办公区域。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5" w:type="dxa"/>
            <w:vAlign w:val="center"/>
          </w:tcPr>
          <w:p>
            <w:pPr>
              <w:adjustRightInd w:val="0"/>
              <w:snapToGrid w:val="0"/>
              <w:spacing w:line="440" w:lineRule="exact"/>
              <w:jc w:val="center"/>
              <w:rPr>
                <w:rFonts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szCs w:val="24"/>
              </w:rPr>
              <w:t>4</w:t>
            </w:r>
          </w:p>
        </w:tc>
        <w:tc>
          <w:tcPr>
            <w:tcW w:w="1741" w:type="dxa"/>
            <w:vMerge w:val="continue"/>
            <w:vAlign w:val="center"/>
          </w:tcPr>
          <w:p>
            <w:pPr>
              <w:adjustRightInd w:val="0"/>
              <w:snapToGrid w:val="0"/>
              <w:spacing w:line="440" w:lineRule="exact"/>
              <w:jc w:val="center"/>
              <w:rPr>
                <w:rFonts w:ascii="Times New Roman" w:hAnsi="Times New Roman" w:eastAsia="仿宋_GB2312" w:cs="Times New Roman"/>
                <w:color w:val="auto"/>
                <w:sz w:val="24"/>
              </w:rPr>
            </w:pPr>
          </w:p>
        </w:tc>
        <w:tc>
          <w:tcPr>
            <w:tcW w:w="3186" w:type="dxa"/>
            <w:vAlign w:val="center"/>
          </w:tcPr>
          <w:p>
            <w:pPr>
              <w:adjustRightInd w:val="0"/>
              <w:snapToGrid w:val="0"/>
              <w:spacing w:line="440" w:lineRule="exact"/>
              <w:jc w:val="center"/>
              <w:rPr>
                <w:rFonts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szCs w:val="24"/>
              </w:rPr>
              <w:t>大佛景区垂直起降设施</w:t>
            </w:r>
          </w:p>
        </w:tc>
        <w:tc>
          <w:tcPr>
            <w:tcW w:w="2025" w:type="dxa"/>
            <w:vAlign w:val="center"/>
          </w:tcPr>
          <w:p>
            <w:pPr>
              <w:tabs>
                <w:tab w:val="left" w:pos="886"/>
              </w:tabs>
              <w:adjustRightInd w:val="0"/>
              <w:snapToGrid w:val="0"/>
              <w:spacing w:line="440" w:lineRule="exact"/>
              <w:jc w:val="center"/>
              <w:rPr>
                <w:rFonts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szCs w:val="24"/>
              </w:rPr>
              <w:t>市中区</w:t>
            </w:r>
          </w:p>
        </w:tc>
        <w:tc>
          <w:tcPr>
            <w:tcW w:w="5048" w:type="dxa"/>
            <w:vAlign w:val="center"/>
          </w:tcPr>
          <w:p>
            <w:pPr>
              <w:tabs>
                <w:tab w:val="left" w:pos="886"/>
              </w:tabs>
              <w:adjustRightInd w:val="0"/>
              <w:snapToGrid w:val="0"/>
              <w:spacing w:line="440" w:lineRule="exact"/>
              <w:jc w:val="left"/>
              <w:rPr>
                <w:rFonts w:ascii="Times New Roman" w:hAnsi="Times New Roman" w:eastAsia="仿宋_GB2312" w:cs="Times New Roman"/>
                <w:color w:val="auto"/>
                <w:sz w:val="24"/>
              </w:rPr>
            </w:pPr>
            <w:r>
              <w:rPr>
                <w:rFonts w:hint="eastAsia" w:ascii="Times New Roman" w:hAnsi="Times New Roman" w:eastAsia="仿宋_GB2312" w:cs="Times New Roman"/>
                <w:color w:val="auto"/>
                <w:sz w:val="24"/>
                <w:szCs w:val="24"/>
              </w:rPr>
              <w:t>总建筑面积约830</w:t>
            </w:r>
            <w:r>
              <w:rPr>
                <w:rFonts w:hint="eastAsia" w:ascii="Times New Roman" w:hAnsi="Times New Roman" w:eastAsia="微软雅黑" w:cs="Times New Roman"/>
                <w:color w:val="auto"/>
                <w:sz w:val="24"/>
                <w:szCs w:val="24"/>
              </w:rPr>
              <w:t>㎡</w:t>
            </w:r>
            <w:r>
              <w:rPr>
                <w:rFonts w:hint="eastAsia" w:ascii="Times New Roman" w:hAnsi="Times New Roman" w:eastAsia="仿宋_GB2312" w:cs="Times New Roman"/>
                <w:color w:val="auto"/>
                <w:sz w:val="24"/>
                <w:szCs w:val="24"/>
              </w:rPr>
              <w:t>，配套建设航管通信、气象监测、消防救援等设施，在起降点下方建筑内设置综合办公区域。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5" w:type="dxa"/>
            <w:vAlign w:val="center"/>
          </w:tcPr>
          <w:p>
            <w:pPr>
              <w:adjustRightInd w:val="0"/>
              <w:snapToGrid w:val="0"/>
              <w:spacing w:line="440" w:lineRule="exact"/>
              <w:jc w:val="center"/>
              <w:rPr>
                <w:rFonts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szCs w:val="24"/>
              </w:rPr>
              <w:t>5</w:t>
            </w:r>
          </w:p>
        </w:tc>
        <w:tc>
          <w:tcPr>
            <w:tcW w:w="1741" w:type="dxa"/>
            <w:vMerge w:val="restart"/>
            <w:vAlign w:val="center"/>
          </w:tcPr>
          <w:p>
            <w:pPr>
              <w:adjustRightInd w:val="0"/>
              <w:snapToGrid w:val="0"/>
              <w:spacing w:line="440" w:lineRule="exact"/>
              <w:jc w:val="center"/>
              <w:rPr>
                <w:rFonts w:ascii="Times New Roman" w:hAnsi="Times New Roman" w:eastAsia="仿宋_GB2312" w:cs="Times New Roman"/>
                <w:color w:val="auto"/>
                <w:sz w:val="24"/>
              </w:rPr>
            </w:pPr>
            <w:r>
              <w:rPr>
                <w:rFonts w:hint="eastAsia" w:ascii="Times New Roman" w:hAnsi="Times New Roman" w:eastAsia="仿宋_GB2312" w:cs="Times New Roman"/>
                <w:color w:val="auto"/>
                <w:sz w:val="24"/>
              </w:rPr>
              <w:t>飞行营地</w:t>
            </w:r>
            <w:r>
              <w:rPr>
                <w:rFonts w:hint="eastAsia" w:ascii="Times New Roman" w:hAnsi="Times New Roman" w:eastAsia="仿宋_GB2312" w:cs="Times New Roman"/>
                <w:color w:val="auto"/>
                <w:sz w:val="24"/>
              </w:rPr>
              <w:br w:type="textWrapping"/>
            </w:r>
            <w:r>
              <w:rPr>
                <w:rFonts w:hint="eastAsia" w:ascii="Times New Roman" w:hAnsi="Times New Roman" w:eastAsia="仿宋_GB2312" w:cs="Times New Roman"/>
                <w:color w:val="auto"/>
                <w:sz w:val="24"/>
              </w:rPr>
              <w:t>（基地）</w:t>
            </w:r>
          </w:p>
        </w:tc>
        <w:tc>
          <w:tcPr>
            <w:tcW w:w="3186" w:type="dxa"/>
            <w:vAlign w:val="center"/>
          </w:tcPr>
          <w:p>
            <w:pPr>
              <w:adjustRightInd w:val="0"/>
              <w:snapToGrid w:val="0"/>
              <w:spacing w:line="440" w:lineRule="exact"/>
              <w:jc w:val="center"/>
              <w:rPr>
                <w:rFonts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szCs w:val="24"/>
              </w:rPr>
              <w:t>峨眉山蒲公英滑翔伞基地</w:t>
            </w:r>
          </w:p>
        </w:tc>
        <w:tc>
          <w:tcPr>
            <w:tcW w:w="2025" w:type="dxa"/>
            <w:vAlign w:val="center"/>
          </w:tcPr>
          <w:p>
            <w:pPr>
              <w:tabs>
                <w:tab w:val="left" w:pos="886"/>
              </w:tabs>
              <w:adjustRightInd w:val="0"/>
              <w:snapToGrid w:val="0"/>
              <w:spacing w:line="440" w:lineRule="exact"/>
              <w:jc w:val="center"/>
              <w:rPr>
                <w:rFonts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szCs w:val="24"/>
              </w:rPr>
              <w:t>峨眉山市</w:t>
            </w:r>
          </w:p>
        </w:tc>
        <w:tc>
          <w:tcPr>
            <w:tcW w:w="5048" w:type="dxa"/>
            <w:vAlign w:val="center"/>
          </w:tcPr>
          <w:p>
            <w:pPr>
              <w:tabs>
                <w:tab w:val="left" w:pos="886"/>
              </w:tabs>
              <w:adjustRightInd w:val="0"/>
              <w:snapToGrid w:val="0"/>
              <w:spacing w:line="440" w:lineRule="exact"/>
              <w:jc w:val="left"/>
              <w:rPr>
                <w:rFonts w:ascii="Times New Roman" w:hAnsi="Times New Roman" w:eastAsia="仿宋_GB2312" w:cs="Times New Roman"/>
                <w:color w:val="auto"/>
                <w:sz w:val="24"/>
              </w:rPr>
            </w:pPr>
            <w:r>
              <w:rPr>
                <w:rFonts w:hint="eastAsia" w:ascii="Times New Roman" w:hAnsi="Times New Roman" w:eastAsia="仿宋_GB2312" w:cs="Times New Roman"/>
                <w:color w:val="auto"/>
                <w:sz w:val="24"/>
              </w:rPr>
              <w:t>占地上千余平方米，滑翔设备完善，具有黄湾本场空域，可保障</w:t>
            </w:r>
            <w:r>
              <w:rPr>
                <w:rFonts w:hint="eastAsia" w:ascii="Times New Roman" w:hAnsi="Times New Roman" w:eastAsia="仿宋_GB2312" w:cs="Times New Roman"/>
                <w:color w:val="auto"/>
                <w:sz w:val="24"/>
                <w:szCs w:val="24"/>
              </w:rPr>
              <w:t>滑翔伞飞行体验、教学培训等低空飞行活动。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5" w:type="dxa"/>
            <w:vAlign w:val="center"/>
          </w:tcPr>
          <w:p>
            <w:pPr>
              <w:adjustRightInd w:val="0"/>
              <w:snapToGrid w:val="0"/>
              <w:spacing w:line="440" w:lineRule="exact"/>
              <w:jc w:val="center"/>
              <w:rPr>
                <w:rFonts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szCs w:val="24"/>
              </w:rPr>
              <w:t>6</w:t>
            </w:r>
          </w:p>
        </w:tc>
        <w:tc>
          <w:tcPr>
            <w:tcW w:w="1741" w:type="dxa"/>
            <w:vMerge w:val="continue"/>
            <w:vAlign w:val="center"/>
          </w:tcPr>
          <w:p>
            <w:pPr>
              <w:adjustRightInd w:val="0"/>
              <w:snapToGrid w:val="0"/>
              <w:spacing w:line="440" w:lineRule="exact"/>
              <w:jc w:val="center"/>
              <w:rPr>
                <w:rFonts w:ascii="Times New Roman" w:hAnsi="Times New Roman" w:eastAsia="仿宋_GB2312" w:cs="Times New Roman"/>
                <w:color w:val="auto"/>
                <w:sz w:val="24"/>
              </w:rPr>
            </w:pPr>
          </w:p>
        </w:tc>
        <w:tc>
          <w:tcPr>
            <w:tcW w:w="3186" w:type="dxa"/>
            <w:vAlign w:val="center"/>
          </w:tcPr>
          <w:p>
            <w:pPr>
              <w:adjustRightInd w:val="0"/>
              <w:snapToGrid w:val="0"/>
              <w:spacing w:line="440" w:lineRule="exact"/>
              <w:jc w:val="center"/>
              <w:rPr>
                <w:rFonts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szCs w:val="24"/>
              </w:rPr>
              <w:t>铜河银滩航模基地</w:t>
            </w:r>
          </w:p>
        </w:tc>
        <w:tc>
          <w:tcPr>
            <w:tcW w:w="2025" w:type="dxa"/>
            <w:vAlign w:val="center"/>
          </w:tcPr>
          <w:p>
            <w:pPr>
              <w:tabs>
                <w:tab w:val="left" w:pos="886"/>
              </w:tabs>
              <w:adjustRightInd w:val="0"/>
              <w:snapToGrid w:val="0"/>
              <w:spacing w:line="440" w:lineRule="exact"/>
              <w:jc w:val="center"/>
              <w:rPr>
                <w:rFonts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szCs w:val="24"/>
              </w:rPr>
              <w:t>沙湾区</w:t>
            </w:r>
          </w:p>
        </w:tc>
        <w:tc>
          <w:tcPr>
            <w:tcW w:w="5048" w:type="dxa"/>
            <w:vAlign w:val="center"/>
          </w:tcPr>
          <w:p>
            <w:pPr>
              <w:tabs>
                <w:tab w:val="left" w:pos="886"/>
              </w:tabs>
              <w:adjustRightInd w:val="0"/>
              <w:snapToGrid w:val="0"/>
              <w:spacing w:line="440" w:lineRule="exact"/>
              <w:jc w:val="left"/>
              <w:rPr>
                <w:rFonts w:ascii="Times New Roman" w:hAnsi="Times New Roman" w:eastAsia="仿宋_GB2312" w:cs="Times New Roman"/>
                <w:color w:val="auto"/>
                <w:sz w:val="24"/>
              </w:rPr>
            </w:pPr>
            <w:r>
              <w:rPr>
                <w:rFonts w:hint="eastAsia" w:ascii="Times New Roman" w:hAnsi="Times New Roman" w:eastAsia="仿宋_GB2312" w:cs="Times New Roman"/>
                <w:color w:val="auto"/>
                <w:sz w:val="24"/>
              </w:rPr>
              <w:t>总占地75亩，包含航模区、汽车模型区、研学旅行区等专业场地，是四川省首个同时具备航模与汽车模型操作场地的户外运动基地。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5" w:type="dxa"/>
            <w:vAlign w:val="center"/>
          </w:tcPr>
          <w:p>
            <w:pPr>
              <w:adjustRightInd w:val="0"/>
              <w:snapToGrid w:val="0"/>
              <w:spacing w:line="440" w:lineRule="exact"/>
              <w:jc w:val="center"/>
              <w:rPr>
                <w:rFonts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szCs w:val="24"/>
              </w:rPr>
              <w:t>7</w:t>
            </w:r>
          </w:p>
        </w:tc>
        <w:tc>
          <w:tcPr>
            <w:tcW w:w="1741" w:type="dxa"/>
            <w:vMerge w:val="restart"/>
            <w:vAlign w:val="center"/>
          </w:tcPr>
          <w:p>
            <w:pPr>
              <w:adjustRightInd w:val="0"/>
              <w:snapToGrid w:val="0"/>
              <w:spacing w:line="440" w:lineRule="exact"/>
              <w:jc w:val="center"/>
              <w:rPr>
                <w:rFonts w:ascii="Times New Roman" w:hAnsi="Times New Roman" w:eastAsia="仿宋_GB2312" w:cs="Times New Roman"/>
                <w:color w:val="auto"/>
                <w:sz w:val="24"/>
              </w:rPr>
            </w:pPr>
            <w:r>
              <w:rPr>
                <w:rFonts w:hint="eastAsia" w:ascii="Times New Roman" w:hAnsi="Times New Roman" w:eastAsia="仿宋_GB2312" w:cs="Times New Roman"/>
                <w:color w:val="auto"/>
                <w:sz w:val="24"/>
              </w:rPr>
              <w:t>临时起降点</w:t>
            </w:r>
          </w:p>
        </w:tc>
        <w:tc>
          <w:tcPr>
            <w:tcW w:w="3186" w:type="dxa"/>
            <w:vAlign w:val="center"/>
          </w:tcPr>
          <w:p>
            <w:pPr>
              <w:adjustRightInd w:val="0"/>
              <w:snapToGrid w:val="0"/>
              <w:spacing w:line="440" w:lineRule="exact"/>
              <w:jc w:val="center"/>
              <w:rPr>
                <w:rFonts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szCs w:val="24"/>
              </w:rPr>
              <w:t>沫若广场</w:t>
            </w:r>
            <w:r>
              <w:rPr>
                <w:rFonts w:hint="eastAsia" w:ascii="Times New Roman" w:hAnsi="Times New Roman" w:eastAsia="仿宋_GB2312" w:cs="Times New Roman"/>
                <w:color w:val="auto"/>
                <w:sz w:val="24"/>
              </w:rPr>
              <w:t>临时起降点</w:t>
            </w:r>
          </w:p>
        </w:tc>
        <w:tc>
          <w:tcPr>
            <w:tcW w:w="2025" w:type="dxa"/>
            <w:vAlign w:val="center"/>
          </w:tcPr>
          <w:p>
            <w:pPr>
              <w:tabs>
                <w:tab w:val="left" w:pos="886"/>
              </w:tabs>
              <w:adjustRightInd w:val="0"/>
              <w:snapToGrid w:val="0"/>
              <w:spacing w:line="440" w:lineRule="exact"/>
              <w:jc w:val="center"/>
              <w:rPr>
                <w:rFonts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szCs w:val="24"/>
              </w:rPr>
              <w:t>沙湾区</w:t>
            </w:r>
          </w:p>
        </w:tc>
        <w:tc>
          <w:tcPr>
            <w:tcW w:w="5048" w:type="dxa"/>
            <w:vAlign w:val="center"/>
          </w:tcPr>
          <w:p>
            <w:pPr>
              <w:tabs>
                <w:tab w:val="left" w:pos="886"/>
              </w:tabs>
              <w:adjustRightInd w:val="0"/>
              <w:snapToGrid w:val="0"/>
              <w:spacing w:line="440" w:lineRule="exact"/>
              <w:jc w:val="left"/>
              <w:rPr>
                <w:rFonts w:ascii="Times New Roman" w:hAnsi="Times New Roman" w:eastAsia="仿宋_GB2312" w:cs="Times New Roman"/>
                <w:color w:val="auto"/>
                <w:sz w:val="24"/>
              </w:rPr>
            </w:pPr>
            <w:r>
              <w:rPr>
                <w:rFonts w:hint="eastAsia" w:ascii="Times New Roman" w:hAnsi="Times New Roman" w:eastAsia="仿宋_GB2312" w:cs="Times New Roman"/>
                <w:color w:val="auto"/>
                <w:sz w:val="24"/>
              </w:rPr>
              <w:t>海拔：406米，场地大小：65m×50m，地面状况：水泥混凝土。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5" w:type="dxa"/>
            <w:vAlign w:val="center"/>
          </w:tcPr>
          <w:p>
            <w:pPr>
              <w:adjustRightInd w:val="0"/>
              <w:snapToGrid w:val="0"/>
              <w:spacing w:line="440" w:lineRule="exact"/>
              <w:jc w:val="center"/>
              <w:rPr>
                <w:rFonts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szCs w:val="24"/>
              </w:rPr>
              <w:t>8</w:t>
            </w:r>
          </w:p>
        </w:tc>
        <w:tc>
          <w:tcPr>
            <w:tcW w:w="1741" w:type="dxa"/>
            <w:vMerge w:val="continue"/>
            <w:vAlign w:val="center"/>
          </w:tcPr>
          <w:p>
            <w:pPr>
              <w:adjustRightInd w:val="0"/>
              <w:snapToGrid w:val="0"/>
              <w:spacing w:line="440" w:lineRule="exact"/>
              <w:jc w:val="center"/>
              <w:rPr>
                <w:rFonts w:ascii="Times New Roman" w:hAnsi="Times New Roman" w:eastAsia="仿宋_GB2312" w:cs="Times New Roman"/>
                <w:color w:val="auto"/>
                <w:sz w:val="24"/>
              </w:rPr>
            </w:pPr>
          </w:p>
        </w:tc>
        <w:tc>
          <w:tcPr>
            <w:tcW w:w="3186" w:type="dxa"/>
            <w:vAlign w:val="center"/>
          </w:tcPr>
          <w:p>
            <w:pPr>
              <w:adjustRightInd w:val="0"/>
              <w:snapToGrid w:val="0"/>
              <w:spacing w:line="440" w:lineRule="exact"/>
              <w:jc w:val="center"/>
              <w:rPr>
                <w:rFonts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szCs w:val="24"/>
              </w:rPr>
              <w:t>葫芦镇驿站</w:t>
            </w:r>
            <w:r>
              <w:rPr>
                <w:rFonts w:hint="eastAsia" w:ascii="Times New Roman" w:hAnsi="Times New Roman" w:eastAsia="仿宋_GB2312" w:cs="Times New Roman"/>
                <w:color w:val="auto"/>
                <w:sz w:val="24"/>
              </w:rPr>
              <w:t>临时起降点</w:t>
            </w:r>
          </w:p>
        </w:tc>
        <w:tc>
          <w:tcPr>
            <w:tcW w:w="2025" w:type="dxa"/>
            <w:vAlign w:val="center"/>
          </w:tcPr>
          <w:p>
            <w:pPr>
              <w:tabs>
                <w:tab w:val="left" w:pos="886"/>
              </w:tabs>
              <w:adjustRightInd w:val="0"/>
              <w:snapToGrid w:val="0"/>
              <w:spacing w:line="440" w:lineRule="exact"/>
              <w:jc w:val="center"/>
              <w:rPr>
                <w:rFonts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szCs w:val="24"/>
              </w:rPr>
              <w:t>沙湾区</w:t>
            </w:r>
          </w:p>
        </w:tc>
        <w:tc>
          <w:tcPr>
            <w:tcW w:w="5048" w:type="dxa"/>
            <w:vAlign w:val="center"/>
          </w:tcPr>
          <w:p>
            <w:pPr>
              <w:tabs>
                <w:tab w:val="left" w:pos="886"/>
              </w:tabs>
              <w:adjustRightInd w:val="0"/>
              <w:snapToGrid w:val="0"/>
              <w:spacing w:line="440" w:lineRule="exact"/>
              <w:jc w:val="left"/>
              <w:rPr>
                <w:rFonts w:ascii="Times New Roman" w:hAnsi="Times New Roman" w:eastAsia="仿宋_GB2312" w:cs="Times New Roman"/>
                <w:color w:val="auto"/>
                <w:sz w:val="24"/>
              </w:rPr>
            </w:pPr>
            <w:r>
              <w:rPr>
                <w:rFonts w:hint="eastAsia" w:ascii="Times New Roman" w:hAnsi="Times New Roman" w:eastAsia="仿宋_GB2312" w:cs="Times New Roman"/>
                <w:color w:val="auto"/>
                <w:sz w:val="24"/>
              </w:rPr>
              <w:t>海拔：423.3米，场地大小：80m×40m，地面状况：水泥混凝土。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5" w:type="dxa"/>
            <w:vAlign w:val="center"/>
          </w:tcPr>
          <w:p>
            <w:pPr>
              <w:adjustRightInd w:val="0"/>
              <w:snapToGrid w:val="0"/>
              <w:spacing w:line="440" w:lineRule="exact"/>
              <w:jc w:val="center"/>
              <w:rPr>
                <w:rFonts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szCs w:val="24"/>
              </w:rPr>
              <w:t>9</w:t>
            </w:r>
          </w:p>
        </w:tc>
        <w:tc>
          <w:tcPr>
            <w:tcW w:w="1741" w:type="dxa"/>
            <w:vMerge w:val="continue"/>
            <w:vAlign w:val="center"/>
          </w:tcPr>
          <w:p>
            <w:pPr>
              <w:adjustRightInd w:val="0"/>
              <w:snapToGrid w:val="0"/>
              <w:spacing w:line="440" w:lineRule="exact"/>
              <w:jc w:val="center"/>
              <w:rPr>
                <w:rFonts w:ascii="Times New Roman" w:hAnsi="Times New Roman" w:eastAsia="仿宋_GB2312" w:cs="Times New Roman"/>
                <w:color w:val="auto"/>
                <w:sz w:val="24"/>
              </w:rPr>
            </w:pPr>
          </w:p>
        </w:tc>
        <w:tc>
          <w:tcPr>
            <w:tcW w:w="3186" w:type="dxa"/>
            <w:vAlign w:val="center"/>
          </w:tcPr>
          <w:p>
            <w:pPr>
              <w:adjustRightInd w:val="0"/>
              <w:snapToGrid w:val="0"/>
              <w:spacing w:line="440" w:lineRule="exact"/>
              <w:jc w:val="center"/>
              <w:rPr>
                <w:rFonts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szCs w:val="24"/>
              </w:rPr>
              <w:t>沙湾镇山水世界</w:t>
            </w:r>
            <w:r>
              <w:rPr>
                <w:rFonts w:hint="eastAsia" w:ascii="Times New Roman" w:hAnsi="Times New Roman" w:eastAsia="仿宋_GB2312" w:cs="Times New Roman"/>
                <w:color w:val="auto"/>
                <w:sz w:val="24"/>
              </w:rPr>
              <w:t>临时起降点</w:t>
            </w:r>
          </w:p>
        </w:tc>
        <w:tc>
          <w:tcPr>
            <w:tcW w:w="2025" w:type="dxa"/>
            <w:vAlign w:val="center"/>
          </w:tcPr>
          <w:p>
            <w:pPr>
              <w:tabs>
                <w:tab w:val="left" w:pos="886"/>
              </w:tabs>
              <w:adjustRightInd w:val="0"/>
              <w:snapToGrid w:val="0"/>
              <w:spacing w:line="440" w:lineRule="exact"/>
              <w:jc w:val="center"/>
              <w:rPr>
                <w:rFonts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szCs w:val="24"/>
              </w:rPr>
              <w:t>沙湾区</w:t>
            </w:r>
          </w:p>
        </w:tc>
        <w:tc>
          <w:tcPr>
            <w:tcW w:w="5048" w:type="dxa"/>
            <w:vAlign w:val="center"/>
          </w:tcPr>
          <w:p>
            <w:pPr>
              <w:tabs>
                <w:tab w:val="left" w:pos="886"/>
              </w:tabs>
              <w:adjustRightInd w:val="0"/>
              <w:snapToGrid w:val="0"/>
              <w:spacing w:line="440" w:lineRule="exact"/>
              <w:jc w:val="left"/>
              <w:rPr>
                <w:rFonts w:ascii="Times New Roman" w:hAnsi="Times New Roman" w:eastAsia="仿宋_GB2312" w:cs="Times New Roman"/>
                <w:color w:val="auto"/>
                <w:sz w:val="24"/>
              </w:rPr>
            </w:pPr>
            <w:r>
              <w:rPr>
                <w:rFonts w:hint="eastAsia" w:ascii="Times New Roman" w:hAnsi="Times New Roman" w:eastAsia="仿宋_GB2312" w:cs="Times New Roman"/>
                <w:color w:val="auto"/>
                <w:sz w:val="24"/>
              </w:rPr>
              <w:t>海拔：1066.9米，场地大小：49m×24m，地面状况：泥结石。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5" w:type="dxa"/>
            <w:vAlign w:val="center"/>
          </w:tcPr>
          <w:p>
            <w:pPr>
              <w:adjustRightInd w:val="0"/>
              <w:snapToGrid w:val="0"/>
              <w:spacing w:line="440" w:lineRule="exact"/>
              <w:jc w:val="center"/>
              <w:rPr>
                <w:rFonts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szCs w:val="24"/>
              </w:rPr>
              <w:t>10</w:t>
            </w:r>
          </w:p>
        </w:tc>
        <w:tc>
          <w:tcPr>
            <w:tcW w:w="1741" w:type="dxa"/>
            <w:vMerge w:val="continue"/>
            <w:vAlign w:val="center"/>
          </w:tcPr>
          <w:p>
            <w:pPr>
              <w:adjustRightInd w:val="0"/>
              <w:snapToGrid w:val="0"/>
              <w:spacing w:line="440" w:lineRule="exact"/>
              <w:jc w:val="center"/>
              <w:rPr>
                <w:rFonts w:ascii="Times New Roman" w:hAnsi="Times New Roman" w:eastAsia="仿宋_GB2312" w:cs="Times New Roman"/>
                <w:color w:val="auto"/>
                <w:sz w:val="24"/>
              </w:rPr>
            </w:pPr>
          </w:p>
        </w:tc>
        <w:tc>
          <w:tcPr>
            <w:tcW w:w="3186" w:type="dxa"/>
            <w:vAlign w:val="center"/>
          </w:tcPr>
          <w:p>
            <w:pPr>
              <w:adjustRightInd w:val="0"/>
              <w:snapToGrid w:val="0"/>
              <w:spacing w:line="440" w:lineRule="exact"/>
              <w:jc w:val="center"/>
              <w:rPr>
                <w:rFonts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szCs w:val="24"/>
              </w:rPr>
              <w:t>马边红旗广场临时起降点</w:t>
            </w:r>
          </w:p>
        </w:tc>
        <w:tc>
          <w:tcPr>
            <w:tcW w:w="2025" w:type="dxa"/>
            <w:vAlign w:val="center"/>
          </w:tcPr>
          <w:p>
            <w:pPr>
              <w:tabs>
                <w:tab w:val="left" w:pos="886"/>
              </w:tabs>
              <w:adjustRightInd w:val="0"/>
              <w:snapToGrid w:val="0"/>
              <w:spacing w:line="440" w:lineRule="exact"/>
              <w:jc w:val="center"/>
              <w:rPr>
                <w:rFonts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szCs w:val="24"/>
              </w:rPr>
              <w:t>马边彝族自治县</w:t>
            </w:r>
          </w:p>
        </w:tc>
        <w:tc>
          <w:tcPr>
            <w:tcW w:w="5048" w:type="dxa"/>
            <w:vAlign w:val="center"/>
          </w:tcPr>
          <w:p>
            <w:pPr>
              <w:tabs>
                <w:tab w:val="left" w:pos="886"/>
              </w:tabs>
              <w:adjustRightInd w:val="0"/>
              <w:snapToGrid w:val="0"/>
              <w:spacing w:line="440" w:lineRule="exact"/>
              <w:jc w:val="left"/>
              <w:rPr>
                <w:rFonts w:ascii="Times New Roman" w:hAnsi="Times New Roman" w:eastAsia="仿宋_GB2312" w:cs="Times New Roman"/>
                <w:color w:val="auto"/>
                <w:sz w:val="24"/>
              </w:rPr>
            </w:pPr>
            <w:r>
              <w:rPr>
                <w:rFonts w:hint="eastAsia" w:ascii="Times New Roman" w:hAnsi="Times New Roman" w:eastAsia="仿宋_GB2312" w:cs="Times New Roman"/>
                <w:color w:val="auto"/>
                <w:sz w:val="24"/>
              </w:rPr>
              <w:t>具备直升机起降条件，可用于短途运输、应急救援、医疗救护等。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5" w:type="dxa"/>
            <w:vAlign w:val="center"/>
          </w:tcPr>
          <w:p>
            <w:pPr>
              <w:adjustRightInd w:val="0"/>
              <w:snapToGrid w:val="0"/>
              <w:spacing w:line="440" w:lineRule="exact"/>
              <w:jc w:val="center"/>
              <w:rPr>
                <w:rFonts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szCs w:val="24"/>
              </w:rPr>
              <w:t>11</w:t>
            </w:r>
          </w:p>
        </w:tc>
        <w:tc>
          <w:tcPr>
            <w:tcW w:w="1741" w:type="dxa"/>
            <w:vMerge w:val="continue"/>
            <w:vAlign w:val="center"/>
          </w:tcPr>
          <w:p>
            <w:pPr>
              <w:adjustRightInd w:val="0"/>
              <w:snapToGrid w:val="0"/>
              <w:spacing w:line="440" w:lineRule="exact"/>
              <w:jc w:val="center"/>
              <w:rPr>
                <w:rFonts w:ascii="Times New Roman" w:hAnsi="Times New Roman" w:eastAsia="仿宋_GB2312" w:cs="Times New Roman"/>
                <w:color w:val="auto"/>
                <w:sz w:val="24"/>
              </w:rPr>
            </w:pPr>
          </w:p>
        </w:tc>
        <w:tc>
          <w:tcPr>
            <w:tcW w:w="3186" w:type="dxa"/>
            <w:vAlign w:val="center"/>
          </w:tcPr>
          <w:p>
            <w:pPr>
              <w:adjustRightInd w:val="0"/>
              <w:snapToGrid w:val="0"/>
              <w:spacing w:line="440" w:lineRule="exact"/>
              <w:jc w:val="center"/>
              <w:rPr>
                <w:rFonts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szCs w:val="24"/>
              </w:rPr>
              <w:t>峨边黑竹沟景区临时起降点</w:t>
            </w:r>
          </w:p>
        </w:tc>
        <w:tc>
          <w:tcPr>
            <w:tcW w:w="2025" w:type="dxa"/>
            <w:vAlign w:val="center"/>
          </w:tcPr>
          <w:p>
            <w:pPr>
              <w:tabs>
                <w:tab w:val="left" w:pos="886"/>
              </w:tabs>
              <w:adjustRightInd w:val="0"/>
              <w:snapToGrid w:val="0"/>
              <w:spacing w:line="440" w:lineRule="exact"/>
              <w:jc w:val="center"/>
              <w:rPr>
                <w:rFonts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szCs w:val="24"/>
              </w:rPr>
              <w:t>峨边彝族自治县</w:t>
            </w:r>
          </w:p>
        </w:tc>
        <w:tc>
          <w:tcPr>
            <w:tcW w:w="5048" w:type="dxa"/>
            <w:vAlign w:val="center"/>
          </w:tcPr>
          <w:p>
            <w:pPr>
              <w:tabs>
                <w:tab w:val="left" w:pos="886"/>
              </w:tabs>
              <w:adjustRightInd w:val="0"/>
              <w:snapToGrid w:val="0"/>
              <w:spacing w:line="440" w:lineRule="exact"/>
              <w:jc w:val="left"/>
              <w:rPr>
                <w:rFonts w:ascii="Times New Roman" w:hAnsi="Times New Roman" w:eastAsia="仿宋_GB2312" w:cs="Times New Roman"/>
                <w:color w:val="auto"/>
                <w:sz w:val="24"/>
              </w:rPr>
            </w:pPr>
            <w:r>
              <w:rPr>
                <w:rFonts w:hint="eastAsia" w:ascii="Times New Roman" w:hAnsi="Times New Roman" w:eastAsia="仿宋_GB2312" w:cs="Times New Roman"/>
                <w:color w:val="auto"/>
                <w:sz w:val="24"/>
              </w:rPr>
              <w:t>具备直升机起降条件，可用于短途运输、应急救援、医疗救护等。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5" w:type="dxa"/>
            <w:vAlign w:val="center"/>
          </w:tcPr>
          <w:p>
            <w:pPr>
              <w:adjustRightInd w:val="0"/>
              <w:snapToGrid w:val="0"/>
              <w:spacing w:line="440" w:lineRule="exact"/>
              <w:jc w:val="center"/>
              <w:rPr>
                <w:rFonts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szCs w:val="24"/>
              </w:rPr>
              <w:t>12</w:t>
            </w:r>
          </w:p>
        </w:tc>
        <w:tc>
          <w:tcPr>
            <w:tcW w:w="1741" w:type="dxa"/>
            <w:vMerge w:val="continue"/>
            <w:vAlign w:val="center"/>
          </w:tcPr>
          <w:p>
            <w:pPr>
              <w:adjustRightInd w:val="0"/>
              <w:snapToGrid w:val="0"/>
              <w:spacing w:line="440" w:lineRule="exact"/>
              <w:jc w:val="center"/>
              <w:rPr>
                <w:rFonts w:ascii="Times New Roman" w:hAnsi="Times New Roman" w:eastAsia="仿宋_GB2312" w:cs="Times New Roman"/>
                <w:color w:val="auto"/>
                <w:sz w:val="24"/>
              </w:rPr>
            </w:pPr>
          </w:p>
        </w:tc>
        <w:tc>
          <w:tcPr>
            <w:tcW w:w="3186" w:type="dxa"/>
            <w:vAlign w:val="center"/>
          </w:tcPr>
          <w:p>
            <w:pPr>
              <w:adjustRightInd w:val="0"/>
              <w:snapToGrid w:val="0"/>
              <w:spacing w:line="440" w:lineRule="exact"/>
              <w:jc w:val="center"/>
              <w:rPr>
                <w:rFonts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szCs w:val="24"/>
              </w:rPr>
              <w:t>市中心天街临时起降点</w:t>
            </w:r>
          </w:p>
        </w:tc>
        <w:tc>
          <w:tcPr>
            <w:tcW w:w="2025" w:type="dxa"/>
            <w:vAlign w:val="center"/>
          </w:tcPr>
          <w:p>
            <w:pPr>
              <w:tabs>
                <w:tab w:val="left" w:pos="886"/>
              </w:tabs>
              <w:adjustRightInd w:val="0"/>
              <w:snapToGrid w:val="0"/>
              <w:spacing w:line="440" w:lineRule="exact"/>
              <w:jc w:val="center"/>
              <w:rPr>
                <w:rFonts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szCs w:val="24"/>
              </w:rPr>
              <w:t>市中区</w:t>
            </w:r>
          </w:p>
        </w:tc>
        <w:tc>
          <w:tcPr>
            <w:tcW w:w="5048" w:type="dxa"/>
            <w:vAlign w:val="center"/>
          </w:tcPr>
          <w:p>
            <w:pPr>
              <w:tabs>
                <w:tab w:val="left" w:pos="886"/>
              </w:tabs>
              <w:adjustRightInd w:val="0"/>
              <w:snapToGrid w:val="0"/>
              <w:spacing w:line="440" w:lineRule="exact"/>
              <w:jc w:val="left"/>
              <w:rPr>
                <w:rFonts w:ascii="Times New Roman" w:hAnsi="Times New Roman" w:eastAsia="仿宋_GB2312" w:cs="Times New Roman"/>
                <w:color w:val="auto"/>
                <w:sz w:val="24"/>
              </w:rPr>
            </w:pPr>
            <w:r>
              <w:rPr>
                <w:rFonts w:hint="eastAsia" w:ascii="Times New Roman" w:hAnsi="Times New Roman" w:eastAsia="仿宋_GB2312" w:cs="Times New Roman"/>
                <w:color w:val="auto"/>
                <w:sz w:val="24"/>
              </w:rPr>
              <w:t>具备直升机起降条件，可用于短途运输、应急救援、医疗救护等。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45" w:type="dxa"/>
            <w:gridSpan w:val="5"/>
            <w:vAlign w:val="center"/>
          </w:tcPr>
          <w:p>
            <w:pPr>
              <w:adjustRightInd w:val="0"/>
              <w:snapToGrid w:val="0"/>
              <w:spacing w:line="440" w:lineRule="exact"/>
              <w:jc w:val="left"/>
              <w:rPr>
                <w:rFonts w:ascii="Times New Roman" w:hAnsi="Times New Roman" w:eastAsia="仿宋_GB2312" w:cs="Times New Roman"/>
                <w:color w:val="auto"/>
                <w:sz w:val="24"/>
              </w:rPr>
            </w:pPr>
            <w:r>
              <w:rPr>
                <w:rFonts w:hint="eastAsia" w:ascii="Times New Roman" w:hAnsi="Times New Roman" w:eastAsia="黑体" w:cs="Times New Roman"/>
                <w:color w:val="auto"/>
                <w:kern w:val="0"/>
                <w:sz w:val="24"/>
                <w:szCs w:val="24"/>
                <w:lang w:bidi="ar"/>
              </w:rPr>
              <w:t>二、产业园区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5" w:type="dxa"/>
            <w:vAlign w:val="center"/>
          </w:tcPr>
          <w:p>
            <w:pPr>
              <w:adjustRightInd w:val="0"/>
              <w:snapToGrid w:val="0"/>
              <w:spacing w:line="440" w:lineRule="exact"/>
              <w:jc w:val="center"/>
              <w:rPr>
                <w:rFonts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szCs w:val="24"/>
              </w:rPr>
              <w:t>1</w:t>
            </w:r>
          </w:p>
        </w:tc>
        <w:tc>
          <w:tcPr>
            <w:tcW w:w="1741" w:type="dxa"/>
            <w:vAlign w:val="center"/>
          </w:tcPr>
          <w:p>
            <w:pPr>
              <w:adjustRightInd w:val="0"/>
              <w:snapToGrid w:val="0"/>
              <w:spacing w:line="440" w:lineRule="exact"/>
              <w:jc w:val="center"/>
              <w:rPr>
                <w:rFonts w:ascii="Times New Roman" w:hAnsi="Times New Roman" w:eastAsia="仿宋_GB2312" w:cs="Times New Roman"/>
                <w:color w:val="auto"/>
                <w:sz w:val="24"/>
              </w:rPr>
            </w:pPr>
            <w:r>
              <w:rPr>
                <w:rFonts w:hint="eastAsia" w:ascii="Times New Roman" w:hAnsi="Times New Roman" w:eastAsia="仿宋_GB2312" w:cs="Times New Roman"/>
                <w:color w:val="auto"/>
                <w:sz w:val="24"/>
              </w:rPr>
              <w:t>国家级开发区</w:t>
            </w:r>
          </w:p>
        </w:tc>
        <w:tc>
          <w:tcPr>
            <w:tcW w:w="3186" w:type="dxa"/>
            <w:vAlign w:val="center"/>
          </w:tcPr>
          <w:p>
            <w:pPr>
              <w:adjustRightInd w:val="0"/>
              <w:snapToGrid w:val="0"/>
              <w:spacing w:line="440" w:lineRule="exact"/>
              <w:jc w:val="center"/>
              <w:rPr>
                <w:rFonts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szCs w:val="24"/>
              </w:rPr>
              <w:t>乐山高新技术产业开发区</w:t>
            </w:r>
          </w:p>
        </w:tc>
        <w:tc>
          <w:tcPr>
            <w:tcW w:w="2025" w:type="dxa"/>
            <w:vAlign w:val="center"/>
          </w:tcPr>
          <w:p>
            <w:pPr>
              <w:tabs>
                <w:tab w:val="left" w:pos="886"/>
              </w:tabs>
              <w:adjustRightInd w:val="0"/>
              <w:snapToGrid w:val="0"/>
              <w:spacing w:line="440" w:lineRule="exact"/>
              <w:jc w:val="center"/>
              <w:rPr>
                <w:rFonts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szCs w:val="24"/>
              </w:rPr>
              <w:t>高新区</w:t>
            </w:r>
          </w:p>
        </w:tc>
        <w:tc>
          <w:tcPr>
            <w:tcW w:w="5048" w:type="dxa"/>
            <w:vAlign w:val="center"/>
          </w:tcPr>
          <w:p>
            <w:pPr>
              <w:tabs>
                <w:tab w:val="left" w:pos="886"/>
              </w:tabs>
              <w:adjustRightInd w:val="0"/>
              <w:snapToGrid w:val="0"/>
              <w:spacing w:line="440" w:lineRule="exact"/>
              <w:jc w:val="left"/>
              <w:rPr>
                <w:rFonts w:ascii="Times New Roman" w:hAnsi="Times New Roman" w:eastAsia="仿宋_GB2312" w:cs="Times New Roman"/>
                <w:color w:val="auto"/>
                <w:sz w:val="24"/>
              </w:rPr>
            </w:pPr>
            <w:r>
              <w:rPr>
                <w:rFonts w:hint="eastAsia" w:ascii="Times New Roman" w:hAnsi="Times New Roman" w:eastAsia="仿宋_GB2312" w:cs="Times New Roman"/>
                <w:color w:val="auto"/>
                <w:sz w:val="24"/>
              </w:rPr>
              <w:t>位于乐山中心城区的南面，与乐山大佛隔江相望，区位优势突出，吸引了一大批高科技企业和项目聚集，形成了以能源电子、装备制造、新能源新材料等为主的高新技术产业体系，完成了“四园一区”的产业布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5" w:type="dxa"/>
            <w:vAlign w:val="center"/>
          </w:tcPr>
          <w:p>
            <w:pPr>
              <w:adjustRightInd w:val="0"/>
              <w:snapToGrid w:val="0"/>
              <w:spacing w:line="440" w:lineRule="exact"/>
              <w:jc w:val="center"/>
              <w:rPr>
                <w:rFonts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szCs w:val="24"/>
              </w:rPr>
              <w:t>2</w:t>
            </w:r>
          </w:p>
        </w:tc>
        <w:tc>
          <w:tcPr>
            <w:tcW w:w="1741" w:type="dxa"/>
            <w:vAlign w:val="center"/>
          </w:tcPr>
          <w:p>
            <w:pPr>
              <w:adjustRightInd w:val="0"/>
              <w:snapToGrid w:val="0"/>
              <w:spacing w:line="440" w:lineRule="exact"/>
              <w:jc w:val="center"/>
              <w:rPr>
                <w:rFonts w:ascii="Times New Roman" w:hAnsi="Times New Roman" w:eastAsia="仿宋_GB2312" w:cs="Times New Roman"/>
                <w:color w:val="auto"/>
                <w:sz w:val="24"/>
              </w:rPr>
            </w:pPr>
            <w:r>
              <w:rPr>
                <w:rFonts w:hint="eastAsia" w:ascii="Times New Roman" w:hAnsi="Times New Roman" w:eastAsia="仿宋_GB2312" w:cs="Times New Roman"/>
                <w:color w:val="auto"/>
                <w:sz w:val="24"/>
              </w:rPr>
              <w:t>省级开发区</w:t>
            </w:r>
          </w:p>
        </w:tc>
        <w:tc>
          <w:tcPr>
            <w:tcW w:w="3186" w:type="dxa"/>
            <w:vAlign w:val="center"/>
          </w:tcPr>
          <w:p>
            <w:pPr>
              <w:adjustRightInd w:val="0"/>
              <w:snapToGrid w:val="0"/>
              <w:spacing w:line="440" w:lineRule="exact"/>
              <w:jc w:val="center"/>
              <w:rPr>
                <w:rFonts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szCs w:val="24"/>
              </w:rPr>
              <w:t>四川犍为经济开发区</w:t>
            </w:r>
          </w:p>
        </w:tc>
        <w:tc>
          <w:tcPr>
            <w:tcW w:w="2025" w:type="dxa"/>
            <w:vAlign w:val="center"/>
          </w:tcPr>
          <w:p>
            <w:pPr>
              <w:tabs>
                <w:tab w:val="left" w:pos="886"/>
              </w:tabs>
              <w:adjustRightInd w:val="0"/>
              <w:snapToGrid w:val="0"/>
              <w:spacing w:line="440" w:lineRule="exact"/>
              <w:jc w:val="center"/>
              <w:rPr>
                <w:rFonts w:ascii="Times New Roman" w:hAnsi="Times New Roman" w:eastAsia="仿宋_GB2312" w:cs="Times New Roman"/>
                <w:color w:val="auto"/>
                <w:sz w:val="24"/>
              </w:rPr>
            </w:pPr>
            <w:r>
              <w:rPr>
                <w:rFonts w:hint="eastAsia" w:ascii="Times New Roman" w:hAnsi="Times New Roman" w:eastAsia="仿宋_GB2312" w:cs="Times New Roman"/>
                <w:color w:val="auto"/>
                <w:sz w:val="24"/>
                <w:szCs w:val="24"/>
              </w:rPr>
              <w:t>犍为县</w:t>
            </w:r>
          </w:p>
        </w:tc>
        <w:tc>
          <w:tcPr>
            <w:tcW w:w="5048" w:type="dxa"/>
            <w:vAlign w:val="center"/>
          </w:tcPr>
          <w:p>
            <w:pPr>
              <w:tabs>
                <w:tab w:val="left" w:pos="886"/>
              </w:tabs>
              <w:adjustRightInd w:val="0"/>
              <w:snapToGrid w:val="0"/>
              <w:spacing w:line="440" w:lineRule="exact"/>
              <w:jc w:val="left"/>
              <w:rPr>
                <w:rFonts w:ascii="Times New Roman" w:hAnsi="Times New Roman" w:eastAsia="仿宋_GB2312" w:cs="Times New Roman"/>
                <w:color w:val="auto"/>
                <w:sz w:val="24"/>
              </w:rPr>
            </w:pPr>
            <w:r>
              <w:rPr>
                <w:rFonts w:hint="eastAsia" w:ascii="Times New Roman" w:hAnsi="Times New Roman" w:eastAsia="仿宋_GB2312" w:cs="Times New Roman"/>
                <w:color w:val="auto"/>
                <w:sz w:val="24"/>
              </w:rPr>
              <w:t>2025年规划面积扩展至24.245平方公里，形成石马坝、机场坝、孝姑、新民四大功能组团。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5" w:type="dxa"/>
            <w:vAlign w:val="center"/>
          </w:tcPr>
          <w:p>
            <w:pPr>
              <w:adjustRightInd w:val="0"/>
              <w:snapToGrid w:val="0"/>
              <w:spacing w:line="440" w:lineRule="exact"/>
              <w:jc w:val="center"/>
              <w:rPr>
                <w:rFonts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szCs w:val="24"/>
              </w:rPr>
              <w:t>3</w:t>
            </w:r>
          </w:p>
        </w:tc>
        <w:tc>
          <w:tcPr>
            <w:tcW w:w="1741" w:type="dxa"/>
            <w:vAlign w:val="center"/>
          </w:tcPr>
          <w:p>
            <w:pPr>
              <w:adjustRightInd w:val="0"/>
              <w:snapToGrid w:val="0"/>
              <w:spacing w:line="440" w:lineRule="exact"/>
              <w:jc w:val="center"/>
              <w:rPr>
                <w:rFonts w:ascii="Times New Roman" w:hAnsi="Times New Roman" w:eastAsia="仿宋_GB2312" w:cs="Times New Roman"/>
                <w:color w:val="auto"/>
                <w:sz w:val="24"/>
              </w:rPr>
            </w:pPr>
            <w:r>
              <w:rPr>
                <w:rFonts w:hint="eastAsia" w:ascii="Times New Roman" w:hAnsi="Times New Roman" w:eastAsia="仿宋_GB2312" w:cs="Times New Roman"/>
                <w:color w:val="auto"/>
                <w:sz w:val="24"/>
              </w:rPr>
              <w:t>省级开发区</w:t>
            </w:r>
          </w:p>
        </w:tc>
        <w:tc>
          <w:tcPr>
            <w:tcW w:w="3186" w:type="dxa"/>
            <w:vAlign w:val="center"/>
          </w:tcPr>
          <w:p>
            <w:pPr>
              <w:adjustRightInd w:val="0"/>
              <w:snapToGrid w:val="0"/>
              <w:spacing w:line="440" w:lineRule="exact"/>
              <w:jc w:val="center"/>
              <w:rPr>
                <w:rFonts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szCs w:val="24"/>
              </w:rPr>
              <w:t>夹江经开区先进材料产业园区</w:t>
            </w:r>
          </w:p>
        </w:tc>
        <w:tc>
          <w:tcPr>
            <w:tcW w:w="2025" w:type="dxa"/>
            <w:vAlign w:val="center"/>
          </w:tcPr>
          <w:p>
            <w:pPr>
              <w:tabs>
                <w:tab w:val="left" w:pos="886"/>
              </w:tabs>
              <w:adjustRightInd w:val="0"/>
              <w:snapToGrid w:val="0"/>
              <w:spacing w:line="440" w:lineRule="exact"/>
              <w:jc w:val="center"/>
              <w:rPr>
                <w:rFonts w:ascii="Times New Roman" w:hAnsi="Times New Roman" w:eastAsia="仿宋_GB2312" w:cs="Times New Roman"/>
                <w:color w:val="auto"/>
                <w:sz w:val="24"/>
              </w:rPr>
            </w:pPr>
            <w:r>
              <w:rPr>
                <w:rFonts w:hint="eastAsia" w:ascii="Times New Roman" w:hAnsi="Times New Roman" w:eastAsia="仿宋_GB2312" w:cs="Times New Roman"/>
                <w:color w:val="auto"/>
                <w:sz w:val="24"/>
                <w:szCs w:val="24"/>
              </w:rPr>
              <w:t>夹江县</w:t>
            </w:r>
          </w:p>
        </w:tc>
        <w:tc>
          <w:tcPr>
            <w:tcW w:w="5048" w:type="dxa"/>
            <w:vAlign w:val="center"/>
          </w:tcPr>
          <w:p>
            <w:pPr>
              <w:tabs>
                <w:tab w:val="left" w:pos="886"/>
              </w:tabs>
              <w:adjustRightInd w:val="0"/>
              <w:snapToGrid w:val="0"/>
              <w:spacing w:line="440" w:lineRule="exact"/>
              <w:jc w:val="left"/>
              <w:rPr>
                <w:rFonts w:ascii="Times New Roman" w:hAnsi="Times New Roman" w:eastAsia="仿宋_GB2312" w:cs="Times New Roman"/>
                <w:color w:val="auto"/>
                <w:sz w:val="24"/>
              </w:rPr>
            </w:pPr>
            <w:r>
              <w:rPr>
                <w:rFonts w:hint="eastAsia" w:ascii="Times New Roman" w:hAnsi="Times New Roman" w:eastAsia="仿宋_GB2312" w:cs="Times New Roman"/>
                <w:color w:val="auto"/>
                <w:sz w:val="24"/>
              </w:rPr>
              <w:t>规划面积13.5平方公里，紧邻成乐高速新场出口，属成都1小时经济圈范畴，距成昆铁路乐山站8公里，距乐山高铁站28公里。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5" w:type="dxa"/>
            <w:vAlign w:val="center"/>
          </w:tcPr>
          <w:p>
            <w:pPr>
              <w:adjustRightInd w:val="0"/>
              <w:snapToGrid w:val="0"/>
              <w:spacing w:line="440" w:lineRule="exact"/>
              <w:jc w:val="center"/>
              <w:rPr>
                <w:rFonts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szCs w:val="24"/>
              </w:rPr>
              <w:t>4</w:t>
            </w:r>
          </w:p>
        </w:tc>
        <w:tc>
          <w:tcPr>
            <w:tcW w:w="174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40" w:lineRule="exact"/>
              <w:jc w:val="center"/>
              <w:rPr>
                <w:rFonts w:ascii="Times New Roman" w:hAnsi="Times New Roman" w:eastAsia="仿宋_GB2312" w:cs="Times New Roman"/>
                <w:color w:val="auto"/>
                <w:sz w:val="24"/>
              </w:rPr>
            </w:pPr>
            <w:r>
              <w:rPr>
                <w:rFonts w:hint="eastAsia" w:ascii="仿宋_GB2312" w:hAnsi="Times New Roman" w:eastAsia="仿宋_GB2312"/>
                <w:color w:val="auto"/>
                <w:sz w:val="24"/>
                <w:szCs w:val="24"/>
              </w:rPr>
              <w:t>省级开发区</w:t>
            </w:r>
          </w:p>
        </w:tc>
        <w:tc>
          <w:tcPr>
            <w:tcW w:w="318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40" w:lineRule="exact"/>
              <w:jc w:val="center"/>
              <w:rPr>
                <w:rFonts w:ascii="Times New Roman" w:hAnsi="Times New Roman" w:eastAsia="仿宋_GB2312" w:cs="Times New Roman"/>
                <w:color w:val="auto"/>
                <w:sz w:val="24"/>
                <w:szCs w:val="24"/>
              </w:rPr>
            </w:pPr>
            <w:r>
              <w:rPr>
                <w:rFonts w:hint="eastAsia" w:ascii="仿宋" w:hAnsi="仿宋" w:eastAsia="仿宋"/>
                <w:color w:val="auto"/>
                <w:kern w:val="21"/>
                <w:sz w:val="24"/>
                <w:szCs w:val="24"/>
              </w:rPr>
              <w:t>四川乐山沙湾经济开发区</w:t>
            </w:r>
          </w:p>
        </w:tc>
        <w:tc>
          <w:tcPr>
            <w:tcW w:w="2025" w:type="dxa"/>
            <w:tcBorders>
              <w:top w:val="single" w:color="auto" w:sz="4" w:space="0"/>
              <w:left w:val="single" w:color="auto" w:sz="4" w:space="0"/>
              <w:bottom w:val="single" w:color="auto" w:sz="4" w:space="0"/>
              <w:right w:val="single" w:color="auto" w:sz="4" w:space="0"/>
            </w:tcBorders>
            <w:vAlign w:val="center"/>
          </w:tcPr>
          <w:p>
            <w:pPr>
              <w:tabs>
                <w:tab w:val="left" w:pos="886"/>
              </w:tabs>
              <w:adjustRightInd w:val="0"/>
              <w:snapToGrid w:val="0"/>
              <w:spacing w:line="440" w:lineRule="exact"/>
              <w:jc w:val="center"/>
              <w:rPr>
                <w:rFonts w:ascii="Times New Roman" w:hAnsi="Times New Roman" w:eastAsia="仿宋_GB2312" w:cs="Times New Roman"/>
                <w:color w:val="auto"/>
                <w:sz w:val="24"/>
                <w:szCs w:val="24"/>
              </w:rPr>
            </w:pPr>
            <w:r>
              <w:rPr>
                <w:rFonts w:hint="eastAsia" w:ascii="仿宋_GB2312" w:hAnsi="Times New Roman" w:eastAsia="仿宋_GB2312"/>
                <w:color w:val="auto"/>
                <w:sz w:val="24"/>
                <w:szCs w:val="24"/>
              </w:rPr>
              <w:t>沙湾区</w:t>
            </w:r>
          </w:p>
        </w:tc>
        <w:tc>
          <w:tcPr>
            <w:tcW w:w="5048" w:type="dxa"/>
            <w:tcBorders>
              <w:top w:val="single" w:color="auto" w:sz="4" w:space="0"/>
              <w:left w:val="single" w:color="auto" w:sz="4" w:space="0"/>
              <w:bottom w:val="single" w:color="auto" w:sz="4" w:space="0"/>
              <w:right w:val="single" w:color="auto" w:sz="4" w:space="0"/>
            </w:tcBorders>
            <w:vAlign w:val="center"/>
          </w:tcPr>
          <w:p>
            <w:pPr>
              <w:tabs>
                <w:tab w:val="left" w:pos="886"/>
              </w:tabs>
              <w:adjustRightInd w:val="0"/>
              <w:snapToGrid w:val="0"/>
              <w:spacing w:line="440" w:lineRule="exact"/>
              <w:jc w:val="left"/>
              <w:rPr>
                <w:rFonts w:ascii="Times New Roman" w:hAnsi="Times New Roman" w:eastAsia="仿宋_GB2312" w:cs="Times New Roman"/>
                <w:color w:val="auto"/>
                <w:sz w:val="24"/>
              </w:rPr>
            </w:pPr>
            <w:r>
              <w:rPr>
                <w:rFonts w:hint="eastAsia" w:ascii="Times New Roman" w:hAnsi="Times New Roman" w:eastAsia="仿宋_GB2312"/>
                <w:color w:val="auto"/>
                <w:sz w:val="24"/>
                <w:szCs w:val="24"/>
              </w:rPr>
              <w:t>2025</w:t>
            </w:r>
            <w:r>
              <w:rPr>
                <w:rFonts w:hint="eastAsia" w:ascii="仿宋_GB2312" w:hAnsi="Times New Roman" w:eastAsia="仿宋_GB2312"/>
                <w:color w:val="auto"/>
                <w:sz w:val="24"/>
                <w:szCs w:val="24"/>
              </w:rPr>
              <w:t>年面积</w:t>
            </w:r>
            <w:r>
              <w:rPr>
                <w:rFonts w:hint="eastAsia" w:ascii="Times New Roman" w:hAnsi="Times New Roman" w:eastAsia="仿宋_GB2312"/>
                <w:color w:val="auto"/>
                <w:sz w:val="24"/>
                <w:szCs w:val="24"/>
              </w:rPr>
              <w:t>611.17</w:t>
            </w:r>
            <w:r>
              <w:rPr>
                <w:rFonts w:hint="eastAsia" w:ascii="仿宋_GB2312" w:hAnsi="Times New Roman" w:eastAsia="仿宋_GB2312"/>
                <w:color w:val="auto"/>
                <w:sz w:val="24"/>
                <w:szCs w:val="24"/>
              </w:rPr>
              <w:t>公顷，紧邻成贵高速罗汉出口，</w:t>
            </w:r>
            <w:r>
              <w:rPr>
                <w:rFonts w:hint="eastAsia" w:ascii="仿宋" w:hAnsi="仿宋" w:eastAsia="仿宋"/>
                <w:color w:val="auto"/>
                <w:kern w:val="21"/>
                <w:sz w:val="24"/>
                <w:szCs w:val="24"/>
              </w:rPr>
              <w:t>距乐山机场15公里，距沙湾火车站、燕岗火车站均为12公里，形成主要货运物流场站“半小时交通圈”和乐山市中心、峨眉山“一刻钟生活圈”。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5" w:type="dxa"/>
            <w:vAlign w:val="center"/>
          </w:tcPr>
          <w:p>
            <w:pPr>
              <w:adjustRightInd w:val="0"/>
              <w:snapToGrid w:val="0"/>
              <w:spacing w:line="440" w:lineRule="exact"/>
              <w:jc w:val="center"/>
              <w:rPr>
                <w:rFonts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szCs w:val="24"/>
              </w:rPr>
              <w:t>5</w:t>
            </w:r>
          </w:p>
        </w:tc>
        <w:tc>
          <w:tcPr>
            <w:tcW w:w="1741" w:type="dxa"/>
            <w:vAlign w:val="center"/>
          </w:tcPr>
          <w:p>
            <w:pPr>
              <w:adjustRightInd w:val="0"/>
              <w:snapToGrid w:val="0"/>
              <w:spacing w:line="440" w:lineRule="exact"/>
              <w:jc w:val="center"/>
              <w:rPr>
                <w:rFonts w:ascii="Times New Roman" w:hAnsi="Times New Roman" w:eastAsia="仿宋_GB2312" w:cs="Times New Roman"/>
                <w:color w:val="auto"/>
                <w:sz w:val="24"/>
              </w:rPr>
            </w:pPr>
            <w:r>
              <w:rPr>
                <w:rFonts w:hint="eastAsia" w:ascii="Times New Roman" w:hAnsi="Times New Roman" w:eastAsia="仿宋_GB2312" w:cs="Times New Roman"/>
                <w:color w:val="auto"/>
                <w:sz w:val="24"/>
              </w:rPr>
              <w:t>申报创建阶段</w:t>
            </w:r>
          </w:p>
        </w:tc>
        <w:tc>
          <w:tcPr>
            <w:tcW w:w="3186" w:type="dxa"/>
            <w:vAlign w:val="center"/>
          </w:tcPr>
          <w:p>
            <w:pPr>
              <w:adjustRightInd w:val="0"/>
              <w:snapToGrid w:val="0"/>
              <w:spacing w:line="440" w:lineRule="exact"/>
              <w:jc w:val="center"/>
              <w:rPr>
                <w:rFonts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szCs w:val="24"/>
              </w:rPr>
              <w:t>嘉州经济开发区</w:t>
            </w:r>
          </w:p>
        </w:tc>
        <w:tc>
          <w:tcPr>
            <w:tcW w:w="2025" w:type="dxa"/>
            <w:vAlign w:val="center"/>
          </w:tcPr>
          <w:p>
            <w:pPr>
              <w:adjustRightInd w:val="0"/>
              <w:snapToGrid w:val="0"/>
              <w:spacing w:line="440" w:lineRule="exact"/>
              <w:jc w:val="center"/>
              <w:rPr>
                <w:rFonts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szCs w:val="24"/>
              </w:rPr>
              <w:t>市中区</w:t>
            </w:r>
          </w:p>
        </w:tc>
        <w:tc>
          <w:tcPr>
            <w:tcW w:w="5048" w:type="dxa"/>
            <w:vAlign w:val="center"/>
          </w:tcPr>
          <w:p>
            <w:pPr>
              <w:tabs>
                <w:tab w:val="left" w:pos="886"/>
              </w:tabs>
              <w:adjustRightInd w:val="0"/>
              <w:snapToGrid w:val="0"/>
              <w:spacing w:line="440" w:lineRule="exact"/>
              <w:jc w:val="left"/>
              <w:rPr>
                <w:rFonts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rPr>
              <w:t>规划范围总面积662.6274公顷，共包含5个区块。主导产业：专用设备制造业，纺织业，计算机、通信和其他电子设备制造业。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12745" w:type="dxa"/>
            <w:gridSpan w:val="5"/>
            <w:vAlign w:val="center"/>
          </w:tcPr>
          <w:p>
            <w:pPr>
              <w:adjustRightInd w:val="0"/>
              <w:snapToGrid w:val="0"/>
              <w:spacing w:line="440" w:lineRule="exact"/>
              <w:jc w:val="left"/>
              <w:rPr>
                <w:rFonts w:ascii="Times New Roman" w:hAnsi="Times New Roman" w:cs="Times New Roman"/>
                <w:color w:val="auto"/>
                <w:sz w:val="24"/>
                <w:szCs w:val="24"/>
              </w:rPr>
            </w:pPr>
            <w:r>
              <w:rPr>
                <w:rFonts w:hint="eastAsia" w:ascii="Times New Roman" w:hAnsi="Times New Roman" w:eastAsia="黑体" w:cs="Times New Roman"/>
                <w:color w:val="auto"/>
                <w:kern w:val="0"/>
                <w:sz w:val="24"/>
                <w:szCs w:val="24"/>
                <w:lang w:bidi="ar"/>
              </w:rPr>
              <w:t>三、科创平台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5" w:type="dxa"/>
            <w:vAlign w:val="center"/>
          </w:tcPr>
          <w:p>
            <w:pPr>
              <w:adjustRightInd w:val="0"/>
              <w:snapToGrid w:val="0"/>
              <w:spacing w:line="440" w:lineRule="exact"/>
              <w:jc w:val="center"/>
              <w:rPr>
                <w:rFonts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szCs w:val="24"/>
              </w:rPr>
              <w:t>1</w:t>
            </w:r>
          </w:p>
        </w:tc>
        <w:tc>
          <w:tcPr>
            <w:tcW w:w="1741" w:type="dxa"/>
            <w:vAlign w:val="center"/>
          </w:tcPr>
          <w:p>
            <w:pPr>
              <w:adjustRightInd w:val="0"/>
              <w:snapToGrid w:val="0"/>
              <w:spacing w:line="440" w:lineRule="exact"/>
              <w:jc w:val="center"/>
              <w:rPr>
                <w:rFonts w:ascii="Times New Roman" w:hAnsi="Times New Roman" w:eastAsia="仿宋_GB2312" w:cs="Times New Roman"/>
                <w:color w:val="auto"/>
                <w:sz w:val="24"/>
              </w:rPr>
            </w:pPr>
            <w:r>
              <w:rPr>
                <w:rFonts w:hint="eastAsia" w:ascii="Times New Roman" w:hAnsi="Times New Roman" w:eastAsia="仿宋_GB2312" w:cs="Times New Roman"/>
                <w:color w:val="auto"/>
                <w:sz w:val="24"/>
              </w:rPr>
              <w:t>国家级科技企业孵化器</w:t>
            </w:r>
          </w:p>
        </w:tc>
        <w:tc>
          <w:tcPr>
            <w:tcW w:w="3186" w:type="dxa"/>
            <w:vAlign w:val="center"/>
          </w:tcPr>
          <w:p>
            <w:pPr>
              <w:adjustRightInd w:val="0"/>
              <w:snapToGrid w:val="0"/>
              <w:spacing w:line="440" w:lineRule="exact"/>
              <w:jc w:val="center"/>
              <w:rPr>
                <w:rFonts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szCs w:val="24"/>
              </w:rPr>
              <w:t>乐山高新科技孵化器</w:t>
            </w:r>
          </w:p>
        </w:tc>
        <w:tc>
          <w:tcPr>
            <w:tcW w:w="2025" w:type="dxa"/>
            <w:vAlign w:val="center"/>
          </w:tcPr>
          <w:p>
            <w:pPr>
              <w:adjustRightInd w:val="0"/>
              <w:snapToGrid w:val="0"/>
              <w:spacing w:line="440" w:lineRule="exact"/>
              <w:jc w:val="center"/>
              <w:rPr>
                <w:rFonts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szCs w:val="24"/>
              </w:rPr>
              <w:t>高新区</w:t>
            </w:r>
          </w:p>
        </w:tc>
        <w:tc>
          <w:tcPr>
            <w:tcW w:w="5048" w:type="dxa"/>
            <w:vAlign w:val="center"/>
          </w:tcPr>
          <w:p>
            <w:pPr>
              <w:tabs>
                <w:tab w:val="left" w:pos="886"/>
              </w:tabs>
              <w:adjustRightInd w:val="0"/>
              <w:snapToGrid w:val="0"/>
              <w:spacing w:line="440" w:lineRule="exact"/>
              <w:jc w:val="left"/>
              <w:rPr>
                <w:rFonts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rPr>
              <w:t>创新实验平台8250平方米、技术成果转化平台6770平方米、数字化成果展示推广平台7980平方米和数据管理平台2000平方米等。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2" w:hRule="atLeast"/>
          <w:jc w:val="center"/>
        </w:trPr>
        <w:tc>
          <w:tcPr>
            <w:tcW w:w="745" w:type="dxa"/>
            <w:vAlign w:val="center"/>
          </w:tcPr>
          <w:p>
            <w:pPr>
              <w:adjustRightInd w:val="0"/>
              <w:snapToGrid w:val="0"/>
              <w:spacing w:line="440" w:lineRule="exact"/>
              <w:jc w:val="center"/>
              <w:rPr>
                <w:rFonts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szCs w:val="24"/>
              </w:rPr>
              <w:t>2</w:t>
            </w:r>
          </w:p>
        </w:tc>
        <w:tc>
          <w:tcPr>
            <w:tcW w:w="1741" w:type="dxa"/>
            <w:vAlign w:val="center"/>
          </w:tcPr>
          <w:p>
            <w:pPr>
              <w:adjustRightInd w:val="0"/>
              <w:snapToGrid w:val="0"/>
              <w:spacing w:line="440" w:lineRule="exact"/>
              <w:jc w:val="center"/>
              <w:rPr>
                <w:rFonts w:ascii="Times New Roman" w:hAnsi="Times New Roman" w:eastAsia="仿宋_GB2312" w:cs="Times New Roman"/>
                <w:color w:val="auto"/>
                <w:sz w:val="24"/>
              </w:rPr>
            </w:pPr>
            <w:r>
              <w:rPr>
                <w:rFonts w:hint="eastAsia" w:ascii="Times New Roman" w:hAnsi="Times New Roman" w:eastAsia="仿宋_GB2312" w:cs="Times New Roman"/>
                <w:color w:val="auto"/>
                <w:sz w:val="24"/>
              </w:rPr>
              <w:t>省级工程技术研究中心</w:t>
            </w:r>
          </w:p>
        </w:tc>
        <w:tc>
          <w:tcPr>
            <w:tcW w:w="3186" w:type="dxa"/>
            <w:vAlign w:val="center"/>
          </w:tcPr>
          <w:p>
            <w:pPr>
              <w:adjustRightInd w:val="0"/>
              <w:snapToGrid w:val="0"/>
              <w:spacing w:line="440" w:lineRule="exact"/>
              <w:jc w:val="center"/>
              <w:rPr>
                <w:rFonts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szCs w:val="24"/>
              </w:rPr>
              <w:t>四川省航空树脂基复合材料工程技术研究中心</w:t>
            </w:r>
          </w:p>
        </w:tc>
        <w:tc>
          <w:tcPr>
            <w:tcW w:w="2025" w:type="dxa"/>
            <w:vAlign w:val="center"/>
          </w:tcPr>
          <w:p>
            <w:pPr>
              <w:adjustRightInd w:val="0"/>
              <w:snapToGrid w:val="0"/>
              <w:spacing w:line="440" w:lineRule="exact"/>
              <w:jc w:val="center"/>
              <w:rPr>
                <w:rFonts w:ascii="Times New Roman" w:hAnsi="Times New Roman" w:eastAsia="仿宋_GB2312" w:cs="Times New Roman"/>
                <w:color w:val="auto"/>
                <w:sz w:val="24"/>
                <w:szCs w:val="24"/>
              </w:rPr>
            </w:pPr>
          </w:p>
        </w:tc>
        <w:tc>
          <w:tcPr>
            <w:tcW w:w="5048" w:type="dxa"/>
            <w:vAlign w:val="center"/>
          </w:tcPr>
          <w:p>
            <w:pPr>
              <w:tabs>
                <w:tab w:val="left" w:pos="886"/>
              </w:tabs>
              <w:adjustRightInd w:val="0"/>
              <w:snapToGrid w:val="0"/>
              <w:spacing w:line="440" w:lineRule="exact"/>
              <w:jc w:val="left"/>
              <w:rPr>
                <w:rFonts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rPr>
              <w:t>四川省新万兴碳纤维复合材料公司与西南交通大学携手共建，其航空复合材料制品的生产能力已稳居国内民营企业前列。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45" w:type="dxa"/>
            <w:gridSpan w:val="5"/>
            <w:vAlign w:val="center"/>
          </w:tcPr>
          <w:p>
            <w:pPr>
              <w:adjustRightInd w:val="0"/>
              <w:snapToGrid w:val="0"/>
              <w:spacing w:line="440" w:lineRule="exact"/>
              <w:jc w:val="left"/>
              <w:rPr>
                <w:rFonts w:ascii="Times New Roman" w:hAnsi="Times New Roman" w:eastAsia="仿宋_GB2312" w:cs="Times New Roman"/>
                <w:color w:val="auto"/>
                <w:sz w:val="24"/>
                <w:szCs w:val="24"/>
              </w:rPr>
            </w:pPr>
            <w:r>
              <w:rPr>
                <w:rFonts w:hint="eastAsia" w:ascii="Times New Roman" w:hAnsi="Times New Roman" w:eastAsia="黑体" w:cs="Times New Roman"/>
                <w:color w:val="auto"/>
                <w:kern w:val="0"/>
                <w:sz w:val="24"/>
                <w:szCs w:val="24"/>
                <w:lang w:bidi="ar"/>
              </w:rPr>
              <w:t>四、研究院所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0" w:hRule="atLeast"/>
          <w:jc w:val="center"/>
        </w:trPr>
        <w:tc>
          <w:tcPr>
            <w:tcW w:w="745" w:type="dxa"/>
            <w:vAlign w:val="center"/>
          </w:tcPr>
          <w:p>
            <w:pPr>
              <w:adjustRightInd w:val="0"/>
              <w:snapToGrid w:val="0"/>
              <w:spacing w:line="440" w:lineRule="exact"/>
              <w:jc w:val="center"/>
              <w:rPr>
                <w:rFonts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szCs w:val="24"/>
              </w:rPr>
              <w:t>1</w:t>
            </w:r>
          </w:p>
        </w:tc>
        <w:tc>
          <w:tcPr>
            <w:tcW w:w="1741" w:type="dxa"/>
            <w:vAlign w:val="center"/>
          </w:tcPr>
          <w:p>
            <w:pPr>
              <w:adjustRightInd w:val="0"/>
              <w:snapToGrid w:val="0"/>
              <w:spacing w:line="440" w:lineRule="exact"/>
              <w:jc w:val="center"/>
              <w:rPr>
                <w:rFonts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szCs w:val="24"/>
              </w:rPr>
              <w:t>省级新型研发机构</w:t>
            </w:r>
          </w:p>
        </w:tc>
        <w:tc>
          <w:tcPr>
            <w:tcW w:w="3186" w:type="dxa"/>
            <w:vAlign w:val="center"/>
          </w:tcPr>
          <w:p>
            <w:pPr>
              <w:adjustRightInd w:val="0"/>
              <w:snapToGrid w:val="0"/>
              <w:spacing w:line="440" w:lineRule="exact"/>
              <w:jc w:val="center"/>
              <w:rPr>
                <w:rFonts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szCs w:val="24"/>
              </w:rPr>
              <w:t>乐山西部硅材料光伏新能源产业技术研究院</w:t>
            </w:r>
          </w:p>
        </w:tc>
        <w:tc>
          <w:tcPr>
            <w:tcW w:w="2025" w:type="dxa"/>
            <w:vAlign w:val="center"/>
          </w:tcPr>
          <w:p>
            <w:pPr>
              <w:tabs>
                <w:tab w:val="left" w:pos="886"/>
              </w:tabs>
              <w:adjustRightInd w:val="0"/>
              <w:snapToGrid w:val="0"/>
              <w:spacing w:line="440" w:lineRule="exact"/>
              <w:jc w:val="center"/>
              <w:rPr>
                <w:rFonts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szCs w:val="24"/>
              </w:rPr>
              <w:t>高新区</w:t>
            </w:r>
          </w:p>
        </w:tc>
        <w:tc>
          <w:tcPr>
            <w:tcW w:w="5048" w:type="dxa"/>
            <w:vAlign w:val="center"/>
          </w:tcPr>
          <w:p>
            <w:pPr>
              <w:tabs>
                <w:tab w:val="left" w:pos="886"/>
              </w:tabs>
              <w:adjustRightInd w:val="0"/>
              <w:snapToGrid w:val="0"/>
              <w:spacing w:line="440" w:lineRule="exact"/>
              <w:jc w:val="left"/>
              <w:rPr>
                <w:rFonts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szCs w:val="24"/>
              </w:rPr>
              <w:t>布局有产业政策战略咨询、前沿科学研究、公共技术平台和应用技术创新研究四大核心板块，将形成“前沿基础研究→应用基础研究→产业技术研究→产业转化”的全链条创新模式，定位于成为有影响力的硅材料光伏新能源产业技术研发基地、“中国绿色硅谷”的重要组成部分、学科交叉开放的新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0" w:hRule="atLeast"/>
          <w:jc w:val="center"/>
        </w:trPr>
        <w:tc>
          <w:tcPr>
            <w:tcW w:w="745" w:type="dxa"/>
            <w:vAlign w:val="center"/>
          </w:tcPr>
          <w:p>
            <w:pPr>
              <w:adjustRightInd w:val="0"/>
              <w:snapToGrid w:val="0"/>
              <w:spacing w:line="440" w:lineRule="exact"/>
              <w:jc w:val="center"/>
              <w:rPr>
                <w:rFonts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szCs w:val="24"/>
              </w:rPr>
              <w:t>2</w:t>
            </w:r>
          </w:p>
        </w:tc>
        <w:tc>
          <w:tcPr>
            <w:tcW w:w="1741" w:type="dxa"/>
            <w:vAlign w:val="center"/>
          </w:tcPr>
          <w:p>
            <w:pPr>
              <w:adjustRightInd w:val="0"/>
              <w:snapToGrid w:val="0"/>
              <w:spacing w:line="440" w:lineRule="exact"/>
              <w:jc w:val="center"/>
              <w:rPr>
                <w:rFonts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szCs w:val="24"/>
              </w:rPr>
              <w:t>省级重点实验室</w:t>
            </w:r>
          </w:p>
        </w:tc>
        <w:tc>
          <w:tcPr>
            <w:tcW w:w="3186" w:type="dxa"/>
            <w:vAlign w:val="center"/>
          </w:tcPr>
          <w:p>
            <w:pPr>
              <w:adjustRightInd w:val="0"/>
              <w:snapToGrid w:val="0"/>
              <w:spacing w:line="440" w:lineRule="exact"/>
              <w:jc w:val="center"/>
              <w:rPr>
                <w:rFonts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szCs w:val="24"/>
              </w:rPr>
              <w:t>竹类病虫防控与资源开发四川省重点实验室</w:t>
            </w:r>
          </w:p>
        </w:tc>
        <w:tc>
          <w:tcPr>
            <w:tcW w:w="2025" w:type="dxa"/>
            <w:vAlign w:val="center"/>
          </w:tcPr>
          <w:p>
            <w:pPr>
              <w:tabs>
                <w:tab w:val="left" w:pos="886"/>
              </w:tabs>
              <w:adjustRightInd w:val="0"/>
              <w:snapToGrid w:val="0"/>
              <w:spacing w:line="440" w:lineRule="exact"/>
              <w:jc w:val="center"/>
              <w:rPr>
                <w:rFonts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szCs w:val="24"/>
              </w:rPr>
              <w:t>市中区</w:t>
            </w:r>
          </w:p>
        </w:tc>
        <w:tc>
          <w:tcPr>
            <w:tcW w:w="5048" w:type="dxa"/>
            <w:vAlign w:val="center"/>
          </w:tcPr>
          <w:p>
            <w:pPr>
              <w:tabs>
                <w:tab w:val="left" w:pos="886"/>
              </w:tabs>
              <w:adjustRightInd w:val="0"/>
              <w:snapToGrid w:val="0"/>
              <w:spacing w:line="440" w:lineRule="exact"/>
              <w:jc w:val="left"/>
              <w:rPr>
                <w:rFonts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szCs w:val="24"/>
              </w:rPr>
              <w:t>竹类病虫防控与资源开发四川省重点实验室于2015年经四川省科学技术厅批准、四川省人民政府授牌成立，立足“竹类病虫防控”与“资源开发”研究领域，创建基础性、跨学科和开放式重点实验室。建设高起点、高标准和高目标的科技创新平台，塑造行业技术创新领军人物，培养有影响力的技术专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5" w:type="dxa"/>
            <w:vAlign w:val="center"/>
          </w:tcPr>
          <w:p>
            <w:pPr>
              <w:adjustRightInd w:val="0"/>
              <w:snapToGrid w:val="0"/>
              <w:spacing w:line="440" w:lineRule="exact"/>
              <w:jc w:val="center"/>
              <w:rPr>
                <w:rFonts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szCs w:val="24"/>
              </w:rPr>
              <w:t>3</w:t>
            </w:r>
          </w:p>
        </w:tc>
        <w:tc>
          <w:tcPr>
            <w:tcW w:w="1741" w:type="dxa"/>
            <w:vAlign w:val="center"/>
          </w:tcPr>
          <w:p>
            <w:pPr>
              <w:adjustRightInd w:val="0"/>
              <w:snapToGrid w:val="0"/>
              <w:spacing w:line="440" w:lineRule="exact"/>
              <w:jc w:val="center"/>
              <w:rPr>
                <w:rFonts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szCs w:val="24"/>
              </w:rPr>
              <w:t>县级低空经济专业科研机构</w:t>
            </w:r>
          </w:p>
        </w:tc>
        <w:tc>
          <w:tcPr>
            <w:tcW w:w="3186" w:type="dxa"/>
            <w:vAlign w:val="center"/>
          </w:tcPr>
          <w:p>
            <w:pPr>
              <w:adjustRightInd w:val="0"/>
              <w:snapToGrid w:val="0"/>
              <w:spacing w:line="440" w:lineRule="exact"/>
              <w:jc w:val="center"/>
              <w:rPr>
                <w:rFonts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szCs w:val="24"/>
              </w:rPr>
              <w:t>犍为县低空产业研究所</w:t>
            </w:r>
          </w:p>
        </w:tc>
        <w:tc>
          <w:tcPr>
            <w:tcW w:w="2025" w:type="dxa"/>
            <w:vAlign w:val="center"/>
          </w:tcPr>
          <w:p>
            <w:pPr>
              <w:tabs>
                <w:tab w:val="left" w:pos="886"/>
              </w:tabs>
              <w:adjustRightInd w:val="0"/>
              <w:snapToGrid w:val="0"/>
              <w:spacing w:line="440" w:lineRule="exact"/>
              <w:jc w:val="center"/>
              <w:rPr>
                <w:rFonts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szCs w:val="24"/>
              </w:rPr>
              <w:t>犍为县</w:t>
            </w:r>
          </w:p>
        </w:tc>
        <w:tc>
          <w:tcPr>
            <w:tcW w:w="5048" w:type="dxa"/>
            <w:vAlign w:val="center"/>
          </w:tcPr>
          <w:p>
            <w:pPr>
              <w:tabs>
                <w:tab w:val="left" w:pos="886"/>
              </w:tabs>
              <w:adjustRightInd w:val="0"/>
              <w:snapToGrid w:val="0"/>
              <w:spacing w:line="440" w:lineRule="exact"/>
              <w:jc w:val="left"/>
              <w:rPr>
                <w:rFonts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szCs w:val="24"/>
              </w:rPr>
              <w:t>全国首个实体化运营的县级低空经济专业科研机构，聚焦航空航天领域公益服务，涵盖科研试验、科技服务、教育培训与科学普及四大板块。重点围绕低空经济新技术研发、新业态培育、新场景孵化及应用监管等全链条工作，构建“政产学研用”协同创新体系。目前已柔性引进国家杰出青年帅李教授、北航周尧明教授、成航李吉副教授等顶尖专家团队，形成飞行器设计制造、试验试飞技术、智能飞行与监管系统、低空场景行业应用技术及低空+科教改革研究等五大科研方向，助力犍为低空经济生态体系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45" w:type="dxa"/>
            <w:gridSpan w:val="5"/>
            <w:vAlign w:val="center"/>
          </w:tcPr>
          <w:p>
            <w:pPr>
              <w:adjustRightInd w:val="0"/>
              <w:snapToGrid w:val="0"/>
              <w:spacing w:line="440" w:lineRule="exact"/>
              <w:jc w:val="left"/>
              <w:rPr>
                <w:rFonts w:ascii="Times New Roman" w:hAnsi="Times New Roman" w:eastAsia="黑体" w:cs="Times New Roman"/>
                <w:color w:val="auto"/>
                <w:kern w:val="0"/>
                <w:sz w:val="24"/>
                <w:szCs w:val="24"/>
                <w:lang w:bidi="ar"/>
              </w:rPr>
            </w:pPr>
            <w:r>
              <w:rPr>
                <w:rFonts w:hint="eastAsia" w:ascii="Times New Roman" w:hAnsi="Times New Roman" w:eastAsia="黑体" w:cs="Times New Roman"/>
                <w:color w:val="auto"/>
                <w:kern w:val="0"/>
                <w:sz w:val="24"/>
                <w:szCs w:val="24"/>
                <w:lang w:bidi="ar"/>
              </w:rPr>
              <w:t>五、服务平台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9" w:hRule="atLeast"/>
          <w:jc w:val="center"/>
        </w:trPr>
        <w:tc>
          <w:tcPr>
            <w:tcW w:w="745" w:type="dxa"/>
            <w:vAlign w:val="center"/>
          </w:tcPr>
          <w:p>
            <w:pPr>
              <w:adjustRightInd w:val="0"/>
              <w:snapToGrid w:val="0"/>
              <w:spacing w:line="440" w:lineRule="exact"/>
              <w:jc w:val="center"/>
              <w:rPr>
                <w:rFonts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szCs w:val="24"/>
              </w:rPr>
              <w:t>1</w:t>
            </w:r>
          </w:p>
        </w:tc>
        <w:tc>
          <w:tcPr>
            <w:tcW w:w="1741" w:type="dxa"/>
            <w:vMerge w:val="restart"/>
            <w:vAlign w:val="center"/>
          </w:tcPr>
          <w:p>
            <w:pPr>
              <w:adjustRightInd w:val="0"/>
              <w:snapToGrid w:val="0"/>
              <w:spacing w:line="440" w:lineRule="exact"/>
              <w:jc w:val="center"/>
              <w:rPr>
                <w:rFonts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szCs w:val="24"/>
              </w:rPr>
              <w:t>中试研发平台</w:t>
            </w:r>
          </w:p>
        </w:tc>
        <w:tc>
          <w:tcPr>
            <w:tcW w:w="3186" w:type="dxa"/>
            <w:vAlign w:val="center"/>
          </w:tcPr>
          <w:p>
            <w:pPr>
              <w:adjustRightInd w:val="0"/>
              <w:snapToGrid w:val="0"/>
              <w:spacing w:line="440" w:lineRule="exact"/>
              <w:jc w:val="center"/>
              <w:rPr>
                <w:rFonts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szCs w:val="24"/>
              </w:rPr>
              <w:t>乐山市电力装备中试研发平台（检验检测类）</w:t>
            </w:r>
          </w:p>
        </w:tc>
        <w:tc>
          <w:tcPr>
            <w:tcW w:w="2025" w:type="dxa"/>
            <w:vAlign w:val="center"/>
          </w:tcPr>
          <w:p>
            <w:pPr>
              <w:adjustRightInd w:val="0"/>
              <w:snapToGrid w:val="0"/>
              <w:spacing w:line="440" w:lineRule="exact"/>
              <w:jc w:val="center"/>
              <w:rPr>
                <w:rFonts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szCs w:val="24"/>
              </w:rPr>
              <w:t>高新区</w:t>
            </w:r>
          </w:p>
        </w:tc>
        <w:tc>
          <w:tcPr>
            <w:tcW w:w="5048" w:type="dxa"/>
            <w:vAlign w:val="center"/>
          </w:tcPr>
          <w:p>
            <w:pPr>
              <w:adjustRightInd w:val="0"/>
              <w:snapToGrid w:val="0"/>
              <w:spacing w:line="440" w:lineRule="exact"/>
              <w:jc w:val="left"/>
              <w:rPr>
                <w:rFonts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szCs w:val="24"/>
              </w:rPr>
              <w:t>建设单位：乐山一拉得电网自动化有限公司。平台拥有承担行业概念验证、中间试验任务必需的通用计量、检测仪器等专用设备以及场地、配套设施，可提供全方位的创新服务。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5" w:type="dxa"/>
            <w:vAlign w:val="center"/>
          </w:tcPr>
          <w:p>
            <w:pPr>
              <w:adjustRightInd w:val="0"/>
              <w:snapToGrid w:val="0"/>
              <w:spacing w:line="440" w:lineRule="exact"/>
              <w:jc w:val="center"/>
              <w:rPr>
                <w:rFonts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szCs w:val="24"/>
              </w:rPr>
              <w:t>2</w:t>
            </w:r>
          </w:p>
        </w:tc>
        <w:tc>
          <w:tcPr>
            <w:tcW w:w="1741" w:type="dxa"/>
            <w:vMerge w:val="continue"/>
            <w:vAlign w:val="center"/>
          </w:tcPr>
          <w:p>
            <w:pPr>
              <w:adjustRightInd w:val="0"/>
              <w:snapToGrid w:val="0"/>
              <w:spacing w:line="440" w:lineRule="exact"/>
              <w:jc w:val="center"/>
              <w:rPr>
                <w:rFonts w:ascii="Times New Roman" w:hAnsi="Times New Roman" w:eastAsia="仿宋_GB2312" w:cs="Times New Roman"/>
                <w:color w:val="auto"/>
                <w:sz w:val="24"/>
                <w:szCs w:val="24"/>
              </w:rPr>
            </w:pPr>
          </w:p>
        </w:tc>
        <w:tc>
          <w:tcPr>
            <w:tcW w:w="3186" w:type="dxa"/>
            <w:vAlign w:val="center"/>
          </w:tcPr>
          <w:p>
            <w:pPr>
              <w:adjustRightInd w:val="0"/>
              <w:snapToGrid w:val="0"/>
              <w:spacing w:line="440" w:lineRule="exact"/>
              <w:jc w:val="center"/>
              <w:rPr>
                <w:rFonts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szCs w:val="24"/>
              </w:rPr>
              <w:t>乐山市固废资源与能源电子材料中试研发平台</w:t>
            </w:r>
          </w:p>
        </w:tc>
        <w:tc>
          <w:tcPr>
            <w:tcW w:w="2025" w:type="dxa"/>
            <w:vAlign w:val="center"/>
          </w:tcPr>
          <w:p>
            <w:pPr>
              <w:adjustRightInd w:val="0"/>
              <w:snapToGrid w:val="0"/>
              <w:spacing w:line="440" w:lineRule="exact"/>
              <w:jc w:val="center"/>
              <w:rPr>
                <w:rFonts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szCs w:val="24"/>
              </w:rPr>
              <w:t>市中区</w:t>
            </w:r>
          </w:p>
        </w:tc>
        <w:tc>
          <w:tcPr>
            <w:tcW w:w="5048" w:type="dxa"/>
            <w:vAlign w:val="center"/>
          </w:tcPr>
          <w:p>
            <w:pPr>
              <w:adjustRightInd w:val="0"/>
              <w:snapToGrid w:val="0"/>
              <w:spacing w:line="440" w:lineRule="exact"/>
              <w:jc w:val="left"/>
              <w:rPr>
                <w:rFonts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szCs w:val="24"/>
              </w:rPr>
              <w:t>建设单位：乐山职业技术学院。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5" w:type="dxa"/>
            <w:vAlign w:val="center"/>
          </w:tcPr>
          <w:p>
            <w:pPr>
              <w:adjustRightInd w:val="0"/>
              <w:snapToGrid w:val="0"/>
              <w:spacing w:line="440" w:lineRule="exact"/>
              <w:jc w:val="center"/>
              <w:rPr>
                <w:rFonts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szCs w:val="24"/>
              </w:rPr>
              <w:t>3</w:t>
            </w:r>
          </w:p>
        </w:tc>
        <w:tc>
          <w:tcPr>
            <w:tcW w:w="1741" w:type="dxa"/>
            <w:vAlign w:val="center"/>
          </w:tcPr>
          <w:p>
            <w:pPr>
              <w:adjustRightInd w:val="0"/>
              <w:snapToGrid w:val="0"/>
              <w:spacing w:line="440" w:lineRule="exact"/>
              <w:jc w:val="center"/>
              <w:rPr>
                <w:rFonts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szCs w:val="24"/>
              </w:rPr>
              <w:t>技术转移服务平台</w:t>
            </w:r>
          </w:p>
        </w:tc>
        <w:tc>
          <w:tcPr>
            <w:tcW w:w="3186" w:type="dxa"/>
            <w:vAlign w:val="center"/>
          </w:tcPr>
          <w:p>
            <w:pPr>
              <w:adjustRightInd w:val="0"/>
              <w:snapToGrid w:val="0"/>
              <w:spacing w:line="440" w:lineRule="exact"/>
              <w:jc w:val="center"/>
              <w:rPr>
                <w:rFonts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szCs w:val="24"/>
              </w:rPr>
              <w:t>国家技术转移西南中心乐山分中心</w:t>
            </w:r>
          </w:p>
        </w:tc>
        <w:tc>
          <w:tcPr>
            <w:tcW w:w="2025" w:type="dxa"/>
            <w:vAlign w:val="center"/>
          </w:tcPr>
          <w:p>
            <w:pPr>
              <w:adjustRightInd w:val="0"/>
              <w:snapToGrid w:val="0"/>
              <w:spacing w:line="440" w:lineRule="exact"/>
              <w:jc w:val="center"/>
              <w:rPr>
                <w:rFonts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szCs w:val="24"/>
              </w:rPr>
              <w:t>高新区</w:t>
            </w:r>
          </w:p>
        </w:tc>
        <w:tc>
          <w:tcPr>
            <w:tcW w:w="5048" w:type="dxa"/>
            <w:vAlign w:val="center"/>
          </w:tcPr>
          <w:p>
            <w:pPr>
              <w:adjustRightInd w:val="0"/>
              <w:snapToGrid w:val="0"/>
              <w:spacing w:line="440" w:lineRule="exact"/>
              <w:jc w:val="left"/>
              <w:rPr>
                <w:rFonts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szCs w:val="24"/>
              </w:rPr>
              <w:t>乐山分中心作为国家技术转移西南中心“1＋4＋N”技术转移体系的一部分，由西南中心统一指导、乐山市科学技术局领导管理，旨在融入成渝地区双城经济圈和成都平原经济圈建设，服务乐山科技创新和产业升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45" w:type="dxa"/>
            <w:vAlign w:val="center"/>
          </w:tcPr>
          <w:p>
            <w:pPr>
              <w:adjustRightInd w:val="0"/>
              <w:snapToGrid w:val="0"/>
              <w:spacing w:line="440" w:lineRule="exact"/>
              <w:jc w:val="center"/>
              <w:rPr>
                <w:rFonts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szCs w:val="24"/>
              </w:rPr>
              <w:t>4</w:t>
            </w:r>
          </w:p>
        </w:tc>
        <w:tc>
          <w:tcPr>
            <w:tcW w:w="1741" w:type="dxa"/>
            <w:vAlign w:val="center"/>
          </w:tcPr>
          <w:p>
            <w:pPr>
              <w:adjustRightInd w:val="0"/>
              <w:snapToGrid w:val="0"/>
              <w:spacing w:line="440" w:lineRule="exact"/>
              <w:jc w:val="center"/>
              <w:rPr>
                <w:rFonts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szCs w:val="24"/>
              </w:rPr>
              <w:t>公共检测服务平台</w:t>
            </w:r>
          </w:p>
        </w:tc>
        <w:tc>
          <w:tcPr>
            <w:tcW w:w="3186" w:type="dxa"/>
            <w:vAlign w:val="center"/>
          </w:tcPr>
          <w:p>
            <w:pPr>
              <w:adjustRightInd w:val="0"/>
              <w:snapToGrid w:val="0"/>
              <w:spacing w:line="440" w:lineRule="exact"/>
              <w:jc w:val="center"/>
              <w:rPr>
                <w:rFonts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szCs w:val="24"/>
              </w:rPr>
              <w:t>乐山市公共检测服务平台</w:t>
            </w:r>
          </w:p>
        </w:tc>
        <w:tc>
          <w:tcPr>
            <w:tcW w:w="2025" w:type="dxa"/>
            <w:vAlign w:val="center"/>
          </w:tcPr>
          <w:p>
            <w:pPr>
              <w:adjustRightInd w:val="0"/>
              <w:snapToGrid w:val="0"/>
              <w:spacing w:line="440" w:lineRule="exact"/>
              <w:jc w:val="center"/>
              <w:rPr>
                <w:rFonts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szCs w:val="24"/>
              </w:rPr>
              <w:t>高新区</w:t>
            </w:r>
          </w:p>
        </w:tc>
        <w:tc>
          <w:tcPr>
            <w:tcW w:w="5048" w:type="dxa"/>
            <w:vAlign w:val="center"/>
          </w:tcPr>
          <w:p>
            <w:pPr>
              <w:adjustRightInd w:val="0"/>
              <w:snapToGrid w:val="0"/>
              <w:spacing w:line="440" w:lineRule="exact"/>
              <w:jc w:val="left"/>
              <w:rPr>
                <w:rFonts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szCs w:val="24"/>
              </w:rPr>
              <w:t>占地20余亩，建筑面积约26000</w:t>
            </w:r>
            <w:r>
              <w:rPr>
                <w:rFonts w:hint="eastAsia" w:ascii="Times New Roman" w:hAnsi="Times New Roman" w:eastAsia="微软雅黑" w:cs="Times New Roman"/>
                <w:color w:val="auto"/>
                <w:sz w:val="24"/>
                <w:szCs w:val="24"/>
              </w:rPr>
              <w:t>㎡</w:t>
            </w:r>
            <w:r>
              <w:rPr>
                <w:rFonts w:hint="eastAsia" w:ascii="Times New Roman" w:hAnsi="Times New Roman" w:eastAsia="仿宋_GB2312" w:cs="Times New Roman"/>
                <w:color w:val="auto"/>
                <w:sz w:val="24"/>
                <w:szCs w:val="24"/>
              </w:rPr>
              <w:t>，总投资约7600多万元。拥有2个国家级质检中心、5个省级质检、计量中心和高校的多个省级工程技术中心，共整合全市范围内共享大型精密仪器设备1185台套。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5" w:type="dxa"/>
            <w:vAlign w:val="center"/>
          </w:tcPr>
          <w:p>
            <w:pPr>
              <w:adjustRightInd w:val="0"/>
              <w:snapToGrid w:val="0"/>
              <w:spacing w:line="440" w:lineRule="exact"/>
              <w:jc w:val="center"/>
              <w:rPr>
                <w:rFonts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szCs w:val="24"/>
              </w:rPr>
              <w:t>5</w:t>
            </w:r>
          </w:p>
        </w:tc>
        <w:tc>
          <w:tcPr>
            <w:tcW w:w="1741" w:type="dxa"/>
            <w:vAlign w:val="center"/>
          </w:tcPr>
          <w:p>
            <w:pPr>
              <w:adjustRightInd w:val="0"/>
              <w:snapToGrid w:val="0"/>
              <w:spacing w:line="440" w:lineRule="exact"/>
              <w:jc w:val="center"/>
              <w:rPr>
                <w:rFonts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szCs w:val="24"/>
              </w:rPr>
              <w:t>产业联盟</w:t>
            </w:r>
          </w:p>
        </w:tc>
        <w:tc>
          <w:tcPr>
            <w:tcW w:w="3186" w:type="dxa"/>
            <w:vAlign w:val="center"/>
          </w:tcPr>
          <w:p>
            <w:pPr>
              <w:adjustRightInd w:val="0"/>
              <w:snapToGrid w:val="0"/>
              <w:spacing w:line="440" w:lineRule="exact"/>
              <w:jc w:val="center"/>
              <w:rPr>
                <w:rFonts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szCs w:val="24"/>
              </w:rPr>
              <w:t>乐山市通用航空产业协会</w:t>
            </w:r>
          </w:p>
        </w:tc>
        <w:tc>
          <w:tcPr>
            <w:tcW w:w="2025" w:type="dxa"/>
            <w:vAlign w:val="center"/>
          </w:tcPr>
          <w:p>
            <w:pPr>
              <w:adjustRightInd w:val="0"/>
              <w:snapToGrid w:val="0"/>
              <w:spacing w:line="440" w:lineRule="exact"/>
              <w:jc w:val="center"/>
              <w:rPr>
                <w:rFonts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szCs w:val="24"/>
              </w:rPr>
              <w:t>高新区</w:t>
            </w:r>
          </w:p>
        </w:tc>
        <w:tc>
          <w:tcPr>
            <w:tcW w:w="5048" w:type="dxa"/>
            <w:vAlign w:val="center"/>
          </w:tcPr>
          <w:p>
            <w:pPr>
              <w:adjustRightInd w:val="0"/>
              <w:snapToGrid w:val="0"/>
              <w:spacing w:line="440" w:lineRule="exact"/>
              <w:jc w:val="left"/>
              <w:rPr>
                <w:rFonts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szCs w:val="24"/>
              </w:rPr>
              <w:t>搭建产业交流平台、提供产业咨询、促进技术水平提升、承办政府委托事宜，服务乐山及四川通航产业发展。</w:t>
            </w:r>
          </w:p>
        </w:tc>
      </w:tr>
    </w:tbl>
    <w:p>
      <w:pPr>
        <w:rPr>
          <w:rFonts w:ascii="Times New Roman" w:hAnsi="Times New Roman" w:eastAsia="黑体" w:cs="Times New Roman"/>
          <w:color w:val="auto"/>
          <w:sz w:val="32"/>
          <w:szCs w:val="32"/>
        </w:rPr>
      </w:pPr>
    </w:p>
    <w:p>
      <w:pPr>
        <w:rPr>
          <w:rFonts w:ascii="Times New Roman" w:hAnsi="Times New Roman" w:eastAsia="黑体" w:cs="Times New Roman"/>
          <w:color w:val="auto"/>
          <w:sz w:val="32"/>
          <w:szCs w:val="32"/>
        </w:rPr>
        <w:sectPr>
          <w:pgSz w:w="16838" w:h="11906" w:orient="landscape"/>
          <w:pgMar w:top="1588" w:right="2098" w:bottom="1474" w:left="1985" w:header="851" w:footer="992" w:gutter="0"/>
          <w:cols w:space="425" w:num="1"/>
          <w:docGrid w:type="lines" w:linePitch="312" w:charSpace="0"/>
        </w:sectPr>
      </w:pPr>
    </w:p>
    <w:p>
      <w:pPr>
        <w:outlineLvl w:val="0"/>
        <w:rPr>
          <w:rFonts w:ascii="Times New Roman" w:hAnsi="Times New Roman" w:eastAsia="黑体" w:cs="Times New Roman"/>
          <w:color w:val="auto"/>
          <w:sz w:val="32"/>
          <w:szCs w:val="32"/>
        </w:rPr>
      </w:pPr>
      <w:bookmarkStart w:id="225" w:name="_Toc207125804"/>
      <w:bookmarkStart w:id="226" w:name="_Toc32211"/>
      <w:bookmarkStart w:id="227" w:name="_Toc197353927"/>
      <w:bookmarkStart w:id="228" w:name="_Toc198194818"/>
      <w:bookmarkStart w:id="229" w:name="_Toc220270493"/>
      <w:bookmarkStart w:id="230" w:name="_Toc15329"/>
      <w:r>
        <w:rPr>
          <w:rFonts w:hint="eastAsia" w:ascii="Times New Roman" w:hAnsi="Times New Roman" w:eastAsia="黑体" w:cs="Times New Roman"/>
          <w:color w:val="auto"/>
          <w:sz w:val="32"/>
          <w:szCs w:val="32"/>
        </w:rPr>
        <w:t>附件4：乐山市低空起降设施布局表</w:t>
      </w:r>
      <w:bookmarkEnd w:id="225"/>
      <w:bookmarkEnd w:id="226"/>
      <w:bookmarkEnd w:id="227"/>
      <w:bookmarkEnd w:id="228"/>
      <w:bookmarkEnd w:id="229"/>
      <w:bookmarkEnd w:id="230"/>
    </w:p>
    <w:p>
      <w:pPr>
        <w:spacing w:before="156" w:beforeLines="50" w:after="156" w:afterLines="50" w:line="600" w:lineRule="exact"/>
        <w:jc w:val="center"/>
        <w:rPr>
          <w:rFonts w:ascii="Times New Roman" w:hAnsi="Times New Roman" w:eastAsia="黑体" w:cs="Times New Roman"/>
          <w:color w:val="auto"/>
          <w:sz w:val="32"/>
          <w:szCs w:val="32"/>
          <w:shd w:val="clear" w:color="auto" w:fill="FFFFFF"/>
        </w:rPr>
      </w:pPr>
      <w:r>
        <w:rPr>
          <w:rFonts w:hint="eastAsia" w:ascii="Times New Roman" w:hAnsi="Times New Roman" w:eastAsia="黑体" w:cs="Times New Roman"/>
          <w:color w:val="auto"/>
          <w:sz w:val="32"/>
          <w:szCs w:val="32"/>
          <w:shd w:val="clear" w:color="auto" w:fill="FFFFFF"/>
        </w:rPr>
        <w:t>乐山市“1+3+N”多层次低空起降设施布局表</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3"/>
        <w:gridCol w:w="2177"/>
        <w:gridCol w:w="1950"/>
        <w:gridCol w:w="1111"/>
        <w:gridCol w:w="1772"/>
        <w:gridCol w:w="9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120" w:type="dxa"/>
            <w:gridSpan w:val="2"/>
            <w:vAlign w:val="center"/>
          </w:tcPr>
          <w:p>
            <w:pPr>
              <w:adjustRightInd w:val="0"/>
              <w:snapToGrid w:val="0"/>
              <w:jc w:val="center"/>
              <w:rPr>
                <w:rFonts w:ascii="Times New Roman" w:hAnsi="Times New Roman" w:eastAsia="黑体" w:cs="Times New Roman"/>
                <w:color w:val="auto"/>
                <w:sz w:val="28"/>
                <w:szCs w:val="28"/>
              </w:rPr>
            </w:pPr>
            <w:r>
              <w:rPr>
                <w:rFonts w:hint="eastAsia" w:ascii="Times New Roman" w:hAnsi="Times New Roman" w:eastAsia="黑体" w:cs="Times New Roman"/>
                <w:color w:val="auto"/>
                <w:sz w:val="28"/>
                <w:szCs w:val="28"/>
              </w:rPr>
              <w:t>起降设施类型</w:t>
            </w:r>
          </w:p>
        </w:tc>
        <w:tc>
          <w:tcPr>
            <w:tcW w:w="1950" w:type="dxa"/>
            <w:vAlign w:val="center"/>
          </w:tcPr>
          <w:p>
            <w:pPr>
              <w:adjustRightInd w:val="0"/>
              <w:snapToGrid w:val="0"/>
              <w:jc w:val="center"/>
              <w:rPr>
                <w:rFonts w:ascii="Times New Roman" w:hAnsi="Times New Roman" w:eastAsia="黑体" w:cs="Times New Roman"/>
                <w:color w:val="auto"/>
                <w:sz w:val="28"/>
                <w:szCs w:val="28"/>
              </w:rPr>
            </w:pPr>
            <w:r>
              <w:rPr>
                <w:rFonts w:hint="eastAsia" w:ascii="Times New Roman" w:hAnsi="Times New Roman" w:eastAsia="黑体" w:cs="Times New Roman"/>
                <w:color w:val="auto"/>
                <w:sz w:val="28"/>
                <w:szCs w:val="28"/>
              </w:rPr>
              <w:t>类别/级别</w:t>
            </w:r>
          </w:p>
        </w:tc>
        <w:tc>
          <w:tcPr>
            <w:tcW w:w="1111" w:type="dxa"/>
            <w:vAlign w:val="center"/>
          </w:tcPr>
          <w:p>
            <w:pPr>
              <w:adjustRightInd w:val="0"/>
              <w:snapToGrid w:val="0"/>
              <w:jc w:val="center"/>
              <w:rPr>
                <w:rFonts w:ascii="Times New Roman" w:hAnsi="Times New Roman" w:eastAsia="黑体" w:cs="Times New Roman"/>
                <w:color w:val="auto"/>
                <w:sz w:val="28"/>
                <w:szCs w:val="28"/>
              </w:rPr>
            </w:pPr>
            <w:r>
              <w:rPr>
                <w:rFonts w:hint="eastAsia" w:ascii="Times New Roman" w:hAnsi="Times New Roman" w:eastAsia="黑体" w:cs="Times New Roman"/>
                <w:color w:val="auto"/>
                <w:sz w:val="28"/>
                <w:szCs w:val="28"/>
              </w:rPr>
              <w:t>位置</w:t>
            </w:r>
          </w:p>
        </w:tc>
        <w:tc>
          <w:tcPr>
            <w:tcW w:w="1616" w:type="dxa"/>
            <w:vAlign w:val="center"/>
          </w:tcPr>
          <w:p>
            <w:pPr>
              <w:adjustRightInd w:val="0"/>
              <w:snapToGrid w:val="0"/>
              <w:jc w:val="center"/>
              <w:rPr>
                <w:rFonts w:ascii="Times New Roman" w:hAnsi="Times New Roman" w:eastAsia="黑体" w:cs="Times New Roman"/>
                <w:color w:val="auto"/>
                <w:sz w:val="28"/>
                <w:szCs w:val="28"/>
              </w:rPr>
            </w:pPr>
            <w:r>
              <w:rPr>
                <w:rFonts w:hint="eastAsia" w:ascii="Times New Roman" w:hAnsi="Times New Roman" w:eastAsia="黑体" w:cs="Times New Roman"/>
                <w:color w:val="auto"/>
                <w:sz w:val="28"/>
                <w:szCs w:val="28"/>
              </w:rPr>
              <w:t>跑道长度</w:t>
            </w:r>
          </w:p>
        </w:tc>
        <w:tc>
          <w:tcPr>
            <w:tcW w:w="925" w:type="dxa"/>
            <w:vAlign w:val="center"/>
          </w:tcPr>
          <w:p>
            <w:pPr>
              <w:adjustRightInd w:val="0"/>
              <w:snapToGrid w:val="0"/>
              <w:jc w:val="center"/>
              <w:rPr>
                <w:rFonts w:ascii="Times New Roman" w:hAnsi="Times New Roman" w:eastAsia="黑体" w:cs="Times New Roman"/>
                <w:color w:val="auto"/>
                <w:sz w:val="28"/>
                <w:szCs w:val="28"/>
              </w:rPr>
            </w:pPr>
            <w:r>
              <w:rPr>
                <w:rFonts w:hint="eastAsia" w:ascii="Times New Roman" w:hAnsi="Times New Roman" w:eastAsia="黑体" w:cs="Times New Roman"/>
                <w:color w:val="auto"/>
                <w:sz w:val="28"/>
                <w:szCs w:val="28"/>
              </w:rPr>
              <w:t>建设进展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43" w:type="dxa"/>
            <w:vAlign w:val="center"/>
          </w:tcPr>
          <w:p>
            <w:pPr>
              <w:adjustRightInd w:val="0"/>
              <w:snapToGrid w:val="0"/>
              <w:jc w:val="center"/>
              <w:rPr>
                <w:rFonts w:ascii="Times New Roman" w:hAnsi="Times New Roman" w:eastAsia="楷体_GB2312" w:cs="Times New Roman"/>
                <w:color w:val="auto"/>
                <w:sz w:val="28"/>
                <w:szCs w:val="28"/>
              </w:rPr>
            </w:pPr>
            <w:r>
              <w:rPr>
                <w:rFonts w:hint="eastAsia" w:ascii="Times New Roman" w:hAnsi="Times New Roman" w:eastAsia="楷体_GB2312" w:cs="Times New Roman"/>
                <w:color w:val="auto"/>
                <w:sz w:val="28"/>
                <w:szCs w:val="28"/>
              </w:rPr>
              <w:t>支线</w:t>
            </w:r>
          </w:p>
          <w:p>
            <w:pPr>
              <w:adjustRightInd w:val="0"/>
              <w:snapToGrid w:val="0"/>
              <w:jc w:val="center"/>
              <w:rPr>
                <w:rFonts w:ascii="Times New Roman" w:hAnsi="Times New Roman" w:eastAsia="楷体_GB2312" w:cs="Times New Roman"/>
                <w:color w:val="auto"/>
                <w:sz w:val="28"/>
                <w:szCs w:val="28"/>
              </w:rPr>
            </w:pPr>
            <w:r>
              <w:rPr>
                <w:rFonts w:hint="eastAsia" w:ascii="Times New Roman" w:hAnsi="Times New Roman" w:eastAsia="楷体_GB2312" w:cs="Times New Roman"/>
                <w:color w:val="auto"/>
                <w:sz w:val="28"/>
                <w:szCs w:val="28"/>
              </w:rPr>
              <w:t>机场</w:t>
            </w:r>
          </w:p>
        </w:tc>
        <w:tc>
          <w:tcPr>
            <w:tcW w:w="2177" w:type="dxa"/>
            <w:vAlign w:val="center"/>
          </w:tcPr>
          <w:p>
            <w:pPr>
              <w:adjustRightInd w:val="0"/>
              <w:snapToGrid w:val="0"/>
              <w:jc w:val="center"/>
              <w:rPr>
                <w:rFonts w:ascii="Times New Roman" w:hAnsi="Times New Roman" w:eastAsia="仿宋_GB2312" w:cs="Times New Roman"/>
                <w:color w:val="auto"/>
                <w:sz w:val="28"/>
                <w:szCs w:val="28"/>
              </w:rPr>
            </w:pPr>
            <w:r>
              <w:rPr>
                <w:rFonts w:hint="eastAsia" w:ascii="Times New Roman" w:hAnsi="Times New Roman" w:eastAsia="仿宋_GB2312" w:cs="Times New Roman"/>
                <w:color w:val="auto"/>
                <w:sz w:val="28"/>
                <w:szCs w:val="28"/>
              </w:rPr>
              <w:t>乐山机场</w:t>
            </w:r>
          </w:p>
        </w:tc>
        <w:tc>
          <w:tcPr>
            <w:tcW w:w="1950" w:type="dxa"/>
            <w:vAlign w:val="center"/>
          </w:tcPr>
          <w:p>
            <w:pPr>
              <w:adjustRightInd w:val="0"/>
              <w:snapToGrid w:val="0"/>
              <w:jc w:val="center"/>
              <w:rPr>
                <w:rFonts w:ascii="Times New Roman" w:hAnsi="Times New Roman" w:eastAsia="仿宋_GB2312" w:cs="Times New Roman"/>
                <w:color w:val="auto"/>
                <w:sz w:val="28"/>
                <w:szCs w:val="28"/>
              </w:rPr>
            </w:pPr>
            <w:r>
              <w:rPr>
                <w:rFonts w:hint="eastAsia" w:ascii="Times New Roman" w:hAnsi="Times New Roman" w:eastAsia="仿宋_GB2312" w:cs="Times New Roman"/>
                <w:color w:val="auto"/>
                <w:sz w:val="28"/>
                <w:szCs w:val="28"/>
              </w:rPr>
              <w:t>4C（军民合用）</w:t>
            </w:r>
          </w:p>
        </w:tc>
        <w:tc>
          <w:tcPr>
            <w:tcW w:w="1111" w:type="dxa"/>
            <w:vAlign w:val="center"/>
          </w:tcPr>
          <w:p>
            <w:pPr>
              <w:adjustRightInd w:val="0"/>
              <w:snapToGrid w:val="0"/>
              <w:jc w:val="center"/>
              <w:rPr>
                <w:rFonts w:ascii="Times New Roman" w:hAnsi="Times New Roman" w:eastAsia="仿宋_GB2312" w:cs="Times New Roman"/>
                <w:color w:val="auto"/>
                <w:sz w:val="28"/>
                <w:szCs w:val="28"/>
              </w:rPr>
            </w:pPr>
            <w:r>
              <w:rPr>
                <w:rFonts w:hint="eastAsia" w:ascii="Times New Roman" w:hAnsi="Times New Roman" w:eastAsia="仿宋_GB2312" w:cs="Times New Roman"/>
                <w:color w:val="auto"/>
                <w:sz w:val="28"/>
                <w:szCs w:val="28"/>
              </w:rPr>
              <w:t>五通桥区冠英镇</w:t>
            </w:r>
          </w:p>
        </w:tc>
        <w:tc>
          <w:tcPr>
            <w:tcW w:w="1616" w:type="dxa"/>
            <w:vAlign w:val="center"/>
          </w:tcPr>
          <w:p>
            <w:pPr>
              <w:adjustRightInd w:val="0"/>
              <w:snapToGrid w:val="0"/>
              <w:jc w:val="center"/>
              <w:rPr>
                <w:rFonts w:ascii="Times New Roman" w:hAnsi="Times New Roman" w:eastAsia="仿宋_GB2312" w:cs="Times New Roman"/>
                <w:color w:val="auto"/>
                <w:sz w:val="28"/>
                <w:szCs w:val="28"/>
              </w:rPr>
            </w:pPr>
            <w:r>
              <w:rPr>
                <w:rFonts w:hint="eastAsia" w:ascii="Times New Roman" w:hAnsi="Times New Roman" w:eastAsia="仿宋_GB2312" w:cs="Times New Roman"/>
                <w:color w:val="auto"/>
                <w:sz w:val="28"/>
                <w:szCs w:val="28"/>
              </w:rPr>
              <w:t>2800m×50m</w:t>
            </w:r>
          </w:p>
        </w:tc>
        <w:tc>
          <w:tcPr>
            <w:tcW w:w="925" w:type="dxa"/>
            <w:vAlign w:val="center"/>
          </w:tcPr>
          <w:p>
            <w:pPr>
              <w:adjustRightInd w:val="0"/>
              <w:snapToGrid w:val="0"/>
              <w:jc w:val="center"/>
              <w:rPr>
                <w:rFonts w:ascii="Times New Roman" w:hAnsi="Times New Roman" w:eastAsia="仿宋_GB2312" w:cs="Times New Roman"/>
                <w:color w:val="auto"/>
                <w:sz w:val="28"/>
                <w:szCs w:val="28"/>
              </w:rPr>
            </w:pPr>
            <w:r>
              <w:rPr>
                <w:rFonts w:hint="eastAsia" w:ascii="Times New Roman" w:hAnsi="Times New Roman" w:eastAsia="仿宋_GB2312" w:cs="Times New Roman"/>
                <w:color w:val="auto"/>
                <w:sz w:val="28"/>
                <w:szCs w:val="28"/>
              </w:rPr>
              <w:t>开工建设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43" w:type="dxa"/>
            <w:vMerge w:val="restart"/>
            <w:vAlign w:val="center"/>
          </w:tcPr>
          <w:p>
            <w:pPr>
              <w:adjustRightInd w:val="0"/>
              <w:snapToGrid w:val="0"/>
              <w:jc w:val="center"/>
              <w:rPr>
                <w:rFonts w:ascii="Times New Roman" w:hAnsi="Times New Roman" w:eastAsia="仿宋_GB2312" w:cs="Times New Roman"/>
                <w:color w:val="auto"/>
                <w:sz w:val="28"/>
                <w:szCs w:val="28"/>
              </w:rPr>
            </w:pPr>
            <w:bookmarkStart w:id="231" w:name="_Hlk197341550"/>
            <w:r>
              <w:rPr>
                <w:rFonts w:hint="eastAsia" w:ascii="Times New Roman" w:hAnsi="Times New Roman" w:eastAsia="楷体_GB2312" w:cs="Times New Roman"/>
                <w:color w:val="auto"/>
                <w:sz w:val="28"/>
                <w:szCs w:val="28"/>
              </w:rPr>
              <w:t>通用机场</w:t>
            </w:r>
          </w:p>
        </w:tc>
        <w:tc>
          <w:tcPr>
            <w:tcW w:w="2177" w:type="dxa"/>
            <w:vAlign w:val="center"/>
          </w:tcPr>
          <w:p>
            <w:pPr>
              <w:adjustRightInd w:val="0"/>
              <w:snapToGrid w:val="0"/>
              <w:jc w:val="center"/>
              <w:rPr>
                <w:rFonts w:ascii="Times New Roman" w:hAnsi="Times New Roman" w:eastAsia="仿宋_GB2312" w:cs="Times New Roman"/>
                <w:color w:val="auto"/>
                <w:sz w:val="28"/>
                <w:szCs w:val="28"/>
              </w:rPr>
            </w:pPr>
            <w:r>
              <w:rPr>
                <w:rFonts w:hint="eastAsia" w:ascii="Times New Roman" w:hAnsi="Times New Roman" w:eastAsia="仿宋_GB2312" w:cs="Times New Roman"/>
                <w:color w:val="auto"/>
                <w:sz w:val="28"/>
                <w:szCs w:val="28"/>
              </w:rPr>
              <w:t>峨眉山市通用机场</w:t>
            </w:r>
          </w:p>
        </w:tc>
        <w:tc>
          <w:tcPr>
            <w:tcW w:w="1950" w:type="dxa"/>
            <w:vAlign w:val="center"/>
          </w:tcPr>
          <w:p>
            <w:pPr>
              <w:adjustRightInd w:val="0"/>
              <w:snapToGrid w:val="0"/>
              <w:jc w:val="center"/>
              <w:rPr>
                <w:rFonts w:ascii="Times New Roman" w:hAnsi="Times New Roman" w:eastAsia="仿宋_GB2312" w:cs="Times New Roman"/>
                <w:color w:val="auto"/>
                <w:sz w:val="28"/>
                <w:szCs w:val="28"/>
              </w:rPr>
            </w:pPr>
            <w:r>
              <w:rPr>
                <w:rFonts w:hint="eastAsia" w:ascii="Times New Roman" w:hAnsi="Times New Roman" w:eastAsia="仿宋_GB2312" w:cs="Times New Roman"/>
                <w:color w:val="auto"/>
                <w:sz w:val="28"/>
                <w:szCs w:val="28"/>
              </w:rPr>
              <w:t>跑道型机场</w:t>
            </w:r>
          </w:p>
        </w:tc>
        <w:tc>
          <w:tcPr>
            <w:tcW w:w="1111" w:type="dxa"/>
            <w:vAlign w:val="center"/>
          </w:tcPr>
          <w:p>
            <w:pPr>
              <w:adjustRightInd w:val="0"/>
              <w:snapToGrid w:val="0"/>
              <w:jc w:val="center"/>
              <w:rPr>
                <w:rFonts w:ascii="Times New Roman" w:hAnsi="Times New Roman" w:eastAsia="仿宋_GB2312" w:cs="Times New Roman"/>
                <w:color w:val="auto"/>
                <w:sz w:val="28"/>
                <w:szCs w:val="28"/>
              </w:rPr>
            </w:pPr>
            <w:r>
              <w:rPr>
                <w:rFonts w:hint="eastAsia" w:ascii="Times New Roman" w:hAnsi="Times New Roman" w:eastAsia="仿宋_GB2312" w:cs="Times New Roman"/>
                <w:color w:val="auto"/>
                <w:sz w:val="28"/>
                <w:szCs w:val="28"/>
              </w:rPr>
              <w:t>待定</w:t>
            </w:r>
          </w:p>
        </w:tc>
        <w:tc>
          <w:tcPr>
            <w:tcW w:w="1616" w:type="dxa"/>
            <w:vAlign w:val="center"/>
          </w:tcPr>
          <w:p>
            <w:pPr>
              <w:adjustRightInd w:val="0"/>
              <w:snapToGrid w:val="0"/>
              <w:jc w:val="center"/>
              <w:rPr>
                <w:rFonts w:ascii="Times New Roman" w:hAnsi="Times New Roman" w:eastAsia="仿宋_GB2312" w:cs="Times New Roman"/>
                <w:color w:val="auto"/>
                <w:sz w:val="28"/>
                <w:szCs w:val="28"/>
              </w:rPr>
            </w:pPr>
            <w:r>
              <w:rPr>
                <w:rFonts w:hint="eastAsia" w:ascii="Times New Roman" w:hAnsi="Times New Roman" w:eastAsia="仿宋_GB2312" w:cs="Times New Roman"/>
                <w:color w:val="auto"/>
                <w:sz w:val="28"/>
                <w:szCs w:val="28"/>
              </w:rPr>
              <w:t>待定</w:t>
            </w:r>
          </w:p>
        </w:tc>
        <w:tc>
          <w:tcPr>
            <w:tcW w:w="925" w:type="dxa"/>
            <w:vAlign w:val="center"/>
          </w:tcPr>
          <w:p>
            <w:pPr>
              <w:adjustRightInd w:val="0"/>
              <w:snapToGrid w:val="0"/>
              <w:jc w:val="center"/>
              <w:rPr>
                <w:rFonts w:ascii="Times New Roman" w:hAnsi="Times New Roman" w:eastAsia="仿宋_GB2312" w:cs="Times New Roman"/>
                <w:color w:val="auto"/>
                <w:sz w:val="28"/>
                <w:szCs w:val="28"/>
              </w:rPr>
            </w:pPr>
            <w:r>
              <w:rPr>
                <w:rFonts w:hint="eastAsia" w:ascii="Times New Roman" w:hAnsi="Times New Roman" w:eastAsia="仿宋_GB2312" w:cs="Times New Roman"/>
                <w:color w:val="auto"/>
                <w:sz w:val="28"/>
                <w:szCs w:val="28"/>
              </w:rPr>
              <w:t>谋划阶段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43" w:type="dxa"/>
            <w:vMerge w:val="continue"/>
            <w:vAlign w:val="center"/>
          </w:tcPr>
          <w:p>
            <w:pPr>
              <w:adjustRightInd w:val="0"/>
              <w:snapToGrid w:val="0"/>
              <w:jc w:val="center"/>
              <w:rPr>
                <w:rFonts w:ascii="Times New Roman" w:hAnsi="Times New Roman" w:eastAsia="仿宋_GB2312" w:cs="Times New Roman"/>
                <w:color w:val="auto"/>
                <w:sz w:val="28"/>
                <w:szCs w:val="28"/>
              </w:rPr>
            </w:pPr>
          </w:p>
        </w:tc>
        <w:tc>
          <w:tcPr>
            <w:tcW w:w="2177" w:type="dxa"/>
            <w:vAlign w:val="center"/>
          </w:tcPr>
          <w:p>
            <w:pPr>
              <w:adjustRightInd w:val="0"/>
              <w:snapToGrid w:val="0"/>
              <w:jc w:val="center"/>
              <w:rPr>
                <w:rFonts w:ascii="Times New Roman" w:hAnsi="Times New Roman" w:eastAsia="仿宋_GB2312" w:cs="Times New Roman"/>
                <w:color w:val="auto"/>
                <w:sz w:val="28"/>
                <w:szCs w:val="28"/>
              </w:rPr>
            </w:pPr>
            <w:r>
              <w:rPr>
                <w:rFonts w:hint="eastAsia" w:ascii="Times New Roman" w:hAnsi="Times New Roman" w:eastAsia="仿宋_GB2312" w:cs="Times New Roman"/>
                <w:color w:val="auto"/>
                <w:sz w:val="28"/>
                <w:szCs w:val="28"/>
              </w:rPr>
              <w:t>峨边彝族自治县通用机场</w:t>
            </w:r>
          </w:p>
        </w:tc>
        <w:tc>
          <w:tcPr>
            <w:tcW w:w="1950" w:type="dxa"/>
            <w:vAlign w:val="center"/>
          </w:tcPr>
          <w:p>
            <w:pPr>
              <w:adjustRightInd w:val="0"/>
              <w:snapToGrid w:val="0"/>
              <w:jc w:val="center"/>
              <w:rPr>
                <w:rFonts w:ascii="Times New Roman" w:hAnsi="Times New Roman" w:eastAsia="仿宋_GB2312" w:cs="Times New Roman"/>
                <w:color w:val="auto"/>
                <w:sz w:val="28"/>
                <w:szCs w:val="28"/>
              </w:rPr>
            </w:pPr>
            <w:r>
              <w:rPr>
                <w:rFonts w:hint="eastAsia" w:ascii="Times New Roman" w:hAnsi="Times New Roman" w:eastAsia="仿宋_GB2312" w:cs="Times New Roman"/>
                <w:color w:val="auto"/>
                <w:sz w:val="28"/>
                <w:szCs w:val="28"/>
              </w:rPr>
              <w:t>跑道型机场</w:t>
            </w:r>
          </w:p>
        </w:tc>
        <w:tc>
          <w:tcPr>
            <w:tcW w:w="1111" w:type="dxa"/>
            <w:vAlign w:val="center"/>
          </w:tcPr>
          <w:p>
            <w:pPr>
              <w:adjustRightInd w:val="0"/>
              <w:snapToGrid w:val="0"/>
              <w:jc w:val="center"/>
              <w:rPr>
                <w:rFonts w:ascii="Times New Roman" w:hAnsi="Times New Roman" w:eastAsia="仿宋_GB2312" w:cs="Times New Roman"/>
                <w:color w:val="auto"/>
                <w:sz w:val="28"/>
                <w:szCs w:val="28"/>
              </w:rPr>
            </w:pPr>
            <w:r>
              <w:rPr>
                <w:rFonts w:hint="eastAsia" w:ascii="Times New Roman" w:hAnsi="Times New Roman" w:eastAsia="仿宋_GB2312" w:cs="Times New Roman"/>
                <w:color w:val="auto"/>
                <w:sz w:val="28"/>
                <w:szCs w:val="28"/>
              </w:rPr>
              <w:t>待定</w:t>
            </w:r>
          </w:p>
        </w:tc>
        <w:tc>
          <w:tcPr>
            <w:tcW w:w="1616" w:type="dxa"/>
            <w:vAlign w:val="center"/>
          </w:tcPr>
          <w:p>
            <w:pPr>
              <w:adjustRightInd w:val="0"/>
              <w:snapToGrid w:val="0"/>
              <w:jc w:val="center"/>
              <w:rPr>
                <w:rFonts w:ascii="Times New Roman" w:hAnsi="Times New Roman" w:eastAsia="仿宋_GB2312" w:cs="Times New Roman"/>
                <w:color w:val="auto"/>
                <w:sz w:val="28"/>
                <w:szCs w:val="28"/>
              </w:rPr>
            </w:pPr>
            <w:r>
              <w:rPr>
                <w:rFonts w:hint="eastAsia" w:ascii="Times New Roman" w:hAnsi="Times New Roman" w:eastAsia="仿宋_GB2312" w:cs="Times New Roman"/>
                <w:color w:val="auto"/>
                <w:sz w:val="28"/>
                <w:szCs w:val="28"/>
              </w:rPr>
              <w:t>待定</w:t>
            </w:r>
          </w:p>
        </w:tc>
        <w:tc>
          <w:tcPr>
            <w:tcW w:w="925" w:type="dxa"/>
            <w:vAlign w:val="center"/>
          </w:tcPr>
          <w:p>
            <w:pPr>
              <w:adjustRightInd w:val="0"/>
              <w:snapToGrid w:val="0"/>
              <w:jc w:val="center"/>
              <w:rPr>
                <w:rFonts w:ascii="Times New Roman" w:hAnsi="Times New Roman" w:eastAsia="仿宋_GB2312" w:cs="Times New Roman"/>
                <w:color w:val="auto"/>
                <w:sz w:val="28"/>
                <w:szCs w:val="28"/>
              </w:rPr>
            </w:pPr>
            <w:r>
              <w:rPr>
                <w:rFonts w:hint="eastAsia" w:ascii="Times New Roman" w:hAnsi="Times New Roman" w:eastAsia="仿宋_GB2312" w:cs="Times New Roman"/>
                <w:color w:val="auto"/>
                <w:sz w:val="28"/>
                <w:szCs w:val="28"/>
              </w:rPr>
              <w:t>谋划阶段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43" w:type="dxa"/>
            <w:vMerge w:val="continue"/>
            <w:vAlign w:val="center"/>
          </w:tcPr>
          <w:p>
            <w:pPr>
              <w:adjustRightInd w:val="0"/>
              <w:snapToGrid w:val="0"/>
              <w:jc w:val="center"/>
              <w:rPr>
                <w:rFonts w:ascii="Times New Roman" w:hAnsi="Times New Roman" w:eastAsia="仿宋_GB2312" w:cs="Times New Roman"/>
                <w:color w:val="auto"/>
                <w:sz w:val="28"/>
                <w:szCs w:val="28"/>
              </w:rPr>
            </w:pPr>
          </w:p>
        </w:tc>
        <w:tc>
          <w:tcPr>
            <w:tcW w:w="2177" w:type="dxa"/>
            <w:vAlign w:val="center"/>
          </w:tcPr>
          <w:p>
            <w:pPr>
              <w:adjustRightInd w:val="0"/>
              <w:snapToGrid w:val="0"/>
              <w:jc w:val="center"/>
              <w:rPr>
                <w:rFonts w:ascii="Times New Roman" w:hAnsi="Times New Roman" w:eastAsia="仿宋_GB2312" w:cs="Times New Roman"/>
                <w:color w:val="auto"/>
                <w:sz w:val="28"/>
                <w:szCs w:val="28"/>
              </w:rPr>
            </w:pPr>
            <w:r>
              <w:rPr>
                <w:rFonts w:hint="eastAsia" w:ascii="Times New Roman" w:hAnsi="Times New Roman" w:eastAsia="仿宋_GB2312" w:cs="Times New Roman"/>
                <w:color w:val="auto"/>
                <w:sz w:val="28"/>
                <w:szCs w:val="28"/>
              </w:rPr>
              <w:t>马边彝族自治县通用机场</w:t>
            </w:r>
          </w:p>
        </w:tc>
        <w:tc>
          <w:tcPr>
            <w:tcW w:w="1950" w:type="dxa"/>
            <w:vAlign w:val="center"/>
          </w:tcPr>
          <w:p>
            <w:pPr>
              <w:adjustRightInd w:val="0"/>
              <w:snapToGrid w:val="0"/>
              <w:jc w:val="center"/>
              <w:rPr>
                <w:rFonts w:ascii="Times New Roman" w:hAnsi="Times New Roman" w:eastAsia="仿宋_GB2312" w:cs="Times New Roman"/>
                <w:color w:val="auto"/>
                <w:sz w:val="28"/>
                <w:szCs w:val="28"/>
              </w:rPr>
            </w:pPr>
            <w:r>
              <w:rPr>
                <w:rFonts w:hint="eastAsia" w:ascii="Times New Roman" w:hAnsi="Times New Roman" w:eastAsia="仿宋_GB2312" w:cs="Times New Roman"/>
                <w:color w:val="auto"/>
                <w:sz w:val="28"/>
                <w:szCs w:val="28"/>
              </w:rPr>
              <w:t>跑道型机场</w:t>
            </w:r>
          </w:p>
        </w:tc>
        <w:tc>
          <w:tcPr>
            <w:tcW w:w="1111" w:type="dxa"/>
            <w:vAlign w:val="center"/>
          </w:tcPr>
          <w:p>
            <w:pPr>
              <w:adjustRightInd w:val="0"/>
              <w:snapToGrid w:val="0"/>
              <w:jc w:val="center"/>
              <w:rPr>
                <w:rFonts w:ascii="Times New Roman" w:hAnsi="Times New Roman" w:eastAsia="仿宋_GB2312" w:cs="Times New Roman"/>
                <w:color w:val="auto"/>
                <w:sz w:val="28"/>
                <w:szCs w:val="28"/>
              </w:rPr>
            </w:pPr>
            <w:r>
              <w:rPr>
                <w:rFonts w:hint="eastAsia" w:ascii="Times New Roman" w:hAnsi="Times New Roman" w:eastAsia="仿宋_GB2312" w:cs="Times New Roman"/>
                <w:color w:val="auto"/>
                <w:sz w:val="28"/>
                <w:szCs w:val="28"/>
              </w:rPr>
              <w:t>待定</w:t>
            </w:r>
          </w:p>
        </w:tc>
        <w:tc>
          <w:tcPr>
            <w:tcW w:w="1616" w:type="dxa"/>
            <w:vAlign w:val="center"/>
          </w:tcPr>
          <w:p>
            <w:pPr>
              <w:adjustRightInd w:val="0"/>
              <w:snapToGrid w:val="0"/>
              <w:jc w:val="center"/>
              <w:rPr>
                <w:rFonts w:ascii="Times New Roman" w:hAnsi="Times New Roman" w:eastAsia="仿宋_GB2312" w:cs="Times New Roman"/>
                <w:color w:val="auto"/>
                <w:sz w:val="28"/>
                <w:szCs w:val="28"/>
              </w:rPr>
            </w:pPr>
            <w:r>
              <w:rPr>
                <w:rFonts w:hint="eastAsia" w:ascii="Times New Roman" w:hAnsi="Times New Roman" w:eastAsia="仿宋_GB2312" w:cs="Times New Roman"/>
                <w:color w:val="auto"/>
                <w:sz w:val="28"/>
                <w:szCs w:val="28"/>
              </w:rPr>
              <w:t>待定</w:t>
            </w:r>
          </w:p>
        </w:tc>
        <w:tc>
          <w:tcPr>
            <w:tcW w:w="925" w:type="dxa"/>
            <w:vAlign w:val="center"/>
          </w:tcPr>
          <w:p>
            <w:pPr>
              <w:adjustRightInd w:val="0"/>
              <w:snapToGrid w:val="0"/>
              <w:jc w:val="center"/>
              <w:rPr>
                <w:rFonts w:ascii="Times New Roman" w:hAnsi="Times New Roman" w:eastAsia="仿宋_GB2312" w:cs="Times New Roman"/>
                <w:color w:val="auto"/>
                <w:sz w:val="28"/>
                <w:szCs w:val="28"/>
              </w:rPr>
            </w:pPr>
            <w:r>
              <w:rPr>
                <w:rFonts w:hint="eastAsia" w:ascii="Times New Roman" w:hAnsi="Times New Roman" w:eastAsia="仿宋_GB2312" w:cs="Times New Roman"/>
                <w:color w:val="auto"/>
                <w:sz w:val="28"/>
                <w:szCs w:val="28"/>
              </w:rPr>
              <w:t>谋划阶段</w:t>
            </w:r>
          </w:p>
        </w:tc>
      </w:tr>
      <w:bookmarkEnd w:id="231"/>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120" w:type="dxa"/>
            <w:gridSpan w:val="2"/>
            <w:vAlign w:val="center"/>
          </w:tcPr>
          <w:p>
            <w:pPr>
              <w:adjustRightInd w:val="0"/>
              <w:snapToGrid w:val="0"/>
              <w:jc w:val="center"/>
              <w:rPr>
                <w:rFonts w:ascii="Times New Roman" w:hAnsi="Times New Roman" w:eastAsia="黑体" w:cs="Times New Roman"/>
                <w:color w:val="auto"/>
                <w:sz w:val="28"/>
                <w:szCs w:val="28"/>
              </w:rPr>
            </w:pPr>
            <w:r>
              <w:rPr>
                <w:rFonts w:hint="eastAsia" w:ascii="Times New Roman" w:hAnsi="Times New Roman" w:eastAsia="黑体" w:cs="Times New Roman"/>
                <w:color w:val="auto"/>
                <w:sz w:val="28"/>
                <w:szCs w:val="28"/>
              </w:rPr>
              <w:t>起降设施类型</w:t>
            </w:r>
          </w:p>
        </w:tc>
        <w:tc>
          <w:tcPr>
            <w:tcW w:w="5602" w:type="dxa"/>
            <w:gridSpan w:val="4"/>
            <w:vAlign w:val="center"/>
          </w:tcPr>
          <w:p>
            <w:pPr>
              <w:adjustRightInd w:val="0"/>
              <w:snapToGrid w:val="0"/>
              <w:jc w:val="center"/>
              <w:rPr>
                <w:rFonts w:ascii="Times New Roman" w:hAnsi="Times New Roman" w:eastAsia="黑体" w:cs="Times New Roman"/>
                <w:color w:val="auto"/>
                <w:sz w:val="28"/>
                <w:szCs w:val="28"/>
              </w:rPr>
            </w:pPr>
            <w:r>
              <w:rPr>
                <w:rFonts w:hint="eastAsia" w:ascii="Times New Roman" w:hAnsi="Times New Roman" w:eastAsia="黑体" w:cs="Times New Roman"/>
                <w:color w:val="auto"/>
                <w:sz w:val="28"/>
                <w:szCs w:val="28"/>
              </w:rPr>
              <w:t>布局规划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0" w:hRule="atLeast"/>
          <w:jc w:val="center"/>
        </w:trPr>
        <w:tc>
          <w:tcPr>
            <w:tcW w:w="943" w:type="dxa"/>
            <w:vMerge w:val="restart"/>
            <w:vAlign w:val="center"/>
          </w:tcPr>
          <w:p>
            <w:pPr>
              <w:adjustRightInd w:val="0"/>
              <w:snapToGrid w:val="0"/>
              <w:jc w:val="center"/>
              <w:rPr>
                <w:rFonts w:ascii="Times New Roman" w:hAnsi="Times New Roman" w:eastAsia="楷体_GB2312" w:cs="Times New Roman"/>
                <w:color w:val="auto"/>
                <w:sz w:val="28"/>
                <w:szCs w:val="28"/>
              </w:rPr>
            </w:pPr>
            <w:r>
              <w:rPr>
                <w:rFonts w:hint="eastAsia" w:ascii="Times New Roman" w:hAnsi="Times New Roman" w:eastAsia="楷体_GB2312" w:cs="Times New Roman"/>
                <w:color w:val="auto"/>
                <w:sz w:val="28"/>
                <w:szCs w:val="28"/>
              </w:rPr>
              <w:t>垂直起降设施</w:t>
            </w:r>
          </w:p>
        </w:tc>
        <w:tc>
          <w:tcPr>
            <w:tcW w:w="2177" w:type="dxa"/>
            <w:vAlign w:val="center"/>
          </w:tcPr>
          <w:p>
            <w:pPr>
              <w:adjustRightInd w:val="0"/>
              <w:snapToGrid w:val="0"/>
              <w:jc w:val="center"/>
              <w:rPr>
                <w:rFonts w:ascii="Times New Roman" w:hAnsi="Times New Roman" w:eastAsia="仿宋_GB2312" w:cs="Times New Roman"/>
                <w:color w:val="auto"/>
                <w:sz w:val="28"/>
                <w:szCs w:val="28"/>
              </w:rPr>
            </w:pPr>
            <w:r>
              <w:rPr>
                <w:rFonts w:hint="eastAsia" w:ascii="Times New Roman" w:hAnsi="Times New Roman" w:eastAsia="仿宋_GB2312" w:cs="Times New Roman"/>
                <w:color w:val="auto"/>
                <w:sz w:val="28"/>
                <w:szCs w:val="28"/>
              </w:rPr>
              <w:t>一级核心节点</w:t>
            </w:r>
          </w:p>
        </w:tc>
        <w:tc>
          <w:tcPr>
            <w:tcW w:w="5602" w:type="dxa"/>
            <w:gridSpan w:val="4"/>
            <w:vMerge w:val="restart"/>
            <w:vAlign w:val="center"/>
          </w:tcPr>
          <w:p>
            <w:pPr>
              <w:adjustRightInd w:val="0"/>
              <w:snapToGrid w:val="0"/>
              <w:spacing w:line="400" w:lineRule="exact"/>
              <w:rPr>
                <w:rFonts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szCs w:val="24"/>
              </w:rPr>
              <w:t>1.低空客运起降场。为服务开展市内外空中交通业务开发，满足直升机、eVTOL和飞行汽车起降、接驳等需求，在交通枢纽、商务会展集中区域、主要旅游景区周边规划布局低空客运起降场，具备候机、安检、装卸、补能、停放、维修等综合功能，为商务、旅游等群体创造快速出行新方式。</w:t>
            </w:r>
          </w:p>
          <w:p>
            <w:pPr>
              <w:adjustRightInd w:val="0"/>
              <w:snapToGrid w:val="0"/>
              <w:spacing w:line="400" w:lineRule="exact"/>
              <w:rPr>
                <w:rFonts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szCs w:val="24"/>
              </w:rPr>
              <w:t>2.支线物流起降场。综合考虑现有及规划通用机场项目、低空智慧物流体系构建需要等因素，充分利用乐山机场以及规划通用机场作为支线物流起降场，在部分物流园区规划新增支线物流起降场，构建全市无人机物流骨干网络，承担低空物流集散功能。</w:t>
            </w:r>
          </w:p>
          <w:p>
            <w:pPr>
              <w:adjustRightInd w:val="0"/>
              <w:snapToGrid w:val="0"/>
              <w:spacing w:line="400" w:lineRule="exact"/>
              <w:rPr>
                <w:rFonts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szCs w:val="24"/>
              </w:rPr>
              <w:t>3.末端配送起降场。发掘即时快递配送、外卖配送业务集中地区及地面交通不便地区的市场需求，聚焦典型应用场景，在主要商圈、快递分拨中心、景点以及市内快递和外卖业务量较大的社区、村规划布局末端物流起降场（无人机蜂巢），有效延伸拓展无人机物流网络，显著提升全市无人机物流可达性、便捷性。</w:t>
            </w:r>
          </w:p>
          <w:p>
            <w:pPr>
              <w:adjustRightInd w:val="0"/>
              <w:snapToGrid w:val="0"/>
              <w:spacing w:line="400" w:lineRule="exact"/>
              <w:rPr>
                <w:rFonts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szCs w:val="24"/>
              </w:rPr>
              <w:t>4.医疗紧急运输起降场。为支撑全市医疗机构之间开展血液制品、检测样本、供体器官等进行无人机快速转运，以及人员的转运，在血站、医疗检验中心、三级医院及部分二级医院规划布局医疗紧急运输起降场，有效提升全市医疗体系服务效率和质量。</w:t>
            </w:r>
          </w:p>
          <w:p>
            <w:pPr>
              <w:adjustRightInd w:val="0"/>
              <w:snapToGrid w:val="0"/>
              <w:spacing w:line="400" w:lineRule="exact"/>
              <w:rPr>
                <w:rFonts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szCs w:val="24"/>
              </w:rPr>
              <w:t>5.智慧城市管理起降场。为满足治安防控、打击犯罪、社会治理等需求，在公安机关规划布局起降场。为加强河湖治理、河湖巡查、水域监测，在主要河湖周边规划布局一批起降场地和自动起降站（无人机蜂巢）。为实现救灾物资快速转运，在全市救灾物资储备库(点、室)规划布局起降场。为支撑安全生产监测、事故应急救援等工作开展，在全市主要产业园区规划布局一批起降场地和自动起降站（无人机蜂巢）。为满足高速公路巡检、执法、指挥、救援等需求，在部分高速公路服务区和收费站规划布局一批起降场地和自动起降站（无人机蜂巢）。为提供电力巡线效率，在特高压输电线路沿线及重点电力项目周边规划布局起降场。为满足农业农村应用、乡镇管理，在乡镇政府布局一批起降场地和自动起降站（无人机蜂巢）。</w:t>
            </w:r>
          </w:p>
          <w:p>
            <w:pPr>
              <w:adjustRightInd w:val="0"/>
              <w:snapToGrid w:val="0"/>
              <w:spacing w:line="400" w:lineRule="exact"/>
              <w:rPr>
                <w:rFonts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szCs w:val="24"/>
              </w:rPr>
              <w:t>6.应急救援起降场。结合乐山实际，在偏远山区、林区、江心岛等地区建设一批应急救援起降场。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0" w:hRule="atLeast"/>
          <w:jc w:val="center"/>
        </w:trPr>
        <w:tc>
          <w:tcPr>
            <w:tcW w:w="943" w:type="dxa"/>
            <w:vMerge w:val="continue"/>
            <w:vAlign w:val="center"/>
          </w:tcPr>
          <w:p>
            <w:pPr>
              <w:adjustRightInd w:val="0"/>
              <w:snapToGrid w:val="0"/>
              <w:jc w:val="center"/>
              <w:rPr>
                <w:rFonts w:ascii="Times New Roman" w:hAnsi="Times New Roman" w:eastAsia="宋体" w:cs="Times New Roman"/>
                <w:color w:val="auto"/>
                <w:sz w:val="28"/>
                <w:szCs w:val="28"/>
              </w:rPr>
            </w:pPr>
          </w:p>
        </w:tc>
        <w:tc>
          <w:tcPr>
            <w:tcW w:w="2177" w:type="dxa"/>
            <w:vAlign w:val="center"/>
          </w:tcPr>
          <w:p>
            <w:pPr>
              <w:adjustRightInd w:val="0"/>
              <w:snapToGrid w:val="0"/>
              <w:jc w:val="center"/>
              <w:rPr>
                <w:rFonts w:ascii="Times New Roman" w:hAnsi="Times New Roman" w:eastAsia="仿宋_GB2312" w:cs="Times New Roman"/>
                <w:color w:val="auto"/>
                <w:sz w:val="28"/>
                <w:szCs w:val="28"/>
              </w:rPr>
            </w:pPr>
            <w:r>
              <w:rPr>
                <w:rFonts w:hint="eastAsia" w:ascii="Times New Roman" w:hAnsi="Times New Roman" w:eastAsia="仿宋_GB2312" w:cs="Times New Roman"/>
                <w:color w:val="auto"/>
                <w:sz w:val="28"/>
                <w:szCs w:val="28"/>
              </w:rPr>
              <w:t>二级重要节点</w:t>
            </w:r>
          </w:p>
        </w:tc>
        <w:tc>
          <w:tcPr>
            <w:tcW w:w="5602" w:type="dxa"/>
            <w:gridSpan w:val="4"/>
            <w:vMerge w:val="continue"/>
            <w:vAlign w:val="center"/>
          </w:tcPr>
          <w:p>
            <w:pPr>
              <w:adjustRightInd w:val="0"/>
              <w:snapToGrid w:val="0"/>
              <w:rPr>
                <w:rFonts w:ascii="Times New Roman" w:hAnsi="Times New Roman" w:eastAsia="宋体" w:cs="Times New Roman"/>
                <w:color w:val="auto"/>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0" w:hRule="atLeast"/>
          <w:jc w:val="center"/>
        </w:trPr>
        <w:tc>
          <w:tcPr>
            <w:tcW w:w="943" w:type="dxa"/>
            <w:vMerge w:val="continue"/>
            <w:vAlign w:val="center"/>
          </w:tcPr>
          <w:p>
            <w:pPr>
              <w:adjustRightInd w:val="0"/>
              <w:snapToGrid w:val="0"/>
              <w:jc w:val="center"/>
              <w:rPr>
                <w:rFonts w:ascii="Times New Roman" w:hAnsi="Times New Roman" w:eastAsia="宋体" w:cs="Times New Roman"/>
                <w:color w:val="auto"/>
                <w:sz w:val="28"/>
                <w:szCs w:val="28"/>
              </w:rPr>
            </w:pPr>
          </w:p>
        </w:tc>
        <w:tc>
          <w:tcPr>
            <w:tcW w:w="2177" w:type="dxa"/>
            <w:vAlign w:val="center"/>
          </w:tcPr>
          <w:p>
            <w:pPr>
              <w:adjustRightInd w:val="0"/>
              <w:snapToGrid w:val="0"/>
              <w:jc w:val="center"/>
              <w:rPr>
                <w:rFonts w:ascii="Times New Roman" w:hAnsi="Times New Roman" w:eastAsia="仿宋_GB2312" w:cs="Times New Roman"/>
                <w:color w:val="auto"/>
                <w:sz w:val="28"/>
                <w:szCs w:val="28"/>
              </w:rPr>
            </w:pPr>
            <w:r>
              <w:rPr>
                <w:rFonts w:hint="eastAsia" w:ascii="Times New Roman" w:hAnsi="Times New Roman" w:eastAsia="仿宋_GB2312" w:cs="Times New Roman"/>
                <w:color w:val="auto"/>
                <w:sz w:val="28"/>
                <w:szCs w:val="28"/>
              </w:rPr>
              <w:t>三级一般节点</w:t>
            </w:r>
          </w:p>
        </w:tc>
        <w:tc>
          <w:tcPr>
            <w:tcW w:w="5602" w:type="dxa"/>
            <w:gridSpan w:val="4"/>
            <w:vMerge w:val="continue"/>
            <w:vAlign w:val="center"/>
          </w:tcPr>
          <w:p>
            <w:pPr>
              <w:adjustRightInd w:val="0"/>
              <w:snapToGrid w:val="0"/>
              <w:rPr>
                <w:rFonts w:ascii="Times New Roman" w:hAnsi="Times New Roman" w:eastAsia="宋体" w:cs="Times New Roman"/>
                <w:color w:val="auto"/>
                <w:sz w:val="28"/>
                <w:szCs w:val="28"/>
              </w:rPr>
            </w:pPr>
          </w:p>
        </w:tc>
      </w:tr>
    </w:tbl>
    <w:p>
      <w:pPr>
        <w:rPr>
          <w:rFonts w:ascii="Times New Roman" w:hAnsi="Times New Roman" w:cs="Times New Roman"/>
          <w:color w:val="auto"/>
        </w:rPr>
      </w:pPr>
      <w:r>
        <w:rPr>
          <w:rFonts w:ascii="Times New Roman" w:hAnsi="Times New Roman" w:cs="Times New Roman"/>
          <w:color w:val="auto"/>
        </w:rPr>
        <w:br w:type="page"/>
      </w:r>
    </w:p>
    <w:p>
      <w:pPr>
        <w:outlineLvl w:val="0"/>
        <w:rPr>
          <w:rFonts w:ascii="Times New Roman" w:hAnsi="Times New Roman" w:eastAsia="黑体" w:cs="Times New Roman"/>
          <w:color w:val="auto"/>
          <w:sz w:val="32"/>
          <w:szCs w:val="32"/>
          <w:shd w:val="clear" w:color="auto" w:fill="FFFFFF"/>
        </w:rPr>
      </w:pPr>
      <w:bookmarkStart w:id="232" w:name="_Toc21417"/>
      <w:bookmarkStart w:id="233" w:name="_Toc207125805"/>
      <w:bookmarkStart w:id="234" w:name="_Toc220270494"/>
      <w:r>
        <w:rPr>
          <w:rFonts w:hint="eastAsia" w:ascii="Times New Roman" w:hAnsi="Times New Roman" w:eastAsia="黑体" w:cs="Times New Roman"/>
          <w:color w:val="auto"/>
          <w:sz w:val="32"/>
          <w:szCs w:val="32"/>
        </w:rPr>
        <w:t>附件5：</w:t>
      </w:r>
      <w:r>
        <w:rPr>
          <w:rFonts w:hint="eastAsia" w:ascii="Times New Roman" w:hAnsi="Times New Roman" w:eastAsia="黑体" w:cs="Times New Roman"/>
          <w:color w:val="auto"/>
          <w:sz w:val="32"/>
          <w:szCs w:val="32"/>
          <w:shd w:val="clear" w:color="auto" w:fill="FFFFFF"/>
        </w:rPr>
        <w:t>无人机检验检测体系发展报告</w:t>
      </w:r>
      <w:bookmarkEnd w:id="232"/>
      <w:bookmarkEnd w:id="233"/>
      <w:bookmarkEnd w:id="234"/>
    </w:p>
    <w:p>
      <w:pPr>
        <w:pStyle w:val="9"/>
        <w:spacing w:line="560" w:lineRule="exact"/>
        <w:jc w:val="center"/>
        <w:rPr>
          <w:rFonts w:ascii="Times New Roman" w:hAnsi="Times New Roman" w:eastAsia="黑体" w:cs="Times New Roman"/>
          <w:color w:val="auto"/>
          <w:sz w:val="32"/>
          <w:szCs w:val="32"/>
        </w:rPr>
      </w:pPr>
    </w:p>
    <w:p>
      <w:pPr>
        <w:spacing w:line="600" w:lineRule="exact"/>
        <w:jc w:val="center"/>
        <w:rPr>
          <w:rFonts w:ascii="Times New Roman" w:hAnsi="Times New Roman" w:eastAsia="黑体" w:cs="Times New Roman"/>
          <w:color w:val="auto"/>
          <w:sz w:val="36"/>
          <w:szCs w:val="36"/>
        </w:rPr>
      </w:pPr>
      <w:r>
        <w:rPr>
          <w:rFonts w:hint="eastAsia" w:ascii="Times New Roman" w:hAnsi="Times New Roman" w:eastAsia="黑体" w:cs="Times New Roman"/>
          <w:color w:val="auto"/>
          <w:sz w:val="36"/>
          <w:szCs w:val="36"/>
          <w:shd w:val="clear" w:color="auto" w:fill="FFFFFF"/>
        </w:rPr>
        <w:t>无人机检验检测体系发展报告</w:t>
      </w:r>
    </w:p>
    <w:p>
      <w:pPr>
        <w:pStyle w:val="9"/>
        <w:spacing w:line="560" w:lineRule="exact"/>
        <w:jc w:val="center"/>
        <w:rPr>
          <w:rFonts w:ascii="Times New Roman" w:hAnsi="Times New Roman" w:eastAsia="黑体" w:cs="Times New Roman"/>
          <w:color w:val="auto"/>
          <w:sz w:val="32"/>
          <w:szCs w:val="32"/>
        </w:rPr>
      </w:pPr>
    </w:p>
    <w:p>
      <w:pPr>
        <w:spacing w:line="560" w:lineRule="exact"/>
        <w:ind w:firstLine="640" w:firstLineChars="200"/>
        <w:rPr>
          <w:rFonts w:ascii="Times New Roman" w:hAnsi="Times New Roman" w:eastAsia="黑体" w:cs="Times New Roman"/>
          <w:color w:val="auto"/>
          <w:sz w:val="32"/>
          <w:szCs w:val="32"/>
        </w:rPr>
      </w:pPr>
      <w:r>
        <w:rPr>
          <w:rFonts w:hint="eastAsia" w:ascii="Times New Roman" w:hAnsi="Times New Roman" w:eastAsia="黑体" w:cs="Times New Roman"/>
          <w:color w:val="auto"/>
          <w:sz w:val="32"/>
          <w:szCs w:val="32"/>
        </w:rPr>
        <w:t>一、无人机检验检测分类</w:t>
      </w:r>
    </w:p>
    <w:p>
      <w:pPr>
        <w:spacing w:line="560" w:lineRule="exact"/>
        <w:ind w:firstLine="640" w:firstLineChars="200"/>
        <w:rPr>
          <w:rFonts w:ascii="Times New Roman" w:hAnsi="Times New Roman" w:eastAsia="仿宋_GB2312" w:cs="Times New Roman"/>
          <w:color w:val="auto"/>
          <w:sz w:val="32"/>
          <w:szCs w:val="32"/>
        </w:rPr>
      </w:pPr>
      <w:r>
        <w:rPr>
          <w:rFonts w:hint="eastAsia" w:ascii="Times New Roman" w:hAnsi="Times New Roman" w:eastAsia="仿宋_GB2312" w:cs="Times New Roman"/>
          <w:color w:val="auto"/>
          <w:sz w:val="32"/>
          <w:szCs w:val="32"/>
        </w:rPr>
        <w:t>无人机检验检测是评价无人机全生命周期运行情况的重要环节，是走向消费市场、军事战场前的最后一关，对提高无人机质量起到至关重要的作用。当前，我国针对不同类型的无人机采取不同的检验检测管理方式。我国无人机分为国家无人机和民用无人机，国家无人机用于执行军事、海关、警察等飞行任务。民用无人机用于民用航空活动，通常根据其重量、运行风险、飞行高度等分为五类，包括：微型无人机、轻型无人机、小型无人机、中型无人机、大型无人机。</w:t>
      </w:r>
    </w:p>
    <w:p>
      <w:pPr>
        <w:spacing w:line="560" w:lineRule="exact"/>
        <w:ind w:firstLine="640" w:firstLineChars="200"/>
        <w:rPr>
          <w:rFonts w:ascii="Times New Roman" w:hAnsi="Times New Roman" w:eastAsia="仿宋_GB2312" w:cs="Times New Roman"/>
          <w:color w:val="auto"/>
          <w:sz w:val="32"/>
          <w:szCs w:val="32"/>
        </w:rPr>
      </w:pPr>
      <w:r>
        <w:rPr>
          <w:rFonts w:hint="eastAsia" w:ascii="Times New Roman" w:hAnsi="Times New Roman" w:eastAsia="仿宋_GB2312" w:cs="Times New Roman"/>
          <w:color w:val="auto"/>
          <w:sz w:val="32"/>
          <w:szCs w:val="32"/>
        </w:rPr>
        <w:t>无人机检验检测主要分为三类：适航性检测、检测认证、试验鉴定。根据《无人驾驶航空器飞行管理暂行条例》规定，中型和大型民用无人机应当取得适航许可，微型、轻型、小型民用无人机无需取得适航许可，但在投放市场前应当完成产品认证。国家无人机不适用于适航性管理，其中军用无人机按照装备试验鉴定要求管理，其他无人机按照行业特定要求进行管理。</w:t>
      </w:r>
    </w:p>
    <w:p>
      <w:pPr>
        <w:spacing w:line="560" w:lineRule="exact"/>
        <w:ind w:firstLine="640" w:firstLineChars="200"/>
        <w:rPr>
          <w:rFonts w:ascii="Times New Roman" w:hAnsi="Times New Roman" w:eastAsia="黑体" w:cs="Times New Roman"/>
          <w:color w:val="auto"/>
          <w:sz w:val="32"/>
          <w:szCs w:val="32"/>
        </w:rPr>
      </w:pPr>
      <w:r>
        <w:rPr>
          <w:rFonts w:hint="eastAsia" w:ascii="Times New Roman" w:hAnsi="Times New Roman" w:eastAsia="黑体" w:cs="Times New Roman"/>
          <w:color w:val="auto"/>
          <w:sz w:val="32"/>
          <w:szCs w:val="32"/>
        </w:rPr>
        <w:t>二、适航性检测</w:t>
      </w:r>
    </w:p>
    <w:p>
      <w:pPr>
        <w:spacing w:line="560" w:lineRule="exact"/>
        <w:ind w:firstLine="640" w:firstLineChars="200"/>
        <w:rPr>
          <w:rFonts w:ascii="Times New Roman" w:hAnsi="Times New Roman" w:eastAsia="仿宋_GB2312" w:cs="Times New Roman"/>
          <w:color w:val="auto"/>
          <w:sz w:val="32"/>
          <w:szCs w:val="32"/>
        </w:rPr>
      </w:pPr>
      <w:r>
        <w:rPr>
          <w:rFonts w:hint="eastAsia" w:ascii="Times New Roman" w:hAnsi="Times New Roman" w:eastAsia="仿宋_GB2312" w:cs="Times New Roman"/>
          <w:color w:val="auto"/>
          <w:sz w:val="32"/>
          <w:szCs w:val="32"/>
        </w:rPr>
        <w:t>适航性（Airworthiness）是专指民用航空器在预期的运行环境（机场、气象、航路、空中交通）和使用限制（速度、高度、重量、平衡）下的安全性和物理完整性的一种品质，是航空器的固有属性，它要求航空器应始终处于保持符合其型号设计和始终处于安全运行状态，它是保持航空器服役运行最低可接受安全水平的一种固有品质。</w:t>
      </w:r>
    </w:p>
    <w:p>
      <w:pPr>
        <w:spacing w:line="560" w:lineRule="exact"/>
        <w:ind w:firstLine="640" w:firstLineChars="200"/>
        <w:rPr>
          <w:rFonts w:ascii="Times New Roman" w:hAnsi="Times New Roman" w:eastAsia="仿宋_GB2312" w:cs="Times New Roman"/>
          <w:color w:val="auto"/>
          <w:sz w:val="32"/>
          <w:szCs w:val="32"/>
        </w:rPr>
      </w:pPr>
      <w:r>
        <w:rPr>
          <w:rFonts w:hint="eastAsia" w:ascii="Times New Roman" w:hAnsi="Times New Roman" w:eastAsia="仿宋_GB2312" w:cs="Times New Roman"/>
          <w:color w:val="auto"/>
          <w:sz w:val="32"/>
          <w:szCs w:val="32"/>
        </w:rPr>
        <w:t>适航性的要求具体体现在技术和管理两方面，即技术方面的系统安全性与物理完整性，和技术状态与过程控制的管理，适航性通过航空器全寿命周期内的设计、制造、试验、使用、维护和管理的各个环节来实现和保持。</w:t>
      </w:r>
    </w:p>
    <w:p>
      <w:pPr>
        <w:spacing w:line="560" w:lineRule="exact"/>
        <w:ind w:firstLine="640" w:firstLineChars="200"/>
        <w:rPr>
          <w:rFonts w:ascii="Times New Roman" w:hAnsi="Times New Roman" w:eastAsia="仿宋_GB2312" w:cs="Times New Roman"/>
          <w:color w:val="auto"/>
          <w:sz w:val="32"/>
          <w:szCs w:val="32"/>
        </w:rPr>
      </w:pPr>
      <w:r>
        <w:rPr>
          <w:rFonts w:hint="eastAsia" w:ascii="Times New Roman" w:hAnsi="Times New Roman" w:eastAsia="仿宋_GB2312" w:cs="Times New Roman"/>
          <w:color w:val="auto"/>
          <w:sz w:val="32"/>
          <w:szCs w:val="32"/>
        </w:rPr>
        <w:t>中型、大型民用无人机适航主要涉及无人机本体安全、空域安全、地面人员安全、地面财产和设施安全，主要指导性文件为《民用无人驾驶航空器系统适航审定管理程序》（AP-21-AA-2022-71）《民用无人驾驶航空器系统适航审定分级分类和系统安全性分析指南》（AP-21-AA-2022-40）《民用无人驾驶航空器系统适航安全评定指南》（AC-92-AA-2024-01）《中型民用无人驾驶航空器系统适航标准及符合性指导材料（试行）》（AC-92-AA-2024-02）。目前国内对轻型无人机适航性认证还没有明确的规定。</w:t>
      </w:r>
    </w:p>
    <w:p>
      <w:pPr>
        <w:spacing w:line="560" w:lineRule="exact"/>
        <w:ind w:firstLine="640" w:firstLineChars="200"/>
        <w:rPr>
          <w:rFonts w:ascii="Times New Roman" w:hAnsi="Times New Roman" w:eastAsia="仿宋_GB2312" w:cs="Times New Roman"/>
          <w:color w:val="auto"/>
          <w:sz w:val="32"/>
          <w:szCs w:val="32"/>
        </w:rPr>
      </w:pPr>
      <w:r>
        <w:rPr>
          <w:rFonts w:hint="eastAsia" w:ascii="Times New Roman" w:hAnsi="Times New Roman" w:eastAsia="仿宋_GB2312" w:cs="Times New Roman"/>
          <w:color w:val="auto"/>
          <w:sz w:val="32"/>
          <w:szCs w:val="32"/>
        </w:rPr>
        <w:t>无人机适航风险评估主要考虑其能量等级、预期运行环境飞行遭遇碰撞的可能等级两个方面。能量等级根据最大起飞重量、最大平飞速度确定。可能等级根据飞越或主流区域的人口密集程度、无人机是否飞入或驻留有人机通常运行的空域等方面确定。开展适航认证主要确保适航风险可控。</w:t>
      </w:r>
    </w:p>
    <w:p>
      <w:pPr>
        <w:spacing w:line="560" w:lineRule="exact"/>
        <w:ind w:firstLine="640" w:firstLineChars="200"/>
        <w:rPr>
          <w:rFonts w:ascii="Times New Roman" w:hAnsi="Times New Roman" w:eastAsia="仿宋_GB2312" w:cs="Times New Roman"/>
          <w:color w:val="auto"/>
          <w:sz w:val="32"/>
          <w:szCs w:val="32"/>
        </w:rPr>
      </w:pPr>
      <w:r>
        <w:rPr>
          <w:rFonts w:hint="eastAsia" w:ascii="Times New Roman" w:hAnsi="Times New Roman" w:eastAsia="仿宋_GB2312" w:cs="Times New Roman"/>
          <w:color w:val="auto"/>
          <w:sz w:val="32"/>
          <w:szCs w:val="32"/>
        </w:rPr>
        <w:t>以无人直升机为例，主要适航认证项目包括飞行、强度、设计和构造、动力装备等。其中飞行要求其在进行各种工况时各个部件都不能有较大振动。强度主要包括载荷、安全系数、强度和变形、结构验证、设计限制、疲劳评定等方面。设计和构造主要包括设计、关键零部件、材料、制造方法、紧固件、结构保护、静电防护、检查措施等方面。动力装置包括安装、设计、关键结构性能测试等。</w:t>
      </w:r>
    </w:p>
    <w:p>
      <w:pPr>
        <w:spacing w:line="560" w:lineRule="exact"/>
        <w:ind w:firstLine="640" w:firstLineChars="200"/>
        <w:rPr>
          <w:rFonts w:ascii="Times New Roman" w:hAnsi="Times New Roman" w:eastAsia="仿宋_GB2312" w:cs="Times New Roman"/>
          <w:color w:val="auto"/>
          <w:sz w:val="32"/>
          <w:szCs w:val="32"/>
        </w:rPr>
      </w:pPr>
      <w:r>
        <w:rPr>
          <w:rFonts w:hint="eastAsia" w:ascii="Times New Roman" w:hAnsi="Times New Roman" w:eastAsia="仿宋_GB2312" w:cs="Times New Roman"/>
          <w:color w:val="auto"/>
          <w:sz w:val="32"/>
          <w:szCs w:val="32"/>
        </w:rPr>
        <w:t>目前，已发布的中型、大型民用无人机检测主要依据标准见附5-1。</w:t>
      </w:r>
    </w:p>
    <w:p>
      <w:pPr>
        <w:widowControl/>
        <w:spacing w:line="560" w:lineRule="exact"/>
        <w:jc w:val="center"/>
        <w:rPr>
          <w:rFonts w:ascii="Times New Roman" w:hAnsi="Times New Roman" w:eastAsia="楷体_GB2312" w:cs="Times New Roman"/>
          <w:color w:val="auto"/>
          <w:kern w:val="0"/>
          <w:sz w:val="24"/>
          <w:szCs w:val="24"/>
        </w:rPr>
      </w:pPr>
      <w:r>
        <w:rPr>
          <w:rFonts w:hint="eastAsia" w:ascii="Times New Roman" w:hAnsi="Times New Roman" w:eastAsia="楷体_GB2312" w:cs="Times New Roman"/>
          <w:color w:val="auto"/>
          <w:kern w:val="0"/>
          <w:sz w:val="24"/>
          <w:szCs w:val="24"/>
        </w:rPr>
        <w:t>附表5-1  中型、大型民用无人机检测主要依据标准</w:t>
      </w:r>
    </w:p>
    <w:tbl>
      <w:tblPr>
        <w:tblStyle w:val="39"/>
        <w:tblW w:w="88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6"/>
        <w:gridCol w:w="3686"/>
        <w:gridCol w:w="850"/>
        <w:gridCol w:w="1426"/>
        <w:gridCol w:w="11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696" w:type="dxa"/>
            <w:vAlign w:val="center"/>
          </w:tcPr>
          <w:p>
            <w:pPr>
              <w:jc w:val="center"/>
              <w:rPr>
                <w:rFonts w:ascii="Times New Roman" w:hAnsi="Times New Roman" w:eastAsia="黑体" w:cs="Times New Roman"/>
                <w:bCs/>
                <w:color w:val="auto"/>
                <w:sz w:val="24"/>
                <w:szCs w:val="32"/>
              </w:rPr>
            </w:pPr>
            <w:r>
              <w:rPr>
                <w:rFonts w:hint="eastAsia" w:ascii="Times New Roman" w:hAnsi="Times New Roman" w:eastAsia="黑体" w:cs="Times New Roman"/>
                <w:bCs/>
                <w:color w:val="auto"/>
                <w:sz w:val="24"/>
                <w:szCs w:val="32"/>
              </w:rPr>
              <w:t>标准号</w:t>
            </w:r>
          </w:p>
        </w:tc>
        <w:tc>
          <w:tcPr>
            <w:tcW w:w="3686" w:type="dxa"/>
            <w:vAlign w:val="center"/>
          </w:tcPr>
          <w:p>
            <w:pPr>
              <w:jc w:val="center"/>
              <w:rPr>
                <w:rFonts w:ascii="Times New Roman" w:hAnsi="Times New Roman" w:eastAsia="黑体" w:cs="Times New Roman"/>
                <w:bCs/>
                <w:color w:val="auto"/>
                <w:sz w:val="24"/>
                <w:szCs w:val="32"/>
              </w:rPr>
            </w:pPr>
            <w:r>
              <w:rPr>
                <w:rFonts w:hint="eastAsia" w:ascii="Times New Roman" w:hAnsi="Times New Roman" w:eastAsia="黑体" w:cs="Times New Roman"/>
                <w:bCs/>
                <w:color w:val="auto"/>
                <w:sz w:val="24"/>
                <w:szCs w:val="32"/>
              </w:rPr>
              <w:t>标准名称</w:t>
            </w:r>
          </w:p>
        </w:tc>
        <w:tc>
          <w:tcPr>
            <w:tcW w:w="850" w:type="dxa"/>
            <w:vAlign w:val="center"/>
          </w:tcPr>
          <w:p>
            <w:pPr>
              <w:jc w:val="center"/>
              <w:rPr>
                <w:rFonts w:ascii="Times New Roman" w:hAnsi="Times New Roman" w:eastAsia="黑体" w:cs="Times New Roman"/>
                <w:bCs/>
                <w:color w:val="auto"/>
                <w:sz w:val="24"/>
                <w:szCs w:val="32"/>
              </w:rPr>
            </w:pPr>
            <w:r>
              <w:rPr>
                <w:rFonts w:hint="eastAsia" w:ascii="Times New Roman" w:hAnsi="Times New Roman" w:eastAsia="黑体" w:cs="Times New Roman"/>
                <w:bCs/>
                <w:color w:val="auto"/>
                <w:sz w:val="24"/>
                <w:szCs w:val="32"/>
              </w:rPr>
              <w:t>状态</w:t>
            </w:r>
          </w:p>
        </w:tc>
        <w:tc>
          <w:tcPr>
            <w:tcW w:w="1426" w:type="dxa"/>
            <w:vAlign w:val="center"/>
          </w:tcPr>
          <w:p>
            <w:pPr>
              <w:jc w:val="center"/>
              <w:rPr>
                <w:rFonts w:ascii="Times New Roman" w:hAnsi="Times New Roman" w:eastAsia="黑体" w:cs="Times New Roman"/>
                <w:bCs/>
                <w:color w:val="auto"/>
                <w:sz w:val="24"/>
                <w:szCs w:val="32"/>
              </w:rPr>
            </w:pPr>
            <w:r>
              <w:rPr>
                <w:rFonts w:hint="eastAsia" w:ascii="Times New Roman" w:hAnsi="Times New Roman" w:eastAsia="黑体" w:cs="Times New Roman"/>
                <w:bCs/>
                <w:color w:val="auto"/>
                <w:sz w:val="24"/>
                <w:szCs w:val="32"/>
              </w:rPr>
              <w:t>发布日期</w:t>
            </w:r>
          </w:p>
        </w:tc>
        <w:tc>
          <w:tcPr>
            <w:tcW w:w="1176" w:type="dxa"/>
            <w:vAlign w:val="center"/>
          </w:tcPr>
          <w:p>
            <w:pPr>
              <w:jc w:val="center"/>
              <w:rPr>
                <w:rFonts w:ascii="Times New Roman" w:hAnsi="Times New Roman" w:eastAsia="黑体" w:cs="Times New Roman"/>
                <w:bCs/>
                <w:color w:val="auto"/>
                <w:sz w:val="24"/>
                <w:szCs w:val="32"/>
              </w:rPr>
            </w:pPr>
            <w:r>
              <w:rPr>
                <w:rFonts w:hint="eastAsia" w:ascii="Times New Roman" w:hAnsi="Times New Roman" w:eastAsia="黑体" w:cs="Times New Roman"/>
                <w:bCs/>
                <w:color w:val="auto"/>
                <w:sz w:val="24"/>
                <w:szCs w:val="32"/>
              </w:rPr>
              <w:t>实施日期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696" w:type="dxa"/>
            <w:noWrap/>
            <w:vAlign w:val="center"/>
          </w:tcPr>
          <w:p>
            <w:pPr>
              <w:jc w:val="center"/>
              <w:rPr>
                <w:rFonts w:ascii="Times New Roman" w:hAnsi="Times New Roman" w:eastAsia="仿宋_GB2312" w:cs="Times New Roman"/>
                <w:color w:val="auto"/>
                <w:sz w:val="24"/>
                <w:szCs w:val="32"/>
              </w:rPr>
            </w:pPr>
            <w:r>
              <w:rPr>
                <w:rFonts w:hint="eastAsia" w:ascii="Times New Roman" w:hAnsi="Times New Roman" w:eastAsia="仿宋_GB2312" w:cs="Times New Roman"/>
                <w:color w:val="auto"/>
                <w:sz w:val="24"/>
                <w:szCs w:val="32"/>
              </w:rPr>
              <w:t>GB/T 42856-2023</w:t>
            </w:r>
          </w:p>
        </w:tc>
        <w:tc>
          <w:tcPr>
            <w:tcW w:w="3686" w:type="dxa"/>
            <w:noWrap/>
            <w:vAlign w:val="center"/>
          </w:tcPr>
          <w:p>
            <w:pPr>
              <w:jc w:val="center"/>
              <w:rPr>
                <w:rFonts w:ascii="Times New Roman" w:hAnsi="Times New Roman" w:eastAsia="仿宋_GB2312" w:cs="Times New Roman"/>
                <w:color w:val="auto"/>
                <w:sz w:val="24"/>
                <w:szCs w:val="32"/>
              </w:rPr>
            </w:pPr>
            <w:r>
              <w:rPr>
                <w:rFonts w:hint="eastAsia" w:ascii="Times New Roman" w:hAnsi="Times New Roman" w:eastAsia="仿宋_GB2312" w:cs="Times New Roman"/>
                <w:color w:val="auto"/>
                <w:sz w:val="24"/>
                <w:szCs w:val="32"/>
              </w:rPr>
              <w:t>民用大中型无人直升机系统飞行性能飞行试验要求</w:t>
            </w:r>
          </w:p>
        </w:tc>
        <w:tc>
          <w:tcPr>
            <w:tcW w:w="850" w:type="dxa"/>
            <w:noWrap/>
            <w:vAlign w:val="center"/>
          </w:tcPr>
          <w:p>
            <w:pPr>
              <w:jc w:val="center"/>
              <w:rPr>
                <w:rFonts w:ascii="Times New Roman" w:hAnsi="Times New Roman" w:eastAsia="仿宋_GB2312" w:cs="Times New Roman"/>
                <w:color w:val="auto"/>
                <w:sz w:val="24"/>
                <w:szCs w:val="32"/>
              </w:rPr>
            </w:pPr>
            <w:r>
              <w:rPr>
                <w:rFonts w:hint="eastAsia" w:ascii="Times New Roman" w:hAnsi="Times New Roman" w:eastAsia="仿宋_GB2312" w:cs="Times New Roman"/>
                <w:color w:val="auto"/>
                <w:sz w:val="24"/>
                <w:szCs w:val="32"/>
              </w:rPr>
              <w:t>现行</w:t>
            </w:r>
          </w:p>
        </w:tc>
        <w:tc>
          <w:tcPr>
            <w:tcW w:w="1426" w:type="dxa"/>
            <w:noWrap/>
            <w:vAlign w:val="center"/>
          </w:tcPr>
          <w:p>
            <w:pPr>
              <w:jc w:val="center"/>
              <w:rPr>
                <w:rFonts w:ascii="Times New Roman" w:hAnsi="Times New Roman" w:eastAsia="仿宋_GB2312" w:cs="Times New Roman"/>
                <w:color w:val="auto"/>
                <w:sz w:val="24"/>
                <w:szCs w:val="32"/>
              </w:rPr>
            </w:pPr>
            <w:r>
              <w:rPr>
                <w:rFonts w:hint="eastAsia" w:ascii="Times New Roman" w:hAnsi="Times New Roman" w:eastAsia="仿宋_GB2312" w:cs="Times New Roman"/>
                <w:color w:val="auto"/>
                <w:sz w:val="24"/>
                <w:szCs w:val="32"/>
              </w:rPr>
              <w:t>2023/8/6</w:t>
            </w:r>
          </w:p>
        </w:tc>
        <w:tc>
          <w:tcPr>
            <w:tcW w:w="1176" w:type="dxa"/>
            <w:noWrap/>
            <w:vAlign w:val="center"/>
          </w:tcPr>
          <w:p>
            <w:pPr>
              <w:jc w:val="center"/>
              <w:rPr>
                <w:rFonts w:ascii="Times New Roman" w:hAnsi="Times New Roman" w:eastAsia="仿宋_GB2312" w:cs="Times New Roman"/>
                <w:color w:val="auto"/>
                <w:sz w:val="24"/>
                <w:szCs w:val="32"/>
              </w:rPr>
            </w:pPr>
            <w:r>
              <w:rPr>
                <w:rFonts w:hint="eastAsia" w:ascii="Times New Roman" w:hAnsi="Times New Roman" w:eastAsia="仿宋_GB2312" w:cs="Times New Roman"/>
                <w:color w:val="auto"/>
                <w:sz w:val="24"/>
                <w:szCs w:val="32"/>
              </w:rPr>
              <w:t>2024/3/1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696" w:type="dxa"/>
            <w:noWrap/>
            <w:vAlign w:val="center"/>
          </w:tcPr>
          <w:p>
            <w:pPr>
              <w:jc w:val="center"/>
              <w:rPr>
                <w:rFonts w:ascii="Times New Roman" w:hAnsi="Times New Roman" w:eastAsia="仿宋_GB2312" w:cs="Times New Roman"/>
                <w:color w:val="auto"/>
                <w:sz w:val="24"/>
                <w:szCs w:val="32"/>
              </w:rPr>
            </w:pPr>
            <w:r>
              <w:rPr>
                <w:rFonts w:hint="eastAsia" w:ascii="Times New Roman" w:hAnsi="Times New Roman" w:eastAsia="仿宋_GB2312" w:cs="Times New Roman"/>
                <w:color w:val="auto"/>
                <w:sz w:val="24"/>
                <w:szCs w:val="32"/>
              </w:rPr>
              <w:t>GB/T 42862-2023</w:t>
            </w:r>
          </w:p>
        </w:tc>
        <w:tc>
          <w:tcPr>
            <w:tcW w:w="3686" w:type="dxa"/>
            <w:noWrap/>
            <w:vAlign w:val="center"/>
          </w:tcPr>
          <w:p>
            <w:pPr>
              <w:jc w:val="center"/>
              <w:rPr>
                <w:rFonts w:ascii="Times New Roman" w:hAnsi="Times New Roman" w:eastAsia="仿宋_GB2312" w:cs="Times New Roman"/>
                <w:color w:val="auto"/>
                <w:sz w:val="24"/>
                <w:szCs w:val="32"/>
              </w:rPr>
            </w:pPr>
            <w:r>
              <w:rPr>
                <w:rFonts w:hint="eastAsia" w:ascii="Times New Roman" w:hAnsi="Times New Roman" w:eastAsia="仿宋_GB2312" w:cs="Times New Roman"/>
                <w:color w:val="auto"/>
                <w:sz w:val="24"/>
                <w:szCs w:val="32"/>
              </w:rPr>
              <w:t>民用大中型无人直升机飞行控制系统通用要求</w:t>
            </w:r>
          </w:p>
        </w:tc>
        <w:tc>
          <w:tcPr>
            <w:tcW w:w="850" w:type="dxa"/>
            <w:noWrap/>
            <w:vAlign w:val="center"/>
          </w:tcPr>
          <w:p>
            <w:pPr>
              <w:jc w:val="center"/>
              <w:rPr>
                <w:rFonts w:ascii="Times New Roman" w:hAnsi="Times New Roman" w:eastAsia="仿宋_GB2312" w:cs="Times New Roman"/>
                <w:color w:val="auto"/>
                <w:sz w:val="24"/>
                <w:szCs w:val="32"/>
              </w:rPr>
            </w:pPr>
            <w:r>
              <w:rPr>
                <w:rFonts w:hint="eastAsia" w:ascii="Times New Roman" w:hAnsi="Times New Roman" w:eastAsia="仿宋_GB2312" w:cs="Times New Roman"/>
                <w:color w:val="auto"/>
                <w:sz w:val="24"/>
                <w:szCs w:val="32"/>
              </w:rPr>
              <w:t>现行</w:t>
            </w:r>
          </w:p>
        </w:tc>
        <w:tc>
          <w:tcPr>
            <w:tcW w:w="1426" w:type="dxa"/>
            <w:noWrap/>
            <w:vAlign w:val="center"/>
          </w:tcPr>
          <w:p>
            <w:pPr>
              <w:jc w:val="center"/>
              <w:rPr>
                <w:rFonts w:ascii="Times New Roman" w:hAnsi="Times New Roman" w:eastAsia="仿宋_GB2312" w:cs="Times New Roman"/>
                <w:color w:val="auto"/>
                <w:sz w:val="24"/>
                <w:szCs w:val="32"/>
              </w:rPr>
            </w:pPr>
            <w:r>
              <w:rPr>
                <w:rFonts w:hint="eastAsia" w:ascii="Times New Roman" w:hAnsi="Times New Roman" w:eastAsia="仿宋_GB2312" w:cs="Times New Roman"/>
                <w:color w:val="auto"/>
                <w:sz w:val="24"/>
                <w:szCs w:val="32"/>
              </w:rPr>
              <w:t>2023/8/6</w:t>
            </w:r>
          </w:p>
        </w:tc>
        <w:tc>
          <w:tcPr>
            <w:tcW w:w="1176" w:type="dxa"/>
            <w:noWrap/>
            <w:vAlign w:val="center"/>
          </w:tcPr>
          <w:p>
            <w:pPr>
              <w:jc w:val="center"/>
              <w:rPr>
                <w:rFonts w:ascii="Times New Roman" w:hAnsi="Times New Roman" w:eastAsia="仿宋_GB2312" w:cs="Times New Roman"/>
                <w:color w:val="auto"/>
                <w:sz w:val="24"/>
                <w:szCs w:val="32"/>
              </w:rPr>
            </w:pPr>
            <w:r>
              <w:rPr>
                <w:rFonts w:hint="eastAsia" w:ascii="Times New Roman" w:hAnsi="Times New Roman" w:eastAsia="仿宋_GB2312" w:cs="Times New Roman"/>
                <w:color w:val="auto"/>
                <w:sz w:val="24"/>
                <w:szCs w:val="32"/>
              </w:rPr>
              <w:t>2024/3/1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696" w:type="dxa"/>
            <w:noWrap/>
            <w:vAlign w:val="center"/>
          </w:tcPr>
          <w:p>
            <w:pPr>
              <w:jc w:val="center"/>
              <w:rPr>
                <w:rFonts w:ascii="Times New Roman" w:hAnsi="Times New Roman" w:eastAsia="仿宋_GB2312" w:cs="Times New Roman"/>
                <w:color w:val="auto"/>
                <w:sz w:val="24"/>
                <w:szCs w:val="32"/>
              </w:rPr>
            </w:pPr>
            <w:r>
              <w:rPr>
                <w:rFonts w:hint="eastAsia" w:ascii="Times New Roman" w:hAnsi="Times New Roman" w:eastAsia="仿宋_GB2312" w:cs="Times New Roman"/>
                <w:color w:val="auto"/>
                <w:sz w:val="24"/>
                <w:szCs w:val="32"/>
              </w:rPr>
              <w:t>GB/T 43367-2023</w:t>
            </w:r>
          </w:p>
        </w:tc>
        <w:tc>
          <w:tcPr>
            <w:tcW w:w="3686" w:type="dxa"/>
            <w:noWrap/>
            <w:vAlign w:val="center"/>
          </w:tcPr>
          <w:p>
            <w:pPr>
              <w:jc w:val="center"/>
              <w:rPr>
                <w:rFonts w:ascii="Times New Roman" w:hAnsi="Times New Roman" w:eastAsia="仿宋_GB2312" w:cs="Times New Roman"/>
                <w:color w:val="auto"/>
                <w:sz w:val="24"/>
                <w:szCs w:val="32"/>
              </w:rPr>
            </w:pPr>
            <w:r>
              <w:rPr>
                <w:rFonts w:hint="eastAsia" w:ascii="Times New Roman" w:hAnsi="Times New Roman" w:eastAsia="仿宋_GB2312" w:cs="Times New Roman"/>
                <w:color w:val="auto"/>
                <w:sz w:val="24"/>
                <w:szCs w:val="32"/>
              </w:rPr>
              <w:t>民用大中型无人直升机系统通用要求</w:t>
            </w:r>
          </w:p>
        </w:tc>
        <w:tc>
          <w:tcPr>
            <w:tcW w:w="850" w:type="dxa"/>
            <w:noWrap/>
            <w:vAlign w:val="center"/>
          </w:tcPr>
          <w:p>
            <w:pPr>
              <w:jc w:val="center"/>
              <w:rPr>
                <w:rFonts w:ascii="Times New Roman" w:hAnsi="Times New Roman" w:eastAsia="仿宋_GB2312" w:cs="Times New Roman"/>
                <w:color w:val="auto"/>
                <w:sz w:val="24"/>
                <w:szCs w:val="32"/>
              </w:rPr>
            </w:pPr>
            <w:r>
              <w:rPr>
                <w:rFonts w:hint="eastAsia" w:ascii="Times New Roman" w:hAnsi="Times New Roman" w:eastAsia="仿宋_GB2312" w:cs="Times New Roman"/>
                <w:color w:val="auto"/>
                <w:sz w:val="24"/>
                <w:szCs w:val="32"/>
              </w:rPr>
              <w:t>现行</w:t>
            </w:r>
          </w:p>
        </w:tc>
        <w:tc>
          <w:tcPr>
            <w:tcW w:w="1426" w:type="dxa"/>
            <w:noWrap/>
            <w:vAlign w:val="center"/>
          </w:tcPr>
          <w:p>
            <w:pPr>
              <w:jc w:val="center"/>
              <w:rPr>
                <w:rFonts w:ascii="Times New Roman" w:hAnsi="Times New Roman" w:eastAsia="仿宋_GB2312" w:cs="Times New Roman"/>
                <w:color w:val="auto"/>
                <w:sz w:val="24"/>
                <w:szCs w:val="32"/>
              </w:rPr>
            </w:pPr>
            <w:r>
              <w:rPr>
                <w:rFonts w:hint="eastAsia" w:ascii="Times New Roman" w:hAnsi="Times New Roman" w:eastAsia="仿宋_GB2312" w:cs="Times New Roman"/>
                <w:color w:val="auto"/>
                <w:sz w:val="24"/>
                <w:szCs w:val="32"/>
              </w:rPr>
              <w:t>2023/11/27</w:t>
            </w:r>
          </w:p>
        </w:tc>
        <w:tc>
          <w:tcPr>
            <w:tcW w:w="1176" w:type="dxa"/>
            <w:noWrap/>
            <w:vAlign w:val="center"/>
          </w:tcPr>
          <w:p>
            <w:pPr>
              <w:jc w:val="center"/>
              <w:rPr>
                <w:rFonts w:ascii="Times New Roman" w:hAnsi="Times New Roman" w:eastAsia="仿宋_GB2312" w:cs="Times New Roman"/>
                <w:color w:val="auto"/>
                <w:sz w:val="24"/>
                <w:szCs w:val="32"/>
              </w:rPr>
            </w:pPr>
            <w:r>
              <w:rPr>
                <w:rFonts w:hint="eastAsia" w:ascii="Times New Roman" w:hAnsi="Times New Roman" w:eastAsia="仿宋_GB2312" w:cs="Times New Roman"/>
                <w:color w:val="auto"/>
                <w:sz w:val="24"/>
                <w:szCs w:val="32"/>
              </w:rPr>
              <w:t>2024/3/1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696" w:type="dxa"/>
            <w:noWrap/>
            <w:vAlign w:val="center"/>
          </w:tcPr>
          <w:p>
            <w:pPr>
              <w:jc w:val="center"/>
              <w:rPr>
                <w:rFonts w:ascii="Times New Roman" w:hAnsi="Times New Roman" w:eastAsia="仿宋_GB2312" w:cs="Times New Roman"/>
                <w:color w:val="auto"/>
                <w:sz w:val="24"/>
                <w:szCs w:val="32"/>
              </w:rPr>
            </w:pPr>
            <w:r>
              <w:rPr>
                <w:color w:val="auto"/>
              </w:rPr>
              <w:fldChar w:fldCharType="begin"/>
            </w:r>
            <w:r>
              <w:rPr>
                <w:color w:val="auto"/>
              </w:rPr>
              <w:instrText xml:space="preserve"> HYPERLINK "javascript:void(0)" </w:instrText>
            </w:r>
            <w:r>
              <w:rPr>
                <w:color w:val="auto"/>
              </w:rPr>
              <w:fldChar w:fldCharType="separate"/>
            </w:r>
            <w:r>
              <w:rPr>
                <w:rFonts w:hint="eastAsia" w:ascii="Times New Roman" w:hAnsi="Times New Roman" w:eastAsia="仿宋_GB2312" w:cs="Times New Roman"/>
                <w:color w:val="auto"/>
                <w:sz w:val="24"/>
                <w:szCs w:val="32"/>
              </w:rPr>
              <w:t>GB/T 43504-2023</w:t>
            </w:r>
            <w:r>
              <w:rPr>
                <w:rFonts w:hint="eastAsia" w:ascii="Times New Roman" w:hAnsi="Times New Roman" w:eastAsia="仿宋_GB2312" w:cs="Times New Roman"/>
                <w:color w:val="auto"/>
                <w:sz w:val="24"/>
                <w:szCs w:val="32"/>
              </w:rPr>
              <w:fldChar w:fldCharType="end"/>
            </w:r>
          </w:p>
        </w:tc>
        <w:tc>
          <w:tcPr>
            <w:tcW w:w="3686" w:type="dxa"/>
            <w:noWrap/>
            <w:vAlign w:val="center"/>
          </w:tcPr>
          <w:p>
            <w:pPr>
              <w:jc w:val="center"/>
              <w:rPr>
                <w:rFonts w:ascii="Times New Roman" w:hAnsi="Times New Roman" w:eastAsia="仿宋_GB2312" w:cs="Times New Roman"/>
                <w:color w:val="auto"/>
                <w:sz w:val="24"/>
                <w:szCs w:val="32"/>
              </w:rPr>
            </w:pPr>
            <w:r>
              <w:rPr>
                <w:color w:val="auto"/>
              </w:rPr>
              <w:fldChar w:fldCharType="begin"/>
            </w:r>
            <w:r>
              <w:rPr>
                <w:color w:val="auto"/>
              </w:rPr>
              <w:instrText xml:space="preserve"> HYPERLINK "javascript:void(0)" </w:instrText>
            </w:r>
            <w:r>
              <w:rPr>
                <w:color w:val="auto"/>
              </w:rPr>
              <w:fldChar w:fldCharType="separate"/>
            </w:r>
            <w:r>
              <w:rPr>
                <w:rFonts w:hint="eastAsia" w:ascii="Times New Roman" w:hAnsi="Times New Roman" w:eastAsia="仿宋_GB2312" w:cs="Times New Roman"/>
                <w:color w:val="auto"/>
                <w:sz w:val="24"/>
                <w:szCs w:val="32"/>
              </w:rPr>
              <w:t>民用大中型固定翼无人机飞行性能飞行试验要求</w:t>
            </w:r>
            <w:r>
              <w:rPr>
                <w:rFonts w:hint="eastAsia" w:ascii="Times New Roman" w:hAnsi="Times New Roman" w:eastAsia="仿宋_GB2312" w:cs="Times New Roman"/>
                <w:color w:val="auto"/>
                <w:sz w:val="24"/>
                <w:szCs w:val="32"/>
              </w:rPr>
              <w:fldChar w:fldCharType="end"/>
            </w:r>
          </w:p>
        </w:tc>
        <w:tc>
          <w:tcPr>
            <w:tcW w:w="850" w:type="dxa"/>
            <w:noWrap/>
            <w:vAlign w:val="center"/>
          </w:tcPr>
          <w:p>
            <w:pPr>
              <w:jc w:val="center"/>
              <w:rPr>
                <w:rFonts w:ascii="Times New Roman" w:hAnsi="Times New Roman" w:eastAsia="仿宋_GB2312" w:cs="Times New Roman"/>
                <w:color w:val="auto"/>
                <w:sz w:val="24"/>
                <w:szCs w:val="32"/>
              </w:rPr>
            </w:pPr>
            <w:r>
              <w:rPr>
                <w:rFonts w:hint="eastAsia" w:ascii="Times New Roman" w:hAnsi="Times New Roman" w:eastAsia="仿宋_GB2312" w:cs="Times New Roman"/>
                <w:color w:val="auto"/>
                <w:sz w:val="24"/>
                <w:szCs w:val="32"/>
              </w:rPr>
              <w:t>现行</w:t>
            </w:r>
          </w:p>
        </w:tc>
        <w:tc>
          <w:tcPr>
            <w:tcW w:w="1426" w:type="dxa"/>
            <w:noWrap/>
            <w:vAlign w:val="center"/>
          </w:tcPr>
          <w:p>
            <w:pPr>
              <w:jc w:val="center"/>
              <w:rPr>
                <w:rFonts w:ascii="Times New Roman" w:hAnsi="Times New Roman" w:eastAsia="仿宋_GB2312" w:cs="Times New Roman"/>
                <w:color w:val="auto"/>
                <w:sz w:val="24"/>
                <w:szCs w:val="32"/>
              </w:rPr>
            </w:pPr>
            <w:r>
              <w:rPr>
                <w:rFonts w:hint="eastAsia" w:ascii="Times New Roman" w:hAnsi="Times New Roman" w:eastAsia="仿宋_GB2312" w:cs="Times New Roman"/>
                <w:color w:val="auto"/>
                <w:sz w:val="24"/>
                <w:szCs w:val="32"/>
              </w:rPr>
              <w:t>2023/12/28</w:t>
            </w:r>
          </w:p>
        </w:tc>
        <w:tc>
          <w:tcPr>
            <w:tcW w:w="1176" w:type="dxa"/>
            <w:noWrap/>
            <w:vAlign w:val="center"/>
          </w:tcPr>
          <w:p>
            <w:pPr>
              <w:jc w:val="center"/>
              <w:rPr>
                <w:rFonts w:ascii="Times New Roman" w:hAnsi="Times New Roman" w:eastAsia="仿宋_GB2312" w:cs="Times New Roman"/>
                <w:color w:val="auto"/>
                <w:sz w:val="24"/>
                <w:szCs w:val="32"/>
              </w:rPr>
            </w:pPr>
            <w:r>
              <w:rPr>
                <w:rFonts w:hint="eastAsia" w:ascii="Times New Roman" w:hAnsi="Times New Roman" w:eastAsia="仿宋_GB2312" w:cs="Times New Roman"/>
                <w:color w:val="auto"/>
                <w:sz w:val="24"/>
                <w:szCs w:val="32"/>
              </w:rPr>
              <w:t>2024/4/1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696" w:type="dxa"/>
            <w:noWrap/>
            <w:vAlign w:val="center"/>
          </w:tcPr>
          <w:p>
            <w:pPr>
              <w:jc w:val="center"/>
              <w:rPr>
                <w:rFonts w:ascii="Times New Roman" w:hAnsi="Times New Roman" w:eastAsia="仿宋_GB2312" w:cs="Times New Roman"/>
                <w:color w:val="auto"/>
                <w:sz w:val="24"/>
                <w:szCs w:val="32"/>
              </w:rPr>
            </w:pPr>
            <w:r>
              <w:rPr>
                <w:color w:val="auto"/>
              </w:rPr>
              <w:fldChar w:fldCharType="begin"/>
            </w:r>
            <w:r>
              <w:rPr>
                <w:color w:val="auto"/>
              </w:rPr>
              <w:instrText xml:space="preserve"> HYPERLINK "javascript:void(0)" </w:instrText>
            </w:r>
            <w:r>
              <w:rPr>
                <w:color w:val="auto"/>
              </w:rPr>
              <w:fldChar w:fldCharType="separate"/>
            </w:r>
            <w:r>
              <w:rPr>
                <w:rFonts w:hint="eastAsia" w:ascii="Times New Roman" w:hAnsi="Times New Roman" w:eastAsia="仿宋_GB2312" w:cs="Times New Roman"/>
                <w:color w:val="auto"/>
                <w:sz w:val="24"/>
                <w:szCs w:val="32"/>
              </w:rPr>
              <w:t>GB/T 43369-2023</w:t>
            </w:r>
            <w:r>
              <w:rPr>
                <w:rFonts w:hint="eastAsia" w:ascii="Times New Roman" w:hAnsi="Times New Roman" w:eastAsia="仿宋_GB2312" w:cs="Times New Roman"/>
                <w:color w:val="auto"/>
                <w:sz w:val="24"/>
                <w:szCs w:val="32"/>
              </w:rPr>
              <w:fldChar w:fldCharType="end"/>
            </w:r>
          </w:p>
        </w:tc>
        <w:tc>
          <w:tcPr>
            <w:tcW w:w="3686" w:type="dxa"/>
            <w:noWrap/>
            <w:vAlign w:val="center"/>
          </w:tcPr>
          <w:p>
            <w:pPr>
              <w:jc w:val="center"/>
              <w:rPr>
                <w:rFonts w:ascii="Times New Roman" w:hAnsi="Times New Roman" w:eastAsia="仿宋_GB2312" w:cs="Times New Roman"/>
                <w:color w:val="auto"/>
                <w:sz w:val="24"/>
                <w:szCs w:val="32"/>
              </w:rPr>
            </w:pPr>
            <w:r>
              <w:rPr>
                <w:color w:val="auto"/>
              </w:rPr>
              <w:fldChar w:fldCharType="begin"/>
            </w:r>
            <w:r>
              <w:rPr>
                <w:color w:val="auto"/>
              </w:rPr>
              <w:instrText xml:space="preserve"> HYPERLINK "javascript:void(0)" </w:instrText>
            </w:r>
            <w:r>
              <w:rPr>
                <w:color w:val="auto"/>
              </w:rPr>
              <w:fldChar w:fldCharType="separate"/>
            </w:r>
            <w:r>
              <w:rPr>
                <w:rFonts w:hint="eastAsia" w:ascii="Times New Roman" w:hAnsi="Times New Roman" w:eastAsia="仿宋_GB2312" w:cs="Times New Roman"/>
                <w:color w:val="auto"/>
                <w:sz w:val="24"/>
                <w:szCs w:val="32"/>
              </w:rPr>
              <w:t>民用大中型无人机光电任务载荷设备接口要求</w:t>
            </w:r>
            <w:r>
              <w:rPr>
                <w:rFonts w:hint="eastAsia" w:ascii="Times New Roman" w:hAnsi="Times New Roman" w:eastAsia="仿宋_GB2312" w:cs="Times New Roman"/>
                <w:color w:val="auto"/>
                <w:sz w:val="24"/>
                <w:szCs w:val="32"/>
              </w:rPr>
              <w:fldChar w:fldCharType="end"/>
            </w:r>
          </w:p>
        </w:tc>
        <w:tc>
          <w:tcPr>
            <w:tcW w:w="850" w:type="dxa"/>
            <w:noWrap/>
            <w:vAlign w:val="center"/>
          </w:tcPr>
          <w:p>
            <w:pPr>
              <w:jc w:val="center"/>
              <w:rPr>
                <w:rFonts w:ascii="Times New Roman" w:hAnsi="Times New Roman" w:eastAsia="仿宋_GB2312" w:cs="Times New Roman"/>
                <w:color w:val="auto"/>
                <w:sz w:val="24"/>
                <w:szCs w:val="32"/>
              </w:rPr>
            </w:pPr>
            <w:r>
              <w:rPr>
                <w:rFonts w:hint="eastAsia" w:ascii="Times New Roman" w:hAnsi="Times New Roman" w:eastAsia="仿宋_GB2312" w:cs="Times New Roman"/>
                <w:color w:val="auto"/>
                <w:sz w:val="24"/>
                <w:szCs w:val="32"/>
              </w:rPr>
              <w:t>现行</w:t>
            </w:r>
          </w:p>
        </w:tc>
        <w:tc>
          <w:tcPr>
            <w:tcW w:w="1426" w:type="dxa"/>
            <w:noWrap/>
            <w:vAlign w:val="center"/>
          </w:tcPr>
          <w:p>
            <w:pPr>
              <w:jc w:val="center"/>
              <w:rPr>
                <w:rFonts w:ascii="Times New Roman" w:hAnsi="Times New Roman" w:eastAsia="仿宋_GB2312" w:cs="Times New Roman"/>
                <w:color w:val="auto"/>
                <w:sz w:val="24"/>
                <w:szCs w:val="32"/>
              </w:rPr>
            </w:pPr>
            <w:r>
              <w:rPr>
                <w:rFonts w:hint="eastAsia" w:ascii="Times New Roman" w:hAnsi="Times New Roman" w:eastAsia="仿宋_GB2312" w:cs="Times New Roman"/>
                <w:color w:val="auto"/>
                <w:sz w:val="24"/>
                <w:szCs w:val="32"/>
              </w:rPr>
              <w:t>2023/11/27</w:t>
            </w:r>
          </w:p>
        </w:tc>
        <w:tc>
          <w:tcPr>
            <w:tcW w:w="1176" w:type="dxa"/>
            <w:noWrap/>
            <w:vAlign w:val="center"/>
          </w:tcPr>
          <w:p>
            <w:pPr>
              <w:jc w:val="center"/>
              <w:rPr>
                <w:rFonts w:ascii="Times New Roman" w:hAnsi="Times New Roman" w:eastAsia="仿宋_GB2312" w:cs="Times New Roman"/>
                <w:color w:val="auto"/>
                <w:sz w:val="24"/>
                <w:szCs w:val="32"/>
              </w:rPr>
            </w:pPr>
            <w:r>
              <w:rPr>
                <w:rFonts w:hint="eastAsia" w:ascii="Times New Roman" w:hAnsi="Times New Roman" w:eastAsia="仿宋_GB2312" w:cs="Times New Roman"/>
                <w:color w:val="auto"/>
                <w:sz w:val="24"/>
                <w:szCs w:val="32"/>
              </w:rPr>
              <w:t>2024/3/1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696" w:type="dxa"/>
            <w:noWrap/>
            <w:vAlign w:val="center"/>
          </w:tcPr>
          <w:p>
            <w:pPr>
              <w:jc w:val="center"/>
              <w:rPr>
                <w:rFonts w:ascii="Times New Roman" w:hAnsi="Times New Roman" w:eastAsia="仿宋_GB2312" w:cs="Times New Roman"/>
                <w:color w:val="auto"/>
                <w:sz w:val="24"/>
                <w:szCs w:val="32"/>
              </w:rPr>
            </w:pPr>
            <w:r>
              <w:rPr>
                <w:rFonts w:hint="eastAsia" w:ascii="Times New Roman" w:hAnsi="Times New Roman" w:eastAsia="仿宋_GB2312" w:cs="Times New Roman"/>
                <w:color w:val="auto"/>
                <w:sz w:val="24"/>
                <w:szCs w:val="32"/>
              </w:rPr>
              <w:t>GB/T 38954-2020</w:t>
            </w:r>
          </w:p>
        </w:tc>
        <w:tc>
          <w:tcPr>
            <w:tcW w:w="3686" w:type="dxa"/>
            <w:noWrap/>
            <w:vAlign w:val="center"/>
          </w:tcPr>
          <w:p>
            <w:pPr>
              <w:jc w:val="center"/>
              <w:rPr>
                <w:rFonts w:ascii="Times New Roman" w:hAnsi="Times New Roman" w:eastAsia="仿宋_GB2312" w:cs="Times New Roman"/>
                <w:color w:val="auto"/>
                <w:sz w:val="24"/>
                <w:szCs w:val="32"/>
              </w:rPr>
            </w:pPr>
            <w:r>
              <w:rPr>
                <w:rFonts w:hint="eastAsia" w:ascii="Times New Roman" w:hAnsi="Times New Roman" w:eastAsia="仿宋_GB2312" w:cs="Times New Roman"/>
                <w:color w:val="auto"/>
                <w:sz w:val="24"/>
                <w:szCs w:val="32"/>
              </w:rPr>
              <w:t>无人机用氢燃料电池发电系统</w:t>
            </w:r>
          </w:p>
        </w:tc>
        <w:tc>
          <w:tcPr>
            <w:tcW w:w="850" w:type="dxa"/>
            <w:noWrap/>
            <w:vAlign w:val="center"/>
          </w:tcPr>
          <w:p>
            <w:pPr>
              <w:jc w:val="center"/>
              <w:rPr>
                <w:rFonts w:ascii="Times New Roman" w:hAnsi="Times New Roman" w:eastAsia="仿宋_GB2312" w:cs="Times New Roman"/>
                <w:color w:val="auto"/>
                <w:sz w:val="24"/>
                <w:szCs w:val="32"/>
              </w:rPr>
            </w:pPr>
            <w:r>
              <w:rPr>
                <w:rFonts w:hint="eastAsia" w:ascii="Times New Roman" w:hAnsi="Times New Roman" w:eastAsia="仿宋_GB2312" w:cs="Times New Roman"/>
                <w:color w:val="auto"/>
                <w:sz w:val="24"/>
                <w:szCs w:val="32"/>
              </w:rPr>
              <w:t>现行</w:t>
            </w:r>
          </w:p>
        </w:tc>
        <w:tc>
          <w:tcPr>
            <w:tcW w:w="1426" w:type="dxa"/>
            <w:noWrap/>
            <w:vAlign w:val="center"/>
          </w:tcPr>
          <w:p>
            <w:pPr>
              <w:jc w:val="center"/>
              <w:rPr>
                <w:rFonts w:ascii="Times New Roman" w:hAnsi="Times New Roman" w:eastAsia="仿宋_GB2312" w:cs="Times New Roman"/>
                <w:color w:val="auto"/>
                <w:sz w:val="24"/>
                <w:szCs w:val="32"/>
              </w:rPr>
            </w:pPr>
            <w:r>
              <w:rPr>
                <w:rFonts w:hint="eastAsia" w:ascii="Times New Roman" w:hAnsi="Times New Roman" w:eastAsia="仿宋_GB2312" w:cs="Times New Roman"/>
                <w:color w:val="auto"/>
                <w:sz w:val="24"/>
                <w:szCs w:val="32"/>
              </w:rPr>
              <w:t>2020/6/2</w:t>
            </w:r>
          </w:p>
        </w:tc>
        <w:tc>
          <w:tcPr>
            <w:tcW w:w="1176" w:type="dxa"/>
            <w:noWrap/>
            <w:vAlign w:val="center"/>
          </w:tcPr>
          <w:p>
            <w:pPr>
              <w:jc w:val="center"/>
              <w:rPr>
                <w:rFonts w:ascii="Times New Roman" w:hAnsi="Times New Roman" w:eastAsia="仿宋_GB2312" w:cs="Times New Roman"/>
                <w:color w:val="auto"/>
                <w:sz w:val="24"/>
                <w:szCs w:val="32"/>
              </w:rPr>
            </w:pPr>
            <w:r>
              <w:rPr>
                <w:rFonts w:hint="eastAsia" w:ascii="Times New Roman" w:hAnsi="Times New Roman" w:eastAsia="仿宋_GB2312" w:cs="Times New Roman"/>
                <w:color w:val="auto"/>
                <w:sz w:val="24"/>
                <w:szCs w:val="32"/>
              </w:rPr>
              <w:t>2021/1/1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696" w:type="dxa"/>
            <w:noWrap/>
            <w:vAlign w:val="center"/>
          </w:tcPr>
          <w:p>
            <w:pPr>
              <w:jc w:val="center"/>
              <w:rPr>
                <w:rFonts w:ascii="Times New Roman" w:hAnsi="Times New Roman" w:eastAsia="仿宋_GB2312" w:cs="Times New Roman"/>
                <w:color w:val="auto"/>
                <w:sz w:val="24"/>
                <w:szCs w:val="32"/>
              </w:rPr>
            </w:pPr>
            <w:r>
              <w:rPr>
                <w:color w:val="auto"/>
              </w:rPr>
              <w:fldChar w:fldCharType="begin"/>
            </w:r>
            <w:r>
              <w:rPr>
                <w:color w:val="auto"/>
              </w:rPr>
              <w:instrText xml:space="preserve"> HYPERLINK "javascript:void(0)" </w:instrText>
            </w:r>
            <w:r>
              <w:rPr>
                <w:color w:val="auto"/>
              </w:rPr>
              <w:fldChar w:fldCharType="separate"/>
            </w:r>
            <w:r>
              <w:rPr>
                <w:rFonts w:hint="eastAsia" w:ascii="Times New Roman" w:hAnsi="Times New Roman" w:eastAsia="仿宋_GB2312" w:cs="Times New Roman"/>
                <w:color w:val="auto"/>
                <w:sz w:val="24"/>
                <w:szCs w:val="32"/>
              </w:rPr>
              <w:t>GB/T 44166-2024</w:t>
            </w:r>
            <w:r>
              <w:rPr>
                <w:rFonts w:hint="eastAsia" w:ascii="Times New Roman" w:hAnsi="Times New Roman" w:eastAsia="仿宋_GB2312" w:cs="Times New Roman"/>
                <w:color w:val="auto"/>
                <w:sz w:val="24"/>
                <w:szCs w:val="32"/>
              </w:rPr>
              <w:fldChar w:fldCharType="end"/>
            </w:r>
          </w:p>
        </w:tc>
        <w:tc>
          <w:tcPr>
            <w:tcW w:w="3686" w:type="dxa"/>
            <w:noWrap/>
            <w:vAlign w:val="center"/>
          </w:tcPr>
          <w:p>
            <w:pPr>
              <w:jc w:val="center"/>
              <w:rPr>
                <w:rFonts w:ascii="Times New Roman" w:hAnsi="Times New Roman" w:eastAsia="仿宋_GB2312" w:cs="Times New Roman"/>
                <w:color w:val="auto"/>
                <w:sz w:val="24"/>
                <w:szCs w:val="32"/>
              </w:rPr>
            </w:pPr>
            <w:r>
              <w:rPr>
                <w:color w:val="auto"/>
              </w:rPr>
              <w:fldChar w:fldCharType="begin"/>
            </w:r>
            <w:r>
              <w:rPr>
                <w:color w:val="auto"/>
              </w:rPr>
              <w:instrText xml:space="preserve"> HYPERLINK "javascript:void(0)" </w:instrText>
            </w:r>
            <w:r>
              <w:rPr>
                <w:color w:val="auto"/>
              </w:rPr>
              <w:fldChar w:fldCharType="separate"/>
            </w:r>
            <w:r>
              <w:rPr>
                <w:rFonts w:hint="eastAsia" w:ascii="Times New Roman" w:hAnsi="Times New Roman" w:eastAsia="仿宋_GB2312" w:cs="Times New Roman"/>
                <w:color w:val="auto"/>
                <w:sz w:val="24"/>
                <w:szCs w:val="32"/>
              </w:rPr>
              <w:t>民用大中型固定翼无人机系统自主能力飞行试验要求</w:t>
            </w:r>
            <w:r>
              <w:rPr>
                <w:rFonts w:hint="eastAsia" w:ascii="Times New Roman" w:hAnsi="Times New Roman" w:eastAsia="仿宋_GB2312" w:cs="Times New Roman"/>
                <w:color w:val="auto"/>
                <w:sz w:val="24"/>
                <w:szCs w:val="32"/>
              </w:rPr>
              <w:fldChar w:fldCharType="end"/>
            </w:r>
          </w:p>
        </w:tc>
        <w:tc>
          <w:tcPr>
            <w:tcW w:w="850" w:type="dxa"/>
            <w:noWrap/>
            <w:vAlign w:val="center"/>
          </w:tcPr>
          <w:p>
            <w:pPr>
              <w:jc w:val="center"/>
              <w:rPr>
                <w:rFonts w:ascii="Times New Roman" w:hAnsi="Times New Roman" w:eastAsia="仿宋_GB2312" w:cs="Times New Roman"/>
                <w:color w:val="auto"/>
                <w:sz w:val="24"/>
                <w:szCs w:val="32"/>
              </w:rPr>
            </w:pPr>
            <w:r>
              <w:rPr>
                <w:rFonts w:hint="eastAsia" w:ascii="Times New Roman" w:hAnsi="Times New Roman" w:eastAsia="仿宋_GB2312" w:cs="Times New Roman"/>
                <w:color w:val="auto"/>
                <w:sz w:val="24"/>
                <w:szCs w:val="32"/>
              </w:rPr>
              <w:t>即将实施</w:t>
            </w:r>
          </w:p>
        </w:tc>
        <w:tc>
          <w:tcPr>
            <w:tcW w:w="1426" w:type="dxa"/>
            <w:noWrap/>
            <w:vAlign w:val="center"/>
          </w:tcPr>
          <w:p>
            <w:pPr>
              <w:jc w:val="center"/>
              <w:rPr>
                <w:rFonts w:ascii="Times New Roman" w:hAnsi="Times New Roman" w:eastAsia="仿宋_GB2312" w:cs="Times New Roman"/>
                <w:color w:val="auto"/>
                <w:sz w:val="24"/>
                <w:szCs w:val="32"/>
              </w:rPr>
            </w:pPr>
            <w:r>
              <w:rPr>
                <w:rFonts w:hint="eastAsia" w:ascii="Times New Roman" w:hAnsi="Times New Roman" w:eastAsia="仿宋_GB2312" w:cs="Times New Roman"/>
                <w:color w:val="auto"/>
                <w:sz w:val="24"/>
                <w:szCs w:val="32"/>
              </w:rPr>
              <w:t>2024/6/29</w:t>
            </w:r>
          </w:p>
        </w:tc>
        <w:tc>
          <w:tcPr>
            <w:tcW w:w="1176" w:type="dxa"/>
            <w:noWrap/>
            <w:vAlign w:val="center"/>
          </w:tcPr>
          <w:p>
            <w:pPr>
              <w:jc w:val="center"/>
              <w:rPr>
                <w:rFonts w:ascii="Times New Roman" w:hAnsi="Times New Roman" w:eastAsia="仿宋_GB2312" w:cs="Times New Roman"/>
                <w:color w:val="auto"/>
                <w:sz w:val="24"/>
                <w:szCs w:val="32"/>
              </w:rPr>
            </w:pPr>
            <w:r>
              <w:rPr>
                <w:rFonts w:hint="eastAsia" w:ascii="Times New Roman" w:hAnsi="Times New Roman" w:eastAsia="仿宋_GB2312" w:cs="Times New Roman"/>
                <w:color w:val="auto"/>
                <w:sz w:val="24"/>
                <w:szCs w:val="32"/>
              </w:rPr>
              <w:t>2025/1/1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696" w:type="dxa"/>
            <w:noWrap/>
            <w:vAlign w:val="center"/>
          </w:tcPr>
          <w:p>
            <w:pPr>
              <w:jc w:val="center"/>
              <w:rPr>
                <w:rFonts w:ascii="Times New Roman" w:hAnsi="Times New Roman" w:eastAsia="仿宋_GB2312" w:cs="Times New Roman"/>
                <w:color w:val="auto"/>
                <w:sz w:val="24"/>
                <w:szCs w:val="32"/>
              </w:rPr>
            </w:pPr>
            <w:r>
              <w:rPr>
                <w:rFonts w:hint="eastAsia" w:ascii="Times New Roman" w:hAnsi="Times New Roman" w:eastAsia="仿宋_GB2312" w:cs="Times New Roman"/>
                <w:color w:val="auto"/>
                <w:sz w:val="24"/>
                <w:szCs w:val="32"/>
              </w:rPr>
              <w:t>GB/T 44167-2024</w:t>
            </w:r>
          </w:p>
        </w:tc>
        <w:tc>
          <w:tcPr>
            <w:tcW w:w="3686" w:type="dxa"/>
            <w:noWrap/>
            <w:vAlign w:val="center"/>
          </w:tcPr>
          <w:p>
            <w:pPr>
              <w:jc w:val="center"/>
              <w:rPr>
                <w:rFonts w:ascii="Times New Roman" w:hAnsi="Times New Roman" w:eastAsia="仿宋_GB2312" w:cs="Times New Roman"/>
                <w:color w:val="auto"/>
                <w:sz w:val="24"/>
                <w:szCs w:val="32"/>
              </w:rPr>
            </w:pPr>
            <w:r>
              <w:rPr>
                <w:rFonts w:hint="eastAsia" w:ascii="Times New Roman" w:hAnsi="Times New Roman" w:eastAsia="仿宋_GB2312" w:cs="Times New Roman"/>
                <w:color w:val="auto"/>
                <w:sz w:val="24"/>
                <w:szCs w:val="32"/>
              </w:rPr>
              <w:t>大型货运无人机系统通用要求</w:t>
            </w:r>
          </w:p>
        </w:tc>
        <w:tc>
          <w:tcPr>
            <w:tcW w:w="850" w:type="dxa"/>
            <w:noWrap/>
            <w:vAlign w:val="center"/>
          </w:tcPr>
          <w:p>
            <w:pPr>
              <w:jc w:val="center"/>
              <w:rPr>
                <w:rFonts w:ascii="Times New Roman" w:hAnsi="Times New Roman" w:eastAsia="仿宋_GB2312" w:cs="Times New Roman"/>
                <w:color w:val="auto"/>
                <w:sz w:val="24"/>
                <w:szCs w:val="32"/>
              </w:rPr>
            </w:pPr>
            <w:r>
              <w:rPr>
                <w:rFonts w:hint="eastAsia" w:ascii="Times New Roman" w:hAnsi="Times New Roman" w:eastAsia="仿宋_GB2312" w:cs="Times New Roman"/>
                <w:color w:val="auto"/>
                <w:sz w:val="24"/>
                <w:szCs w:val="32"/>
              </w:rPr>
              <w:t>即将实施</w:t>
            </w:r>
          </w:p>
        </w:tc>
        <w:tc>
          <w:tcPr>
            <w:tcW w:w="1426" w:type="dxa"/>
            <w:noWrap/>
            <w:vAlign w:val="center"/>
          </w:tcPr>
          <w:p>
            <w:pPr>
              <w:jc w:val="center"/>
              <w:rPr>
                <w:rFonts w:ascii="Times New Roman" w:hAnsi="Times New Roman" w:eastAsia="仿宋_GB2312" w:cs="Times New Roman"/>
                <w:color w:val="auto"/>
                <w:sz w:val="24"/>
                <w:szCs w:val="32"/>
              </w:rPr>
            </w:pPr>
            <w:r>
              <w:rPr>
                <w:rFonts w:hint="eastAsia" w:ascii="Times New Roman" w:hAnsi="Times New Roman" w:eastAsia="仿宋_GB2312" w:cs="Times New Roman"/>
                <w:color w:val="auto"/>
                <w:sz w:val="24"/>
                <w:szCs w:val="32"/>
              </w:rPr>
              <w:t>2024/6/29</w:t>
            </w:r>
          </w:p>
        </w:tc>
        <w:tc>
          <w:tcPr>
            <w:tcW w:w="1176" w:type="dxa"/>
            <w:noWrap/>
            <w:vAlign w:val="center"/>
          </w:tcPr>
          <w:p>
            <w:pPr>
              <w:jc w:val="center"/>
              <w:rPr>
                <w:rFonts w:ascii="Times New Roman" w:hAnsi="Times New Roman" w:eastAsia="仿宋_GB2312" w:cs="Times New Roman"/>
                <w:color w:val="auto"/>
                <w:sz w:val="24"/>
                <w:szCs w:val="32"/>
              </w:rPr>
            </w:pPr>
            <w:r>
              <w:rPr>
                <w:rFonts w:hint="eastAsia" w:ascii="Times New Roman" w:hAnsi="Times New Roman" w:eastAsia="仿宋_GB2312" w:cs="Times New Roman"/>
                <w:color w:val="auto"/>
                <w:sz w:val="24"/>
                <w:szCs w:val="32"/>
              </w:rPr>
              <w:t>2025/1/1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696" w:type="dxa"/>
            <w:noWrap/>
            <w:vAlign w:val="center"/>
          </w:tcPr>
          <w:p>
            <w:pPr>
              <w:jc w:val="center"/>
              <w:rPr>
                <w:rFonts w:ascii="Times New Roman" w:hAnsi="Times New Roman" w:eastAsia="仿宋_GB2312" w:cs="Times New Roman"/>
                <w:color w:val="auto"/>
                <w:sz w:val="24"/>
                <w:szCs w:val="32"/>
              </w:rPr>
            </w:pPr>
            <w:r>
              <w:rPr>
                <w:color w:val="auto"/>
              </w:rPr>
              <w:fldChar w:fldCharType="begin"/>
            </w:r>
            <w:r>
              <w:rPr>
                <w:color w:val="auto"/>
              </w:rPr>
              <w:instrText xml:space="preserve"> HYPERLINK "javascript:void(0)" </w:instrText>
            </w:r>
            <w:r>
              <w:rPr>
                <w:color w:val="auto"/>
              </w:rPr>
              <w:fldChar w:fldCharType="separate"/>
            </w:r>
            <w:r>
              <w:rPr>
                <w:rFonts w:hint="eastAsia" w:ascii="Times New Roman" w:hAnsi="Times New Roman" w:eastAsia="仿宋_GB2312" w:cs="Times New Roman"/>
                <w:color w:val="auto"/>
                <w:sz w:val="24"/>
                <w:szCs w:val="32"/>
              </w:rPr>
              <w:t>GB/T 44168-2024</w:t>
            </w:r>
            <w:r>
              <w:rPr>
                <w:rFonts w:hint="eastAsia" w:ascii="Times New Roman" w:hAnsi="Times New Roman" w:eastAsia="仿宋_GB2312" w:cs="Times New Roman"/>
                <w:color w:val="auto"/>
                <w:sz w:val="24"/>
                <w:szCs w:val="32"/>
              </w:rPr>
              <w:fldChar w:fldCharType="end"/>
            </w:r>
          </w:p>
        </w:tc>
        <w:tc>
          <w:tcPr>
            <w:tcW w:w="3686" w:type="dxa"/>
            <w:noWrap/>
            <w:vAlign w:val="center"/>
          </w:tcPr>
          <w:p>
            <w:pPr>
              <w:jc w:val="center"/>
              <w:rPr>
                <w:rFonts w:ascii="Times New Roman" w:hAnsi="Times New Roman" w:eastAsia="仿宋_GB2312" w:cs="Times New Roman"/>
                <w:color w:val="auto"/>
                <w:sz w:val="24"/>
                <w:szCs w:val="32"/>
              </w:rPr>
            </w:pPr>
            <w:r>
              <w:rPr>
                <w:color w:val="auto"/>
              </w:rPr>
              <w:fldChar w:fldCharType="begin"/>
            </w:r>
            <w:r>
              <w:rPr>
                <w:color w:val="auto"/>
              </w:rPr>
              <w:instrText xml:space="preserve"> HYPERLINK "javascript:void(0)" </w:instrText>
            </w:r>
            <w:r>
              <w:rPr>
                <w:color w:val="auto"/>
              </w:rPr>
              <w:fldChar w:fldCharType="separate"/>
            </w:r>
            <w:r>
              <w:rPr>
                <w:rFonts w:hint="eastAsia" w:ascii="Times New Roman" w:hAnsi="Times New Roman" w:eastAsia="仿宋_GB2312" w:cs="Times New Roman"/>
                <w:color w:val="auto"/>
                <w:sz w:val="24"/>
                <w:szCs w:val="32"/>
              </w:rPr>
              <w:t>民用大中型固定翼无人机系统试飞风险科目实施要求</w:t>
            </w:r>
            <w:r>
              <w:rPr>
                <w:rFonts w:hint="eastAsia" w:ascii="Times New Roman" w:hAnsi="Times New Roman" w:eastAsia="仿宋_GB2312" w:cs="Times New Roman"/>
                <w:color w:val="auto"/>
                <w:sz w:val="24"/>
                <w:szCs w:val="32"/>
              </w:rPr>
              <w:fldChar w:fldCharType="end"/>
            </w:r>
          </w:p>
        </w:tc>
        <w:tc>
          <w:tcPr>
            <w:tcW w:w="850" w:type="dxa"/>
            <w:noWrap/>
            <w:vAlign w:val="center"/>
          </w:tcPr>
          <w:p>
            <w:pPr>
              <w:jc w:val="center"/>
              <w:rPr>
                <w:rFonts w:ascii="Times New Roman" w:hAnsi="Times New Roman" w:eastAsia="仿宋_GB2312" w:cs="Times New Roman"/>
                <w:color w:val="auto"/>
                <w:sz w:val="24"/>
                <w:szCs w:val="32"/>
              </w:rPr>
            </w:pPr>
            <w:r>
              <w:rPr>
                <w:rFonts w:hint="eastAsia" w:ascii="Times New Roman" w:hAnsi="Times New Roman" w:eastAsia="仿宋_GB2312" w:cs="Times New Roman"/>
                <w:color w:val="auto"/>
                <w:sz w:val="24"/>
                <w:szCs w:val="32"/>
              </w:rPr>
              <w:t>即将实施</w:t>
            </w:r>
          </w:p>
        </w:tc>
        <w:tc>
          <w:tcPr>
            <w:tcW w:w="1426" w:type="dxa"/>
            <w:noWrap/>
            <w:vAlign w:val="center"/>
          </w:tcPr>
          <w:p>
            <w:pPr>
              <w:jc w:val="center"/>
              <w:rPr>
                <w:rFonts w:ascii="Times New Roman" w:hAnsi="Times New Roman" w:eastAsia="仿宋_GB2312" w:cs="Times New Roman"/>
                <w:color w:val="auto"/>
                <w:sz w:val="24"/>
                <w:szCs w:val="32"/>
              </w:rPr>
            </w:pPr>
            <w:r>
              <w:rPr>
                <w:rFonts w:hint="eastAsia" w:ascii="Times New Roman" w:hAnsi="Times New Roman" w:eastAsia="仿宋_GB2312" w:cs="Times New Roman"/>
                <w:color w:val="auto"/>
                <w:sz w:val="24"/>
                <w:szCs w:val="32"/>
              </w:rPr>
              <w:t>2024/6/29</w:t>
            </w:r>
          </w:p>
        </w:tc>
        <w:tc>
          <w:tcPr>
            <w:tcW w:w="1176" w:type="dxa"/>
            <w:noWrap/>
            <w:vAlign w:val="center"/>
          </w:tcPr>
          <w:p>
            <w:pPr>
              <w:jc w:val="center"/>
              <w:rPr>
                <w:rFonts w:ascii="Times New Roman" w:hAnsi="Times New Roman" w:eastAsia="仿宋_GB2312" w:cs="Times New Roman"/>
                <w:color w:val="auto"/>
                <w:sz w:val="24"/>
                <w:szCs w:val="32"/>
              </w:rPr>
            </w:pPr>
            <w:r>
              <w:rPr>
                <w:rFonts w:hint="eastAsia" w:ascii="Times New Roman" w:hAnsi="Times New Roman" w:eastAsia="仿宋_GB2312" w:cs="Times New Roman"/>
                <w:color w:val="auto"/>
                <w:sz w:val="24"/>
                <w:szCs w:val="32"/>
              </w:rPr>
              <w:t>2025/1/1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696" w:type="dxa"/>
            <w:noWrap/>
            <w:vAlign w:val="center"/>
          </w:tcPr>
          <w:p>
            <w:pPr>
              <w:jc w:val="center"/>
              <w:rPr>
                <w:rFonts w:ascii="Times New Roman" w:hAnsi="Times New Roman" w:eastAsia="仿宋_GB2312" w:cs="Times New Roman"/>
                <w:color w:val="auto"/>
                <w:sz w:val="24"/>
                <w:szCs w:val="32"/>
              </w:rPr>
            </w:pPr>
            <w:r>
              <w:rPr>
                <w:color w:val="auto"/>
              </w:rPr>
              <w:fldChar w:fldCharType="begin"/>
            </w:r>
            <w:r>
              <w:rPr>
                <w:color w:val="auto"/>
              </w:rPr>
              <w:instrText xml:space="preserve"> HYPERLINK "javascript:void(0)" </w:instrText>
            </w:r>
            <w:r>
              <w:rPr>
                <w:color w:val="auto"/>
              </w:rPr>
              <w:fldChar w:fldCharType="separate"/>
            </w:r>
            <w:r>
              <w:rPr>
                <w:rFonts w:hint="eastAsia" w:ascii="Times New Roman" w:hAnsi="Times New Roman" w:eastAsia="仿宋_GB2312" w:cs="Times New Roman"/>
                <w:color w:val="auto"/>
                <w:sz w:val="24"/>
                <w:szCs w:val="32"/>
              </w:rPr>
              <w:t>GB/T 44169-2024</w:t>
            </w:r>
            <w:r>
              <w:rPr>
                <w:rFonts w:hint="eastAsia" w:ascii="Times New Roman" w:hAnsi="Times New Roman" w:eastAsia="仿宋_GB2312" w:cs="Times New Roman"/>
                <w:color w:val="auto"/>
                <w:sz w:val="24"/>
                <w:szCs w:val="32"/>
              </w:rPr>
              <w:fldChar w:fldCharType="end"/>
            </w:r>
          </w:p>
        </w:tc>
        <w:tc>
          <w:tcPr>
            <w:tcW w:w="3686" w:type="dxa"/>
            <w:noWrap/>
            <w:vAlign w:val="center"/>
          </w:tcPr>
          <w:p>
            <w:pPr>
              <w:jc w:val="center"/>
              <w:rPr>
                <w:rFonts w:ascii="Times New Roman" w:hAnsi="Times New Roman" w:eastAsia="仿宋_GB2312" w:cs="Times New Roman"/>
                <w:color w:val="auto"/>
                <w:sz w:val="24"/>
                <w:szCs w:val="32"/>
              </w:rPr>
            </w:pPr>
            <w:r>
              <w:rPr>
                <w:color w:val="auto"/>
              </w:rPr>
              <w:fldChar w:fldCharType="begin"/>
            </w:r>
            <w:r>
              <w:rPr>
                <w:color w:val="auto"/>
              </w:rPr>
              <w:instrText xml:space="preserve"> HYPERLINK "javascript:void(0)" </w:instrText>
            </w:r>
            <w:r>
              <w:rPr>
                <w:color w:val="auto"/>
              </w:rPr>
              <w:fldChar w:fldCharType="separate"/>
            </w:r>
            <w:r>
              <w:rPr>
                <w:rFonts w:hint="eastAsia" w:ascii="Times New Roman" w:hAnsi="Times New Roman" w:eastAsia="仿宋_GB2312" w:cs="Times New Roman"/>
                <w:color w:val="auto"/>
                <w:sz w:val="24"/>
                <w:szCs w:val="32"/>
              </w:rPr>
              <w:t>民用大中型固定翼无人机系统地面站通用要求</w:t>
            </w:r>
            <w:r>
              <w:rPr>
                <w:rFonts w:hint="eastAsia" w:ascii="Times New Roman" w:hAnsi="Times New Roman" w:eastAsia="仿宋_GB2312" w:cs="Times New Roman"/>
                <w:color w:val="auto"/>
                <w:sz w:val="24"/>
                <w:szCs w:val="32"/>
              </w:rPr>
              <w:fldChar w:fldCharType="end"/>
            </w:r>
          </w:p>
        </w:tc>
        <w:tc>
          <w:tcPr>
            <w:tcW w:w="850" w:type="dxa"/>
            <w:noWrap/>
            <w:vAlign w:val="center"/>
          </w:tcPr>
          <w:p>
            <w:pPr>
              <w:jc w:val="center"/>
              <w:rPr>
                <w:rFonts w:ascii="Times New Roman" w:hAnsi="Times New Roman" w:eastAsia="仿宋_GB2312" w:cs="Times New Roman"/>
                <w:color w:val="auto"/>
                <w:sz w:val="24"/>
                <w:szCs w:val="32"/>
              </w:rPr>
            </w:pPr>
            <w:r>
              <w:rPr>
                <w:rFonts w:hint="eastAsia" w:ascii="Times New Roman" w:hAnsi="Times New Roman" w:eastAsia="仿宋_GB2312" w:cs="Times New Roman"/>
                <w:color w:val="auto"/>
                <w:sz w:val="24"/>
                <w:szCs w:val="32"/>
              </w:rPr>
              <w:t>即将实施</w:t>
            </w:r>
          </w:p>
        </w:tc>
        <w:tc>
          <w:tcPr>
            <w:tcW w:w="1426" w:type="dxa"/>
            <w:noWrap/>
            <w:vAlign w:val="center"/>
          </w:tcPr>
          <w:p>
            <w:pPr>
              <w:jc w:val="center"/>
              <w:rPr>
                <w:rFonts w:ascii="Times New Roman" w:hAnsi="Times New Roman" w:eastAsia="仿宋_GB2312" w:cs="Times New Roman"/>
                <w:color w:val="auto"/>
                <w:sz w:val="24"/>
                <w:szCs w:val="32"/>
              </w:rPr>
            </w:pPr>
            <w:r>
              <w:rPr>
                <w:rFonts w:hint="eastAsia" w:ascii="Times New Roman" w:hAnsi="Times New Roman" w:eastAsia="仿宋_GB2312" w:cs="Times New Roman"/>
                <w:color w:val="auto"/>
                <w:sz w:val="24"/>
                <w:szCs w:val="32"/>
              </w:rPr>
              <w:t>2024/6/29</w:t>
            </w:r>
          </w:p>
        </w:tc>
        <w:tc>
          <w:tcPr>
            <w:tcW w:w="1176" w:type="dxa"/>
            <w:noWrap/>
            <w:vAlign w:val="center"/>
          </w:tcPr>
          <w:p>
            <w:pPr>
              <w:jc w:val="center"/>
              <w:rPr>
                <w:rFonts w:ascii="Times New Roman" w:hAnsi="Times New Roman" w:eastAsia="仿宋_GB2312" w:cs="Times New Roman"/>
                <w:color w:val="auto"/>
                <w:sz w:val="24"/>
                <w:szCs w:val="32"/>
              </w:rPr>
            </w:pPr>
            <w:r>
              <w:rPr>
                <w:rFonts w:hint="eastAsia" w:ascii="Times New Roman" w:hAnsi="Times New Roman" w:eastAsia="仿宋_GB2312" w:cs="Times New Roman"/>
                <w:color w:val="auto"/>
                <w:sz w:val="24"/>
                <w:szCs w:val="32"/>
              </w:rPr>
              <w:t>2025/1/1</w:t>
            </w:r>
          </w:p>
        </w:tc>
      </w:tr>
    </w:tbl>
    <w:p>
      <w:pPr>
        <w:spacing w:line="560" w:lineRule="exact"/>
        <w:ind w:firstLine="640" w:firstLineChars="200"/>
        <w:rPr>
          <w:rFonts w:ascii="Times New Roman" w:hAnsi="Times New Roman" w:eastAsia="黑体" w:cs="Times New Roman"/>
          <w:color w:val="auto"/>
          <w:sz w:val="32"/>
          <w:szCs w:val="32"/>
        </w:rPr>
      </w:pPr>
      <w:r>
        <w:rPr>
          <w:rFonts w:hint="eastAsia" w:ascii="Times New Roman" w:hAnsi="Times New Roman" w:eastAsia="黑体" w:cs="Times New Roman"/>
          <w:color w:val="auto"/>
          <w:sz w:val="32"/>
          <w:szCs w:val="32"/>
        </w:rPr>
        <w:t>三、检测认证</w:t>
      </w:r>
    </w:p>
    <w:p>
      <w:pPr>
        <w:spacing w:line="560" w:lineRule="exact"/>
        <w:ind w:firstLine="640" w:firstLineChars="200"/>
        <w:rPr>
          <w:rFonts w:ascii="Times New Roman" w:hAnsi="Times New Roman" w:eastAsia="仿宋_GB2312" w:cs="Times New Roman"/>
          <w:color w:val="auto"/>
          <w:sz w:val="32"/>
          <w:szCs w:val="32"/>
        </w:rPr>
      </w:pPr>
      <w:r>
        <w:rPr>
          <w:rFonts w:hint="eastAsia" w:ascii="Times New Roman" w:hAnsi="Times New Roman" w:eastAsia="仿宋_GB2312" w:cs="Times New Roman"/>
          <w:color w:val="auto"/>
          <w:sz w:val="32"/>
          <w:szCs w:val="32"/>
        </w:rPr>
        <w:t>检测认证的含义：检测，用指定的方法检验测试某种物体（气体、液体、固体）指定的技术性能指标。适用于各种行业范畴的质量评定，如：土木建筑工程、水利、食品、化学、环境、机械、机器等等；认证，按照国际标准化组织（ISO）和国际电工委员会（IEC）的定义，是指由国家认可的认证机构证明一个组织的产品、服务、管理体系符合相关标准、技术规范（TS）或其强制性要求的合格评定活动。</w:t>
      </w:r>
    </w:p>
    <w:p>
      <w:pPr>
        <w:spacing w:line="560" w:lineRule="exact"/>
        <w:ind w:firstLine="640" w:firstLineChars="200"/>
        <w:rPr>
          <w:rFonts w:ascii="Times New Roman" w:hAnsi="Times New Roman" w:eastAsia="仿宋_GB2312" w:cs="Times New Roman"/>
          <w:color w:val="auto"/>
          <w:sz w:val="32"/>
          <w:szCs w:val="32"/>
        </w:rPr>
      </w:pPr>
      <w:r>
        <w:rPr>
          <w:rFonts w:hint="eastAsia" w:ascii="Times New Roman" w:hAnsi="Times New Roman" w:eastAsia="仿宋_GB2312" w:cs="Times New Roman"/>
          <w:color w:val="auto"/>
          <w:sz w:val="32"/>
          <w:szCs w:val="32"/>
        </w:rPr>
        <w:t>检测认证包括强制性和非强制性两类。强制性检测是必须进行的，保证产品符合产品质量法律法规的有关规定以及有关强制性国家标准。非强制性检测原则上是无人机生产企业自愿进行的认证。</w:t>
      </w:r>
    </w:p>
    <w:p>
      <w:pPr>
        <w:spacing w:line="560" w:lineRule="exact"/>
        <w:ind w:firstLine="640" w:firstLineChars="200"/>
        <w:rPr>
          <w:rFonts w:ascii="Times New Roman" w:hAnsi="Times New Roman" w:eastAsia="仿宋_GB2312" w:cs="Times New Roman"/>
          <w:color w:val="auto"/>
          <w:sz w:val="32"/>
          <w:szCs w:val="32"/>
        </w:rPr>
      </w:pPr>
      <w:r>
        <w:rPr>
          <w:rFonts w:hint="eastAsia" w:ascii="Times New Roman" w:hAnsi="Times New Roman" w:eastAsia="仿宋_GB2312" w:cs="Times New Roman"/>
          <w:color w:val="auto"/>
          <w:sz w:val="32"/>
          <w:szCs w:val="32"/>
        </w:rPr>
        <w:t>1．强制性检测</w:t>
      </w:r>
    </w:p>
    <w:p>
      <w:pPr>
        <w:spacing w:line="560" w:lineRule="exact"/>
        <w:ind w:firstLine="640" w:firstLineChars="200"/>
        <w:rPr>
          <w:rFonts w:ascii="Times New Roman" w:hAnsi="Times New Roman" w:eastAsia="仿宋_GB2312" w:cs="Times New Roman"/>
          <w:color w:val="auto"/>
          <w:sz w:val="32"/>
          <w:szCs w:val="32"/>
        </w:rPr>
      </w:pPr>
      <w:r>
        <w:rPr>
          <w:rFonts w:hint="eastAsia" w:ascii="Times New Roman" w:hAnsi="Times New Roman" w:eastAsia="仿宋_GB2312" w:cs="Times New Roman"/>
          <w:color w:val="auto"/>
          <w:sz w:val="32"/>
          <w:szCs w:val="32"/>
        </w:rPr>
        <w:t>《民用无人驾驶航空器系统安全要求》（GB 42590-2023）于2024年6月开始实施，是民用无人机领域内的首个强制性国家标准。该文件适用于除航模之外的微型、轻型和小型民用无人机，提出了电子围栏、远程识别、应急处置、结构强度、机体结构、整机跌落等17个方面的强制性技术要求和相应的试验方法，具体包括：</w:t>
      </w:r>
    </w:p>
    <w:p>
      <w:pPr>
        <w:spacing w:line="560" w:lineRule="exact"/>
        <w:ind w:firstLine="640" w:firstLineChars="200"/>
        <w:rPr>
          <w:rFonts w:ascii="Times New Roman" w:hAnsi="Times New Roman" w:eastAsia="仿宋_GB2312" w:cs="Times New Roman"/>
          <w:color w:val="auto"/>
          <w:sz w:val="32"/>
          <w:szCs w:val="32"/>
        </w:rPr>
      </w:pPr>
      <w:r>
        <w:rPr>
          <w:rFonts w:hint="eastAsia" w:ascii="Times New Roman" w:hAnsi="Times New Roman" w:eastAsia="仿宋_GB2312" w:cs="Times New Roman"/>
          <w:color w:val="auto"/>
          <w:sz w:val="32"/>
          <w:szCs w:val="32"/>
        </w:rPr>
        <w:t>电子围栏：确保无人机在指定区域内飞行，避免进入禁飞区。</w:t>
      </w:r>
    </w:p>
    <w:p>
      <w:pPr>
        <w:spacing w:line="560" w:lineRule="exact"/>
        <w:ind w:firstLine="640" w:firstLineChars="200"/>
        <w:rPr>
          <w:rFonts w:ascii="Times New Roman" w:hAnsi="Times New Roman" w:eastAsia="仿宋_GB2312" w:cs="Times New Roman"/>
          <w:color w:val="auto"/>
          <w:sz w:val="32"/>
          <w:szCs w:val="32"/>
        </w:rPr>
      </w:pPr>
      <w:r>
        <w:rPr>
          <w:rFonts w:hint="eastAsia" w:ascii="Times New Roman" w:hAnsi="Times New Roman" w:eastAsia="仿宋_GB2312" w:cs="Times New Roman"/>
          <w:color w:val="auto"/>
          <w:sz w:val="32"/>
          <w:szCs w:val="32"/>
        </w:rPr>
        <w:t>远程识别：实现无人机的远程身份确认，便于监控和管理。</w:t>
      </w:r>
    </w:p>
    <w:p>
      <w:pPr>
        <w:spacing w:line="560" w:lineRule="exact"/>
        <w:ind w:firstLine="640" w:firstLineChars="200"/>
        <w:rPr>
          <w:rFonts w:ascii="Times New Roman" w:hAnsi="Times New Roman" w:eastAsia="仿宋_GB2312" w:cs="Times New Roman"/>
          <w:color w:val="auto"/>
          <w:sz w:val="32"/>
          <w:szCs w:val="32"/>
        </w:rPr>
      </w:pPr>
      <w:r>
        <w:rPr>
          <w:rFonts w:hint="eastAsia" w:ascii="Times New Roman" w:hAnsi="Times New Roman" w:eastAsia="仿宋_GB2312" w:cs="Times New Roman"/>
          <w:color w:val="auto"/>
          <w:sz w:val="32"/>
          <w:szCs w:val="32"/>
        </w:rPr>
        <w:t>应急处置：规定无人机在紧急情况下的安全操作程序。</w:t>
      </w:r>
    </w:p>
    <w:p>
      <w:pPr>
        <w:spacing w:line="560" w:lineRule="exact"/>
        <w:ind w:firstLine="640" w:firstLineChars="200"/>
        <w:rPr>
          <w:rFonts w:ascii="Times New Roman" w:hAnsi="Times New Roman" w:eastAsia="仿宋_GB2312" w:cs="Times New Roman"/>
          <w:color w:val="auto"/>
          <w:sz w:val="32"/>
          <w:szCs w:val="32"/>
        </w:rPr>
      </w:pPr>
      <w:r>
        <w:rPr>
          <w:rFonts w:hint="eastAsia" w:ascii="Times New Roman" w:hAnsi="Times New Roman" w:eastAsia="仿宋_GB2312" w:cs="Times New Roman"/>
          <w:color w:val="auto"/>
          <w:sz w:val="32"/>
          <w:szCs w:val="32"/>
        </w:rPr>
        <w:t>结构强度与整机跌落测试：确保无人机在正常运行及意外跌落时的结构完整性。</w:t>
      </w:r>
    </w:p>
    <w:p>
      <w:pPr>
        <w:spacing w:line="560" w:lineRule="exact"/>
        <w:ind w:firstLine="640" w:firstLineChars="200"/>
        <w:rPr>
          <w:rFonts w:ascii="Times New Roman" w:hAnsi="Times New Roman" w:eastAsia="仿宋_GB2312" w:cs="Times New Roman"/>
          <w:color w:val="auto"/>
          <w:sz w:val="32"/>
          <w:szCs w:val="32"/>
        </w:rPr>
      </w:pPr>
      <w:r>
        <w:rPr>
          <w:rFonts w:hint="eastAsia" w:ascii="Times New Roman" w:hAnsi="Times New Roman" w:eastAsia="仿宋_GB2312" w:cs="Times New Roman"/>
          <w:color w:val="auto"/>
          <w:sz w:val="32"/>
          <w:szCs w:val="32"/>
        </w:rPr>
        <w:t>动力能源系统：规范电池及其他动力源的安全性和效能。</w:t>
      </w:r>
    </w:p>
    <w:p>
      <w:pPr>
        <w:spacing w:line="560" w:lineRule="exact"/>
        <w:ind w:firstLine="640" w:firstLineChars="200"/>
        <w:rPr>
          <w:rFonts w:ascii="Times New Roman" w:hAnsi="Times New Roman" w:eastAsia="仿宋_GB2312" w:cs="Times New Roman"/>
          <w:color w:val="auto"/>
          <w:sz w:val="32"/>
          <w:szCs w:val="32"/>
        </w:rPr>
      </w:pPr>
      <w:r>
        <w:rPr>
          <w:rFonts w:hint="eastAsia" w:ascii="Times New Roman" w:hAnsi="Times New Roman" w:eastAsia="仿宋_GB2312" w:cs="Times New Roman"/>
          <w:color w:val="auto"/>
          <w:sz w:val="32"/>
          <w:szCs w:val="32"/>
        </w:rPr>
        <w:t>可控性与防差错机制：提升无人机的操控稳定性，防止误操作。</w:t>
      </w:r>
    </w:p>
    <w:p>
      <w:pPr>
        <w:spacing w:line="560" w:lineRule="exact"/>
        <w:ind w:firstLine="640" w:firstLineChars="200"/>
        <w:rPr>
          <w:rFonts w:ascii="Times New Roman" w:hAnsi="Times New Roman" w:eastAsia="仿宋_GB2312" w:cs="Times New Roman"/>
          <w:color w:val="auto"/>
          <w:sz w:val="32"/>
          <w:szCs w:val="32"/>
        </w:rPr>
      </w:pPr>
      <w:r>
        <w:rPr>
          <w:rFonts w:hint="eastAsia" w:ascii="Times New Roman" w:hAnsi="Times New Roman" w:eastAsia="仿宋_GB2312" w:cs="Times New Roman"/>
          <w:color w:val="auto"/>
          <w:sz w:val="32"/>
          <w:szCs w:val="32"/>
        </w:rPr>
        <w:t>感知与避让能力：增强无人机对障碍物的识别与规避功能。</w:t>
      </w:r>
    </w:p>
    <w:p>
      <w:pPr>
        <w:spacing w:line="560" w:lineRule="exact"/>
        <w:ind w:firstLine="640" w:firstLineChars="200"/>
        <w:rPr>
          <w:rFonts w:ascii="Times New Roman" w:hAnsi="Times New Roman" w:eastAsia="仿宋_GB2312" w:cs="Times New Roman"/>
          <w:color w:val="auto"/>
          <w:sz w:val="32"/>
          <w:szCs w:val="32"/>
        </w:rPr>
      </w:pPr>
      <w:r>
        <w:rPr>
          <w:rFonts w:hint="eastAsia" w:ascii="Times New Roman" w:hAnsi="Times New Roman" w:eastAsia="仿宋_GB2312" w:cs="Times New Roman"/>
          <w:color w:val="auto"/>
          <w:sz w:val="32"/>
          <w:szCs w:val="32"/>
        </w:rPr>
        <w:t>数据链保护：加密通信，防止数据被非法截取或干扰。</w:t>
      </w:r>
    </w:p>
    <w:p>
      <w:pPr>
        <w:spacing w:line="560" w:lineRule="exact"/>
        <w:ind w:firstLine="640" w:firstLineChars="200"/>
        <w:rPr>
          <w:rFonts w:ascii="Times New Roman" w:hAnsi="Times New Roman" w:eastAsia="仿宋_GB2312" w:cs="Times New Roman"/>
          <w:color w:val="auto"/>
          <w:sz w:val="32"/>
          <w:szCs w:val="32"/>
        </w:rPr>
      </w:pPr>
      <w:r>
        <w:rPr>
          <w:rFonts w:hint="eastAsia" w:ascii="Times New Roman" w:hAnsi="Times New Roman" w:eastAsia="仿宋_GB2312" w:cs="Times New Roman"/>
          <w:color w:val="auto"/>
          <w:sz w:val="32"/>
          <w:szCs w:val="32"/>
        </w:rPr>
        <w:t>电磁兼容性：确保无人机与其他电子设备共存时不会产生干扰。</w:t>
      </w:r>
    </w:p>
    <w:p>
      <w:pPr>
        <w:spacing w:line="560" w:lineRule="exact"/>
        <w:ind w:firstLine="640" w:firstLineChars="200"/>
        <w:rPr>
          <w:rFonts w:ascii="Times New Roman" w:hAnsi="Times New Roman" w:eastAsia="仿宋_GB2312" w:cs="Times New Roman"/>
          <w:color w:val="auto"/>
          <w:sz w:val="32"/>
          <w:szCs w:val="32"/>
        </w:rPr>
      </w:pPr>
      <w:r>
        <w:rPr>
          <w:rFonts w:hint="eastAsia" w:ascii="Times New Roman" w:hAnsi="Times New Roman" w:eastAsia="仿宋_GB2312" w:cs="Times New Roman"/>
          <w:color w:val="auto"/>
          <w:sz w:val="32"/>
          <w:szCs w:val="32"/>
        </w:rPr>
        <w:t>抗风性与噪音控制：适应不同气候条件，减少噪声污染。</w:t>
      </w:r>
    </w:p>
    <w:p>
      <w:pPr>
        <w:spacing w:line="560" w:lineRule="exact"/>
        <w:ind w:firstLine="640" w:firstLineChars="200"/>
        <w:rPr>
          <w:rFonts w:ascii="Times New Roman" w:hAnsi="Times New Roman" w:eastAsia="仿宋_GB2312" w:cs="Times New Roman"/>
          <w:color w:val="auto"/>
          <w:sz w:val="32"/>
          <w:szCs w:val="32"/>
        </w:rPr>
      </w:pPr>
      <w:r>
        <w:rPr>
          <w:rFonts w:hint="eastAsia" w:ascii="Times New Roman" w:hAnsi="Times New Roman" w:eastAsia="仿宋_GB2312" w:cs="Times New Roman"/>
          <w:color w:val="auto"/>
          <w:sz w:val="32"/>
          <w:szCs w:val="32"/>
        </w:rPr>
        <w:t>灯光与标识：提高夜间可见性，便于识别。</w:t>
      </w:r>
    </w:p>
    <w:p>
      <w:pPr>
        <w:spacing w:line="560" w:lineRule="exact"/>
        <w:ind w:firstLine="640" w:firstLineChars="200"/>
        <w:rPr>
          <w:rFonts w:ascii="Times New Roman" w:hAnsi="Times New Roman" w:eastAsia="仿宋_GB2312" w:cs="Times New Roman"/>
          <w:color w:val="auto"/>
          <w:sz w:val="32"/>
          <w:szCs w:val="32"/>
        </w:rPr>
      </w:pPr>
      <w:r>
        <w:rPr>
          <w:rFonts w:hint="eastAsia" w:ascii="Times New Roman" w:hAnsi="Times New Roman" w:eastAsia="仿宋_GB2312" w:cs="Times New Roman"/>
          <w:color w:val="auto"/>
          <w:sz w:val="32"/>
          <w:szCs w:val="32"/>
        </w:rPr>
        <w:t>使用说明书：明确操作指南，保障用户正确使用。</w:t>
      </w:r>
    </w:p>
    <w:p>
      <w:pPr>
        <w:spacing w:line="560" w:lineRule="exact"/>
        <w:ind w:firstLine="640" w:firstLineChars="200"/>
        <w:rPr>
          <w:rFonts w:ascii="Times New Roman" w:hAnsi="Times New Roman" w:eastAsia="仿宋_GB2312" w:cs="Times New Roman"/>
          <w:color w:val="auto"/>
          <w:sz w:val="32"/>
          <w:szCs w:val="32"/>
        </w:rPr>
      </w:pPr>
      <w:r>
        <w:rPr>
          <w:rFonts w:hint="eastAsia" w:ascii="Times New Roman" w:hAnsi="Times New Roman" w:eastAsia="仿宋_GB2312" w:cs="Times New Roman"/>
          <w:color w:val="auto"/>
          <w:sz w:val="32"/>
          <w:szCs w:val="32"/>
        </w:rPr>
        <w:t>目前，公开可查的，经国家认证认可监督管理委员会（CNAS）批准设立并授权，提供该强制性国家标准检测内容的验证机构有19家，主要信息见表附5-2。</w:t>
      </w:r>
    </w:p>
    <w:p>
      <w:pPr>
        <w:widowControl/>
        <w:spacing w:line="560" w:lineRule="exact"/>
        <w:jc w:val="center"/>
        <w:rPr>
          <w:rFonts w:ascii="Times New Roman" w:hAnsi="Times New Roman" w:eastAsia="楷体_GB2312" w:cs="Times New Roman"/>
          <w:color w:val="auto"/>
          <w:kern w:val="0"/>
          <w:sz w:val="24"/>
          <w:szCs w:val="24"/>
        </w:rPr>
      </w:pPr>
      <w:r>
        <w:rPr>
          <w:rFonts w:hint="eastAsia" w:ascii="Times New Roman" w:hAnsi="Times New Roman" w:eastAsia="楷体_GB2312" w:cs="Times New Roman"/>
          <w:color w:val="auto"/>
          <w:kern w:val="0"/>
          <w:sz w:val="24"/>
          <w:szCs w:val="24"/>
        </w:rPr>
        <w:t>附表5-2  具备《民用无人驾驶航空器系统安全要求》检测能力的CNAS资质机构</w:t>
      </w:r>
    </w:p>
    <w:tbl>
      <w:tblPr>
        <w:tblStyle w:val="23"/>
        <w:tblW w:w="89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6"/>
        <w:gridCol w:w="5569"/>
        <w:gridCol w:w="16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1656" w:type="dxa"/>
            <w:noWrap/>
            <w:vAlign w:val="center"/>
          </w:tcPr>
          <w:p>
            <w:pPr>
              <w:widowControl/>
              <w:jc w:val="center"/>
              <w:rPr>
                <w:rFonts w:ascii="Times New Roman" w:hAnsi="Times New Roman" w:eastAsia="黑体" w:cs="Times New Roman"/>
                <w:color w:val="auto"/>
                <w:kern w:val="0"/>
                <w:sz w:val="24"/>
                <w:szCs w:val="24"/>
              </w:rPr>
            </w:pPr>
            <w:r>
              <w:rPr>
                <w:rFonts w:hint="eastAsia" w:ascii="Times New Roman" w:hAnsi="Times New Roman" w:eastAsia="黑体" w:cs="Times New Roman"/>
                <w:color w:val="auto"/>
                <w:kern w:val="0"/>
                <w:sz w:val="24"/>
                <w:szCs w:val="24"/>
              </w:rPr>
              <w:t>证书号</w:t>
            </w:r>
          </w:p>
        </w:tc>
        <w:tc>
          <w:tcPr>
            <w:tcW w:w="5569" w:type="dxa"/>
            <w:noWrap/>
            <w:vAlign w:val="center"/>
          </w:tcPr>
          <w:p>
            <w:pPr>
              <w:widowControl/>
              <w:jc w:val="center"/>
              <w:rPr>
                <w:rFonts w:ascii="Times New Roman" w:hAnsi="Times New Roman" w:eastAsia="黑体" w:cs="Times New Roman"/>
                <w:color w:val="auto"/>
                <w:kern w:val="0"/>
                <w:sz w:val="24"/>
                <w:szCs w:val="24"/>
              </w:rPr>
            </w:pPr>
            <w:r>
              <w:rPr>
                <w:rFonts w:hint="eastAsia" w:ascii="Times New Roman" w:hAnsi="Times New Roman" w:eastAsia="黑体" w:cs="Times New Roman"/>
                <w:color w:val="auto"/>
                <w:kern w:val="0"/>
                <w:sz w:val="24"/>
                <w:szCs w:val="24"/>
              </w:rPr>
              <w:t>机构名称</w:t>
            </w:r>
          </w:p>
        </w:tc>
        <w:tc>
          <w:tcPr>
            <w:tcW w:w="1688" w:type="dxa"/>
            <w:noWrap/>
            <w:vAlign w:val="center"/>
          </w:tcPr>
          <w:p>
            <w:pPr>
              <w:widowControl/>
              <w:jc w:val="center"/>
              <w:rPr>
                <w:rFonts w:ascii="Times New Roman" w:hAnsi="Times New Roman" w:eastAsia="黑体" w:cs="Times New Roman"/>
                <w:color w:val="auto"/>
                <w:kern w:val="0"/>
                <w:sz w:val="24"/>
                <w:szCs w:val="24"/>
              </w:rPr>
            </w:pPr>
            <w:r>
              <w:rPr>
                <w:rFonts w:hint="eastAsia" w:ascii="Times New Roman" w:hAnsi="Times New Roman" w:eastAsia="黑体" w:cs="Times New Roman"/>
                <w:color w:val="auto"/>
                <w:kern w:val="0"/>
                <w:sz w:val="24"/>
                <w:szCs w:val="24"/>
              </w:rPr>
              <w:t>场所地址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56" w:type="dxa"/>
            <w:noWrap/>
            <w:vAlign w:val="center"/>
          </w:tcPr>
          <w:p>
            <w:pPr>
              <w:widowControl/>
              <w:jc w:val="center"/>
              <w:rPr>
                <w:rFonts w:ascii="Times New Roman" w:hAnsi="Times New Roman" w:eastAsia="仿宋_GB2312" w:cs="Times New Roman"/>
                <w:color w:val="auto"/>
                <w:kern w:val="0"/>
                <w:sz w:val="24"/>
                <w:szCs w:val="24"/>
              </w:rPr>
            </w:pPr>
            <w:r>
              <w:rPr>
                <w:rFonts w:hint="eastAsia" w:ascii="Times New Roman" w:hAnsi="Times New Roman" w:eastAsia="仿宋_GB2312" w:cs="Times New Roman"/>
                <w:color w:val="auto"/>
                <w:kern w:val="0"/>
                <w:sz w:val="24"/>
                <w:szCs w:val="24"/>
              </w:rPr>
              <w:t>210008344492</w:t>
            </w:r>
          </w:p>
        </w:tc>
        <w:tc>
          <w:tcPr>
            <w:tcW w:w="5569" w:type="dxa"/>
            <w:noWrap/>
            <w:vAlign w:val="center"/>
          </w:tcPr>
          <w:p>
            <w:pPr>
              <w:widowControl/>
              <w:jc w:val="center"/>
              <w:rPr>
                <w:rFonts w:ascii="Times New Roman" w:hAnsi="Times New Roman" w:eastAsia="仿宋_GB2312" w:cs="Times New Roman"/>
                <w:color w:val="auto"/>
                <w:kern w:val="0"/>
                <w:sz w:val="24"/>
                <w:szCs w:val="24"/>
              </w:rPr>
            </w:pPr>
            <w:r>
              <w:rPr>
                <w:rFonts w:hint="eastAsia" w:ascii="Times New Roman" w:hAnsi="Times New Roman" w:eastAsia="仿宋_GB2312" w:cs="Times New Roman"/>
                <w:color w:val="auto"/>
                <w:kern w:val="0"/>
                <w:sz w:val="24"/>
                <w:szCs w:val="24"/>
              </w:rPr>
              <w:t>中机寰宇（山东）车辆认证检测有限公司</w:t>
            </w:r>
          </w:p>
        </w:tc>
        <w:tc>
          <w:tcPr>
            <w:tcW w:w="1688" w:type="dxa"/>
            <w:noWrap/>
            <w:vAlign w:val="center"/>
          </w:tcPr>
          <w:p>
            <w:pPr>
              <w:widowControl/>
              <w:jc w:val="center"/>
              <w:rPr>
                <w:rFonts w:ascii="Times New Roman" w:hAnsi="Times New Roman" w:eastAsia="仿宋_GB2312" w:cs="Times New Roman"/>
                <w:color w:val="auto"/>
                <w:kern w:val="0"/>
                <w:sz w:val="24"/>
                <w:szCs w:val="24"/>
              </w:rPr>
            </w:pPr>
            <w:r>
              <w:rPr>
                <w:rFonts w:hint="eastAsia" w:ascii="Times New Roman" w:hAnsi="Times New Roman" w:eastAsia="仿宋_GB2312" w:cs="Times New Roman"/>
                <w:color w:val="auto"/>
                <w:kern w:val="0"/>
                <w:sz w:val="24"/>
                <w:szCs w:val="24"/>
              </w:rPr>
              <w:t>山东德州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56" w:type="dxa"/>
            <w:noWrap/>
            <w:vAlign w:val="center"/>
          </w:tcPr>
          <w:p>
            <w:pPr>
              <w:widowControl/>
              <w:jc w:val="center"/>
              <w:rPr>
                <w:rFonts w:ascii="Times New Roman" w:hAnsi="Times New Roman" w:eastAsia="仿宋_GB2312" w:cs="Times New Roman"/>
                <w:color w:val="auto"/>
                <w:kern w:val="0"/>
                <w:sz w:val="24"/>
                <w:szCs w:val="24"/>
              </w:rPr>
            </w:pPr>
            <w:r>
              <w:rPr>
                <w:rFonts w:hint="eastAsia" w:ascii="Times New Roman" w:hAnsi="Times New Roman" w:eastAsia="仿宋_GB2312" w:cs="Times New Roman"/>
                <w:color w:val="auto"/>
                <w:kern w:val="0"/>
                <w:sz w:val="24"/>
                <w:szCs w:val="24"/>
              </w:rPr>
              <w:t>210020349306</w:t>
            </w:r>
          </w:p>
        </w:tc>
        <w:tc>
          <w:tcPr>
            <w:tcW w:w="5569" w:type="dxa"/>
            <w:noWrap/>
            <w:vAlign w:val="center"/>
          </w:tcPr>
          <w:p>
            <w:pPr>
              <w:widowControl/>
              <w:jc w:val="center"/>
              <w:rPr>
                <w:rFonts w:ascii="Times New Roman" w:hAnsi="Times New Roman" w:eastAsia="仿宋_GB2312" w:cs="Times New Roman"/>
                <w:color w:val="auto"/>
                <w:kern w:val="0"/>
                <w:sz w:val="24"/>
                <w:szCs w:val="24"/>
              </w:rPr>
            </w:pPr>
            <w:r>
              <w:rPr>
                <w:rFonts w:hint="eastAsia" w:ascii="Times New Roman" w:hAnsi="Times New Roman" w:eastAsia="仿宋_GB2312" w:cs="Times New Roman"/>
                <w:color w:val="auto"/>
                <w:kern w:val="0"/>
                <w:sz w:val="24"/>
                <w:szCs w:val="24"/>
              </w:rPr>
              <w:t>中认车联网技术服务（深圳）有限公司</w:t>
            </w:r>
          </w:p>
        </w:tc>
        <w:tc>
          <w:tcPr>
            <w:tcW w:w="1688" w:type="dxa"/>
            <w:noWrap/>
            <w:vAlign w:val="center"/>
          </w:tcPr>
          <w:p>
            <w:pPr>
              <w:widowControl/>
              <w:jc w:val="center"/>
              <w:rPr>
                <w:rFonts w:ascii="Times New Roman" w:hAnsi="Times New Roman" w:eastAsia="仿宋_GB2312" w:cs="Times New Roman"/>
                <w:color w:val="auto"/>
                <w:kern w:val="0"/>
                <w:sz w:val="24"/>
                <w:szCs w:val="24"/>
              </w:rPr>
            </w:pPr>
            <w:r>
              <w:rPr>
                <w:rFonts w:hint="eastAsia" w:ascii="Times New Roman" w:hAnsi="Times New Roman" w:eastAsia="仿宋_GB2312" w:cs="Times New Roman"/>
                <w:color w:val="auto"/>
                <w:kern w:val="0"/>
                <w:sz w:val="24"/>
                <w:szCs w:val="24"/>
              </w:rPr>
              <w:t>广东深圳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56" w:type="dxa"/>
            <w:noWrap/>
            <w:vAlign w:val="center"/>
          </w:tcPr>
          <w:p>
            <w:pPr>
              <w:widowControl/>
              <w:jc w:val="center"/>
              <w:rPr>
                <w:rFonts w:ascii="Times New Roman" w:hAnsi="Times New Roman" w:eastAsia="仿宋_GB2312" w:cs="Times New Roman"/>
                <w:color w:val="auto"/>
                <w:kern w:val="0"/>
                <w:sz w:val="24"/>
                <w:szCs w:val="24"/>
              </w:rPr>
            </w:pPr>
            <w:r>
              <w:rPr>
                <w:rFonts w:hint="eastAsia" w:ascii="Times New Roman" w:hAnsi="Times New Roman" w:eastAsia="仿宋_GB2312" w:cs="Times New Roman"/>
                <w:color w:val="auto"/>
                <w:kern w:val="0"/>
                <w:sz w:val="24"/>
                <w:szCs w:val="24"/>
              </w:rPr>
              <w:t>210021349331</w:t>
            </w:r>
          </w:p>
        </w:tc>
        <w:tc>
          <w:tcPr>
            <w:tcW w:w="5569" w:type="dxa"/>
            <w:noWrap/>
            <w:vAlign w:val="center"/>
          </w:tcPr>
          <w:p>
            <w:pPr>
              <w:widowControl/>
              <w:jc w:val="center"/>
              <w:rPr>
                <w:rFonts w:ascii="Times New Roman" w:hAnsi="Times New Roman" w:eastAsia="仿宋_GB2312" w:cs="Times New Roman"/>
                <w:color w:val="auto"/>
                <w:kern w:val="0"/>
                <w:sz w:val="24"/>
                <w:szCs w:val="24"/>
              </w:rPr>
            </w:pPr>
            <w:r>
              <w:rPr>
                <w:rFonts w:hint="eastAsia" w:ascii="Times New Roman" w:hAnsi="Times New Roman" w:eastAsia="仿宋_GB2312" w:cs="Times New Roman"/>
                <w:color w:val="auto"/>
                <w:kern w:val="0"/>
                <w:sz w:val="24"/>
                <w:szCs w:val="24"/>
              </w:rPr>
              <w:t>重庆凯瑞机器人技术有限公司</w:t>
            </w:r>
          </w:p>
        </w:tc>
        <w:tc>
          <w:tcPr>
            <w:tcW w:w="1688" w:type="dxa"/>
            <w:noWrap/>
            <w:vAlign w:val="center"/>
          </w:tcPr>
          <w:p>
            <w:pPr>
              <w:widowControl/>
              <w:jc w:val="center"/>
              <w:rPr>
                <w:rFonts w:ascii="Times New Roman" w:hAnsi="Times New Roman" w:eastAsia="仿宋_GB2312" w:cs="Times New Roman"/>
                <w:color w:val="auto"/>
                <w:kern w:val="0"/>
                <w:sz w:val="24"/>
                <w:szCs w:val="24"/>
              </w:rPr>
            </w:pPr>
            <w:r>
              <w:rPr>
                <w:rFonts w:hint="eastAsia" w:ascii="Times New Roman" w:hAnsi="Times New Roman" w:eastAsia="仿宋_GB2312" w:cs="Times New Roman"/>
                <w:color w:val="auto"/>
                <w:kern w:val="0"/>
                <w:sz w:val="24"/>
                <w:szCs w:val="24"/>
              </w:rPr>
              <w:t>重庆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56" w:type="dxa"/>
            <w:noWrap/>
            <w:vAlign w:val="center"/>
          </w:tcPr>
          <w:p>
            <w:pPr>
              <w:widowControl/>
              <w:jc w:val="center"/>
              <w:rPr>
                <w:rFonts w:ascii="Times New Roman" w:hAnsi="Times New Roman" w:eastAsia="仿宋_GB2312" w:cs="Times New Roman"/>
                <w:color w:val="auto"/>
                <w:kern w:val="0"/>
                <w:sz w:val="24"/>
                <w:szCs w:val="24"/>
              </w:rPr>
            </w:pPr>
            <w:r>
              <w:rPr>
                <w:rFonts w:hint="eastAsia" w:ascii="Times New Roman" w:hAnsi="Times New Roman" w:eastAsia="仿宋_GB2312" w:cs="Times New Roman"/>
                <w:color w:val="auto"/>
                <w:kern w:val="0"/>
                <w:sz w:val="24"/>
                <w:szCs w:val="24"/>
              </w:rPr>
              <w:t>220008343802</w:t>
            </w:r>
          </w:p>
        </w:tc>
        <w:tc>
          <w:tcPr>
            <w:tcW w:w="5569" w:type="dxa"/>
            <w:noWrap/>
            <w:vAlign w:val="center"/>
          </w:tcPr>
          <w:p>
            <w:pPr>
              <w:widowControl/>
              <w:jc w:val="center"/>
              <w:rPr>
                <w:rFonts w:ascii="Times New Roman" w:hAnsi="Times New Roman" w:eastAsia="仿宋_GB2312" w:cs="Times New Roman"/>
                <w:color w:val="auto"/>
                <w:kern w:val="0"/>
                <w:sz w:val="24"/>
                <w:szCs w:val="24"/>
              </w:rPr>
            </w:pPr>
            <w:r>
              <w:rPr>
                <w:rFonts w:hint="eastAsia" w:ascii="Times New Roman" w:hAnsi="Times New Roman" w:eastAsia="仿宋_GB2312" w:cs="Times New Roman"/>
                <w:color w:val="auto"/>
                <w:kern w:val="0"/>
                <w:sz w:val="24"/>
                <w:szCs w:val="24"/>
              </w:rPr>
              <w:t>方圆广电检验检测股份有限公司</w:t>
            </w:r>
          </w:p>
        </w:tc>
        <w:tc>
          <w:tcPr>
            <w:tcW w:w="1688" w:type="dxa"/>
            <w:noWrap/>
            <w:vAlign w:val="center"/>
          </w:tcPr>
          <w:p>
            <w:pPr>
              <w:widowControl/>
              <w:jc w:val="center"/>
              <w:rPr>
                <w:rFonts w:ascii="Times New Roman" w:hAnsi="Times New Roman" w:eastAsia="仿宋_GB2312" w:cs="Times New Roman"/>
                <w:color w:val="auto"/>
                <w:kern w:val="0"/>
                <w:sz w:val="24"/>
                <w:szCs w:val="24"/>
              </w:rPr>
            </w:pPr>
            <w:r>
              <w:rPr>
                <w:rFonts w:hint="eastAsia" w:ascii="Times New Roman" w:hAnsi="Times New Roman" w:eastAsia="仿宋_GB2312" w:cs="Times New Roman"/>
                <w:color w:val="auto"/>
                <w:kern w:val="0"/>
                <w:sz w:val="24"/>
                <w:szCs w:val="24"/>
              </w:rPr>
              <w:t>天津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56" w:type="dxa"/>
            <w:noWrap/>
            <w:vAlign w:val="center"/>
          </w:tcPr>
          <w:p>
            <w:pPr>
              <w:widowControl/>
              <w:jc w:val="center"/>
              <w:rPr>
                <w:rFonts w:ascii="Times New Roman" w:hAnsi="Times New Roman" w:eastAsia="仿宋_GB2312" w:cs="Times New Roman"/>
                <w:color w:val="auto"/>
                <w:kern w:val="0"/>
                <w:sz w:val="24"/>
                <w:szCs w:val="24"/>
              </w:rPr>
            </w:pPr>
            <w:r>
              <w:rPr>
                <w:rFonts w:hint="eastAsia" w:ascii="Times New Roman" w:hAnsi="Times New Roman" w:eastAsia="仿宋_GB2312" w:cs="Times New Roman"/>
                <w:color w:val="auto"/>
                <w:kern w:val="0"/>
                <w:sz w:val="24"/>
                <w:szCs w:val="24"/>
              </w:rPr>
              <w:t>220009343270</w:t>
            </w:r>
          </w:p>
        </w:tc>
        <w:tc>
          <w:tcPr>
            <w:tcW w:w="5569" w:type="dxa"/>
            <w:noWrap/>
            <w:vAlign w:val="center"/>
          </w:tcPr>
          <w:p>
            <w:pPr>
              <w:widowControl/>
              <w:jc w:val="center"/>
              <w:rPr>
                <w:rFonts w:ascii="Times New Roman" w:hAnsi="Times New Roman" w:eastAsia="仿宋_GB2312" w:cs="Times New Roman"/>
                <w:color w:val="auto"/>
                <w:kern w:val="0"/>
                <w:sz w:val="24"/>
                <w:szCs w:val="24"/>
              </w:rPr>
            </w:pPr>
            <w:r>
              <w:rPr>
                <w:rFonts w:hint="eastAsia" w:ascii="Times New Roman" w:hAnsi="Times New Roman" w:eastAsia="仿宋_GB2312" w:cs="Times New Roman"/>
                <w:color w:val="auto"/>
                <w:kern w:val="0"/>
                <w:sz w:val="24"/>
                <w:szCs w:val="24"/>
              </w:rPr>
              <w:t>北京中认检测技术服务有限公司</w:t>
            </w:r>
          </w:p>
        </w:tc>
        <w:tc>
          <w:tcPr>
            <w:tcW w:w="1688" w:type="dxa"/>
            <w:noWrap/>
            <w:vAlign w:val="center"/>
          </w:tcPr>
          <w:p>
            <w:pPr>
              <w:widowControl/>
              <w:jc w:val="center"/>
              <w:rPr>
                <w:rFonts w:ascii="Times New Roman" w:hAnsi="Times New Roman" w:eastAsia="仿宋_GB2312" w:cs="Times New Roman"/>
                <w:color w:val="auto"/>
                <w:kern w:val="0"/>
                <w:sz w:val="24"/>
                <w:szCs w:val="24"/>
              </w:rPr>
            </w:pPr>
            <w:r>
              <w:rPr>
                <w:rFonts w:hint="eastAsia" w:ascii="Times New Roman" w:hAnsi="Times New Roman" w:eastAsia="仿宋_GB2312" w:cs="Times New Roman"/>
                <w:color w:val="auto"/>
                <w:kern w:val="0"/>
                <w:sz w:val="24"/>
                <w:szCs w:val="24"/>
              </w:rPr>
              <w:t>北京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656" w:type="dxa"/>
            <w:noWrap/>
            <w:vAlign w:val="center"/>
          </w:tcPr>
          <w:p>
            <w:pPr>
              <w:widowControl/>
              <w:jc w:val="center"/>
              <w:rPr>
                <w:rFonts w:ascii="Times New Roman" w:hAnsi="Times New Roman" w:eastAsia="仿宋_GB2312" w:cs="Times New Roman"/>
                <w:color w:val="auto"/>
                <w:kern w:val="0"/>
                <w:sz w:val="24"/>
                <w:szCs w:val="24"/>
              </w:rPr>
            </w:pPr>
            <w:r>
              <w:rPr>
                <w:rFonts w:hint="eastAsia" w:ascii="Times New Roman" w:hAnsi="Times New Roman" w:eastAsia="仿宋_GB2312" w:cs="Times New Roman"/>
                <w:color w:val="auto"/>
                <w:kern w:val="0"/>
                <w:sz w:val="24"/>
                <w:szCs w:val="24"/>
              </w:rPr>
              <w:t>220009349535</w:t>
            </w:r>
          </w:p>
        </w:tc>
        <w:tc>
          <w:tcPr>
            <w:tcW w:w="5569" w:type="dxa"/>
            <w:noWrap/>
            <w:vAlign w:val="center"/>
          </w:tcPr>
          <w:p>
            <w:pPr>
              <w:widowControl/>
              <w:jc w:val="center"/>
              <w:rPr>
                <w:rFonts w:ascii="Times New Roman" w:hAnsi="Times New Roman" w:eastAsia="仿宋_GB2312" w:cs="Times New Roman"/>
                <w:color w:val="auto"/>
                <w:kern w:val="0"/>
                <w:sz w:val="24"/>
                <w:szCs w:val="24"/>
              </w:rPr>
            </w:pPr>
            <w:r>
              <w:rPr>
                <w:rFonts w:hint="eastAsia" w:ascii="Times New Roman" w:hAnsi="Times New Roman" w:eastAsia="仿宋_GB2312" w:cs="Times New Roman"/>
                <w:color w:val="auto"/>
                <w:kern w:val="0"/>
                <w:sz w:val="24"/>
                <w:szCs w:val="24"/>
              </w:rPr>
              <w:t>中国电子产品可靠性与环境试验研究所（（工业和信息化部电子第五研究所）（中国赛宝实验室））</w:t>
            </w:r>
          </w:p>
        </w:tc>
        <w:tc>
          <w:tcPr>
            <w:tcW w:w="1688" w:type="dxa"/>
            <w:noWrap/>
            <w:vAlign w:val="center"/>
          </w:tcPr>
          <w:p>
            <w:pPr>
              <w:widowControl/>
              <w:jc w:val="center"/>
              <w:rPr>
                <w:rFonts w:ascii="Times New Roman" w:hAnsi="Times New Roman" w:eastAsia="仿宋_GB2312" w:cs="Times New Roman"/>
                <w:color w:val="auto"/>
                <w:kern w:val="0"/>
                <w:sz w:val="24"/>
                <w:szCs w:val="24"/>
              </w:rPr>
            </w:pPr>
            <w:r>
              <w:rPr>
                <w:rFonts w:hint="eastAsia" w:ascii="Times New Roman" w:hAnsi="Times New Roman" w:eastAsia="仿宋_GB2312" w:cs="Times New Roman"/>
                <w:color w:val="auto"/>
                <w:kern w:val="0"/>
                <w:sz w:val="24"/>
                <w:szCs w:val="24"/>
              </w:rPr>
              <w:t>广东广州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56" w:type="dxa"/>
            <w:noWrap/>
            <w:vAlign w:val="center"/>
          </w:tcPr>
          <w:p>
            <w:pPr>
              <w:widowControl/>
              <w:jc w:val="center"/>
              <w:rPr>
                <w:rFonts w:ascii="Times New Roman" w:hAnsi="Times New Roman" w:eastAsia="仿宋_GB2312" w:cs="Times New Roman"/>
                <w:color w:val="auto"/>
                <w:kern w:val="0"/>
                <w:sz w:val="24"/>
                <w:szCs w:val="24"/>
              </w:rPr>
            </w:pPr>
            <w:r>
              <w:rPr>
                <w:rFonts w:hint="eastAsia" w:ascii="Times New Roman" w:hAnsi="Times New Roman" w:eastAsia="仿宋_GB2312" w:cs="Times New Roman"/>
                <w:color w:val="auto"/>
                <w:kern w:val="0"/>
                <w:sz w:val="24"/>
                <w:szCs w:val="24"/>
              </w:rPr>
              <w:t>220009349580</w:t>
            </w:r>
          </w:p>
        </w:tc>
        <w:tc>
          <w:tcPr>
            <w:tcW w:w="5569" w:type="dxa"/>
            <w:noWrap/>
            <w:vAlign w:val="center"/>
          </w:tcPr>
          <w:p>
            <w:pPr>
              <w:widowControl/>
              <w:jc w:val="center"/>
              <w:rPr>
                <w:rFonts w:ascii="Times New Roman" w:hAnsi="Times New Roman" w:eastAsia="仿宋_GB2312" w:cs="Times New Roman"/>
                <w:color w:val="auto"/>
                <w:kern w:val="0"/>
                <w:sz w:val="24"/>
                <w:szCs w:val="24"/>
              </w:rPr>
            </w:pPr>
            <w:r>
              <w:rPr>
                <w:rFonts w:hint="eastAsia" w:ascii="Times New Roman" w:hAnsi="Times New Roman" w:eastAsia="仿宋_GB2312" w:cs="Times New Roman"/>
                <w:color w:val="auto"/>
                <w:kern w:val="0"/>
                <w:sz w:val="24"/>
                <w:szCs w:val="24"/>
              </w:rPr>
              <w:t>中国电子技术标准化研究院（赛西实验室）</w:t>
            </w:r>
          </w:p>
        </w:tc>
        <w:tc>
          <w:tcPr>
            <w:tcW w:w="1688" w:type="dxa"/>
            <w:noWrap/>
            <w:vAlign w:val="center"/>
          </w:tcPr>
          <w:p>
            <w:pPr>
              <w:widowControl/>
              <w:jc w:val="center"/>
              <w:rPr>
                <w:rFonts w:ascii="Times New Roman" w:hAnsi="Times New Roman" w:eastAsia="仿宋_GB2312" w:cs="Times New Roman"/>
                <w:color w:val="auto"/>
                <w:kern w:val="0"/>
                <w:sz w:val="24"/>
                <w:szCs w:val="24"/>
              </w:rPr>
            </w:pPr>
            <w:r>
              <w:rPr>
                <w:rFonts w:hint="eastAsia" w:ascii="Times New Roman" w:hAnsi="Times New Roman" w:eastAsia="仿宋_GB2312" w:cs="Times New Roman"/>
                <w:color w:val="auto"/>
                <w:kern w:val="0"/>
                <w:sz w:val="24"/>
                <w:szCs w:val="24"/>
              </w:rPr>
              <w:t>北京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56" w:type="dxa"/>
            <w:noWrap/>
            <w:vAlign w:val="center"/>
          </w:tcPr>
          <w:p>
            <w:pPr>
              <w:widowControl/>
              <w:jc w:val="center"/>
              <w:rPr>
                <w:rFonts w:ascii="Times New Roman" w:hAnsi="Times New Roman" w:eastAsia="仿宋_GB2312" w:cs="Times New Roman"/>
                <w:color w:val="auto"/>
                <w:kern w:val="0"/>
                <w:sz w:val="24"/>
                <w:szCs w:val="24"/>
              </w:rPr>
            </w:pPr>
            <w:r>
              <w:rPr>
                <w:rFonts w:hint="eastAsia" w:ascii="Times New Roman" w:hAnsi="Times New Roman" w:eastAsia="仿宋_GB2312" w:cs="Times New Roman"/>
                <w:color w:val="auto"/>
                <w:kern w:val="0"/>
                <w:sz w:val="24"/>
                <w:szCs w:val="24"/>
              </w:rPr>
              <w:t>220020344590</w:t>
            </w:r>
          </w:p>
        </w:tc>
        <w:tc>
          <w:tcPr>
            <w:tcW w:w="5569" w:type="dxa"/>
            <w:noWrap/>
            <w:vAlign w:val="center"/>
          </w:tcPr>
          <w:p>
            <w:pPr>
              <w:widowControl/>
              <w:jc w:val="center"/>
              <w:rPr>
                <w:rFonts w:ascii="Times New Roman" w:hAnsi="Times New Roman" w:eastAsia="仿宋_GB2312" w:cs="Times New Roman"/>
                <w:color w:val="auto"/>
                <w:kern w:val="0"/>
                <w:sz w:val="24"/>
                <w:szCs w:val="24"/>
              </w:rPr>
            </w:pPr>
            <w:r>
              <w:rPr>
                <w:rFonts w:hint="eastAsia" w:ascii="Times New Roman" w:hAnsi="Times New Roman" w:eastAsia="仿宋_GB2312" w:cs="Times New Roman"/>
                <w:color w:val="auto"/>
                <w:kern w:val="0"/>
                <w:sz w:val="24"/>
                <w:szCs w:val="24"/>
              </w:rPr>
              <w:t>威凯（深圳）检测技术有限公司</w:t>
            </w:r>
          </w:p>
        </w:tc>
        <w:tc>
          <w:tcPr>
            <w:tcW w:w="1688" w:type="dxa"/>
            <w:noWrap/>
            <w:vAlign w:val="center"/>
          </w:tcPr>
          <w:p>
            <w:pPr>
              <w:widowControl/>
              <w:jc w:val="center"/>
              <w:rPr>
                <w:rFonts w:ascii="Times New Roman" w:hAnsi="Times New Roman" w:eastAsia="仿宋_GB2312" w:cs="Times New Roman"/>
                <w:color w:val="auto"/>
                <w:kern w:val="0"/>
                <w:sz w:val="24"/>
                <w:szCs w:val="24"/>
              </w:rPr>
            </w:pPr>
            <w:r>
              <w:rPr>
                <w:rFonts w:hint="eastAsia" w:ascii="Times New Roman" w:hAnsi="Times New Roman" w:eastAsia="仿宋_GB2312" w:cs="Times New Roman"/>
                <w:color w:val="auto"/>
                <w:kern w:val="0"/>
                <w:sz w:val="24"/>
                <w:szCs w:val="24"/>
              </w:rPr>
              <w:t>广东深圳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656" w:type="dxa"/>
            <w:noWrap/>
            <w:vAlign w:val="center"/>
          </w:tcPr>
          <w:p>
            <w:pPr>
              <w:widowControl/>
              <w:jc w:val="center"/>
              <w:rPr>
                <w:rFonts w:ascii="Times New Roman" w:hAnsi="Times New Roman" w:eastAsia="仿宋_GB2312" w:cs="Times New Roman"/>
                <w:color w:val="auto"/>
                <w:kern w:val="0"/>
                <w:sz w:val="24"/>
                <w:szCs w:val="24"/>
              </w:rPr>
            </w:pPr>
            <w:r>
              <w:rPr>
                <w:rFonts w:hint="eastAsia" w:ascii="Times New Roman" w:hAnsi="Times New Roman" w:eastAsia="仿宋_GB2312" w:cs="Times New Roman"/>
                <w:color w:val="auto"/>
                <w:kern w:val="0"/>
                <w:sz w:val="24"/>
                <w:szCs w:val="24"/>
              </w:rPr>
              <w:t>220020349183</w:t>
            </w:r>
          </w:p>
        </w:tc>
        <w:tc>
          <w:tcPr>
            <w:tcW w:w="5569" w:type="dxa"/>
            <w:noWrap/>
            <w:vAlign w:val="center"/>
          </w:tcPr>
          <w:p>
            <w:pPr>
              <w:widowControl/>
              <w:jc w:val="center"/>
              <w:rPr>
                <w:rFonts w:ascii="Times New Roman" w:hAnsi="Times New Roman" w:eastAsia="仿宋_GB2312" w:cs="Times New Roman"/>
                <w:color w:val="auto"/>
                <w:kern w:val="0"/>
                <w:sz w:val="24"/>
                <w:szCs w:val="24"/>
              </w:rPr>
            </w:pPr>
            <w:r>
              <w:rPr>
                <w:rFonts w:hint="eastAsia" w:ascii="Times New Roman" w:hAnsi="Times New Roman" w:eastAsia="仿宋_GB2312" w:cs="Times New Roman"/>
                <w:color w:val="auto"/>
                <w:kern w:val="0"/>
                <w:sz w:val="24"/>
                <w:szCs w:val="24"/>
              </w:rPr>
              <w:t>深圳市计量质量检测研究院（国家高新技术计量站、国家数字电子产品质量监督检验中心）</w:t>
            </w:r>
          </w:p>
        </w:tc>
        <w:tc>
          <w:tcPr>
            <w:tcW w:w="1688" w:type="dxa"/>
            <w:noWrap/>
            <w:vAlign w:val="center"/>
          </w:tcPr>
          <w:p>
            <w:pPr>
              <w:widowControl/>
              <w:jc w:val="center"/>
              <w:rPr>
                <w:rFonts w:ascii="Times New Roman" w:hAnsi="Times New Roman" w:eastAsia="仿宋_GB2312" w:cs="Times New Roman"/>
                <w:color w:val="auto"/>
                <w:kern w:val="0"/>
                <w:sz w:val="24"/>
                <w:szCs w:val="24"/>
              </w:rPr>
            </w:pPr>
            <w:r>
              <w:rPr>
                <w:rFonts w:hint="eastAsia" w:ascii="Times New Roman" w:hAnsi="Times New Roman" w:eastAsia="仿宋_GB2312" w:cs="Times New Roman"/>
                <w:color w:val="auto"/>
                <w:kern w:val="0"/>
                <w:sz w:val="24"/>
                <w:szCs w:val="24"/>
              </w:rPr>
              <w:t>广东深圳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1656" w:type="dxa"/>
            <w:noWrap/>
            <w:vAlign w:val="center"/>
          </w:tcPr>
          <w:p>
            <w:pPr>
              <w:widowControl/>
              <w:jc w:val="center"/>
              <w:rPr>
                <w:rFonts w:ascii="Times New Roman" w:hAnsi="Times New Roman" w:eastAsia="仿宋_GB2312" w:cs="Times New Roman"/>
                <w:color w:val="auto"/>
                <w:kern w:val="0"/>
                <w:sz w:val="24"/>
                <w:szCs w:val="24"/>
              </w:rPr>
            </w:pPr>
            <w:r>
              <w:rPr>
                <w:rFonts w:hint="eastAsia" w:ascii="Times New Roman" w:hAnsi="Times New Roman" w:eastAsia="仿宋_GB2312" w:cs="Times New Roman"/>
                <w:color w:val="auto"/>
                <w:kern w:val="0"/>
                <w:sz w:val="24"/>
                <w:szCs w:val="24"/>
              </w:rPr>
              <w:t>220020349412</w:t>
            </w:r>
          </w:p>
        </w:tc>
        <w:tc>
          <w:tcPr>
            <w:tcW w:w="5569" w:type="dxa"/>
            <w:noWrap/>
            <w:vAlign w:val="center"/>
          </w:tcPr>
          <w:p>
            <w:pPr>
              <w:widowControl/>
              <w:jc w:val="center"/>
              <w:rPr>
                <w:rFonts w:ascii="Times New Roman" w:hAnsi="Times New Roman" w:eastAsia="仿宋_GB2312" w:cs="Times New Roman"/>
                <w:color w:val="auto"/>
                <w:kern w:val="0"/>
                <w:sz w:val="24"/>
                <w:szCs w:val="24"/>
              </w:rPr>
            </w:pPr>
            <w:r>
              <w:rPr>
                <w:rFonts w:hint="eastAsia" w:ascii="Times New Roman" w:hAnsi="Times New Roman" w:eastAsia="仿宋_GB2312" w:cs="Times New Roman"/>
                <w:color w:val="auto"/>
                <w:kern w:val="0"/>
                <w:sz w:val="24"/>
                <w:szCs w:val="24"/>
              </w:rPr>
              <w:t>中国电科网络通信研究院通信导航设备实验室（中国电子科技集团公司第五十四研究所通信导航设备实验室）</w:t>
            </w:r>
          </w:p>
        </w:tc>
        <w:tc>
          <w:tcPr>
            <w:tcW w:w="1688" w:type="dxa"/>
            <w:noWrap/>
            <w:vAlign w:val="center"/>
          </w:tcPr>
          <w:p>
            <w:pPr>
              <w:widowControl/>
              <w:jc w:val="center"/>
              <w:rPr>
                <w:rFonts w:ascii="Times New Roman" w:hAnsi="Times New Roman" w:eastAsia="仿宋_GB2312" w:cs="Times New Roman"/>
                <w:color w:val="auto"/>
                <w:kern w:val="0"/>
                <w:sz w:val="24"/>
                <w:szCs w:val="24"/>
              </w:rPr>
            </w:pPr>
            <w:r>
              <w:rPr>
                <w:rFonts w:hint="eastAsia" w:ascii="Times New Roman" w:hAnsi="Times New Roman" w:eastAsia="仿宋_GB2312" w:cs="Times New Roman"/>
                <w:color w:val="auto"/>
                <w:kern w:val="0"/>
                <w:sz w:val="24"/>
                <w:szCs w:val="24"/>
              </w:rPr>
              <w:t>河北石家庄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56" w:type="dxa"/>
            <w:noWrap/>
            <w:vAlign w:val="center"/>
          </w:tcPr>
          <w:p>
            <w:pPr>
              <w:widowControl/>
              <w:jc w:val="center"/>
              <w:rPr>
                <w:rFonts w:ascii="Times New Roman" w:hAnsi="Times New Roman" w:eastAsia="仿宋_GB2312" w:cs="Times New Roman"/>
                <w:color w:val="auto"/>
                <w:kern w:val="0"/>
                <w:sz w:val="24"/>
                <w:szCs w:val="24"/>
              </w:rPr>
            </w:pPr>
            <w:r>
              <w:rPr>
                <w:rFonts w:hint="eastAsia" w:ascii="Times New Roman" w:hAnsi="Times New Roman" w:eastAsia="仿宋_GB2312" w:cs="Times New Roman"/>
                <w:color w:val="auto"/>
                <w:kern w:val="0"/>
                <w:sz w:val="24"/>
                <w:szCs w:val="24"/>
              </w:rPr>
              <w:t>230008349586</w:t>
            </w:r>
          </w:p>
        </w:tc>
        <w:tc>
          <w:tcPr>
            <w:tcW w:w="5569" w:type="dxa"/>
            <w:noWrap/>
            <w:vAlign w:val="center"/>
          </w:tcPr>
          <w:p>
            <w:pPr>
              <w:widowControl/>
              <w:jc w:val="center"/>
              <w:rPr>
                <w:rFonts w:ascii="Times New Roman" w:hAnsi="Times New Roman" w:eastAsia="仿宋_GB2312" w:cs="Times New Roman"/>
                <w:color w:val="auto"/>
                <w:kern w:val="0"/>
                <w:sz w:val="24"/>
                <w:szCs w:val="24"/>
              </w:rPr>
            </w:pPr>
            <w:r>
              <w:rPr>
                <w:rFonts w:hint="eastAsia" w:ascii="Times New Roman" w:hAnsi="Times New Roman" w:eastAsia="仿宋_GB2312" w:cs="Times New Roman"/>
                <w:color w:val="auto"/>
                <w:kern w:val="0"/>
                <w:sz w:val="24"/>
                <w:szCs w:val="24"/>
              </w:rPr>
              <w:t>中机科（北京）车辆检测工程研究院有限公司</w:t>
            </w:r>
          </w:p>
        </w:tc>
        <w:tc>
          <w:tcPr>
            <w:tcW w:w="1688" w:type="dxa"/>
            <w:noWrap/>
            <w:vAlign w:val="center"/>
          </w:tcPr>
          <w:p>
            <w:pPr>
              <w:widowControl/>
              <w:jc w:val="center"/>
              <w:rPr>
                <w:rFonts w:ascii="Times New Roman" w:hAnsi="Times New Roman" w:eastAsia="仿宋_GB2312" w:cs="Times New Roman"/>
                <w:color w:val="auto"/>
                <w:kern w:val="0"/>
                <w:sz w:val="24"/>
                <w:szCs w:val="24"/>
              </w:rPr>
            </w:pPr>
            <w:r>
              <w:rPr>
                <w:rFonts w:hint="eastAsia" w:ascii="Times New Roman" w:hAnsi="Times New Roman" w:eastAsia="仿宋_GB2312" w:cs="Times New Roman"/>
                <w:color w:val="auto"/>
                <w:kern w:val="0"/>
                <w:sz w:val="24"/>
                <w:szCs w:val="24"/>
              </w:rPr>
              <w:t>北京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56" w:type="dxa"/>
            <w:noWrap/>
            <w:vAlign w:val="center"/>
          </w:tcPr>
          <w:p>
            <w:pPr>
              <w:widowControl/>
              <w:jc w:val="center"/>
              <w:rPr>
                <w:rFonts w:ascii="Times New Roman" w:hAnsi="Times New Roman" w:eastAsia="仿宋_GB2312" w:cs="Times New Roman"/>
                <w:color w:val="auto"/>
                <w:kern w:val="0"/>
                <w:sz w:val="24"/>
                <w:szCs w:val="24"/>
              </w:rPr>
            </w:pPr>
            <w:r>
              <w:rPr>
                <w:rFonts w:hint="eastAsia" w:ascii="Times New Roman" w:hAnsi="Times New Roman" w:eastAsia="仿宋_GB2312" w:cs="Times New Roman"/>
                <w:color w:val="auto"/>
                <w:kern w:val="0"/>
                <w:sz w:val="24"/>
                <w:szCs w:val="24"/>
              </w:rPr>
              <w:t>230009342837</w:t>
            </w:r>
          </w:p>
        </w:tc>
        <w:tc>
          <w:tcPr>
            <w:tcW w:w="5569" w:type="dxa"/>
            <w:noWrap/>
            <w:vAlign w:val="center"/>
          </w:tcPr>
          <w:p>
            <w:pPr>
              <w:widowControl/>
              <w:jc w:val="center"/>
              <w:rPr>
                <w:rFonts w:ascii="Times New Roman" w:hAnsi="Times New Roman" w:eastAsia="仿宋_GB2312" w:cs="Times New Roman"/>
                <w:color w:val="auto"/>
                <w:kern w:val="0"/>
                <w:sz w:val="24"/>
                <w:szCs w:val="24"/>
              </w:rPr>
            </w:pPr>
            <w:r>
              <w:rPr>
                <w:rFonts w:hint="eastAsia" w:ascii="Times New Roman" w:hAnsi="Times New Roman" w:eastAsia="仿宋_GB2312" w:cs="Times New Roman"/>
                <w:color w:val="auto"/>
                <w:kern w:val="0"/>
                <w:sz w:val="24"/>
                <w:szCs w:val="24"/>
              </w:rPr>
              <w:t>中认英泰检测技术有限公司</w:t>
            </w:r>
          </w:p>
        </w:tc>
        <w:tc>
          <w:tcPr>
            <w:tcW w:w="1688" w:type="dxa"/>
            <w:noWrap/>
            <w:vAlign w:val="center"/>
          </w:tcPr>
          <w:p>
            <w:pPr>
              <w:widowControl/>
              <w:jc w:val="center"/>
              <w:rPr>
                <w:rFonts w:ascii="Times New Roman" w:hAnsi="Times New Roman" w:eastAsia="仿宋_GB2312" w:cs="Times New Roman"/>
                <w:color w:val="auto"/>
                <w:kern w:val="0"/>
                <w:sz w:val="24"/>
                <w:szCs w:val="24"/>
              </w:rPr>
            </w:pPr>
            <w:r>
              <w:rPr>
                <w:rFonts w:hint="eastAsia" w:ascii="Times New Roman" w:hAnsi="Times New Roman" w:eastAsia="仿宋_GB2312" w:cs="Times New Roman"/>
                <w:color w:val="auto"/>
                <w:kern w:val="0"/>
                <w:sz w:val="24"/>
                <w:szCs w:val="24"/>
              </w:rPr>
              <w:t>江苏苏州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56" w:type="dxa"/>
            <w:noWrap/>
            <w:vAlign w:val="center"/>
          </w:tcPr>
          <w:p>
            <w:pPr>
              <w:widowControl/>
              <w:jc w:val="center"/>
              <w:rPr>
                <w:rFonts w:ascii="Times New Roman" w:hAnsi="Times New Roman" w:eastAsia="仿宋_GB2312" w:cs="Times New Roman"/>
                <w:color w:val="auto"/>
                <w:kern w:val="0"/>
                <w:sz w:val="24"/>
                <w:szCs w:val="24"/>
              </w:rPr>
            </w:pPr>
            <w:r>
              <w:rPr>
                <w:rFonts w:hint="eastAsia" w:ascii="Times New Roman" w:hAnsi="Times New Roman" w:eastAsia="仿宋_GB2312" w:cs="Times New Roman"/>
                <w:color w:val="auto"/>
                <w:kern w:val="0"/>
                <w:sz w:val="24"/>
                <w:szCs w:val="24"/>
              </w:rPr>
              <w:t>230009349483</w:t>
            </w:r>
          </w:p>
        </w:tc>
        <w:tc>
          <w:tcPr>
            <w:tcW w:w="5569" w:type="dxa"/>
            <w:noWrap/>
            <w:vAlign w:val="center"/>
          </w:tcPr>
          <w:p>
            <w:pPr>
              <w:widowControl/>
              <w:jc w:val="center"/>
              <w:rPr>
                <w:rFonts w:ascii="Times New Roman" w:hAnsi="Times New Roman" w:eastAsia="仿宋_GB2312" w:cs="Times New Roman"/>
                <w:color w:val="auto"/>
                <w:kern w:val="0"/>
                <w:sz w:val="24"/>
                <w:szCs w:val="24"/>
              </w:rPr>
            </w:pPr>
            <w:r>
              <w:rPr>
                <w:rFonts w:hint="eastAsia" w:ascii="Times New Roman" w:hAnsi="Times New Roman" w:eastAsia="仿宋_GB2312" w:cs="Times New Roman"/>
                <w:color w:val="auto"/>
                <w:kern w:val="0"/>
                <w:sz w:val="24"/>
                <w:szCs w:val="24"/>
              </w:rPr>
              <w:t>北京泰瑞特检测技术服务有限责任公司</w:t>
            </w:r>
          </w:p>
        </w:tc>
        <w:tc>
          <w:tcPr>
            <w:tcW w:w="1688" w:type="dxa"/>
            <w:noWrap/>
            <w:vAlign w:val="center"/>
          </w:tcPr>
          <w:p>
            <w:pPr>
              <w:widowControl/>
              <w:jc w:val="center"/>
              <w:rPr>
                <w:rFonts w:ascii="Times New Roman" w:hAnsi="Times New Roman" w:eastAsia="仿宋_GB2312" w:cs="Times New Roman"/>
                <w:color w:val="auto"/>
                <w:kern w:val="0"/>
                <w:sz w:val="24"/>
                <w:szCs w:val="24"/>
              </w:rPr>
            </w:pPr>
            <w:r>
              <w:rPr>
                <w:rFonts w:hint="eastAsia" w:ascii="Times New Roman" w:hAnsi="Times New Roman" w:eastAsia="仿宋_GB2312" w:cs="Times New Roman"/>
                <w:color w:val="auto"/>
                <w:kern w:val="0"/>
                <w:sz w:val="24"/>
                <w:szCs w:val="24"/>
              </w:rPr>
              <w:t>北京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56" w:type="dxa"/>
            <w:noWrap/>
            <w:vAlign w:val="center"/>
          </w:tcPr>
          <w:p>
            <w:pPr>
              <w:widowControl/>
              <w:jc w:val="center"/>
              <w:rPr>
                <w:rFonts w:ascii="Times New Roman" w:hAnsi="Times New Roman" w:eastAsia="仿宋_GB2312" w:cs="Times New Roman"/>
                <w:color w:val="auto"/>
                <w:kern w:val="0"/>
                <w:sz w:val="24"/>
                <w:szCs w:val="24"/>
              </w:rPr>
            </w:pPr>
            <w:r>
              <w:rPr>
                <w:rFonts w:hint="eastAsia" w:ascii="Times New Roman" w:hAnsi="Times New Roman" w:eastAsia="仿宋_GB2312" w:cs="Times New Roman"/>
                <w:color w:val="auto"/>
                <w:kern w:val="0"/>
                <w:sz w:val="24"/>
                <w:szCs w:val="24"/>
              </w:rPr>
              <w:t>230010349789</w:t>
            </w:r>
          </w:p>
        </w:tc>
        <w:tc>
          <w:tcPr>
            <w:tcW w:w="5569" w:type="dxa"/>
            <w:noWrap/>
            <w:vAlign w:val="center"/>
          </w:tcPr>
          <w:p>
            <w:pPr>
              <w:widowControl/>
              <w:jc w:val="center"/>
              <w:rPr>
                <w:rFonts w:ascii="Times New Roman" w:hAnsi="Times New Roman" w:eastAsia="仿宋_GB2312" w:cs="Times New Roman"/>
                <w:color w:val="auto"/>
                <w:kern w:val="0"/>
                <w:sz w:val="24"/>
                <w:szCs w:val="24"/>
              </w:rPr>
            </w:pPr>
            <w:r>
              <w:rPr>
                <w:rFonts w:hint="eastAsia" w:ascii="Times New Roman" w:hAnsi="Times New Roman" w:eastAsia="仿宋_GB2312" w:cs="Times New Roman"/>
                <w:color w:val="auto"/>
                <w:kern w:val="0"/>
                <w:sz w:val="24"/>
                <w:szCs w:val="24"/>
              </w:rPr>
              <w:t>中家院（北京）检测认证有限公司</w:t>
            </w:r>
          </w:p>
        </w:tc>
        <w:tc>
          <w:tcPr>
            <w:tcW w:w="1688" w:type="dxa"/>
            <w:noWrap/>
            <w:vAlign w:val="center"/>
          </w:tcPr>
          <w:p>
            <w:pPr>
              <w:widowControl/>
              <w:jc w:val="center"/>
              <w:rPr>
                <w:rFonts w:ascii="Times New Roman" w:hAnsi="Times New Roman" w:eastAsia="仿宋_GB2312" w:cs="Times New Roman"/>
                <w:color w:val="auto"/>
                <w:kern w:val="0"/>
                <w:sz w:val="24"/>
                <w:szCs w:val="24"/>
              </w:rPr>
            </w:pPr>
            <w:r>
              <w:rPr>
                <w:rFonts w:hint="eastAsia" w:ascii="Times New Roman" w:hAnsi="Times New Roman" w:eastAsia="仿宋_GB2312" w:cs="Times New Roman"/>
                <w:color w:val="auto"/>
                <w:kern w:val="0"/>
                <w:sz w:val="24"/>
                <w:szCs w:val="24"/>
              </w:rPr>
              <w:t>北京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56" w:type="dxa"/>
            <w:noWrap/>
            <w:vAlign w:val="center"/>
          </w:tcPr>
          <w:p>
            <w:pPr>
              <w:widowControl/>
              <w:jc w:val="center"/>
              <w:rPr>
                <w:rFonts w:ascii="Times New Roman" w:hAnsi="Times New Roman" w:eastAsia="仿宋_GB2312" w:cs="Times New Roman"/>
                <w:color w:val="auto"/>
                <w:kern w:val="0"/>
                <w:sz w:val="24"/>
                <w:szCs w:val="24"/>
              </w:rPr>
            </w:pPr>
            <w:r>
              <w:rPr>
                <w:rFonts w:hint="eastAsia" w:ascii="Times New Roman" w:hAnsi="Times New Roman" w:eastAsia="仿宋_GB2312" w:cs="Times New Roman"/>
                <w:color w:val="auto"/>
                <w:kern w:val="0"/>
                <w:sz w:val="24"/>
                <w:szCs w:val="24"/>
              </w:rPr>
              <w:t>230020349182</w:t>
            </w:r>
          </w:p>
        </w:tc>
        <w:tc>
          <w:tcPr>
            <w:tcW w:w="5569" w:type="dxa"/>
            <w:noWrap/>
            <w:vAlign w:val="center"/>
          </w:tcPr>
          <w:p>
            <w:pPr>
              <w:widowControl/>
              <w:jc w:val="center"/>
              <w:rPr>
                <w:rFonts w:ascii="Times New Roman" w:hAnsi="Times New Roman" w:eastAsia="仿宋_GB2312" w:cs="Times New Roman"/>
                <w:color w:val="auto"/>
                <w:kern w:val="0"/>
                <w:sz w:val="24"/>
                <w:szCs w:val="24"/>
              </w:rPr>
            </w:pPr>
            <w:r>
              <w:rPr>
                <w:rFonts w:hint="eastAsia" w:ascii="Times New Roman" w:hAnsi="Times New Roman" w:eastAsia="仿宋_GB2312" w:cs="Times New Roman"/>
                <w:color w:val="auto"/>
                <w:kern w:val="0"/>
                <w:sz w:val="24"/>
                <w:szCs w:val="24"/>
              </w:rPr>
              <w:t>广东省东莞市质量监督检测中心</w:t>
            </w:r>
          </w:p>
        </w:tc>
        <w:tc>
          <w:tcPr>
            <w:tcW w:w="1688" w:type="dxa"/>
            <w:noWrap/>
            <w:vAlign w:val="center"/>
          </w:tcPr>
          <w:p>
            <w:pPr>
              <w:widowControl/>
              <w:jc w:val="center"/>
              <w:rPr>
                <w:rFonts w:ascii="Times New Roman" w:hAnsi="Times New Roman" w:eastAsia="仿宋_GB2312" w:cs="Times New Roman"/>
                <w:color w:val="auto"/>
                <w:kern w:val="0"/>
                <w:sz w:val="24"/>
                <w:szCs w:val="24"/>
              </w:rPr>
            </w:pPr>
            <w:r>
              <w:rPr>
                <w:rFonts w:hint="eastAsia" w:ascii="Times New Roman" w:hAnsi="Times New Roman" w:eastAsia="仿宋_GB2312" w:cs="Times New Roman"/>
                <w:color w:val="auto"/>
                <w:kern w:val="0"/>
                <w:sz w:val="24"/>
                <w:szCs w:val="24"/>
              </w:rPr>
              <w:t>广东东莞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56" w:type="dxa"/>
            <w:noWrap/>
            <w:vAlign w:val="center"/>
          </w:tcPr>
          <w:p>
            <w:pPr>
              <w:widowControl/>
              <w:jc w:val="center"/>
              <w:rPr>
                <w:rFonts w:ascii="Times New Roman" w:hAnsi="Times New Roman" w:eastAsia="仿宋_GB2312" w:cs="Times New Roman"/>
                <w:color w:val="auto"/>
                <w:kern w:val="0"/>
                <w:sz w:val="24"/>
                <w:szCs w:val="24"/>
              </w:rPr>
            </w:pPr>
            <w:r>
              <w:rPr>
                <w:rFonts w:hint="eastAsia" w:ascii="Times New Roman" w:hAnsi="Times New Roman" w:eastAsia="仿宋_GB2312" w:cs="Times New Roman"/>
                <w:color w:val="auto"/>
                <w:kern w:val="0"/>
                <w:sz w:val="24"/>
                <w:szCs w:val="24"/>
              </w:rPr>
              <w:t>240008343976</w:t>
            </w:r>
          </w:p>
        </w:tc>
        <w:tc>
          <w:tcPr>
            <w:tcW w:w="5569" w:type="dxa"/>
            <w:noWrap/>
            <w:vAlign w:val="center"/>
          </w:tcPr>
          <w:p>
            <w:pPr>
              <w:widowControl/>
              <w:jc w:val="center"/>
              <w:rPr>
                <w:rFonts w:ascii="Times New Roman" w:hAnsi="Times New Roman" w:eastAsia="仿宋_GB2312" w:cs="Times New Roman"/>
                <w:color w:val="auto"/>
                <w:kern w:val="0"/>
                <w:sz w:val="24"/>
                <w:szCs w:val="24"/>
              </w:rPr>
            </w:pPr>
            <w:r>
              <w:rPr>
                <w:rFonts w:hint="eastAsia" w:ascii="Times New Roman" w:hAnsi="Times New Roman" w:eastAsia="仿宋_GB2312" w:cs="Times New Roman"/>
                <w:color w:val="auto"/>
                <w:kern w:val="0"/>
                <w:sz w:val="24"/>
                <w:szCs w:val="24"/>
              </w:rPr>
              <w:t>上海电器设备检测所有限公司</w:t>
            </w:r>
          </w:p>
        </w:tc>
        <w:tc>
          <w:tcPr>
            <w:tcW w:w="1688" w:type="dxa"/>
            <w:noWrap/>
            <w:vAlign w:val="center"/>
          </w:tcPr>
          <w:p>
            <w:pPr>
              <w:widowControl/>
              <w:jc w:val="center"/>
              <w:rPr>
                <w:rFonts w:ascii="Times New Roman" w:hAnsi="Times New Roman" w:eastAsia="仿宋_GB2312" w:cs="Times New Roman"/>
                <w:color w:val="auto"/>
                <w:kern w:val="0"/>
                <w:sz w:val="24"/>
                <w:szCs w:val="24"/>
              </w:rPr>
            </w:pPr>
            <w:r>
              <w:rPr>
                <w:rFonts w:hint="eastAsia" w:ascii="Times New Roman" w:hAnsi="Times New Roman" w:eastAsia="仿宋_GB2312" w:cs="Times New Roman"/>
                <w:color w:val="auto"/>
                <w:kern w:val="0"/>
                <w:sz w:val="24"/>
                <w:szCs w:val="24"/>
              </w:rPr>
              <w:t>上海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56" w:type="dxa"/>
            <w:noWrap/>
            <w:vAlign w:val="center"/>
          </w:tcPr>
          <w:p>
            <w:pPr>
              <w:widowControl/>
              <w:jc w:val="center"/>
              <w:rPr>
                <w:rFonts w:ascii="Times New Roman" w:hAnsi="Times New Roman" w:eastAsia="仿宋_GB2312" w:cs="Times New Roman"/>
                <w:color w:val="auto"/>
                <w:kern w:val="0"/>
                <w:sz w:val="24"/>
                <w:szCs w:val="24"/>
              </w:rPr>
            </w:pPr>
            <w:r>
              <w:rPr>
                <w:rFonts w:hint="eastAsia" w:ascii="Times New Roman" w:hAnsi="Times New Roman" w:eastAsia="仿宋_GB2312" w:cs="Times New Roman"/>
                <w:color w:val="auto"/>
                <w:kern w:val="0"/>
                <w:sz w:val="24"/>
                <w:szCs w:val="24"/>
              </w:rPr>
              <w:t>240008349834</w:t>
            </w:r>
          </w:p>
        </w:tc>
        <w:tc>
          <w:tcPr>
            <w:tcW w:w="5569" w:type="dxa"/>
            <w:noWrap/>
            <w:vAlign w:val="center"/>
          </w:tcPr>
          <w:p>
            <w:pPr>
              <w:widowControl/>
              <w:jc w:val="center"/>
              <w:rPr>
                <w:rFonts w:ascii="Times New Roman" w:hAnsi="Times New Roman" w:eastAsia="仿宋_GB2312" w:cs="Times New Roman"/>
                <w:color w:val="auto"/>
                <w:kern w:val="0"/>
                <w:sz w:val="24"/>
                <w:szCs w:val="24"/>
              </w:rPr>
            </w:pPr>
            <w:r>
              <w:rPr>
                <w:rFonts w:hint="eastAsia" w:ascii="Times New Roman" w:hAnsi="Times New Roman" w:eastAsia="仿宋_GB2312" w:cs="Times New Roman"/>
                <w:color w:val="auto"/>
                <w:kern w:val="0"/>
                <w:sz w:val="24"/>
                <w:szCs w:val="24"/>
              </w:rPr>
              <w:t>中汽研汽车检验中心（天津）有限公司</w:t>
            </w:r>
          </w:p>
        </w:tc>
        <w:tc>
          <w:tcPr>
            <w:tcW w:w="1688" w:type="dxa"/>
            <w:noWrap/>
            <w:vAlign w:val="center"/>
          </w:tcPr>
          <w:p>
            <w:pPr>
              <w:widowControl/>
              <w:jc w:val="center"/>
              <w:rPr>
                <w:rFonts w:ascii="Times New Roman" w:hAnsi="Times New Roman" w:eastAsia="仿宋_GB2312" w:cs="Times New Roman"/>
                <w:color w:val="auto"/>
                <w:kern w:val="0"/>
                <w:sz w:val="24"/>
                <w:szCs w:val="24"/>
              </w:rPr>
            </w:pPr>
            <w:r>
              <w:rPr>
                <w:rFonts w:hint="eastAsia" w:ascii="Times New Roman" w:hAnsi="Times New Roman" w:eastAsia="仿宋_GB2312" w:cs="Times New Roman"/>
                <w:color w:val="auto"/>
                <w:kern w:val="0"/>
                <w:sz w:val="24"/>
                <w:szCs w:val="24"/>
              </w:rPr>
              <w:t>天津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1656" w:type="dxa"/>
            <w:noWrap/>
            <w:vAlign w:val="center"/>
          </w:tcPr>
          <w:p>
            <w:pPr>
              <w:widowControl/>
              <w:jc w:val="center"/>
              <w:rPr>
                <w:rFonts w:ascii="Times New Roman" w:hAnsi="Times New Roman" w:eastAsia="仿宋_GB2312" w:cs="Times New Roman"/>
                <w:color w:val="auto"/>
                <w:kern w:val="0"/>
                <w:sz w:val="24"/>
                <w:szCs w:val="24"/>
              </w:rPr>
            </w:pPr>
            <w:r>
              <w:rPr>
                <w:rFonts w:hint="eastAsia" w:ascii="Times New Roman" w:hAnsi="Times New Roman" w:eastAsia="仿宋_GB2312" w:cs="Times New Roman"/>
                <w:color w:val="auto"/>
                <w:kern w:val="0"/>
                <w:sz w:val="24"/>
                <w:szCs w:val="24"/>
              </w:rPr>
              <w:t>240020349096</w:t>
            </w:r>
          </w:p>
        </w:tc>
        <w:tc>
          <w:tcPr>
            <w:tcW w:w="5569" w:type="dxa"/>
            <w:noWrap/>
            <w:vAlign w:val="center"/>
          </w:tcPr>
          <w:p>
            <w:pPr>
              <w:widowControl/>
              <w:jc w:val="center"/>
              <w:rPr>
                <w:rFonts w:ascii="Times New Roman" w:hAnsi="Times New Roman" w:eastAsia="仿宋_GB2312" w:cs="Times New Roman"/>
                <w:color w:val="auto"/>
                <w:kern w:val="0"/>
                <w:sz w:val="24"/>
                <w:szCs w:val="24"/>
              </w:rPr>
            </w:pPr>
            <w:r>
              <w:rPr>
                <w:rFonts w:hint="eastAsia" w:ascii="Times New Roman" w:hAnsi="Times New Roman" w:eastAsia="仿宋_GB2312" w:cs="Times New Roman"/>
                <w:color w:val="auto"/>
                <w:kern w:val="0"/>
                <w:sz w:val="24"/>
                <w:szCs w:val="24"/>
              </w:rPr>
              <w:t>广东产品质量监督检验研究院（国家质量技术监督局广州电气安全检验所、广东省试验认证研究院、华安实验室）</w:t>
            </w:r>
          </w:p>
        </w:tc>
        <w:tc>
          <w:tcPr>
            <w:tcW w:w="1688" w:type="dxa"/>
            <w:noWrap/>
            <w:vAlign w:val="center"/>
          </w:tcPr>
          <w:p>
            <w:pPr>
              <w:widowControl/>
              <w:jc w:val="center"/>
              <w:rPr>
                <w:rFonts w:ascii="Times New Roman" w:hAnsi="Times New Roman" w:eastAsia="仿宋_GB2312" w:cs="Times New Roman"/>
                <w:color w:val="auto"/>
                <w:kern w:val="0"/>
                <w:sz w:val="24"/>
                <w:szCs w:val="24"/>
              </w:rPr>
            </w:pPr>
            <w:r>
              <w:rPr>
                <w:rFonts w:hint="eastAsia" w:ascii="Times New Roman" w:hAnsi="Times New Roman" w:eastAsia="仿宋_GB2312" w:cs="Times New Roman"/>
                <w:color w:val="auto"/>
                <w:kern w:val="0"/>
                <w:sz w:val="24"/>
                <w:szCs w:val="24"/>
              </w:rPr>
              <w:t>广东广州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56" w:type="dxa"/>
            <w:noWrap/>
            <w:vAlign w:val="center"/>
          </w:tcPr>
          <w:p>
            <w:pPr>
              <w:widowControl/>
              <w:jc w:val="center"/>
              <w:rPr>
                <w:rFonts w:ascii="Times New Roman" w:hAnsi="Times New Roman" w:eastAsia="仿宋_GB2312" w:cs="Times New Roman"/>
                <w:color w:val="auto"/>
                <w:kern w:val="0"/>
                <w:sz w:val="24"/>
                <w:szCs w:val="24"/>
              </w:rPr>
            </w:pPr>
            <w:r>
              <w:rPr>
                <w:rFonts w:hint="eastAsia" w:ascii="Times New Roman" w:hAnsi="Times New Roman" w:eastAsia="仿宋_GB2312" w:cs="Times New Roman"/>
                <w:color w:val="auto"/>
                <w:kern w:val="0"/>
                <w:sz w:val="24"/>
                <w:szCs w:val="24"/>
              </w:rPr>
              <w:t>240020349844</w:t>
            </w:r>
          </w:p>
        </w:tc>
        <w:tc>
          <w:tcPr>
            <w:tcW w:w="5569" w:type="dxa"/>
            <w:noWrap/>
            <w:vAlign w:val="center"/>
          </w:tcPr>
          <w:p>
            <w:pPr>
              <w:widowControl/>
              <w:jc w:val="center"/>
              <w:rPr>
                <w:rFonts w:ascii="Times New Roman" w:hAnsi="Times New Roman" w:eastAsia="仿宋_GB2312" w:cs="Times New Roman"/>
                <w:color w:val="auto"/>
                <w:kern w:val="0"/>
                <w:sz w:val="24"/>
                <w:szCs w:val="24"/>
              </w:rPr>
            </w:pPr>
            <w:r>
              <w:rPr>
                <w:rFonts w:hint="eastAsia" w:ascii="Times New Roman" w:hAnsi="Times New Roman" w:eastAsia="仿宋_GB2312" w:cs="Times New Roman"/>
                <w:color w:val="auto"/>
                <w:kern w:val="0"/>
                <w:sz w:val="24"/>
                <w:szCs w:val="24"/>
              </w:rPr>
              <w:t>江苏省产品质量监督检验研究院</w:t>
            </w:r>
          </w:p>
        </w:tc>
        <w:tc>
          <w:tcPr>
            <w:tcW w:w="1688" w:type="dxa"/>
            <w:noWrap/>
            <w:vAlign w:val="center"/>
          </w:tcPr>
          <w:p>
            <w:pPr>
              <w:widowControl/>
              <w:jc w:val="center"/>
              <w:rPr>
                <w:rFonts w:ascii="Times New Roman" w:hAnsi="Times New Roman" w:eastAsia="仿宋_GB2312" w:cs="Times New Roman"/>
                <w:color w:val="auto"/>
                <w:kern w:val="0"/>
                <w:sz w:val="24"/>
                <w:szCs w:val="24"/>
              </w:rPr>
            </w:pPr>
            <w:r>
              <w:rPr>
                <w:rFonts w:hint="eastAsia" w:ascii="Times New Roman" w:hAnsi="Times New Roman" w:eastAsia="仿宋_GB2312" w:cs="Times New Roman"/>
                <w:color w:val="auto"/>
                <w:kern w:val="0"/>
                <w:sz w:val="24"/>
                <w:szCs w:val="24"/>
              </w:rPr>
              <w:t>江苏南京</w:t>
            </w:r>
          </w:p>
        </w:tc>
      </w:tr>
    </w:tbl>
    <w:p>
      <w:pPr>
        <w:spacing w:line="560" w:lineRule="exact"/>
        <w:ind w:firstLine="640" w:firstLineChars="200"/>
        <w:rPr>
          <w:rFonts w:ascii="Times New Roman" w:hAnsi="Times New Roman" w:eastAsia="仿宋_GB2312" w:cs="Times New Roman"/>
          <w:color w:val="auto"/>
          <w:sz w:val="32"/>
          <w:szCs w:val="32"/>
        </w:rPr>
      </w:pPr>
      <w:r>
        <w:rPr>
          <w:rFonts w:hint="eastAsia" w:ascii="Times New Roman" w:hAnsi="Times New Roman" w:eastAsia="仿宋_GB2312" w:cs="Times New Roman"/>
          <w:color w:val="auto"/>
          <w:sz w:val="32"/>
          <w:szCs w:val="32"/>
        </w:rPr>
        <w:t>2．非强制性检测</w:t>
      </w:r>
    </w:p>
    <w:p>
      <w:pPr>
        <w:spacing w:line="560" w:lineRule="exact"/>
        <w:ind w:firstLine="640" w:firstLineChars="200"/>
        <w:rPr>
          <w:rFonts w:ascii="Times New Roman" w:hAnsi="Times New Roman" w:eastAsia="仿宋_GB2312" w:cs="Times New Roman"/>
          <w:color w:val="auto"/>
          <w:sz w:val="32"/>
          <w:szCs w:val="32"/>
        </w:rPr>
      </w:pPr>
      <w:r>
        <w:rPr>
          <w:rFonts w:hint="eastAsia" w:ascii="Times New Roman" w:hAnsi="Times New Roman" w:eastAsia="仿宋_GB2312" w:cs="Times New Roman"/>
          <w:color w:val="auto"/>
          <w:sz w:val="32"/>
          <w:szCs w:val="32"/>
        </w:rPr>
        <w:t>当前非强制性检测认证发展较快，相关检测体系逐步丰富。</w:t>
      </w:r>
    </w:p>
    <w:p>
      <w:pPr>
        <w:spacing w:line="560" w:lineRule="exact"/>
        <w:ind w:firstLine="642" w:firstLineChars="200"/>
        <w:rPr>
          <w:rFonts w:ascii="Times New Roman" w:hAnsi="Times New Roman" w:eastAsia="仿宋_GB2312" w:cs="Times New Roman"/>
          <w:color w:val="auto"/>
          <w:sz w:val="32"/>
          <w:szCs w:val="32"/>
        </w:rPr>
      </w:pPr>
      <w:r>
        <w:rPr>
          <w:rFonts w:hint="eastAsia" w:ascii="Times New Roman" w:hAnsi="Times New Roman" w:eastAsia="仿宋_GB2312" w:cs="Times New Roman"/>
          <w:b/>
          <w:color w:val="auto"/>
          <w:sz w:val="32"/>
          <w:szCs w:val="32"/>
        </w:rPr>
        <w:t>通用基础性能方面</w:t>
      </w:r>
      <w:r>
        <w:rPr>
          <w:rFonts w:hint="eastAsia" w:ascii="Times New Roman" w:hAnsi="Times New Roman" w:eastAsia="仿宋_GB2312" w:cs="Times New Roman"/>
          <w:color w:val="auto"/>
          <w:sz w:val="32"/>
          <w:szCs w:val="32"/>
        </w:rPr>
        <w:t>，已经形成了以环境适应性、电磁兼容、安全性、功能性能等为主的标准体系，对于检测项目及方法也提出了明确要求，主要检测项目及依据见附表5-3。</w:t>
      </w:r>
    </w:p>
    <w:p>
      <w:pPr>
        <w:widowControl/>
        <w:jc w:val="left"/>
        <w:rPr>
          <w:rFonts w:ascii="Times New Roman" w:hAnsi="Times New Roman" w:eastAsia="仿宋_GB2312" w:cs="Times New Roman"/>
          <w:color w:val="auto"/>
          <w:sz w:val="32"/>
          <w:szCs w:val="32"/>
        </w:rPr>
      </w:pPr>
      <w:r>
        <w:rPr>
          <w:rFonts w:hint="eastAsia" w:ascii="Times New Roman" w:hAnsi="Times New Roman" w:eastAsia="仿宋_GB2312" w:cs="Times New Roman"/>
          <w:color w:val="auto"/>
          <w:sz w:val="32"/>
          <w:szCs w:val="32"/>
        </w:rPr>
        <w:br w:type="page"/>
      </w:r>
    </w:p>
    <w:p>
      <w:pPr>
        <w:widowControl/>
        <w:spacing w:line="560" w:lineRule="exact"/>
        <w:jc w:val="center"/>
        <w:rPr>
          <w:rFonts w:ascii="Times New Roman" w:hAnsi="Times New Roman" w:eastAsia="楷体_GB2312" w:cs="Times New Roman"/>
          <w:color w:val="auto"/>
          <w:kern w:val="0"/>
          <w:sz w:val="24"/>
          <w:szCs w:val="24"/>
        </w:rPr>
      </w:pPr>
      <w:r>
        <w:rPr>
          <w:rFonts w:hint="eastAsia" w:ascii="Times New Roman" w:hAnsi="Times New Roman" w:eastAsia="楷体_GB2312" w:cs="Times New Roman"/>
          <w:color w:val="auto"/>
          <w:kern w:val="0"/>
          <w:sz w:val="24"/>
          <w:szCs w:val="24"/>
        </w:rPr>
        <w:t>附表5-3  非强制性通用检测项目及标准</w:t>
      </w:r>
    </w:p>
    <w:tbl>
      <w:tblPr>
        <w:tblStyle w:val="3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1"/>
        <w:gridCol w:w="3544"/>
        <w:gridCol w:w="40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trPr>
        <w:tc>
          <w:tcPr>
            <w:tcW w:w="1271" w:type="dxa"/>
            <w:vAlign w:val="center"/>
          </w:tcPr>
          <w:p>
            <w:pPr>
              <w:widowControl/>
              <w:jc w:val="center"/>
              <w:rPr>
                <w:rFonts w:ascii="Times New Roman" w:hAnsi="Times New Roman" w:eastAsia="黑体" w:cs="Times New Roman"/>
                <w:color w:val="auto"/>
                <w:kern w:val="0"/>
                <w:sz w:val="24"/>
              </w:rPr>
            </w:pPr>
            <w:r>
              <w:rPr>
                <w:rFonts w:hint="eastAsia" w:ascii="Times New Roman" w:hAnsi="Times New Roman" w:eastAsia="黑体" w:cs="Times New Roman"/>
                <w:color w:val="auto"/>
                <w:kern w:val="0"/>
                <w:sz w:val="24"/>
              </w:rPr>
              <w:t>检测类别</w:t>
            </w:r>
          </w:p>
        </w:tc>
        <w:tc>
          <w:tcPr>
            <w:tcW w:w="3544" w:type="dxa"/>
            <w:vAlign w:val="center"/>
          </w:tcPr>
          <w:p>
            <w:pPr>
              <w:widowControl/>
              <w:jc w:val="center"/>
              <w:rPr>
                <w:rFonts w:ascii="Times New Roman" w:hAnsi="Times New Roman" w:eastAsia="黑体" w:cs="Times New Roman"/>
                <w:color w:val="auto"/>
                <w:kern w:val="0"/>
                <w:sz w:val="24"/>
              </w:rPr>
            </w:pPr>
            <w:r>
              <w:rPr>
                <w:rFonts w:hint="eastAsia" w:ascii="Times New Roman" w:hAnsi="Times New Roman" w:eastAsia="黑体" w:cs="Times New Roman"/>
                <w:color w:val="auto"/>
                <w:kern w:val="0"/>
                <w:sz w:val="24"/>
              </w:rPr>
              <w:t>检测项目</w:t>
            </w:r>
          </w:p>
        </w:tc>
        <w:tc>
          <w:tcPr>
            <w:tcW w:w="4019" w:type="dxa"/>
            <w:vAlign w:val="center"/>
          </w:tcPr>
          <w:p>
            <w:pPr>
              <w:widowControl/>
              <w:jc w:val="center"/>
              <w:rPr>
                <w:rFonts w:ascii="Times New Roman" w:hAnsi="Times New Roman" w:eastAsia="黑体" w:cs="Times New Roman"/>
                <w:color w:val="auto"/>
                <w:kern w:val="0"/>
                <w:sz w:val="24"/>
              </w:rPr>
            </w:pPr>
            <w:r>
              <w:rPr>
                <w:rFonts w:hint="eastAsia" w:ascii="Times New Roman" w:hAnsi="Times New Roman" w:eastAsia="黑体" w:cs="Times New Roman"/>
                <w:color w:val="auto"/>
                <w:kern w:val="0"/>
                <w:sz w:val="24"/>
              </w:rPr>
              <w:t>主要依据标准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71" w:type="dxa"/>
            <w:vAlign w:val="center"/>
          </w:tcPr>
          <w:p>
            <w:pPr>
              <w:jc w:val="center"/>
              <w:rPr>
                <w:rFonts w:ascii="Times New Roman" w:hAnsi="Times New Roman" w:eastAsia="仿宋_GB2312" w:cs="Times New Roman"/>
                <w:color w:val="auto"/>
                <w:sz w:val="24"/>
                <w:szCs w:val="21"/>
              </w:rPr>
            </w:pPr>
            <w:r>
              <w:rPr>
                <w:rFonts w:hint="eastAsia" w:ascii="Times New Roman" w:hAnsi="Times New Roman" w:eastAsia="仿宋_GB2312" w:cs="Times New Roman"/>
                <w:color w:val="auto"/>
                <w:sz w:val="24"/>
                <w:szCs w:val="21"/>
              </w:rPr>
              <w:t>环境适应性</w:t>
            </w:r>
          </w:p>
        </w:tc>
        <w:tc>
          <w:tcPr>
            <w:tcW w:w="3544" w:type="dxa"/>
            <w:vAlign w:val="center"/>
          </w:tcPr>
          <w:p>
            <w:pPr>
              <w:rPr>
                <w:rFonts w:ascii="Times New Roman" w:hAnsi="Times New Roman" w:eastAsia="仿宋_GB2312" w:cs="Times New Roman"/>
                <w:color w:val="auto"/>
                <w:sz w:val="24"/>
                <w:szCs w:val="21"/>
              </w:rPr>
            </w:pPr>
            <w:r>
              <w:rPr>
                <w:rFonts w:hint="eastAsia" w:ascii="Times New Roman" w:hAnsi="Times New Roman" w:eastAsia="仿宋_GB2312" w:cs="Times New Roman"/>
                <w:color w:val="auto"/>
                <w:sz w:val="24"/>
                <w:szCs w:val="21"/>
              </w:rPr>
              <w:t>高低温、温度-高度、湿热、盐雾、防水、砂尘、冲击、振动，抗风</w:t>
            </w:r>
          </w:p>
        </w:tc>
        <w:tc>
          <w:tcPr>
            <w:tcW w:w="4019" w:type="dxa"/>
            <w:vAlign w:val="center"/>
          </w:tcPr>
          <w:p>
            <w:pPr>
              <w:rPr>
                <w:rFonts w:ascii="Times New Roman" w:hAnsi="Times New Roman" w:eastAsia="仿宋_GB2312" w:cs="Times New Roman"/>
                <w:color w:val="auto"/>
                <w:sz w:val="24"/>
                <w:szCs w:val="21"/>
              </w:rPr>
            </w:pPr>
            <w:r>
              <w:rPr>
                <w:rFonts w:hint="eastAsia" w:ascii="Times New Roman" w:hAnsi="Times New Roman" w:eastAsia="仿宋_GB2312" w:cs="Times New Roman"/>
                <w:color w:val="auto"/>
                <w:sz w:val="24"/>
                <w:szCs w:val="21"/>
              </w:rPr>
              <w:t>GB/T 38924-2020《民用轻小型无人机系统环境试验方法》；</w:t>
            </w:r>
          </w:p>
          <w:p>
            <w:pPr>
              <w:rPr>
                <w:rFonts w:ascii="Times New Roman" w:hAnsi="Times New Roman" w:eastAsia="仿宋_GB2312" w:cs="Times New Roman"/>
                <w:color w:val="auto"/>
                <w:sz w:val="24"/>
                <w:szCs w:val="21"/>
              </w:rPr>
            </w:pPr>
            <w:r>
              <w:rPr>
                <w:rFonts w:hint="eastAsia" w:ascii="Times New Roman" w:hAnsi="Times New Roman" w:eastAsia="仿宋_GB2312" w:cs="Times New Roman"/>
                <w:color w:val="auto"/>
                <w:sz w:val="24"/>
                <w:szCs w:val="21"/>
              </w:rPr>
              <w:t>GB/T 38930-2020《民用轻小型无人机系统抗风性要求及试验方法》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71" w:type="dxa"/>
            <w:vAlign w:val="center"/>
          </w:tcPr>
          <w:p>
            <w:pPr>
              <w:jc w:val="center"/>
              <w:rPr>
                <w:rFonts w:ascii="Times New Roman" w:hAnsi="Times New Roman" w:eastAsia="仿宋_GB2312" w:cs="Times New Roman"/>
                <w:color w:val="auto"/>
                <w:sz w:val="24"/>
                <w:szCs w:val="21"/>
              </w:rPr>
            </w:pPr>
            <w:r>
              <w:rPr>
                <w:rFonts w:hint="eastAsia" w:ascii="Times New Roman" w:hAnsi="Times New Roman" w:eastAsia="仿宋_GB2312" w:cs="Times New Roman"/>
                <w:color w:val="auto"/>
                <w:sz w:val="24"/>
                <w:szCs w:val="21"/>
              </w:rPr>
              <w:t>电磁兼容</w:t>
            </w:r>
          </w:p>
        </w:tc>
        <w:tc>
          <w:tcPr>
            <w:tcW w:w="3544" w:type="dxa"/>
            <w:vAlign w:val="center"/>
          </w:tcPr>
          <w:p>
            <w:pPr>
              <w:rPr>
                <w:rFonts w:ascii="Times New Roman" w:hAnsi="Times New Roman" w:eastAsia="仿宋_GB2312" w:cs="Times New Roman"/>
                <w:color w:val="auto"/>
                <w:sz w:val="24"/>
                <w:szCs w:val="21"/>
              </w:rPr>
            </w:pPr>
            <w:r>
              <w:rPr>
                <w:rFonts w:hint="eastAsia" w:ascii="Times New Roman" w:hAnsi="Times New Roman" w:eastAsia="仿宋_GB2312" w:cs="Times New Roman"/>
                <w:color w:val="auto"/>
                <w:sz w:val="24"/>
                <w:szCs w:val="21"/>
              </w:rPr>
              <w:t>发射（辐射发射、传导发射）、抗扰度（辐射抗扰度、静电放电抗扰度）</w:t>
            </w:r>
          </w:p>
        </w:tc>
        <w:tc>
          <w:tcPr>
            <w:tcW w:w="4019" w:type="dxa"/>
            <w:vAlign w:val="center"/>
          </w:tcPr>
          <w:p>
            <w:pPr>
              <w:rPr>
                <w:rFonts w:ascii="Times New Roman" w:hAnsi="Times New Roman" w:eastAsia="仿宋_GB2312" w:cs="Times New Roman"/>
                <w:color w:val="auto"/>
                <w:sz w:val="24"/>
                <w:szCs w:val="21"/>
              </w:rPr>
            </w:pPr>
            <w:r>
              <w:rPr>
                <w:rFonts w:hint="eastAsia" w:ascii="Times New Roman" w:hAnsi="Times New Roman" w:eastAsia="仿宋_GB2312" w:cs="Times New Roman"/>
                <w:color w:val="auto"/>
                <w:sz w:val="24"/>
                <w:szCs w:val="21"/>
              </w:rPr>
              <w:t>GB/T 38909-2020《民用轻小型无人机系统电磁兼容性要求与试验方法》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71" w:type="dxa"/>
            <w:vAlign w:val="center"/>
          </w:tcPr>
          <w:p>
            <w:pPr>
              <w:jc w:val="center"/>
              <w:rPr>
                <w:rFonts w:ascii="Times New Roman" w:hAnsi="Times New Roman" w:eastAsia="仿宋_GB2312" w:cs="Times New Roman"/>
                <w:color w:val="auto"/>
                <w:sz w:val="24"/>
                <w:szCs w:val="21"/>
              </w:rPr>
            </w:pPr>
            <w:r>
              <w:rPr>
                <w:rFonts w:hint="eastAsia" w:ascii="Times New Roman" w:hAnsi="Times New Roman" w:eastAsia="仿宋_GB2312" w:cs="Times New Roman"/>
                <w:color w:val="auto"/>
                <w:sz w:val="24"/>
                <w:szCs w:val="21"/>
              </w:rPr>
              <w:t>安全性</w:t>
            </w:r>
          </w:p>
        </w:tc>
        <w:tc>
          <w:tcPr>
            <w:tcW w:w="3544" w:type="dxa"/>
            <w:vAlign w:val="center"/>
          </w:tcPr>
          <w:p>
            <w:pPr>
              <w:rPr>
                <w:rFonts w:ascii="Times New Roman" w:hAnsi="Times New Roman" w:eastAsia="仿宋_GB2312" w:cs="Times New Roman"/>
                <w:color w:val="auto"/>
                <w:sz w:val="24"/>
                <w:szCs w:val="21"/>
              </w:rPr>
            </w:pPr>
            <w:r>
              <w:rPr>
                <w:rFonts w:hint="eastAsia" w:ascii="Times New Roman" w:hAnsi="Times New Roman" w:eastAsia="仿宋_GB2312" w:cs="Times New Roman"/>
                <w:color w:val="auto"/>
                <w:sz w:val="24"/>
                <w:szCs w:val="21"/>
              </w:rPr>
              <w:t>评审验证、试验验证、综合分析等</w:t>
            </w:r>
          </w:p>
        </w:tc>
        <w:tc>
          <w:tcPr>
            <w:tcW w:w="4019" w:type="dxa"/>
            <w:vAlign w:val="center"/>
          </w:tcPr>
          <w:p>
            <w:pPr>
              <w:rPr>
                <w:rFonts w:ascii="Times New Roman" w:hAnsi="Times New Roman" w:eastAsia="仿宋_GB2312" w:cs="Times New Roman"/>
                <w:color w:val="auto"/>
                <w:sz w:val="24"/>
                <w:szCs w:val="21"/>
              </w:rPr>
            </w:pPr>
            <w:r>
              <w:rPr>
                <w:rFonts w:hint="eastAsia" w:ascii="Times New Roman" w:hAnsi="Times New Roman" w:eastAsia="仿宋_GB2312" w:cs="Times New Roman"/>
                <w:color w:val="auto"/>
                <w:sz w:val="24"/>
                <w:szCs w:val="21"/>
              </w:rPr>
              <w:t>GB/T 38931-2020《民用轻小型无人机系统安全性通用要求》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71" w:type="dxa"/>
            <w:vAlign w:val="center"/>
          </w:tcPr>
          <w:p>
            <w:pPr>
              <w:jc w:val="center"/>
              <w:rPr>
                <w:rFonts w:ascii="Times New Roman" w:hAnsi="Times New Roman" w:eastAsia="仿宋_GB2312" w:cs="Times New Roman"/>
                <w:color w:val="auto"/>
                <w:sz w:val="24"/>
                <w:szCs w:val="21"/>
              </w:rPr>
            </w:pPr>
            <w:r>
              <w:rPr>
                <w:rFonts w:hint="eastAsia" w:ascii="Times New Roman" w:hAnsi="Times New Roman" w:eastAsia="仿宋_GB2312" w:cs="Times New Roman"/>
                <w:color w:val="auto"/>
                <w:sz w:val="24"/>
                <w:szCs w:val="21"/>
              </w:rPr>
              <w:t>功能性能</w:t>
            </w:r>
          </w:p>
        </w:tc>
        <w:tc>
          <w:tcPr>
            <w:tcW w:w="3544" w:type="dxa"/>
            <w:vAlign w:val="center"/>
          </w:tcPr>
          <w:p>
            <w:pPr>
              <w:rPr>
                <w:rFonts w:ascii="Times New Roman" w:hAnsi="Times New Roman" w:eastAsia="仿宋_GB2312" w:cs="Times New Roman"/>
                <w:color w:val="auto"/>
                <w:sz w:val="24"/>
                <w:szCs w:val="21"/>
              </w:rPr>
            </w:pPr>
            <w:r>
              <w:rPr>
                <w:rFonts w:hint="eastAsia" w:ascii="Times New Roman" w:hAnsi="Times New Roman" w:eastAsia="仿宋_GB2312" w:cs="Times New Roman"/>
                <w:color w:val="auto"/>
                <w:sz w:val="24"/>
                <w:szCs w:val="21"/>
              </w:rPr>
              <w:t>基本参数（外观、尺寸等）、飞行性能（最大起飞质量、最大航程等）、电气安全（抗电强度、绝缘电阻等）、电池系统（放电容量、过放电、过充电等）、通讯性能、限制性功能等</w:t>
            </w:r>
          </w:p>
        </w:tc>
        <w:tc>
          <w:tcPr>
            <w:tcW w:w="4019" w:type="dxa"/>
            <w:vAlign w:val="center"/>
          </w:tcPr>
          <w:p>
            <w:pPr>
              <w:rPr>
                <w:rFonts w:ascii="Times New Roman" w:hAnsi="Times New Roman" w:eastAsia="仿宋_GB2312" w:cs="Times New Roman"/>
                <w:color w:val="auto"/>
                <w:sz w:val="24"/>
                <w:szCs w:val="21"/>
              </w:rPr>
            </w:pPr>
            <w:r>
              <w:rPr>
                <w:rFonts w:hint="eastAsia" w:ascii="Times New Roman" w:hAnsi="Times New Roman" w:eastAsia="仿宋_GB2312" w:cs="Times New Roman"/>
                <w:color w:val="auto"/>
                <w:sz w:val="24"/>
                <w:szCs w:val="21"/>
              </w:rPr>
              <w:t>GB/T 38058-2019《民用多旋翼无人机系统试验方法》；</w:t>
            </w:r>
          </w:p>
          <w:p>
            <w:pPr>
              <w:rPr>
                <w:rFonts w:ascii="Times New Roman" w:hAnsi="Times New Roman" w:eastAsia="仿宋_GB2312" w:cs="Times New Roman"/>
                <w:color w:val="auto"/>
                <w:sz w:val="24"/>
                <w:szCs w:val="21"/>
              </w:rPr>
            </w:pPr>
            <w:r>
              <w:rPr>
                <w:rFonts w:hint="eastAsia" w:ascii="Times New Roman" w:hAnsi="Times New Roman" w:eastAsia="仿宋_GB2312" w:cs="Times New Roman"/>
                <w:color w:val="auto"/>
                <w:sz w:val="24"/>
                <w:szCs w:val="21"/>
              </w:rPr>
              <w:t>GB/T 38997-2020《轻小型多旋翼无人机飞行控制与导航系统通用要求》；</w:t>
            </w:r>
          </w:p>
          <w:p>
            <w:pPr>
              <w:rPr>
                <w:rFonts w:ascii="Times New Roman" w:hAnsi="Times New Roman" w:eastAsia="仿宋_GB2312" w:cs="Times New Roman"/>
                <w:color w:val="auto"/>
                <w:sz w:val="24"/>
                <w:szCs w:val="21"/>
              </w:rPr>
            </w:pPr>
            <w:r>
              <w:rPr>
                <w:rFonts w:hint="eastAsia" w:ascii="Times New Roman" w:hAnsi="Times New Roman" w:eastAsia="仿宋_GB2312" w:cs="Times New Roman"/>
                <w:color w:val="auto"/>
                <w:sz w:val="24"/>
                <w:szCs w:val="21"/>
              </w:rPr>
              <w:t>GB/T 39567-2020《多旋翼无人机用无刷伺服电动机系统通用规范》；</w:t>
            </w:r>
          </w:p>
          <w:p>
            <w:pPr>
              <w:rPr>
                <w:rFonts w:ascii="Times New Roman" w:hAnsi="Times New Roman" w:eastAsia="仿宋_GB2312" w:cs="Times New Roman"/>
                <w:color w:val="auto"/>
                <w:sz w:val="24"/>
                <w:szCs w:val="21"/>
              </w:rPr>
            </w:pPr>
            <w:r>
              <w:rPr>
                <w:rFonts w:hint="eastAsia" w:ascii="Times New Roman" w:hAnsi="Times New Roman" w:eastAsia="仿宋_GB2312" w:cs="Times New Roman"/>
                <w:color w:val="auto"/>
                <w:sz w:val="24"/>
                <w:szCs w:val="21"/>
              </w:rPr>
              <w:t>GB/T 38996-2020《民用轻小型固定翼无人机飞行控制系统通用要求》；</w:t>
            </w:r>
          </w:p>
          <w:p>
            <w:pPr>
              <w:rPr>
                <w:rFonts w:ascii="Times New Roman" w:hAnsi="Times New Roman" w:eastAsia="仿宋_GB2312" w:cs="Times New Roman"/>
                <w:color w:val="auto"/>
                <w:sz w:val="24"/>
                <w:szCs w:val="21"/>
              </w:rPr>
            </w:pPr>
            <w:r>
              <w:rPr>
                <w:rFonts w:hint="eastAsia" w:ascii="Times New Roman" w:hAnsi="Times New Roman" w:eastAsia="仿宋_GB2312" w:cs="Times New Roman"/>
                <w:color w:val="auto"/>
                <w:sz w:val="24"/>
                <w:szCs w:val="21"/>
              </w:rPr>
              <w:t>GB/T 38954-2020《无人机用氢燃料电池发电系统》</w:t>
            </w:r>
          </w:p>
          <w:p>
            <w:pPr>
              <w:rPr>
                <w:rFonts w:ascii="Times New Roman" w:hAnsi="Times New Roman" w:eastAsia="仿宋_GB2312" w:cs="Times New Roman"/>
                <w:color w:val="auto"/>
                <w:sz w:val="24"/>
                <w:szCs w:val="21"/>
              </w:rPr>
            </w:pPr>
            <w:r>
              <w:rPr>
                <w:rFonts w:hint="eastAsia" w:ascii="Times New Roman" w:hAnsi="Times New Roman" w:eastAsia="仿宋_GB2312" w:cs="Times New Roman"/>
                <w:color w:val="auto"/>
                <w:sz w:val="24"/>
                <w:szCs w:val="21"/>
              </w:rPr>
              <w:t>MH/T 2008-2017《无人机围栏》；</w:t>
            </w:r>
          </w:p>
          <w:p>
            <w:pPr>
              <w:rPr>
                <w:rFonts w:ascii="Times New Roman" w:hAnsi="Times New Roman" w:eastAsia="仿宋_GB2312" w:cs="Times New Roman"/>
                <w:color w:val="auto"/>
                <w:sz w:val="24"/>
                <w:szCs w:val="21"/>
              </w:rPr>
            </w:pPr>
            <w:r>
              <w:rPr>
                <w:rFonts w:hint="eastAsia" w:ascii="Times New Roman" w:hAnsi="Times New Roman" w:eastAsia="仿宋_GB2312" w:cs="Times New Roman"/>
                <w:color w:val="auto"/>
                <w:sz w:val="24"/>
                <w:szCs w:val="21"/>
              </w:rPr>
              <w:t>MH/T 2009-2017《无人机云系统接口数据规范》；</w:t>
            </w:r>
          </w:p>
        </w:tc>
      </w:tr>
    </w:tbl>
    <w:p>
      <w:pPr>
        <w:spacing w:line="560" w:lineRule="exact"/>
        <w:ind w:firstLine="642" w:firstLineChars="200"/>
        <w:rPr>
          <w:rFonts w:ascii="Times New Roman" w:hAnsi="Times New Roman" w:eastAsia="仿宋_GB2312" w:cs="Times New Roman"/>
          <w:color w:val="auto"/>
          <w:sz w:val="32"/>
          <w:szCs w:val="32"/>
        </w:rPr>
      </w:pPr>
      <w:r>
        <w:rPr>
          <w:rFonts w:hint="eastAsia" w:ascii="Times New Roman" w:hAnsi="Times New Roman" w:eastAsia="仿宋_GB2312" w:cs="Times New Roman"/>
          <w:b/>
          <w:color w:val="auto"/>
          <w:sz w:val="32"/>
          <w:szCs w:val="32"/>
        </w:rPr>
        <w:t>专用特性方面</w:t>
      </w:r>
      <w:r>
        <w:rPr>
          <w:rFonts w:hint="eastAsia" w:ascii="Times New Roman" w:hAnsi="Times New Roman" w:eastAsia="仿宋_GB2312" w:cs="Times New Roman"/>
          <w:color w:val="auto"/>
          <w:sz w:val="32"/>
          <w:szCs w:val="32"/>
        </w:rPr>
        <w:t>，相关警用、农用、电力、测绘等应用领域的专用国家标准、行业标准不断更新，主要文件见附表5-4。</w:t>
      </w:r>
    </w:p>
    <w:p>
      <w:pPr>
        <w:widowControl/>
        <w:spacing w:line="560" w:lineRule="exact"/>
        <w:jc w:val="center"/>
        <w:rPr>
          <w:rFonts w:ascii="Times New Roman" w:hAnsi="Times New Roman" w:eastAsia="楷体_GB2312" w:cs="Times New Roman"/>
          <w:color w:val="auto"/>
          <w:kern w:val="0"/>
          <w:sz w:val="24"/>
          <w:szCs w:val="24"/>
        </w:rPr>
      </w:pPr>
      <w:r>
        <w:rPr>
          <w:rFonts w:hint="eastAsia" w:ascii="Times New Roman" w:hAnsi="Times New Roman" w:eastAsia="楷体_GB2312" w:cs="Times New Roman"/>
          <w:color w:val="auto"/>
          <w:kern w:val="0"/>
          <w:sz w:val="24"/>
          <w:szCs w:val="24"/>
        </w:rPr>
        <w:t>附表5-4  专用无人机质量特性检测主要依据标准</w:t>
      </w:r>
    </w:p>
    <w:tbl>
      <w:tblPr>
        <w:tblStyle w:val="23"/>
        <w:tblW w:w="878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22"/>
        <w:gridCol w:w="4961"/>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2122" w:type="dxa"/>
            <w:noWrap/>
            <w:vAlign w:val="center"/>
          </w:tcPr>
          <w:p>
            <w:pPr>
              <w:widowControl/>
              <w:jc w:val="center"/>
              <w:rPr>
                <w:rFonts w:ascii="Times New Roman" w:hAnsi="Times New Roman" w:eastAsia="黑体" w:cs="Times New Roman"/>
                <w:color w:val="auto"/>
                <w:kern w:val="0"/>
                <w:sz w:val="24"/>
              </w:rPr>
            </w:pPr>
            <w:r>
              <w:rPr>
                <w:rFonts w:hint="eastAsia" w:ascii="Times New Roman" w:hAnsi="Times New Roman" w:eastAsia="黑体" w:cs="Times New Roman"/>
                <w:color w:val="auto"/>
                <w:kern w:val="0"/>
                <w:sz w:val="24"/>
              </w:rPr>
              <w:t>标准号</w:t>
            </w:r>
          </w:p>
        </w:tc>
        <w:tc>
          <w:tcPr>
            <w:tcW w:w="4961" w:type="dxa"/>
            <w:noWrap/>
            <w:vAlign w:val="center"/>
          </w:tcPr>
          <w:p>
            <w:pPr>
              <w:widowControl/>
              <w:jc w:val="center"/>
              <w:rPr>
                <w:rFonts w:ascii="Times New Roman" w:hAnsi="Times New Roman" w:eastAsia="黑体" w:cs="Times New Roman"/>
                <w:color w:val="auto"/>
                <w:kern w:val="0"/>
                <w:sz w:val="24"/>
              </w:rPr>
            </w:pPr>
            <w:r>
              <w:rPr>
                <w:rFonts w:hint="eastAsia" w:ascii="Times New Roman" w:hAnsi="Times New Roman" w:eastAsia="黑体" w:cs="Times New Roman"/>
                <w:color w:val="auto"/>
                <w:kern w:val="0"/>
                <w:sz w:val="24"/>
              </w:rPr>
              <w:t>标准名称</w:t>
            </w:r>
          </w:p>
        </w:tc>
        <w:tc>
          <w:tcPr>
            <w:tcW w:w="1701" w:type="dxa"/>
            <w:noWrap/>
            <w:vAlign w:val="center"/>
          </w:tcPr>
          <w:p>
            <w:pPr>
              <w:widowControl/>
              <w:jc w:val="center"/>
              <w:rPr>
                <w:rFonts w:ascii="Times New Roman" w:hAnsi="Times New Roman" w:eastAsia="黑体" w:cs="Times New Roman"/>
                <w:color w:val="auto"/>
                <w:kern w:val="0"/>
                <w:sz w:val="24"/>
              </w:rPr>
            </w:pPr>
            <w:r>
              <w:rPr>
                <w:rFonts w:hint="eastAsia" w:ascii="Times New Roman" w:hAnsi="Times New Roman" w:eastAsia="黑体" w:cs="Times New Roman"/>
                <w:color w:val="auto"/>
                <w:kern w:val="0"/>
                <w:sz w:val="24"/>
              </w:rPr>
              <w:t>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122" w:type="dxa"/>
            <w:noWrap/>
            <w:vAlign w:val="center"/>
          </w:tcPr>
          <w:p>
            <w:pPr>
              <w:widowControl/>
              <w:jc w:val="center"/>
              <w:rPr>
                <w:rFonts w:ascii="Times New Roman" w:hAnsi="Times New Roman" w:eastAsia="仿宋_GB2312" w:cs="Times New Roman"/>
                <w:color w:val="auto"/>
                <w:kern w:val="0"/>
                <w:sz w:val="24"/>
              </w:rPr>
            </w:pPr>
            <w:r>
              <w:rPr>
                <w:rFonts w:hint="eastAsia" w:ascii="Times New Roman" w:hAnsi="Times New Roman" w:eastAsia="仿宋_GB2312" w:cs="Times New Roman"/>
                <w:color w:val="auto"/>
                <w:kern w:val="0"/>
                <w:sz w:val="24"/>
              </w:rPr>
              <w:t>GA/T 1411-2017</w:t>
            </w:r>
          </w:p>
        </w:tc>
        <w:tc>
          <w:tcPr>
            <w:tcW w:w="4961" w:type="dxa"/>
            <w:noWrap/>
            <w:vAlign w:val="center"/>
          </w:tcPr>
          <w:p>
            <w:pPr>
              <w:widowControl/>
              <w:jc w:val="center"/>
              <w:rPr>
                <w:rFonts w:ascii="Times New Roman" w:hAnsi="Times New Roman" w:eastAsia="仿宋_GB2312" w:cs="Times New Roman"/>
                <w:color w:val="auto"/>
                <w:kern w:val="0"/>
                <w:sz w:val="24"/>
              </w:rPr>
            </w:pPr>
            <w:r>
              <w:rPr>
                <w:rFonts w:hint="eastAsia" w:ascii="Times New Roman" w:hAnsi="Times New Roman" w:eastAsia="仿宋_GB2312" w:cs="Times New Roman"/>
                <w:color w:val="auto"/>
                <w:kern w:val="0"/>
                <w:sz w:val="24"/>
              </w:rPr>
              <w:t>警用无人驾驶航空器系统</w:t>
            </w:r>
          </w:p>
        </w:tc>
        <w:tc>
          <w:tcPr>
            <w:tcW w:w="1701" w:type="dxa"/>
            <w:noWrap/>
            <w:vAlign w:val="center"/>
          </w:tcPr>
          <w:p>
            <w:pPr>
              <w:widowControl/>
              <w:jc w:val="center"/>
              <w:rPr>
                <w:rFonts w:ascii="Times New Roman" w:hAnsi="Times New Roman" w:eastAsia="仿宋_GB2312" w:cs="Times New Roman"/>
                <w:color w:val="auto"/>
                <w:kern w:val="0"/>
                <w:sz w:val="24"/>
              </w:rPr>
            </w:pPr>
            <w:r>
              <w:rPr>
                <w:rFonts w:hint="eastAsia" w:ascii="Times New Roman" w:hAnsi="Times New Roman" w:eastAsia="仿宋_GB2312" w:cs="Times New Roman"/>
                <w:color w:val="auto"/>
                <w:kern w:val="0"/>
                <w:sz w:val="24"/>
              </w:rPr>
              <w:t>公安部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122" w:type="dxa"/>
            <w:noWrap/>
            <w:vAlign w:val="center"/>
          </w:tcPr>
          <w:p>
            <w:pPr>
              <w:widowControl/>
              <w:jc w:val="center"/>
              <w:rPr>
                <w:rFonts w:ascii="Times New Roman" w:hAnsi="Times New Roman" w:eastAsia="仿宋_GB2312" w:cs="Times New Roman"/>
                <w:color w:val="auto"/>
                <w:kern w:val="0"/>
                <w:sz w:val="24"/>
              </w:rPr>
            </w:pPr>
            <w:r>
              <w:rPr>
                <w:rFonts w:hint="eastAsia" w:ascii="Times New Roman" w:hAnsi="Times New Roman" w:eastAsia="仿宋_GB2312" w:cs="Times New Roman"/>
                <w:color w:val="auto"/>
                <w:kern w:val="0"/>
                <w:sz w:val="24"/>
              </w:rPr>
              <w:t>GB/T 41450-2022</w:t>
            </w:r>
          </w:p>
        </w:tc>
        <w:tc>
          <w:tcPr>
            <w:tcW w:w="4961" w:type="dxa"/>
            <w:noWrap/>
            <w:vAlign w:val="center"/>
          </w:tcPr>
          <w:p>
            <w:pPr>
              <w:widowControl/>
              <w:jc w:val="center"/>
              <w:rPr>
                <w:rFonts w:ascii="Times New Roman" w:hAnsi="Times New Roman" w:eastAsia="仿宋_GB2312" w:cs="Times New Roman"/>
                <w:color w:val="auto"/>
                <w:kern w:val="0"/>
                <w:sz w:val="24"/>
              </w:rPr>
            </w:pPr>
            <w:r>
              <w:rPr>
                <w:rFonts w:hint="eastAsia" w:ascii="Times New Roman" w:hAnsi="Times New Roman" w:eastAsia="仿宋_GB2312" w:cs="Times New Roman"/>
                <w:color w:val="auto"/>
                <w:kern w:val="0"/>
                <w:sz w:val="24"/>
              </w:rPr>
              <w:t>无人机低空遥感监测的多传感器一致性检测技术规范</w:t>
            </w:r>
          </w:p>
        </w:tc>
        <w:tc>
          <w:tcPr>
            <w:tcW w:w="1701" w:type="dxa"/>
            <w:noWrap/>
            <w:vAlign w:val="center"/>
          </w:tcPr>
          <w:p>
            <w:pPr>
              <w:widowControl/>
              <w:jc w:val="center"/>
              <w:rPr>
                <w:rFonts w:ascii="Times New Roman" w:hAnsi="Times New Roman" w:eastAsia="仿宋_GB2312" w:cs="Times New Roman"/>
                <w:color w:val="auto"/>
                <w:kern w:val="0"/>
                <w:sz w:val="24"/>
              </w:rPr>
            </w:pPr>
            <w:r>
              <w:rPr>
                <w:rFonts w:hint="eastAsia" w:ascii="Times New Roman" w:hAnsi="Times New Roman" w:eastAsia="仿宋_GB2312" w:cs="Times New Roman"/>
                <w:color w:val="auto"/>
                <w:kern w:val="0"/>
                <w:sz w:val="24"/>
              </w:rPr>
              <w:t>自然资源部（测绘地理）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122" w:type="dxa"/>
            <w:noWrap/>
            <w:vAlign w:val="center"/>
          </w:tcPr>
          <w:p>
            <w:pPr>
              <w:widowControl/>
              <w:jc w:val="center"/>
              <w:rPr>
                <w:rFonts w:ascii="Times New Roman" w:hAnsi="Times New Roman" w:eastAsia="仿宋_GB2312" w:cs="Times New Roman"/>
                <w:color w:val="auto"/>
                <w:kern w:val="0"/>
                <w:sz w:val="24"/>
              </w:rPr>
            </w:pPr>
            <w:r>
              <w:rPr>
                <w:rFonts w:hint="eastAsia" w:ascii="Times New Roman" w:hAnsi="Times New Roman" w:eastAsia="仿宋_GB2312" w:cs="Times New Roman"/>
                <w:color w:val="auto"/>
                <w:kern w:val="0"/>
                <w:sz w:val="24"/>
              </w:rPr>
              <w:t>CH/Z 3002-2010</w:t>
            </w:r>
          </w:p>
        </w:tc>
        <w:tc>
          <w:tcPr>
            <w:tcW w:w="4961" w:type="dxa"/>
            <w:noWrap/>
            <w:vAlign w:val="center"/>
          </w:tcPr>
          <w:p>
            <w:pPr>
              <w:widowControl/>
              <w:jc w:val="center"/>
              <w:rPr>
                <w:rFonts w:ascii="Times New Roman" w:hAnsi="Times New Roman" w:eastAsia="仿宋_GB2312" w:cs="Times New Roman"/>
                <w:color w:val="auto"/>
                <w:kern w:val="0"/>
                <w:sz w:val="24"/>
              </w:rPr>
            </w:pPr>
            <w:r>
              <w:rPr>
                <w:rFonts w:hint="eastAsia" w:ascii="Times New Roman" w:hAnsi="Times New Roman" w:eastAsia="仿宋_GB2312" w:cs="Times New Roman"/>
                <w:color w:val="auto"/>
                <w:kern w:val="0"/>
                <w:sz w:val="24"/>
              </w:rPr>
              <w:t>无人机航摄系统技术要求</w:t>
            </w:r>
          </w:p>
        </w:tc>
        <w:tc>
          <w:tcPr>
            <w:tcW w:w="1701" w:type="dxa"/>
            <w:noWrap/>
            <w:vAlign w:val="center"/>
          </w:tcPr>
          <w:p>
            <w:pPr>
              <w:widowControl/>
              <w:jc w:val="center"/>
              <w:rPr>
                <w:rFonts w:ascii="Times New Roman" w:hAnsi="Times New Roman" w:eastAsia="仿宋_GB2312" w:cs="Times New Roman"/>
                <w:color w:val="auto"/>
                <w:kern w:val="0"/>
                <w:sz w:val="24"/>
              </w:rPr>
            </w:pPr>
            <w:r>
              <w:rPr>
                <w:rFonts w:hint="eastAsia" w:ascii="Times New Roman" w:hAnsi="Times New Roman" w:eastAsia="仿宋_GB2312" w:cs="Times New Roman"/>
                <w:color w:val="auto"/>
                <w:kern w:val="0"/>
                <w:sz w:val="24"/>
              </w:rPr>
              <w:t>国家测绘局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122" w:type="dxa"/>
            <w:noWrap/>
            <w:vAlign w:val="center"/>
          </w:tcPr>
          <w:p>
            <w:pPr>
              <w:widowControl/>
              <w:jc w:val="center"/>
              <w:rPr>
                <w:rFonts w:ascii="Times New Roman" w:hAnsi="Times New Roman" w:eastAsia="仿宋_GB2312" w:cs="Times New Roman"/>
                <w:color w:val="auto"/>
                <w:kern w:val="0"/>
                <w:sz w:val="24"/>
              </w:rPr>
            </w:pPr>
            <w:r>
              <w:rPr>
                <w:rFonts w:hint="eastAsia" w:ascii="Times New Roman" w:hAnsi="Times New Roman" w:eastAsia="仿宋_GB2312" w:cs="Times New Roman"/>
                <w:color w:val="auto"/>
                <w:kern w:val="0"/>
                <w:sz w:val="24"/>
              </w:rPr>
              <w:t>GB/T 43071-2023</w:t>
            </w:r>
          </w:p>
        </w:tc>
        <w:tc>
          <w:tcPr>
            <w:tcW w:w="4961" w:type="dxa"/>
            <w:noWrap/>
            <w:vAlign w:val="center"/>
          </w:tcPr>
          <w:p>
            <w:pPr>
              <w:widowControl/>
              <w:jc w:val="center"/>
              <w:rPr>
                <w:rFonts w:ascii="Times New Roman" w:hAnsi="Times New Roman" w:eastAsia="仿宋_GB2312" w:cs="Times New Roman"/>
                <w:color w:val="auto"/>
                <w:kern w:val="0"/>
                <w:sz w:val="24"/>
              </w:rPr>
            </w:pPr>
            <w:r>
              <w:rPr>
                <w:rFonts w:hint="eastAsia" w:ascii="Times New Roman" w:hAnsi="Times New Roman" w:eastAsia="仿宋_GB2312" w:cs="Times New Roman"/>
                <w:color w:val="auto"/>
                <w:kern w:val="0"/>
                <w:sz w:val="24"/>
              </w:rPr>
              <w:t>植保无人飞机</w:t>
            </w:r>
          </w:p>
        </w:tc>
        <w:tc>
          <w:tcPr>
            <w:tcW w:w="1701" w:type="dxa"/>
            <w:noWrap/>
            <w:vAlign w:val="center"/>
          </w:tcPr>
          <w:p>
            <w:pPr>
              <w:widowControl/>
              <w:jc w:val="center"/>
              <w:rPr>
                <w:rFonts w:ascii="Times New Roman" w:hAnsi="Times New Roman" w:eastAsia="仿宋_GB2312" w:cs="Times New Roman"/>
                <w:color w:val="auto"/>
                <w:kern w:val="0"/>
                <w:sz w:val="24"/>
              </w:rPr>
            </w:pPr>
            <w:r>
              <w:rPr>
                <w:rFonts w:hint="eastAsia" w:ascii="Times New Roman" w:hAnsi="Times New Roman" w:eastAsia="仿宋_GB2312" w:cs="Times New Roman"/>
                <w:color w:val="auto"/>
                <w:kern w:val="0"/>
                <w:sz w:val="24"/>
              </w:rPr>
              <w:t>中国机械工业联合会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122" w:type="dxa"/>
            <w:noWrap/>
            <w:vAlign w:val="center"/>
          </w:tcPr>
          <w:p>
            <w:pPr>
              <w:widowControl/>
              <w:jc w:val="center"/>
              <w:rPr>
                <w:rFonts w:ascii="Times New Roman" w:hAnsi="Times New Roman" w:eastAsia="仿宋_GB2312" w:cs="Times New Roman"/>
                <w:color w:val="auto"/>
                <w:kern w:val="0"/>
                <w:sz w:val="24"/>
              </w:rPr>
            </w:pPr>
            <w:r>
              <w:rPr>
                <w:rFonts w:hint="eastAsia" w:ascii="Times New Roman" w:hAnsi="Times New Roman" w:eastAsia="仿宋_GB2312" w:cs="Times New Roman"/>
                <w:color w:val="auto"/>
                <w:kern w:val="0"/>
                <w:sz w:val="24"/>
              </w:rPr>
              <w:t>NY/T 3213-2018</w:t>
            </w:r>
          </w:p>
        </w:tc>
        <w:tc>
          <w:tcPr>
            <w:tcW w:w="4961" w:type="dxa"/>
            <w:noWrap/>
            <w:vAlign w:val="center"/>
          </w:tcPr>
          <w:p>
            <w:pPr>
              <w:widowControl/>
              <w:jc w:val="center"/>
              <w:rPr>
                <w:rFonts w:ascii="Times New Roman" w:hAnsi="Times New Roman" w:eastAsia="仿宋_GB2312" w:cs="Times New Roman"/>
                <w:color w:val="auto"/>
                <w:kern w:val="0"/>
                <w:sz w:val="24"/>
              </w:rPr>
            </w:pPr>
            <w:r>
              <w:rPr>
                <w:rFonts w:hint="eastAsia" w:ascii="Times New Roman" w:hAnsi="Times New Roman" w:eastAsia="仿宋_GB2312" w:cs="Times New Roman"/>
                <w:color w:val="auto"/>
                <w:kern w:val="0"/>
                <w:sz w:val="24"/>
              </w:rPr>
              <w:t>植保无人飞机质量评价技术规范</w:t>
            </w:r>
          </w:p>
        </w:tc>
        <w:tc>
          <w:tcPr>
            <w:tcW w:w="1701" w:type="dxa"/>
            <w:noWrap/>
            <w:vAlign w:val="center"/>
          </w:tcPr>
          <w:p>
            <w:pPr>
              <w:widowControl/>
              <w:jc w:val="center"/>
              <w:rPr>
                <w:rFonts w:ascii="Times New Roman" w:hAnsi="Times New Roman" w:eastAsia="仿宋_GB2312" w:cs="Times New Roman"/>
                <w:color w:val="auto"/>
                <w:kern w:val="0"/>
                <w:sz w:val="24"/>
              </w:rPr>
            </w:pPr>
            <w:r>
              <w:rPr>
                <w:rFonts w:hint="eastAsia" w:ascii="Times New Roman" w:hAnsi="Times New Roman" w:eastAsia="仿宋_GB2312" w:cs="Times New Roman"/>
                <w:color w:val="auto"/>
                <w:kern w:val="0"/>
                <w:sz w:val="24"/>
              </w:rPr>
              <w:t>农业农村部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122" w:type="dxa"/>
            <w:noWrap/>
            <w:vAlign w:val="center"/>
          </w:tcPr>
          <w:p>
            <w:pPr>
              <w:widowControl/>
              <w:jc w:val="center"/>
              <w:rPr>
                <w:rFonts w:ascii="Times New Roman" w:hAnsi="Times New Roman" w:eastAsia="仿宋_GB2312" w:cs="Times New Roman"/>
                <w:color w:val="auto"/>
                <w:kern w:val="0"/>
                <w:sz w:val="24"/>
              </w:rPr>
            </w:pPr>
            <w:r>
              <w:rPr>
                <w:rFonts w:hint="eastAsia" w:ascii="Times New Roman" w:hAnsi="Times New Roman" w:eastAsia="仿宋_GB2312" w:cs="Times New Roman"/>
                <w:color w:val="auto"/>
                <w:kern w:val="0"/>
                <w:sz w:val="24"/>
              </w:rPr>
              <w:t>NY/T 3213-2023</w:t>
            </w:r>
          </w:p>
        </w:tc>
        <w:tc>
          <w:tcPr>
            <w:tcW w:w="4961" w:type="dxa"/>
            <w:noWrap/>
            <w:vAlign w:val="center"/>
          </w:tcPr>
          <w:p>
            <w:pPr>
              <w:widowControl/>
              <w:jc w:val="center"/>
              <w:rPr>
                <w:rFonts w:ascii="Times New Roman" w:hAnsi="Times New Roman" w:eastAsia="仿宋_GB2312" w:cs="Times New Roman"/>
                <w:color w:val="auto"/>
                <w:kern w:val="0"/>
                <w:sz w:val="24"/>
              </w:rPr>
            </w:pPr>
            <w:r>
              <w:rPr>
                <w:rFonts w:hint="eastAsia" w:ascii="Times New Roman" w:hAnsi="Times New Roman" w:eastAsia="仿宋_GB2312" w:cs="Times New Roman"/>
                <w:color w:val="auto"/>
                <w:kern w:val="0"/>
                <w:sz w:val="24"/>
              </w:rPr>
              <w:t>植保无人驾驶航空器质量评价技术规范</w:t>
            </w:r>
          </w:p>
        </w:tc>
        <w:tc>
          <w:tcPr>
            <w:tcW w:w="1701" w:type="dxa"/>
            <w:noWrap/>
            <w:vAlign w:val="center"/>
          </w:tcPr>
          <w:p>
            <w:pPr>
              <w:widowControl/>
              <w:jc w:val="center"/>
              <w:rPr>
                <w:rFonts w:ascii="Times New Roman" w:hAnsi="Times New Roman" w:eastAsia="仿宋_GB2312" w:cs="Times New Roman"/>
                <w:color w:val="auto"/>
                <w:kern w:val="0"/>
                <w:sz w:val="24"/>
              </w:rPr>
            </w:pPr>
            <w:r>
              <w:rPr>
                <w:rFonts w:hint="eastAsia" w:ascii="Times New Roman" w:hAnsi="Times New Roman" w:eastAsia="仿宋_GB2312" w:cs="Times New Roman"/>
                <w:color w:val="auto"/>
                <w:kern w:val="0"/>
                <w:sz w:val="24"/>
              </w:rPr>
              <w:t>农业农村部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122" w:type="dxa"/>
            <w:noWrap/>
            <w:vAlign w:val="center"/>
          </w:tcPr>
          <w:p>
            <w:pPr>
              <w:widowControl/>
              <w:jc w:val="center"/>
              <w:rPr>
                <w:rFonts w:ascii="Times New Roman" w:hAnsi="Times New Roman" w:eastAsia="仿宋_GB2312" w:cs="Times New Roman"/>
                <w:color w:val="auto"/>
                <w:kern w:val="0"/>
                <w:sz w:val="24"/>
              </w:rPr>
            </w:pPr>
            <w:r>
              <w:rPr>
                <w:rFonts w:hint="eastAsia" w:ascii="Times New Roman" w:hAnsi="Times New Roman" w:eastAsia="仿宋_GB2312" w:cs="Times New Roman"/>
                <w:color w:val="auto"/>
                <w:kern w:val="0"/>
                <w:sz w:val="24"/>
              </w:rPr>
              <w:t>NY/T 3881-2021</w:t>
            </w:r>
          </w:p>
        </w:tc>
        <w:tc>
          <w:tcPr>
            <w:tcW w:w="4961" w:type="dxa"/>
            <w:noWrap/>
            <w:vAlign w:val="center"/>
          </w:tcPr>
          <w:p>
            <w:pPr>
              <w:widowControl/>
              <w:jc w:val="center"/>
              <w:rPr>
                <w:rFonts w:ascii="Times New Roman" w:hAnsi="Times New Roman" w:eastAsia="仿宋_GB2312" w:cs="Times New Roman"/>
                <w:color w:val="auto"/>
                <w:kern w:val="0"/>
                <w:sz w:val="24"/>
              </w:rPr>
            </w:pPr>
            <w:r>
              <w:rPr>
                <w:rFonts w:hint="eastAsia" w:ascii="Times New Roman" w:hAnsi="Times New Roman" w:eastAsia="仿宋_GB2312" w:cs="Times New Roman"/>
                <w:color w:val="auto"/>
                <w:kern w:val="0"/>
                <w:sz w:val="24"/>
              </w:rPr>
              <w:t>遥控飞行播种机质量评价技术规范</w:t>
            </w:r>
          </w:p>
        </w:tc>
        <w:tc>
          <w:tcPr>
            <w:tcW w:w="1701" w:type="dxa"/>
            <w:noWrap/>
            <w:vAlign w:val="center"/>
          </w:tcPr>
          <w:p>
            <w:pPr>
              <w:widowControl/>
              <w:jc w:val="center"/>
              <w:rPr>
                <w:rFonts w:ascii="Times New Roman" w:hAnsi="Times New Roman" w:eastAsia="仿宋_GB2312" w:cs="Times New Roman"/>
                <w:color w:val="auto"/>
                <w:kern w:val="0"/>
                <w:sz w:val="24"/>
              </w:rPr>
            </w:pPr>
            <w:r>
              <w:rPr>
                <w:rFonts w:hint="eastAsia" w:ascii="Times New Roman" w:hAnsi="Times New Roman" w:eastAsia="仿宋_GB2312" w:cs="Times New Roman"/>
                <w:color w:val="auto"/>
                <w:kern w:val="0"/>
                <w:sz w:val="24"/>
              </w:rPr>
              <w:t>农业农村部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122" w:type="dxa"/>
            <w:noWrap/>
            <w:vAlign w:val="center"/>
          </w:tcPr>
          <w:p>
            <w:pPr>
              <w:widowControl/>
              <w:jc w:val="center"/>
              <w:rPr>
                <w:rFonts w:ascii="Times New Roman" w:hAnsi="Times New Roman" w:eastAsia="仿宋_GB2312" w:cs="Times New Roman"/>
                <w:color w:val="auto"/>
                <w:kern w:val="0"/>
                <w:sz w:val="24"/>
              </w:rPr>
            </w:pPr>
            <w:r>
              <w:rPr>
                <w:rFonts w:hint="eastAsia" w:ascii="Times New Roman" w:hAnsi="Times New Roman" w:eastAsia="仿宋_GB2312" w:cs="Times New Roman"/>
                <w:color w:val="auto"/>
                <w:kern w:val="0"/>
                <w:sz w:val="24"/>
              </w:rPr>
              <w:t>DG/T 247-2021</w:t>
            </w:r>
          </w:p>
        </w:tc>
        <w:tc>
          <w:tcPr>
            <w:tcW w:w="4961" w:type="dxa"/>
            <w:noWrap/>
            <w:vAlign w:val="center"/>
          </w:tcPr>
          <w:p>
            <w:pPr>
              <w:widowControl/>
              <w:jc w:val="center"/>
              <w:rPr>
                <w:rFonts w:ascii="Times New Roman" w:hAnsi="Times New Roman" w:eastAsia="仿宋_GB2312" w:cs="Times New Roman"/>
                <w:color w:val="auto"/>
                <w:kern w:val="0"/>
                <w:sz w:val="24"/>
              </w:rPr>
            </w:pPr>
            <w:r>
              <w:rPr>
                <w:rFonts w:hint="eastAsia" w:ascii="Times New Roman" w:hAnsi="Times New Roman" w:eastAsia="仿宋_GB2312" w:cs="Times New Roman"/>
                <w:color w:val="auto"/>
                <w:kern w:val="0"/>
                <w:sz w:val="24"/>
              </w:rPr>
              <w:t>植保无人驾驶航空器</w:t>
            </w:r>
          </w:p>
        </w:tc>
        <w:tc>
          <w:tcPr>
            <w:tcW w:w="1701" w:type="dxa"/>
            <w:noWrap/>
            <w:vAlign w:val="center"/>
          </w:tcPr>
          <w:p>
            <w:pPr>
              <w:widowControl/>
              <w:jc w:val="center"/>
              <w:rPr>
                <w:rFonts w:ascii="Times New Roman" w:hAnsi="Times New Roman" w:eastAsia="仿宋_GB2312" w:cs="Times New Roman"/>
                <w:color w:val="auto"/>
                <w:kern w:val="0"/>
                <w:sz w:val="24"/>
              </w:rPr>
            </w:pPr>
            <w:r>
              <w:rPr>
                <w:rFonts w:hint="eastAsia" w:ascii="Times New Roman" w:hAnsi="Times New Roman" w:eastAsia="仿宋_GB2312" w:cs="Times New Roman"/>
                <w:color w:val="auto"/>
                <w:kern w:val="0"/>
                <w:sz w:val="24"/>
              </w:rPr>
              <w:t>农业农村部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122" w:type="dxa"/>
            <w:noWrap/>
            <w:vAlign w:val="center"/>
          </w:tcPr>
          <w:p>
            <w:pPr>
              <w:widowControl/>
              <w:jc w:val="center"/>
              <w:rPr>
                <w:rFonts w:ascii="Times New Roman" w:hAnsi="Times New Roman" w:eastAsia="仿宋_GB2312" w:cs="Times New Roman"/>
                <w:color w:val="auto"/>
                <w:kern w:val="0"/>
                <w:sz w:val="24"/>
              </w:rPr>
            </w:pPr>
            <w:r>
              <w:rPr>
                <w:rFonts w:hint="eastAsia" w:ascii="Times New Roman" w:hAnsi="Times New Roman" w:eastAsia="仿宋_GB2312" w:cs="Times New Roman"/>
                <w:color w:val="auto"/>
                <w:kern w:val="0"/>
                <w:sz w:val="24"/>
              </w:rPr>
              <w:t>DL/T 1578-2016</w:t>
            </w:r>
          </w:p>
        </w:tc>
        <w:tc>
          <w:tcPr>
            <w:tcW w:w="4961" w:type="dxa"/>
            <w:noWrap/>
            <w:vAlign w:val="center"/>
          </w:tcPr>
          <w:p>
            <w:pPr>
              <w:widowControl/>
              <w:jc w:val="center"/>
              <w:rPr>
                <w:rFonts w:ascii="Times New Roman" w:hAnsi="Times New Roman" w:eastAsia="仿宋_GB2312" w:cs="Times New Roman"/>
                <w:color w:val="auto"/>
                <w:kern w:val="0"/>
                <w:sz w:val="24"/>
              </w:rPr>
            </w:pPr>
            <w:r>
              <w:rPr>
                <w:rFonts w:hint="eastAsia" w:ascii="Times New Roman" w:hAnsi="Times New Roman" w:eastAsia="仿宋_GB2312" w:cs="Times New Roman"/>
                <w:color w:val="auto"/>
                <w:kern w:val="0"/>
                <w:sz w:val="24"/>
              </w:rPr>
              <w:t>架空输电线路无人直升机巡检系统</w:t>
            </w:r>
          </w:p>
        </w:tc>
        <w:tc>
          <w:tcPr>
            <w:tcW w:w="1701" w:type="dxa"/>
            <w:noWrap/>
            <w:vAlign w:val="center"/>
          </w:tcPr>
          <w:p>
            <w:pPr>
              <w:widowControl/>
              <w:jc w:val="center"/>
              <w:rPr>
                <w:rFonts w:ascii="Times New Roman" w:hAnsi="Times New Roman" w:eastAsia="仿宋_GB2312" w:cs="Times New Roman"/>
                <w:color w:val="auto"/>
                <w:kern w:val="0"/>
                <w:sz w:val="24"/>
              </w:rPr>
            </w:pPr>
            <w:r>
              <w:rPr>
                <w:rFonts w:hint="eastAsia" w:ascii="Times New Roman" w:hAnsi="Times New Roman" w:eastAsia="仿宋_GB2312" w:cs="Times New Roman"/>
                <w:color w:val="auto"/>
                <w:kern w:val="0"/>
                <w:sz w:val="24"/>
              </w:rPr>
              <w:t>国家能源局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122" w:type="dxa"/>
            <w:noWrap/>
            <w:vAlign w:val="center"/>
          </w:tcPr>
          <w:p>
            <w:pPr>
              <w:widowControl/>
              <w:jc w:val="center"/>
              <w:rPr>
                <w:rFonts w:ascii="Times New Roman" w:hAnsi="Times New Roman" w:eastAsia="仿宋_GB2312" w:cs="Times New Roman"/>
                <w:color w:val="auto"/>
                <w:kern w:val="0"/>
                <w:sz w:val="24"/>
              </w:rPr>
            </w:pPr>
            <w:r>
              <w:rPr>
                <w:rFonts w:hint="eastAsia" w:ascii="Times New Roman" w:hAnsi="Times New Roman" w:eastAsia="仿宋_GB2312" w:cs="Times New Roman"/>
                <w:color w:val="auto"/>
                <w:kern w:val="0"/>
                <w:sz w:val="24"/>
              </w:rPr>
              <w:t>DL/T 1578-2021</w:t>
            </w:r>
          </w:p>
        </w:tc>
        <w:tc>
          <w:tcPr>
            <w:tcW w:w="4961" w:type="dxa"/>
            <w:noWrap/>
            <w:vAlign w:val="center"/>
          </w:tcPr>
          <w:p>
            <w:pPr>
              <w:widowControl/>
              <w:jc w:val="center"/>
              <w:rPr>
                <w:rFonts w:ascii="Times New Roman" w:hAnsi="Times New Roman" w:eastAsia="仿宋_GB2312" w:cs="Times New Roman"/>
                <w:color w:val="auto"/>
                <w:kern w:val="0"/>
                <w:sz w:val="24"/>
              </w:rPr>
            </w:pPr>
            <w:r>
              <w:rPr>
                <w:rFonts w:hint="eastAsia" w:ascii="Times New Roman" w:hAnsi="Times New Roman" w:eastAsia="仿宋_GB2312" w:cs="Times New Roman"/>
                <w:color w:val="auto"/>
                <w:kern w:val="0"/>
                <w:sz w:val="24"/>
              </w:rPr>
              <w:t>架空电力线路多旋翼无人机巡检系统</w:t>
            </w:r>
          </w:p>
        </w:tc>
        <w:tc>
          <w:tcPr>
            <w:tcW w:w="1701" w:type="dxa"/>
            <w:noWrap/>
            <w:vAlign w:val="center"/>
          </w:tcPr>
          <w:p>
            <w:pPr>
              <w:widowControl/>
              <w:jc w:val="center"/>
              <w:rPr>
                <w:rFonts w:ascii="Times New Roman" w:hAnsi="Times New Roman" w:eastAsia="仿宋_GB2312" w:cs="Times New Roman"/>
                <w:color w:val="auto"/>
                <w:kern w:val="0"/>
                <w:sz w:val="24"/>
              </w:rPr>
            </w:pPr>
            <w:r>
              <w:rPr>
                <w:rFonts w:hint="eastAsia" w:ascii="Times New Roman" w:hAnsi="Times New Roman" w:eastAsia="仿宋_GB2312" w:cs="Times New Roman"/>
                <w:color w:val="auto"/>
                <w:kern w:val="0"/>
                <w:sz w:val="24"/>
              </w:rPr>
              <w:t>国家能源局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122" w:type="dxa"/>
            <w:noWrap/>
            <w:vAlign w:val="center"/>
          </w:tcPr>
          <w:p>
            <w:pPr>
              <w:widowControl/>
              <w:jc w:val="center"/>
              <w:rPr>
                <w:rFonts w:ascii="Times New Roman" w:hAnsi="Times New Roman" w:eastAsia="仿宋_GB2312" w:cs="Times New Roman"/>
                <w:color w:val="auto"/>
                <w:kern w:val="0"/>
                <w:sz w:val="24"/>
              </w:rPr>
            </w:pPr>
            <w:r>
              <w:rPr>
                <w:rFonts w:hint="eastAsia" w:ascii="Times New Roman" w:hAnsi="Times New Roman" w:eastAsia="仿宋_GB2312" w:cs="Times New Roman"/>
                <w:color w:val="auto"/>
                <w:kern w:val="0"/>
                <w:sz w:val="24"/>
              </w:rPr>
              <w:t>DL/T 2119-2020</w:t>
            </w:r>
          </w:p>
        </w:tc>
        <w:tc>
          <w:tcPr>
            <w:tcW w:w="4961" w:type="dxa"/>
            <w:noWrap/>
            <w:vAlign w:val="center"/>
          </w:tcPr>
          <w:p>
            <w:pPr>
              <w:widowControl/>
              <w:jc w:val="center"/>
              <w:rPr>
                <w:rFonts w:ascii="Times New Roman" w:hAnsi="Times New Roman" w:eastAsia="仿宋_GB2312" w:cs="Times New Roman"/>
                <w:color w:val="auto"/>
                <w:kern w:val="0"/>
                <w:sz w:val="24"/>
              </w:rPr>
            </w:pPr>
            <w:r>
              <w:rPr>
                <w:rFonts w:hint="eastAsia" w:ascii="Times New Roman" w:hAnsi="Times New Roman" w:eastAsia="仿宋_GB2312" w:cs="Times New Roman"/>
                <w:color w:val="auto"/>
                <w:kern w:val="0"/>
                <w:sz w:val="24"/>
              </w:rPr>
              <w:t>架空电力线路多旋翼无人机飞行控制系统通用技术规范</w:t>
            </w:r>
          </w:p>
        </w:tc>
        <w:tc>
          <w:tcPr>
            <w:tcW w:w="1701" w:type="dxa"/>
            <w:noWrap/>
            <w:vAlign w:val="center"/>
          </w:tcPr>
          <w:p>
            <w:pPr>
              <w:widowControl/>
              <w:jc w:val="center"/>
              <w:rPr>
                <w:rFonts w:ascii="Times New Roman" w:hAnsi="Times New Roman" w:eastAsia="仿宋_GB2312" w:cs="Times New Roman"/>
                <w:color w:val="auto"/>
                <w:kern w:val="0"/>
                <w:sz w:val="24"/>
              </w:rPr>
            </w:pPr>
            <w:r>
              <w:rPr>
                <w:rFonts w:hint="eastAsia" w:ascii="Times New Roman" w:hAnsi="Times New Roman" w:eastAsia="仿宋_GB2312" w:cs="Times New Roman"/>
                <w:color w:val="auto"/>
                <w:kern w:val="0"/>
                <w:sz w:val="24"/>
              </w:rPr>
              <w:t>国家能源局</w:t>
            </w:r>
          </w:p>
        </w:tc>
      </w:tr>
    </w:tbl>
    <w:p>
      <w:pPr>
        <w:spacing w:line="560" w:lineRule="exact"/>
        <w:ind w:firstLine="640" w:firstLineChars="200"/>
        <w:rPr>
          <w:rFonts w:ascii="Times New Roman" w:hAnsi="Times New Roman" w:eastAsia="黑体" w:cs="Times New Roman"/>
          <w:color w:val="auto"/>
          <w:sz w:val="32"/>
          <w:szCs w:val="32"/>
        </w:rPr>
      </w:pPr>
      <w:r>
        <w:rPr>
          <w:rFonts w:hint="eastAsia" w:ascii="Times New Roman" w:hAnsi="Times New Roman" w:eastAsia="黑体" w:cs="Times New Roman"/>
          <w:color w:val="auto"/>
          <w:sz w:val="32"/>
          <w:szCs w:val="32"/>
        </w:rPr>
        <w:t>四、试验鉴定</w:t>
      </w:r>
    </w:p>
    <w:p>
      <w:pPr>
        <w:spacing w:line="560" w:lineRule="exact"/>
        <w:ind w:firstLine="640" w:firstLineChars="200"/>
        <w:rPr>
          <w:rFonts w:ascii="Times New Roman" w:hAnsi="Times New Roman" w:eastAsia="仿宋_GB2312" w:cs="Times New Roman"/>
          <w:color w:val="auto"/>
          <w:sz w:val="32"/>
          <w:szCs w:val="32"/>
        </w:rPr>
      </w:pPr>
      <w:r>
        <w:rPr>
          <w:rFonts w:hint="eastAsia" w:ascii="Times New Roman" w:hAnsi="Times New Roman" w:eastAsia="仿宋_GB2312" w:cs="Times New Roman"/>
          <w:color w:val="auto"/>
          <w:sz w:val="32"/>
          <w:szCs w:val="32"/>
        </w:rPr>
        <w:t>军用无人机是国家无人机开展军事用途的主要载体，伴随着作战环境的日益复杂，对其作战适用性要求也越来越高。军用无人机检验检测工作需要按照装备试验鉴定流程开展，涉及全生命周期的装备试验，包括性能试验、作战试验和在役考核等。性能试验是指在规定的环境和条件下，为检验装备的主要战术技术指标及其便捷性能、确定装备技术状态等开展的实验活动。作战试验是指根据装备作战使命，在近似实战的条件下，按照作战流程，对装备的作战效能、作战适用性和体系适用性等进行考核的试验活动。在役考核是指装备交付部队后，为检验装备满足部队作战使用与保障要求的程度所进行的持续性试验活动。</w:t>
      </w:r>
    </w:p>
    <w:p>
      <w:pPr>
        <w:spacing w:line="560" w:lineRule="exact"/>
        <w:ind w:firstLine="640" w:firstLineChars="200"/>
        <w:rPr>
          <w:rFonts w:ascii="Times New Roman" w:hAnsi="Times New Roman" w:eastAsia="仿宋_GB2312" w:cs="Times New Roman"/>
          <w:color w:val="auto"/>
          <w:sz w:val="32"/>
          <w:szCs w:val="32"/>
        </w:rPr>
      </w:pPr>
      <w:r>
        <w:rPr>
          <w:rFonts w:hint="eastAsia" w:ascii="Times New Roman" w:hAnsi="Times New Roman" w:eastAsia="仿宋_GB2312" w:cs="Times New Roman"/>
          <w:color w:val="auto"/>
          <w:sz w:val="32"/>
          <w:szCs w:val="32"/>
        </w:rPr>
        <w:t>性能试验主要在实验室内开展，也是试验鉴定从研制到定型的关键评价环节。性能验证需要对无人机的通用质量特性和专用质量特性进行全方位的检测评价，主要检测项目及依据标准见附表5-5。通用质量特性是指各类型装备均会涉及的质量特性，主要包括环境适应性、可靠性、安全性、维修性、测试性、保障性、电磁兼容性等。专用质量特性是指装备特有的功能性能，也就是装备的技术战术指标。</w:t>
      </w:r>
    </w:p>
    <w:p>
      <w:pPr>
        <w:widowControl/>
        <w:spacing w:line="560" w:lineRule="exact"/>
        <w:jc w:val="center"/>
        <w:rPr>
          <w:rFonts w:ascii="Times New Roman" w:hAnsi="Times New Roman" w:eastAsia="楷体_GB2312" w:cs="Times New Roman"/>
          <w:color w:val="auto"/>
          <w:kern w:val="0"/>
          <w:sz w:val="24"/>
          <w:szCs w:val="24"/>
        </w:rPr>
      </w:pPr>
      <w:r>
        <w:rPr>
          <w:rFonts w:hint="eastAsia" w:ascii="Times New Roman" w:hAnsi="Times New Roman" w:eastAsia="楷体_GB2312" w:cs="Times New Roman"/>
          <w:color w:val="auto"/>
          <w:kern w:val="0"/>
          <w:sz w:val="24"/>
          <w:szCs w:val="24"/>
        </w:rPr>
        <w:t>附表5-5  军用无人机检测项目及标准</w:t>
      </w:r>
    </w:p>
    <w:tbl>
      <w:tblPr>
        <w:tblStyle w:val="3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6"/>
        <w:gridCol w:w="1134"/>
        <w:gridCol w:w="3827"/>
        <w:gridCol w:w="30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trPr>
        <w:tc>
          <w:tcPr>
            <w:tcW w:w="846" w:type="dxa"/>
            <w:vAlign w:val="center"/>
          </w:tcPr>
          <w:p>
            <w:pPr>
              <w:jc w:val="center"/>
              <w:rPr>
                <w:rFonts w:ascii="Times New Roman" w:hAnsi="Times New Roman" w:eastAsia="黑体" w:cs="Times New Roman"/>
                <w:color w:val="auto"/>
                <w:sz w:val="24"/>
                <w:szCs w:val="32"/>
              </w:rPr>
            </w:pPr>
            <w:r>
              <w:rPr>
                <w:rFonts w:hint="eastAsia" w:ascii="Times New Roman" w:hAnsi="Times New Roman" w:eastAsia="黑体" w:cs="Times New Roman"/>
                <w:color w:val="auto"/>
                <w:sz w:val="24"/>
                <w:szCs w:val="32"/>
              </w:rPr>
              <w:t>检测大类</w:t>
            </w:r>
          </w:p>
        </w:tc>
        <w:tc>
          <w:tcPr>
            <w:tcW w:w="1134" w:type="dxa"/>
            <w:vAlign w:val="center"/>
          </w:tcPr>
          <w:p>
            <w:pPr>
              <w:jc w:val="center"/>
              <w:rPr>
                <w:rFonts w:ascii="Times New Roman" w:hAnsi="Times New Roman" w:eastAsia="黑体" w:cs="Times New Roman"/>
                <w:color w:val="auto"/>
                <w:sz w:val="24"/>
                <w:szCs w:val="32"/>
              </w:rPr>
            </w:pPr>
            <w:r>
              <w:rPr>
                <w:rFonts w:hint="eastAsia" w:ascii="Times New Roman" w:hAnsi="Times New Roman" w:eastAsia="黑体" w:cs="Times New Roman"/>
                <w:color w:val="auto"/>
                <w:sz w:val="24"/>
                <w:szCs w:val="32"/>
              </w:rPr>
              <w:t>检测</w:t>
            </w:r>
          </w:p>
          <w:p>
            <w:pPr>
              <w:jc w:val="center"/>
              <w:rPr>
                <w:rFonts w:ascii="Times New Roman" w:hAnsi="Times New Roman" w:eastAsia="黑体" w:cs="Times New Roman"/>
                <w:color w:val="auto"/>
                <w:sz w:val="24"/>
                <w:szCs w:val="32"/>
              </w:rPr>
            </w:pPr>
            <w:r>
              <w:rPr>
                <w:rFonts w:hint="eastAsia" w:ascii="Times New Roman" w:hAnsi="Times New Roman" w:eastAsia="黑体" w:cs="Times New Roman"/>
                <w:color w:val="auto"/>
                <w:sz w:val="24"/>
                <w:szCs w:val="32"/>
              </w:rPr>
              <w:t>小类</w:t>
            </w:r>
          </w:p>
        </w:tc>
        <w:tc>
          <w:tcPr>
            <w:tcW w:w="3827" w:type="dxa"/>
            <w:vAlign w:val="center"/>
          </w:tcPr>
          <w:p>
            <w:pPr>
              <w:jc w:val="center"/>
              <w:rPr>
                <w:rFonts w:ascii="Times New Roman" w:hAnsi="Times New Roman" w:eastAsia="黑体" w:cs="Times New Roman"/>
                <w:color w:val="auto"/>
                <w:sz w:val="24"/>
                <w:szCs w:val="32"/>
              </w:rPr>
            </w:pPr>
            <w:r>
              <w:rPr>
                <w:rFonts w:hint="eastAsia" w:ascii="Times New Roman" w:hAnsi="Times New Roman" w:eastAsia="黑体" w:cs="Times New Roman"/>
                <w:color w:val="auto"/>
                <w:sz w:val="24"/>
                <w:szCs w:val="32"/>
              </w:rPr>
              <w:t>检测项目</w:t>
            </w:r>
          </w:p>
        </w:tc>
        <w:tc>
          <w:tcPr>
            <w:tcW w:w="3027" w:type="dxa"/>
            <w:vAlign w:val="center"/>
          </w:tcPr>
          <w:p>
            <w:pPr>
              <w:jc w:val="center"/>
              <w:rPr>
                <w:rFonts w:ascii="Times New Roman" w:hAnsi="Times New Roman" w:eastAsia="黑体" w:cs="Times New Roman"/>
                <w:color w:val="auto"/>
                <w:sz w:val="24"/>
                <w:szCs w:val="32"/>
              </w:rPr>
            </w:pPr>
            <w:r>
              <w:rPr>
                <w:rFonts w:hint="eastAsia" w:ascii="Times New Roman" w:hAnsi="Times New Roman" w:eastAsia="黑体" w:cs="Times New Roman"/>
                <w:color w:val="auto"/>
                <w:sz w:val="24"/>
                <w:szCs w:val="32"/>
              </w:rPr>
              <w:t>主要依据标准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46" w:type="dxa"/>
            <w:vMerge w:val="restart"/>
            <w:vAlign w:val="center"/>
          </w:tcPr>
          <w:p>
            <w:pPr>
              <w:jc w:val="center"/>
              <w:rPr>
                <w:rFonts w:ascii="Times New Roman" w:hAnsi="Times New Roman" w:eastAsia="仿宋_GB2312" w:cs="Times New Roman"/>
                <w:color w:val="auto"/>
                <w:sz w:val="24"/>
                <w:szCs w:val="32"/>
              </w:rPr>
            </w:pPr>
            <w:r>
              <w:rPr>
                <w:rFonts w:hint="eastAsia" w:ascii="Times New Roman" w:hAnsi="Times New Roman" w:eastAsia="仿宋_GB2312" w:cs="Times New Roman"/>
                <w:color w:val="auto"/>
                <w:sz w:val="24"/>
                <w:szCs w:val="32"/>
              </w:rPr>
              <w:t>通用质量特性</w:t>
            </w:r>
          </w:p>
        </w:tc>
        <w:tc>
          <w:tcPr>
            <w:tcW w:w="1134" w:type="dxa"/>
            <w:vAlign w:val="center"/>
          </w:tcPr>
          <w:p>
            <w:pPr>
              <w:jc w:val="center"/>
              <w:rPr>
                <w:rFonts w:ascii="Times New Roman" w:hAnsi="Times New Roman" w:eastAsia="仿宋_GB2312" w:cs="Times New Roman"/>
                <w:color w:val="auto"/>
                <w:sz w:val="24"/>
                <w:szCs w:val="32"/>
              </w:rPr>
            </w:pPr>
            <w:r>
              <w:rPr>
                <w:rFonts w:hint="eastAsia" w:ascii="Times New Roman" w:hAnsi="Times New Roman" w:eastAsia="仿宋_GB2312" w:cs="Times New Roman"/>
                <w:color w:val="auto"/>
                <w:sz w:val="24"/>
                <w:szCs w:val="32"/>
              </w:rPr>
              <w:t>环境适应性</w:t>
            </w:r>
          </w:p>
        </w:tc>
        <w:tc>
          <w:tcPr>
            <w:tcW w:w="3827" w:type="dxa"/>
            <w:vAlign w:val="center"/>
          </w:tcPr>
          <w:p>
            <w:pPr>
              <w:jc w:val="left"/>
              <w:rPr>
                <w:rFonts w:ascii="Times New Roman" w:hAnsi="Times New Roman" w:eastAsia="仿宋_GB2312" w:cs="Times New Roman"/>
                <w:color w:val="auto"/>
                <w:sz w:val="24"/>
                <w:szCs w:val="32"/>
              </w:rPr>
            </w:pPr>
            <w:r>
              <w:rPr>
                <w:rFonts w:hint="eastAsia" w:ascii="Times New Roman" w:hAnsi="Times New Roman" w:eastAsia="仿宋_GB2312" w:cs="Times New Roman"/>
                <w:color w:val="auto"/>
                <w:sz w:val="24"/>
                <w:szCs w:val="32"/>
              </w:rPr>
              <w:t>高低温、湿热、低气压、温-湿-高、砂尘、淋雨、振动、冲击、加速度、霉菌、盐雾、太阳辐射等</w:t>
            </w:r>
          </w:p>
        </w:tc>
        <w:tc>
          <w:tcPr>
            <w:tcW w:w="3027" w:type="dxa"/>
            <w:vAlign w:val="center"/>
          </w:tcPr>
          <w:p>
            <w:pPr>
              <w:jc w:val="left"/>
              <w:rPr>
                <w:rFonts w:ascii="Times New Roman" w:hAnsi="Times New Roman" w:eastAsia="仿宋_GB2312" w:cs="Times New Roman"/>
                <w:color w:val="auto"/>
                <w:sz w:val="24"/>
                <w:szCs w:val="32"/>
              </w:rPr>
            </w:pPr>
            <w:r>
              <w:rPr>
                <w:rFonts w:hint="eastAsia" w:ascii="Times New Roman" w:hAnsi="Times New Roman" w:eastAsia="仿宋_GB2312" w:cs="Times New Roman"/>
                <w:color w:val="auto"/>
                <w:sz w:val="24"/>
                <w:szCs w:val="32"/>
              </w:rPr>
              <w:t>GJB 150A-2009《军用装备实验室环境试验方法》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46" w:type="dxa"/>
            <w:vMerge w:val="continue"/>
            <w:vAlign w:val="center"/>
          </w:tcPr>
          <w:p>
            <w:pPr>
              <w:jc w:val="center"/>
              <w:rPr>
                <w:rFonts w:ascii="Times New Roman" w:hAnsi="Times New Roman" w:eastAsia="仿宋_GB2312" w:cs="Times New Roman"/>
                <w:color w:val="auto"/>
                <w:sz w:val="24"/>
                <w:szCs w:val="32"/>
              </w:rPr>
            </w:pPr>
          </w:p>
        </w:tc>
        <w:tc>
          <w:tcPr>
            <w:tcW w:w="1134" w:type="dxa"/>
            <w:vAlign w:val="center"/>
          </w:tcPr>
          <w:p>
            <w:pPr>
              <w:jc w:val="center"/>
              <w:rPr>
                <w:rFonts w:ascii="Times New Roman" w:hAnsi="Times New Roman" w:eastAsia="仿宋_GB2312" w:cs="Times New Roman"/>
                <w:color w:val="auto"/>
                <w:sz w:val="24"/>
                <w:szCs w:val="32"/>
              </w:rPr>
            </w:pPr>
            <w:r>
              <w:rPr>
                <w:rFonts w:hint="eastAsia" w:ascii="Times New Roman" w:hAnsi="Times New Roman" w:eastAsia="仿宋_GB2312" w:cs="Times New Roman"/>
                <w:color w:val="auto"/>
                <w:sz w:val="24"/>
                <w:szCs w:val="32"/>
              </w:rPr>
              <w:t>可靠性</w:t>
            </w:r>
          </w:p>
        </w:tc>
        <w:tc>
          <w:tcPr>
            <w:tcW w:w="3827" w:type="dxa"/>
            <w:vAlign w:val="center"/>
          </w:tcPr>
          <w:p>
            <w:pPr>
              <w:jc w:val="left"/>
              <w:rPr>
                <w:rFonts w:ascii="Times New Roman" w:hAnsi="Times New Roman" w:eastAsia="仿宋_GB2312" w:cs="Times New Roman"/>
                <w:color w:val="auto"/>
                <w:sz w:val="24"/>
                <w:szCs w:val="32"/>
              </w:rPr>
            </w:pPr>
            <w:r>
              <w:rPr>
                <w:rFonts w:hint="eastAsia" w:ascii="Times New Roman" w:hAnsi="Times New Roman" w:eastAsia="仿宋_GB2312" w:cs="Times New Roman"/>
                <w:color w:val="auto"/>
                <w:sz w:val="24"/>
                <w:szCs w:val="32"/>
              </w:rPr>
              <w:t>平均故障前时间、平均故障间隔时间、故障率等</w:t>
            </w:r>
          </w:p>
        </w:tc>
        <w:tc>
          <w:tcPr>
            <w:tcW w:w="3027" w:type="dxa"/>
            <w:vAlign w:val="center"/>
          </w:tcPr>
          <w:p>
            <w:pPr>
              <w:jc w:val="left"/>
              <w:rPr>
                <w:rFonts w:ascii="Times New Roman" w:hAnsi="Times New Roman" w:eastAsia="仿宋_GB2312" w:cs="Times New Roman"/>
                <w:color w:val="auto"/>
                <w:sz w:val="24"/>
                <w:szCs w:val="32"/>
              </w:rPr>
            </w:pPr>
            <w:r>
              <w:rPr>
                <w:rFonts w:hint="eastAsia" w:ascii="Times New Roman" w:hAnsi="Times New Roman" w:eastAsia="仿宋_GB2312" w:cs="Times New Roman"/>
                <w:color w:val="auto"/>
                <w:sz w:val="24"/>
                <w:szCs w:val="32"/>
              </w:rPr>
              <w:t>GJB 899A-2009《可靠性鉴定和验收试验》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46" w:type="dxa"/>
            <w:vMerge w:val="continue"/>
            <w:vAlign w:val="center"/>
          </w:tcPr>
          <w:p>
            <w:pPr>
              <w:jc w:val="center"/>
              <w:rPr>
                <w:rFonts w:ascii="Times New Roman" w:hAnsi="Times New Roman" w:eastAsia="仿宋_GB2312" w:cs="Times New Roman"/>
                <w:color w:val="auto"/>
                <w:sz w:val="24"/>
                <w:szCs w:val="32"/>
              </w:rPr>
            </w:pPr>
          </w:p>
        </w:tc>
        <w:tc>
          <w:tcPr>
            <w:tcW w:w="1134" w:type="dxa"/>
            <w:vAlign w:val="center"/>
          </w:tcPr>
          <w:p>
            <w:pPr>
              <w:jc w:val="center"/>
              <w:rPr>
                <w:rFonts w:ascii="Times New Roman" w:hAnsi="Times New Roman" w:eastAsia="仿宋_GB2312" w:cs="Times New Roman"/>
                <w:color w:val="auto"/>
                <w:sz w:val="24"/>
                <w:szCs w:val="32"/>
              </w:rPr>
            </w:pPr>
            <w:r>
              <w:rPr>
                <w:rFonts w:hint="eastAsia" w:ascii="Times New Roman" w:hAnsi="Times New Roman" w:eastAsia="仿宋_GB2312" w:cs="Times New Roman"/>
                <w:color w:val="auto"/>
                <w:sz w:val="24"/>
                <w:szCs w:val="32"/>
              </w:rPr>
              <w:t>安全性</w:t>
            </w:r>
          </w:p>
        </w:tc>
        <w:tc>
          <w:tcPr>
            <w:tcW w:w="3827" w:type="dxa"/>
            <w:vAlign w:val="center"/>
          </w:tcPr>
          <w:p>
            <w:pPr>
              <w:jc w:val="left"/>
              <w:rPr>
                <w:rFonts w:ascii="Times New Roman" w:hAnsi="Times New Roman" w:eastAsia="仿宋_GB2312" w:cs="Times New Roman"/>
                <w:color w:val="auto"/>
                <w:sz w:val="24"/>
                <w:szCs w:val="32"/>
              </w:rPr>
            </w:pPr>
            <w:r>
              <w:rPr>
                <w:rFonts w:hint="eastAsia" w:ascii="Times New Roman" w:hAnsi="Times New Roman" w:eastAsia="仿宋_GB2312" w:cs="Times New Roman"/>
                <w:color w:val="auto"/>
                <w:sz w:val="24"/>
                <w:szCs w:val="32"/>
              </w:rPr>
              <w:t>发生灾难的事件概率、发生严重的事件概率、绝缘电阻、泄漏电流等</w:t>
            </w:r>
          </w:p>
        </w:tc>
        <w:tc>
          <w:tcPr>
            <w:tcW w:w="3027" w:type="dxa"/>
            <w:vAlign w:val="center"/>
          </w:tcPr>
          <w:p>
            <w:pPr>
              <w:jc w:val="left"/>
              <w:rPr>
                <w:rFonts w:ascii="Times New Roman" w:hAnsi="Times New Roman" w:eastAsia="仿宋_GB2312" w:cs="Times New Roman"/>
                <w:color w:val="auto"/>
                <w:sz w:val="24"/>
                <w:szCs w:val="32"/>
              </w:rPr>
            </w:pPr>
            <w:r>
              <w:rPr>
                <w:rFonts w:hint="eastAsia" w:ascii="Times New Roman" w:hAnsi="Times New Roman" w:eastAsia="仿宋_GB2312" w:cs="Times New Roman"/>
                <w:color w:val="auto"/>
                <w:sz w:val="24"/>
                <w:szCs w:val="32"/>
              </w:rPr>
              <w:t>GJB 900A-2012《装备安全性通用要求》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46" w:type="dxa"/>
            <w:vMerge w:val="continue"/>
            <w:vAlign w:val="center"/>
          </w:tcPr>
          <w:p>
            <w:pPr>
              <w:jc w:val="center"/>
              <w:rPr>
                <w:rFonts w:ascii="Times New Roman" w:hAnsi="Times New Roman" w:eastAsia="仿宋_GB2312" w:cs="Times New Roman"/>
                <w:color w:val="auto"/>
                <w:sz w:val="24"/>
                <w:szCs w:val="32"/>
              </w:rPr>
            </w:pPr>
          </w:p>
        </w:tc>
        <w:tc>
          <w:tcPr>
            <w:tcW w:w="1134" w:type="dxa"/>
            <w:vAlign w:val="center"/>
          </w:tcPr>
          <w:p>
            <w:pPr>
              <w:jc w:val="center"/>
              <w:rPr>
                <w:rFonts w:ascii="Times New Roman" w:hAnsi="Times New Roman" w:eastAsia="仿宋_GB2312" w:cs="Times New Roman"/>
                <w:color w:val="auto"/>
                <w:sz w:val="24"/>
                <w:szCs w:val="32"/>
              </w:rPr>
            </w:pPr>
            <w:r>
              <w:rPr>
                <w:rFonts w:hint="eastAsia" w:ascii="Times New Roman" w:hAnsi="Times New Roman" w:eastAsia="仿宋_GB2312" w:cs="Times New Roman"/>
                <w:color w:val="auto"/>
                <w:sz w:val="24"/>
                <w:szCs w:val="32"/>
              </w:rPr>
              <w:t>维修性</w:t>
            </w:r>
          </w:p>
        </w:tc>
        <w:tc>
          <w:tcPr>
            <w:tcW w:w="3827" w:type="dxa"/>
            <w:vAlign w:val="center"/>
          </w:tcPr>
          <w:p>
            <w:pPr>
              <w:jc w:val="left"/>
              <w:rPr>
                <w:rFonts w:ascii="Times New Roman" w:hAnsi="Times New Roman" w:eastAsia="仿宋_GB2312" w:cs="Times New Roman"/>
                <w:color w:val="auto"/>
                <w:sz w:val="24"/>
                <w:szCs w:val="32"/>
              </w:rPr>
            </w:pPr>
            <w:r>
              <w:rPr>
                <w:rFonts w:hint="eastAsia" w:ascii="Times New Roman" w:hAnsi="Times New Roman" w:eastAsia="仿宋_GB2312" w:cs="Times New Roman"/>
                <w:color w:val="auto"/>
                <w:sz w:val="24"/>
                <w:szCs w:val="32"/>
              </w:rPr>
              <w:t>平均修复时间、系统平均恢复时间、平均预防性维修时间等</w:t>
            </w:r>
          </w:p>
        </w:tc>
        <w:tc>
          <w:tcPr>
            <w:tcW w:w="3027" w:type="dxa"/>
            <w:vAlign w:val="center"/>
          </w:tcPr>
          <w:p>
            <w:pPr>
              <w:jc w:val="left"/>
              <w:rPr>
                <w:rFonts w:ascii="Times New Roman" w:hAnsi="Times New Roman" w:eastAsia="仿宋_GB2312" w:cs="Times New Roman"/>
                <w:color w:val="auto"/>
                <w:sz w:val="24"/>
                <w:szCs w:val="32"/>
              </w:rPr>
            </w:pPr>
            <w:r>
              <w:rPr>
                <w:rFonts w:hint="eastAsia" w:ascii="Times New Roman" w:hAnsi="Times New Roman" w:eastAsia="仿宋_GB2312" w:cs="Times New Roman"/>
                <w:color w:val="auto"/>
                <w:sz w:val="24"/>
                <w:szCs w:val="32"/>
              </w:rPr>
              <w:t>GJB 368B-2009《装备维修性工作通用要求》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46" w:type="dxa"/>
            <w:vMerge w:val="continue"/>
            <w:vAlign w:val="center"/>
          </w:tcPr>
          <w:p>
            <w:pPr>
              <w:jc w:val="center"/>
              <w:rPr>
                <w:rFonts w:ascii="Times New Roman" w:hAnsi="Times New Roman" w:eastAsia="仿宋_GB2312" w:cs="Times New Roman"/>
                <w:color w:val="auto"/>
                <w:sz w:val="24"/>
                <w:szCs w:val="32"/>
              </w:rPr>
            </w:pPr>
          </w:p>
        </w:tc>
        <w:tc>
          <w:tcPr>
            <w:tcW w:w="1134" w:type="dxa"/>
            <w:vAlign w:val="center"/>
          </w:tcPr>
          <w:p>
            <w:pPr>
              <w:jc w:val="center"/>
              <w:rPr>
                <w:rFonts w:ascii="Times New Roman" w:hAnsi="Times New Roman" w:eastAsia="仿宋_GB2312" w:cs="Times New Roman"/>
                <w:color w:val="auto"/>
                <w:sz w:val="24"/>
                <w:szCs w:val="32"/>
              </w:rPr>
            </w:pPr>
            <w:r>
              <w:rPr>
                <w:rFonts w:hint="eastAsia" w:ascii="Times New Roman" w:hAnsi="Times New Roman" w:eastAsia="仿宋_GB2312" w:cs="Times New Roman"/>
                <w:color w:val="auto"/>
                <w:sz w:val="24"/>
                <w:szCs w:val="32"/>
              </w:rPr>
              <w:t>测试性</w:t>
            </w:r>
          </w:p>
        </w:tc>
        <w:tc>
          <w:tcPr>
            <w:tcW w:w="3827" w:type="dxa"/>
            <w:vAlign w:val="center"/>
          </w:tcPr>
          <w:p>
            <w:pPr>
              <w:jc w:val="left"/>
              <w:rPr>
                <w:rFonts w:ascii="Times New Roman" w:hAnsi="Times New Roman" w:eastAsia="仿宋_GB2312" w:cs="Times New Roman"/>
                <w:color w:val="auto"/>
                <w:sz w:val="24"/>
                <w:szCs w:val="32"/>
              </w:rPr>
            </w:pPr>
            <w:r>
              <w:rPr>
                <w:rFonts w:hint="eastAsia" w:ascii="Times New Roman" w:hAnsi="Times New Roman" w:eastAsia="仿宋_GB2312" w:cs="Times New Roman"/>
                <w:color w:val="auto"/>
                <w:sz w:val="24"/>
                <w:szCs w:val="32"/>
              </w:rPr>
              <w:t>故障检测率、故障隔离率、虚警率</w:t>
            </w:r>
          </w:p>
        </w:tc>
        <w:tc>
          <w:tcPr>
            <w:tcW w:w="3027" w:type="dxa"/>
            <w:vAlign w:val="center"/>
          </w:tcPr>
          <w:p>
            <w:pPr>
              <w:jc w:val="left"/>
              <w:rPr>
                <w:rFonts w:ascii="Times New Roman" w:hAnsi="Times New Roman" w:eastAsia="仿宋_GB2312" w:cs="Times New Roman"/>
                <w:color w:val="auto"/>
                <w:sz w:val="24"/>
                <w:szCs w:val="32"/>
              </w:rPr>
            </w:pPr>
            <w:r>
              <w:rPr>
                <w:rFonts w:hint="eastAsia" w:ascii="Times New Roman" w:hAnsi="Times New Roman" w:eastAsia="仿宋_GB2312" w:cs="Times New Roman"/>
                <w:color w:val="auto"/>
                <w:sz w:val="24"/>
                <w:szCs w:val="32"/>
              </w:rPr>
              <w:t>GJB 2547A-2012《装备测试性工作通用要求》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46" w:type="dxa"/>
            <w:vMerge w:val="continue"/>
            <w:vAlign w:val="center"/>
          </w:tcPr>
          <w:p>
            <w:pPr>
              <w:jc w:val="center"/>
              <w:rPr>
                <w:rFonts w:ascii="Times New Roman" w:hAnsi="Times New Roman" w:eastAsia="仿宋_GB2312" w:cs="Times New Roman"/>
                <w:color w:val="auto"/>
                <w:sz w:val="24"/>
                <w:szCs w:val="32"/>
              </w:rPr>
            </w:pPr>
          </w:p>
        </w:tc>
        <w:tc>
          <w:tcPr>
            <w:tcW w:w="1134" w:type="dxa"/>
            <w:vAlign w:val="center"/>
          </w:tcPr>
          <w:p>
            <w:pPr>
              <w:jc w:val="center"/>
              <w:rPr>
                <w:rFonts w:ascii="Times New Roman" w:hAnsi="Times New Roman" w:eastAsia="仿宋_GB2312" w:cs="Times New Roman"/>
                <w:color w:val="auto"/>
                <w:sz w:val="24"/>
                <w:szCs w:val="32"/>
              </w:rPr>
            </w:pPr>
            <w:r>
              <w:rPr>
                <w:rFonts w:hint="eastAsia" w:ascii="Times New Roman" w:hAnsi="Times New Roman" w:eastAsia="仿宋_GB2312" w:cs="Times New Roman"/>
                <w:color w:val="auto"/>
                <w:sz w:val="24"/>
                <w:szCs w:val="32"/>
              </w:rPr>
              <w:t>保障性</w:t>
            </w:r>
          </w:p>
        </w:tc>
        <w:tc>
          <w:tcPr>
            <w:tcW w:w="3827" w:type="dxa"/>
            <w:vAlign w:val="center"/>
          </w:tcPr>
          <w:p>
            <w:pPr>
              <w:jc w:val="left"/>
              <w:rPr>
                <w:rFonts w:ascii="Times New Roman" w:hAnsi="Times New Roman" w:eastAsia="仿宋_GB2312" w:cs="Times New Roman"/>
                <w:color w:val="auto"/>
                <w:sz w:val="24"/>
                <w:szCs w:val="32"/>
              </w:rPr>
            </w:pPr>
            <w:r>
              <w:rPr>
                <w:rFonts w:hint="eastAsia" w:ascii="Times New Roman" w:hAnsi="Times New Roman" w:eastAsia="仿宋_GB2312" w:cs="Times New Roman"/>
                <w:color w:val="auto"/>
                <w:sz w:val="24"/>
                <w:szCs w:val="32"/>
              </w:rPr>
              <w:t>使用可用度、能执行任务率、出动架次率等</w:t>
            </w:r>
          </w:p>
        </w:tc>
        <w:tc>
          <w:tcPr>
            <w:tcW w:w="3027" w:type="dxa"/>
            <w:vAlign w:val="center"/>
          </w:tcPr>
          <w:p>
            <w:pPr>
              <w:jc w:val="left"/>
              <w:rPr>
                <w:rFonts w:ascii="Times New Roman" w:hAnsi="Times New Roman" w:eastAsia="仿宋_GB2312" w:cs="Times New Roman"/>
                <w:color w:val="auto"/>
                <w:sz w:val="24"/>
                <w:szCs w:val="32"/>
              </w:rPr>
            </w:pPr>
            <w:r>
              <w:rPr>
                <w:rFonts w:hint="eastAsia" w:ascii="Times New Roman" w:hAnsi="Times New Roman" w:eastAsia="仿宋_GB2312" w:cs="Times New Roman"/>
                <w:color w:val="auto"/>
                <w:sz w:val="24"/>
                <w:szCs w:val="32"/>
              </w:rPr>
              <w:t>GJB 3872-1999《装备综合保障通用要求》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46" w:type="dxa"/>
            <w:vMerge w:val="continue"/>
            <w:vAlign w:val="center"/>
          </w:tcPr>
          <w:p>
            <w:pPr>
              <w:jc w:val="center"/>
              <w:rPr>
                <w:rFonts w:ascii="Times New Roman" w:hAnsi="Times New Roman" w:eastAsia="仿宋_GB2312" w:cs="Times New Roman"/>
                <w:color w:val="auto"/>
                <w:sz w:val="24"/>
                <w:szCs w:val="32"/>
              </w:rPr>
            </w:pPr>
          </w:p>
        </w:tc>
        <w:tc>
          <w:tcPr>
            <w:tcW w:w="1134" w:type="dxa"/>
            <w:vAlign w:val="center"/>
          </w:tcPr>
          <w:p>
            <w:pPr>
              <w:jc w:val="center"/>
              <w:rPr>
                <w:rFonts w:ascii="Times New Roman" w:hAnsi="Times New Roman" w:eastAsia="仿宋_GB2312" w:cs="Times New Roman"/>
                <w:color w:val="auto"/>
                <w:sz w:val="24"/>
                <w:szCs w:val="32"/>
              </w:rPr>
            </w:pPr>
            <w:r>
              <w:rPr>
                <w:rFonts w:hint="eastAsia" w:ascii="Times New Roman" w:hAnsi="Times New Roman" w:eastAsia="仿宋_GB2312" w:cs="Times New Roman"/>
                <w:color w:val="auto"/>
                <w:sz w:val="24"/>
                <w:szCs w:val="32"/>
              </w:rPr>
              <w:t>电磁兼容性</w:t>
            </w:r>
          </w:p>
        </w:tc>
        <w:tc>
          <w:tcPr>
            <w:tcW w:w="3827" w:type="dxa"/>
            <w:vAlign w:val="center"/>
          </w:tcPr>
          <w:p>
            <w:pPr>
              <w:jc w:val="left"/>
              <w:rPr>
                <w:rFonts w:ascii="Times New Roman" w:hAnsi="Times New Roman" w:eastAsia="仿宋_GB2312" w:cs="Times New Roman"/>
                <w:color w:val="auto"/>
                <w:sz w:val="24"/>
                <w:szCs w:val="32"/>
              </w:rPr>
            </w:pPr>
            <w:r>
              <w:rPr>
                <w:rFonts w:hint="eastAsia" w:ascii="Times New Roman" w:hAnsi="Times New Roman" w:eastAsia="仿宋_GB2312" w:cs="Times New Roman"/>
                <w:color w:val="auto"/>
                <w:sz w:val="24"/>
                <w:szCs w:val="32"/>
              </w:rPr>
              <w:t>CE101、CE102、CS101、CS102等</w:t>
            </w:r>
          </w:p>
        </w:tc>
        <w:tc>
          <w:tcPr>
            <w:tcW w:w="3027" w:type="dxa"/>
            <w:vAlign w:val="center"/>
          </w:tcPr>
          <w:p>
            <w:pPr>
              <w:jc w:val="left"/>
              <w:rPr>
                <w:rFonts w:ascii="Times New Roman" w:hAnsi="Times New Roman" w:eastAsia="仿宋_GB2312" w:cs="Times New Roman"/>
                <w:color w:val="auto"/>
                <w:sz w:val="24"/>
                <w:szCs w:val="32"/>
              </w:rPr>
            </w:pPr>
            <w:r>
              <w:rPr>
                <w:rFonts w:hint="eastAsia" w:ascii="Times New Roman" w:hAnsi="Times New Roman" w:eastAsia="仿宋_GB2312" w:cs="Times New Roman"/>
                <w:color w:val="auto"/>
                <w:sz w:val="24"/>
                <w:szCs w:val="32"/>
              </w:rPr>
              <w:t>GJB 151B-2013《军用设备和分系统电磁发射和敏感度要求与测量》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46" w:type="dxa"/>
            <w:vAlign w:val="center"/>
          </w:tcPr>
          <w:p>
            <w:pPr>
              <w:jc w:val="center"/>
              <w:rPr>
                <w:rFonts w:ascii="Times New Roman" w:hAnsi="Times New Roman" w:eastAsia="仿宋_GB2312" w:cs="Times New Roman"/>
                <w:color w:val="auto"/>
                <w:sz w:val="24"/>
                <w:szCs w:val="32"/>
              </w:rPr>
            </w:pPr>
            <w:r>
              <w:rPr>
                <w:rFonts w:hint="eastAsia" w:ascii="Times New Roman" w:hAnsi="Times New Roman" w:eastAsia="仿宋_GB2312" w:cs="Times New Roman"/>
                <w:color w:val="auto"/>
                <w:sz w:val="24"/>
                <w:szCs w:val="32"/>
              </w:rPr>
              <w:t>专用质量特性</w:t>
            </w:r>
          </w:p>
        </w:tc>
        <w:tc>
          <w:tcPr>
            <w:tcW w:w="1134" w:type="dxa"/>
            <w:vAlign w:val="center"/>
          </w:tcPr>
          <w:p>
            <w:pPr>
              <w:jc w:val="center"/>
              <w:rPr>
                <w:rFonts w:ascii="Times New Roman" w:hAnsi="Times New Roman" w:eastAsia="仿宋_GB2312" w:cs="Times New Roman"/>
                <w:color w:val="auto"/>
                <w:sz w:val="24"/>
                <w:szCs w:val="32"/>
              </w:rPr>
            </w:pPr>
          </w:p>
        </w:tc>
        <w:tc>
          <w:tcPr>
            <w:tcW w:w="3827" w:type="dxa"/>
            <w:vAlign w:val="center"/>
          </w:tcPr>
          <w:p>
            <w:pPr>
              <w:jc w:val="left"/>
              <w:rPr>
                <w:rFonts w:ascii="Times New Roman" w:hAnsi="Times New Roman" w:eastAsia="仿宋_GB2312" w:cs="Times New Roman"/>
                <w:color w:val="auto"/>
                <w:sz w:val="24"/>
                <w:szCs w:val="32"/>
              </w:rPr>
            </w:pPr>
            <w:r>
              <w:rPr>
                <w:rFonts w:hint="eastAsia" w:ascii="Times New Roman" w:hAnsi="Times New Roman" w:eastAsia="仿宋_GB2312" w:cs="Times New Roman"/>
                <w:color w:val="auto"/>
                <w:sz w:val="24"/>
                <w:szCs w:val="32"/>
              </w:rPr>
              <w:t>重量指标、几何尺寸、飞行姿态的平稳度、航迹控制精度、地面站控制半径、定位精度等</w:t>
            </w:r>
          </w:p>
        </w:tc>
        <w:tc>
          <w:tcPr>
            <w:tcW w:w="3027" w:type="dxa"/>
            <w:vAlign w:val="center"/>
          </w:tcPr>
          <w:p>
            <w:pPr>
              <w:jc w:val="left"/>
              <w:rPr>
                <w:rFonts w:ascii="Times New Roman" w:hAnsi="Times New Roman" w:eastAsia="仿宋_GB2312" w:cs="Times New Roman"/>
                <w:color w:val="auto"/>
                <w:sz w:val="24"/>
                <w:szCs w:val="32"/>
              </w:rPr>
            </w:pPr>
            <w:r>
              <w:rPr>
                <w:rFonts w:hint="eastAsia" w:ascii="Times New Roman" w:hAnsi="Times New Roman" w:eastAsia="仿宋_GB2312" w:cs="Times New Roman"/>
                <w:color w:val="auto"/>
                <w:sz w:val="24"/>
                <w:szCs w:val="32"/>
              </w:rPr>
              <w:t>GJB 5433-2005《无人机系统通用要求》；</w:t>
            </w:r>
          </w:p>
          <w:p>
            <w:pPr>
              <w:jc w:val="left"/>
              <w:rPr>
                <w:rFonts w:ascii="Times New Roman" w:hAnsi="Times New Roman" w:eastAsia="仿宋_GB2312" w:cs="Times New Roman"/>
                <w:color w:val="auto"/>
                <w:sz w:val="24"/>
                <w:szCs w:val="32"/>
              </w:rPr>
            </w:pPr>
            <w:r>
              <w:rPr>
                <w:rFonts w:hint="eastAsia" w:ascii="Times New Roman" w:hAnsi="Times New Roman" w:eastAsia="仿宋_GB2312" w:cs="Times New Roman"/>
                <w:color w:val="auto"/>
                <w:sz w:val="24"/>
                <w:szCs w:val="32"/>
              </w:rPr>
              <w:t>GJB 5434-2005《无人机系统飞行试验通用要求》；</w:t>
            </w:r>
          </w:p>
          <w:p>
            <w:pPr>
              <w:jc w:val="left"/>
              <w:rPr>
                <w:rFonts w:ascii="Times New Roman" w:hAnsi="Times New Roman" w:eastAsia="仿宋_GB2312" w:cs="Times New Roman"/>
                <w:color w:val="auto"/>
                <w:sz w:val="24"/>
                <w:szCs w:val="32"/>
              </w:rPr>
            </w:pPr>
            <w:r>
              <w:rPr>
                <w:rFonts w:hint="eastAsia" w:ascii="Times New Roman" w:hAnsi="Times New Roman" w:eastAsia="仿宋_GB2312" w:cs="Times New Roman"/>
                <w:color w:val="auto"/>
                <w:sz w:val="24"/>
                <w:szCs w:val="32"/>
              </w:rPr>
              <w:t>GJB 6703-2009《无人机测控系统通用要求》；</w:t>
            </w:r>
          </w:p>
          <w:p>
            <w:pPr>
              <w:jc w:val="left"/>
              <w:rPr>
                <w:rFonts w:ascii="Times New Roman" w:hAnsi="Times New Roman" w:eastAsia="仿宋_GB2312" w:cs="Times New Roman"/>
                <w:color w:val="auto"/>
                <w:sz w:val="24"/>
                <w:szCs w:val="32"/>
              </w:rPr>
            </w:pPr>
            <w:r>
              <w:rPr>
                <w:rFonts w:hint="eastAsia" w:ascii="Times New Roman" w:hAnsi="Times New Roman" w:eastAsia="仿宋_GB2312" w:cs="Times New Roman"/>
                <w:color w:val="auto"/>
                <w:sz w:val="24"/>
                <w:szCs w:val="32"/>
              </w:rPr>
              <w:t>GJB 6760-2009《无人机北斗定位导航系统定型试验规程》</w:t>
            </w:r>
          </w:p>
        </w:tc>
      </w:tr>
    </w:tbl>
    <w:p>
      <w:pPr>
        <w:spacing w:line="560" w:lineRule="exact"/>
        <w:ind w:firstLine="640" w:firstLineChars="200"/>
        <w:rPr>
          <w:rFonts w:ascii="Times New Roman" w:hAnsi="Times New Roman" w:eastAsia="黑体" w:cs="Times New Roman"/>
          <w:color w:val="auto"/>
          <w:sz w:val="32"/>
          <w:szCs w:val="32"/>
        </w:rPr>
      </w:pPr>
      <w:r>
        <w:rPr>
          <w:rFonts w:hint="eastAsia" w:ascii="Times New Roman" w:hAnsi="Times New Roman" w:eastAsia="黑体" w:cs="Times New Roman"/>
          <w:color w:val="auto"/>
          <w:sz w:val="32"/>
          <w:szCs w:val="32"/>
        </w:rPr>
        <w:t>五、CNAS资质机构</w:t>
      </w:r>
    </w:p>
    <w:p>
      <w:pPr>
        <w:spacing w:line="560" w:lineRule="exact"/>
        <w:ind w:firstLine="640" w:firstLineChars="200"/>
        <w:rPr>
          <w:rFonts w:ascii="Times New Roman" w:hAnsi="Times New Roman" w:eastAsia="仿宋_GB2312" w:cs="Times New Roman"/>
          <w:color w:val="auto"/>
          <w:sz w:val="32"/>
          <w:szCs w:val="32"/>
        </w:rPr>
      </w:pPr>
      <w:bookmarkStart w:id="235" w:name="_Hlk182668118"/>
      <w:r>
        <w:rPr>
          <w:rFonts w:hint="eastAsia" w:ascii="Times New Roman" w:hAnsi="Times New Roman" w:eastAsia="仿宋_GB2312" w:cs="Times New Roman"/>
          <w:color w:val="auto"/>
          <w:sz w:val="32"/>
          <w:szCs w:val="32"/>
        </w:rPr>
        <w:t>目前，公开可查的，经国家认证认可监督管理委员会（CNAS）批准设立并授权，提供民用无人机检验检测服务（不包括军用通用质量特性检测）的验证机构有51家，主要信息见附表5-6。</w:t>
      </w:r>
    </w:p>
    <w:bookmarkEnd w:id="235"/>
    <w:p>
      <w:pPr>
        <w:spacing w:line="560" w:lineRule="exact"/>
        <w:ind w:firstLine="640" w:firstLineChars="200"/>
        <w:outlineLvl w:val="0"/>
        <w:rPr>
          <w:rFonts w:ascii="Times New Roman" w:hAnsi="Times New Roman" w:eastAsia="黑体" w:cs="Times New Roman"/>
          <w:color w:val="auto"/>
          <w:sz w:val="32"/>
          <w:szCs w:val="32"/>
        </w:rPr>
        <w:sectPr>
          <w:pgSz w:w="11906" w:h="16838"/>
          <w:pgMar w:top="2098" w:right="1474" w:bottom="1985" w:left="1588" w:header="851" w:footer="992" w:gutter="0"/>
          <w:cols w:space="425" w:num="1"/>
          <w:docGrid w:type="lines" w:linePitch="312" w:charSpace="0"/>
        </w:sectPr>
      </w:pPr>
    </w:p>
    <w:p>
      <w:pPr>
        <w:widowControl/>
        <w:spacing w:line="560" w:lineRule="exact"/>
        <w:jc w:val="center"/>
        <w:rPr>
          <w:rFonts w:ascii="Times New Roman" w:hAnsi="Times New Roman" w:eastAsia="楷体_GB2312" w:cs="Times New Roman"/>
          <w:color w:val="auto"/>
          <w:kern w:val="0"/>
          <w:sz w:val="24"/>
          <w:szCs w:val="24"/>
        </w:rPr>
      </w:pPr>
      <w:r>
        <w:rPr>
          <w:rFonts w:hint="eastAsia" w:ascii="Times New Roman" w:hAnsi="Times New Roman" w:eastAsia="楷体_GB2312" w:cs="Times New Roman"/>
          <w:color w:val="auto"/>
          <w:kern w:val="0"/>
          <w:sz w:val="24"/>
          <w:szCs w:val="24"/>
        </w:rPr>
        <w:t>附表5-6  CNAS资质无人机检测机构</w:t>
      </w:r>
    </w:p>
    <w:tbl>
      <w:tblPr>
        <w:tblStyle w:val="23"/>
        <w:tblW w:w="133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474"/>
        <w:gridCol w:w="3624"/>
        <w:gridCol w:w="7088"/>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tcW w:w="1474" w:type="dxa"/>
            <w:noWrap/>
            <w:tcMar>
              <w:top w:w="15" w:type="dxa"/>
              <w:left w:w="15" w:type="dxa"/>
              <w:bottom w:w="0" w:type="dxa"/>
              <w:right w:w="15" w:type="dxa"/>
            </w:tcMar>
            <w:vAlign w:val="center"/>
          </w:tcPr>
          <w:p>
            <w:pPr>
              <w:widowControl/>
              <w:jc w:val="center"/>
              <w:rPr>
                <w:rFonts w:ascii="Times New Roman" w:hAnsi="Times New Roman" w:eastAsia="黑体" w:cs="Times New Roman"/>
                <w:color w:val="auto"/>
                <w:sz w:val="22"/>
                <w:szCs w:val="24"/>
              </w:rPr>
            </w:pPr>
            <w:r>
              <w:rPr>
                <w:rFonts w:hint="eastAsia" w:ascii="Times New Roman" w:hAnsi="Times New Roman" w:eastAsia="黑体" w:cs="Times New Roman"/>
                <w:color w:val="auto"/>
                <w:sz w:val="22"/>
                <w:szCs w:val="24"/>
              </w:rPr>
              <w:t>证书号</w:t>
            </w:r>
          </w:p>
        </w:tc>
        <w:tc>
          <w:tcPr>
            <w:tcW w:w="3624" w:type="dxa"/>
            <w:noWrap/>
            <w:tcMar>
              <w:top w:w="15" w:type="dxa"/>
              <w:left w:w="15" w:type="dxa"/>
              <w:bottom w:w="0" w:type="dxa"/>
              <w:right w:w="15" w:type="dxa"/>
            </w:tcMar>
            <w:vAlign w:val="center"/>
          </w:tcPr>
          <w:p>
            <w:pPr>
              <w:jc w:val="center"/>
              <w:rPr>
                <w:rFonts w:ascii="Times New Roman" w:hAnsi="Times New Roman" w:eastAsia="黑体" w:cs="Times New Roman"/>
                <w:color w:val="auto"/>
                <w:sz w:val="22"/>
                <w:szCs w:val="24"/>
              </w:rPr>
            </w:pPr>
            <w:r>
              <w:rPr>
                <w:rFonts w:hint="eastAsia" w:ascii="Times New Roman" w:hAnsi="Times New Roman" w:eastAsia="黑体" w:cs="Times New Roman"/>
                <w:color w:val="auto"/>
                <w:sz w:val="22"/>
                <w:szCs w:val="24"/>
              </w:rPr>
              <w:t>机构名称</w:t>
            </w:r>
          </w:p>
        </w:tc>
        <w:tc>
          <w:tcPr>
            <w:tcW w:w="7088" w:type="dxa"/>
            <w:noWrap/>
            <w:tcMar>
              <w:top w:w="15" w:type="dxa"/>
              <w:left w:w="15" w:type="dxa"/>
              <w:bottom w:w="0" w:type="dxa"/>
              <w:right w:w="15" w:type="dxa"/>
            </w:tcMar>
            <w:vAlign w:val="center"/>
          </w:tcPr>
          <w:p>
            <w:pPr>
              <w:jc w:val="center"/>
              <w:rPr>
                <w:rFonts w:ascii="Times New Roman" w:hAnsi="Times New Roman" w:eastAsia="黑体" w:cs="Times New Roman"/>
                <w:color w:val="auto"/>
                <w:sz w:val="22"/>
                <w:szCs w:val="24"/>
              </w:rPr>
            </w:pPr>
            <w:r>
              <w:rPr>
                <w:rFonts w:hint="eastAsia" w:ascii="Times New Roman" w:hAnsi="Times New Roman" w:eastAsia="黑体" w:cs="Times New Roman"/>
                <w:color w:val="auto"/>
                <w:sz w:val="22"/>
                <w:szCs w:val="24"/>
              </w:rPr>
              <w:t>覆盖标准</w:t>
            </w:r>
          </w:p>
        </w:tc>
        <w:tc>
          <w:tcPr>
            <w:tcW w:w="1134" w:type="dxa"/>
            <w:noWrap/>
            <w:tcMar>
              <w:top w:w="15" w:type="dxa"/>
              <w:left w:w="15" w:type="dxa"/>
              <w:bottom w:w="0" w:type="dxa"/>
              <w:right w:w="15" w:type="dxa"/>
            </w:tcMar>
            <w:vAlign w:val="center"/>
          </w:tcPr>
          <w:p>
            <w:pPr>
              <w:jc w:val="center"/>
              <w:rPr>
                <w:rFonts w:ascii="Times New Roman" w:hAnsi="Times New Roman" w:eastAsia="黑体" w:cs="Times New Roman"/>
                <w:color w:val="auto"/>
                <w:sz w:val="22"/>
                <w:szCs w:val="24"/>
              </w:rPr>
            </w:pPr>
            <w:r>
              <w:rPr>
                <w:rFonts w:hint="eastAsia" w:ascii="Times New Roman" w:hAnsi="Times New Roman" w:eastAsia="黑体" w:cs="Times New Roman"/>
                <w:color w:val="auto"/>
                <w:sz w:val="22"/>
                <w:szCs w:val="24"/>
              </w:rPr>
              <w:t>场所地址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1474" w:type="dxa"/>
            <w:noWrap/>
            <w:tcMar>
              <w:top w:w="15" w:type="dxa"/>
              <w:left w:w="15" w:type="dxa"/>
              <w:bottom w:w="0" w:type="dxa"/>
              <w:right w:w="15" w:type="dxa"/>
            </w:tcMar>
            <w:vAlign w:val="center"/>
          </w:tcPr>
          <w:p>
            <w:pPr>
              <w:jc w:val="center"/>
              <w:rPr>
                <w:rFonts w:ascii="Times New Roman" w:hAnsi="Times New Roman" w:eastAsia="仿宋_GB2312" w:cs="Times New Roman"/>
                <w:color w:val="auto"/>
                <w:sz w:val="22"/>
                <w:szCs w:val="24"/>
              </w:rPr>
            </w:pPr>
            <w:r>
              <w:rPr>
                <w:rFonts w:hint="eastAsia" w:ascii="Times New Roman" w:hAnsi="Times New Roman" w:eastAsia="仿宋_GB2312" w:cs="Times New Roman"/>
                <w:color w:val="auto"/>
                <w:sz w:val="22"/>
                <w:szCs w:val="24"/>
              </w:rPr>
              <w:t>180009011125</w:t>
            </w:r>
          </w:p>
        </w:tc>
        <w:tc>
          <w:tcPr>
            <w:tcW w:w="3624" w:type="dxa"/>
            <w:noWrap/>
            <w:tcMar>
              <w:top w:w="15" w:type="dxa"/>
              <w:left w:w="15" w:type="dxa"/>
              <w:bottom w:w="0" w:type="dxa"/>
              <w:right w:w="15" w:type="dxa"/>
            </w:tcMar>
            <w:vAlign w:val="center"/>
          </w:tcPr>
          <w:p>
            <w:pPr>
              <w:jc w:val="center"/>
              <w:rPr>
                <w:rFonts w:ascii="Times New Roman" w:hAnsi="Times New Roman" w:eastAsia="仿宋_GB2312" w:cs="Times New Roman"/>
                <w:color w:val="auto"/>
                <w:sz w:val="22"/>
                <w:szCs w:val="24"/>
              </w:rPr>
            </w:pPr>
            <w:r>
              <w:rPr>
                <w:rFonts w:hint="eastAsia" w:ascii="Times New Roman" w:hAnsi="Times New Roman" w:eastAsia="仿宋_GB2312" w:cs="Times New Roman"/>
                <w:color w:val="auto"/>
                <w:sz w:val="22"/>
                <w:szCs w:val="24"/>
              </w:rPr>
              <w:t>信息产业数据通信产品质量监督检验中心</w:t>
            </w:r>
          </w:p>
        </w:tc>
        <w:tc>
          <w:tcPr>
            <w:tcW w:w="7088" w:type="dxa"/>
            <w:noWrap/>
            <w:tcMar>
              <w:top w:w="15" w:type="dxa"/>
              <w:left w:w="15" w:type="dxa"/>
              <w:bottom w:w="0" w:type="dxa"/>
              <w:right w:w="15" w:type="dxa"/>
            </w:tcMar>
            <w:vAlign w:val="center"/>
          </w:tcPr>
          <w:p>
            <w:pPr>
              <w:rPr>
                <w:rFonts w:ascii="Times New Roman" w:hAnsi="Times New Roman" w:eastAsia="仿宋_GB2312" w:cs="Times New Roman"/>
                <w:color w:val="auto"/>
                <w:sz w:val="22"/>
                <w:szCs w:val="24"/>
              </w:rPr>
            </w:pPr>
            <w:r>
              <w:rPr>
                <w:rFonts w:hint="eastAsia" w:ascii="Times New Roman" w:hAnsi="Times New Roman" w:eastAsia="仿宋_GB2312" w:cs="Times New Roman"/>
                <w:color w:val="auto"/>
                <w:sz w:val="22"/>
                <w:szCs w:val="24"/>
              </w:rPr>
              <w:t>民用轻小型无人机系统电磁兼容性要求与试验方法(GB/T 38909-2020)</w:t>
            </w:r>
          </w:p>
        </w:tc>
        <w:tc>
          <w:tcPr>
            <w:tcW w:w="1134" w:type="dxa"/>
            <w:noWrap/>
            <w:tcMar>
              <w:top w:w="15" w:type="dxa"/>
              <w:left w:w="15" w:type="dxa"/>
              <w:bottom w:w="0" w:type="dxa"/>
              <w:right w:w="15" w:type="dxa"/>
            </w:tcMar>
            <w:vAlign w:val="center"/>
          </w:tcPr>
          <w:p>
            <w:pPr>
              <w:jc w:val="center"/>
              <w:rPr>
                <w:rFonts w:ascii="Times New Roman" w:hAnsi="Times New Roman" w:eastAsia="仿宋_GB2312" w:cs="Times New Roman"/>
                <w:color w:val="auto"/>
                <w:sz w:val="22"/>
                <w:szCs w:val="24"/>
              </w:rPr>
            </w:pPr>
            <w:r>
              <w:rPr>
                <w:rFonts w:hint="eastAsia" w:ascii="Times New Roman" w:hAnsi="Times New Roman" w:eastAsia="仿宋_GB2312" w:cs="Times New Roman"/>
                <w:color w:val="auto"/>
                <w:sz w:val="22"/>
                <w:szCs w:val="24"/>
              </w:rPr>
              <w:t>北京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1474" w:type="dxa"/>
            <w:noWrap/>
            <w:tcMar>
              <w:top w:w="15" w:type="dxa"/>
              <w:left w:w="15" w:type="dxa"/>
              <w:bottom w:w="0" w:type="dxa"/>
              <w:right w:w="15" w:type="dxa"/>
            </w:tcMar>
            <w:vAlign w:val="center"/>
          </w:tcPr>
          <w:p>
            <w:pPr>
              <w:jc w:val="center"/>
              <w:rPr>
                <w:rFonts w:ascii="Times New Roman" w:hAnsi="Times New Roman" w:eastAsia="仿宋_GB2312" w:cs="Times New Roman"/>
                <w:color w:val="auto"/>
                <w:sz w:val="22"/>
                <w:szCs w:val="24"/>
              </w:rPr>
            </w:pPr>
            <w:r>
              <w:rPr>
                <w:rFonts w:hint="eastAsia" w:ascii="Times New Roman" w:hAnsi="Times New Roman" w:eastAsia="仿宋_GB2312" w:cs="Times New Roman"/>
                <w:color w:val="auto"/>
                <w:sz w:val="22"/>
                <w:szCs w:val="24"/>
              </w:rPr>
              <w:t>180021181944</w:t>
            </w:r>
          </w:p>
        </w:tc>
        <w:tc>
          <w:tcPr>
            <w:tcW w:w="3624" w:type="dxa"/>
            <w:noWrap/>
            <w:tcMar>
              <w:top w:w="15" w:type="dxa"/>
              <w:left w:w="15" w:type="dxa"/>
              <w:bottom w:w="0" w:type="dxa"/>
              <w:right w:w="15" w:type="dxa"/>
            </w:tcMar>
            <w:vAlign w:val="center"/>
          </w:tcPr>
          <w:p>
            <w:pPr>
              <w:jc w:val="center"/>
              <w:rPr>
                <w:rFonts w:ascii="Times New Roman" w:hAnsi="Times New Roman" w:eastAsia="仿宋_GB2312" w:cs="Times New Roman"/>
                <w:color w:val="auto"/>
                <w:sz w:val="22"/>
                <w:szCs w:val="24"/>
              </w:rPr>
            </w:pPr>
            <w:r>
              <w:rPr>
                <w:rFonts w:hint="eastAsia" w:ascii="Times New Roman" w:hAnsi="Times New Roman" w:eastAsia="仿宋_GB2312" w:cs="Times New Roman"/>
                <w:color w:val="auto"/>
                <w:sz w:val="22"/>
                <w:szCs w:val="24"/>
              </w:rPr>
              <w:t>北京东方计量测试研究所</w:t>
            </w:r>
          </w:p>
        </w:tc>
        <w:tc>
          <w:tcPr>
            <w:tcW w:w="7088" w:type="dxa"/>
            <w:noWrap/>
            <w:tcMar>
              <w:top w:w="15" w:type="dxa"/>
              <w:left w:w="15" w:type="dxa"/>
              <w:bottom w:w="0" w:type="dxa"/>
              <w:right w:w="15" w:type="dxa"/>
            </w:tcMar>
            <w:vAlign w:val="center"/>
          </w:tcPr>
          <w:p>
            <w:pPr>
              <w:rPr>
                <w:rFonts w:ascii="Times New Roman" w:hAnsi="Times New Roman" w:eastAsia="仿宋_GB2312" w:cs="Times New Roman"/>
                <w:color w:val="auto"/>
                <w:sz w:val="22"/>
                <w:szCs w:val="24"/>
              </w:rPr>
            </w:pPr>
            <w:r>
              <w:rPr>
                <w:rFonts w:hint="eastAsia" w:ascii="Times New Roman" w:hAnsi="Times New Roman" w:eastAsia="仿宋_GB2312" w:cs="Times New Roman"/>
                <w:color w:val="auto"/>
                <w:sz w:val="22"/>
                <w:szCs w:val="24"/>
              </w:rPr>
              <w:t>无人机北斗定位导航系统定型试验规程(GJB 6760-2009)</w:t>
            </w:r>
          </w:p>
        </w:tc>
        <w:tc>
          <w:tcPr>
            <w:tcW w:w="1134" w:type="dxa"/>
            <w:noWrap/>
            <w:tcMar>
              <w:top w:w="15" w:type="dxa"/>
              <w:left w:w="15" w:type="dxa"/>
              <w:bottom w:w="0" w:type="dxa"/>
              <w:right w:w="15" w:type="dxa"/>
            </w:tcMar>
            <w:vAlign w:val="center"/>
          </w:tcPr>
          <w:p>
            <w:pPr>
              <w:jc w:val="center"/>
              <w:rPr>
                <w:rFonts w:ascii="Times New Roman" w:hAnsi="Times New Roman" w:eastAsia="仿宋_GB2312" w:cs="Times New Roman"/>
                <w:color w:val="auto"/>
                <w:sz w:val="22"/>
                <w:szCs w:val="24"/>
              </w:rPr>
            </w:pPr>
            <w:r>
              <w:rPr>
                <w:rFonts w:hint="eastAsia" w:ascii="Times New Roman" w:hAnsi="Times New Roman" w:eastAsia="仿宋_GB2312" w:cs="Times New Roman"/>
                <w:color w:val="auto"/>
                <w:sz w:val="22"/>
                <w:szCs w:val="24"/>
              </w:rPr>
              <w:t>北京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1474" w:type="dxa"/>
            <w:noWrap/>
            <w:tcMar>
              <w:top w:w="15" w:type="dxa"/>
              <w:left w:w="15" w:type="dxa"/>
              <w:bottom w:w="0" w:type="dxa"/>
              <w:right w:w="15" w:type="dxa"/>
            </w:tcMar>
            <w:vAlign w:val="center"/>
          </w:tcPr>
          <w:p>
            <w:pPr>
              <w:jc w:val="center"/>
              <w:rPr>
                <w:rFonts w:ascii="Times New Roman" w:hAnsi="Times New Roman" w:eastAsia="仿宋_GB2312" w:cs="Times New Roman"/>
                <w:color w:val="auto"/>
                <w:sz w:val="22"/>
                <w:szCs w:val="24"/>
              </w:rPr>
            </w:pPr>
            <w:r>
              <w:rPr>
                <w:rFonts w:hint="eastAsia" w:ascii="Times New Roman" w:hAnsi="Times New Roman" w:eastAsia="仿宋_GB2312" w:cs="Times New Roman"/>
                <w:color w:val="auto"/>
                <w:sz w:val="22"/>
                <w:szCs w:val="24"/>
              </w:rPr>
              <w:t>180021183673</w:t>
            </w:r>
          </w:p>
        </w:tc>
        <w:tc>
          <w:tcPr>
            <w:tcW w:w="3624" w:type="dxa"/>
            <w:noWrap/>
            <w:tcMar>
              <w:top w:w="15" w:type="dxa"/>
              <w:left w:w="15" w:type="dxa"/>
              <w:bottom w:w="0" w:type="dxa"/>
              <w:right w:w="15" w:type="dxa"/>
            </w:tcMar>
            <w:vAlign w:val="center"/>
          </w:tcPr>
          <w:p>
            <w:pPr>
              <w:jc w:val="center"/>
              <w:rPr>
                <w:rFonts w:ascii="Times New Roman" w:hAnsi="Times New Roman" w:eastAsia="仿宋_GB2312" w:cs="Times New Roman"/>
                <w:color w:val="auto"/>
                <w:sz w:val="22"/>
                <w:szCs w:val="24"/>
              </w:rPr>
            </w:pPr>
            <w:r>
              <w:rPr>
                <w:rFonts w:hint="eastAsia" w:ascii="Times New Roman" w:hAnsi="Times New Roman" w:eastAsia="仿宋_GB2312" w:cs="Times New Roman"/>
                <w:color w:val="auto"/>
                <w:sz w:val="22"/>
                <w:szCs w:val="24"/>
              </w:rPr>
              <w:t>国家卫星应用产品质量监督检验中心</w:t>
            </w:r>
          </w:p>
        </w:tc>
        <w:tc>
          <w:tcPr>
            <w:tcW w:w="7088" w:type="dxa"/>
            <w:noWrap/>
            <w:tcMar>
              <w:top w:w="15" w:type="dxa"/>
              <w:left w:w="15" w:type="dxa"/>
              <w:bottom w:w="0" w:type="dxa"/>
              <w:right w:w="15" w:type="dxa"/>
            </w:tcMar>
            <w:vAlign w:val="center"/>
          </w:tcPr>
          <w:p>
            <w:pPr>
              <w:rPr>
                <w:rFonts w:ascii="Times New Roman" w:hAnsi="Times New Roman" w:eastAsia="仿宋_GB2312" w:cs="Times New Roman"/>
                <w:color w:val="auto"/>
                <w:sz w:val="22"/>
                <w:szCs w:val="24"/>
              </w:rPr>
            </w:pPr>
            <w:r>
              <w:rPr>
                <w:rFonts w:hint="eastAsia" w:ascii="Times New Roman" w:hAnsi="Times New Roman" w:eastAsia="仿宋_GB2312" w:cs="Times New Roman"/>
                <w:color w:val="auto"/>
                <w:sz w:val="22"/>
                <w:szCs w:val="24"/>
              </w:rPr>
              <w:t>无人机北斗定位导航系统定型试验规程(GJB 6760-2009)</w:t>
            </w:r>
          </w:p>
        </w:tc>
        <w:tc>
          <w:tcPr>
            <w:tcW w:w="1134" w:type="dxa"/>
            <w:noWrap/>
            <w:tcMar>
              <w:top w:w="15" w:type="dxa"/>
              <w:left w:w="15" w:type="dxa"/>
              <w:bottom w:w="0" w:type="dxa"/>
              <w:right w:w="15" w:type="dxa"/>
            </w:tcMar>
            <w:vAlign w:val="center"/>
          </w:tcPr>
          <w:p>
            <w:pPr>
              <w:jc w:val="center"/>
              <w:rPr>
                <w:rFonts w:ascii="Times New Roman" w:hAnsi="Times New Roman" w:eastAsia="仿宋_GB2312" w:cs="Times New Roman"/>
                <w:color w:val="auto"/>
                <w:sz w:val="22"/>
                <w:szCs w:val="24"/>
              </w:rPr>
            </w:pPr>
            <w:r>
              <w:rPr>
                <w:rFonts w:hint="eastAsia" w:ascii="Times New Roman" w:hAnsi="Times New Roman" w:eastAsia="仿宋_GB2312" w:cs="Times New Roman"/>
                <w:color w:val="auto"/>
                <w:sz w:val="22"/>
                <w:szCs w:val="24"/>
              </w:rPr>
              <w:t>北京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1474" w:type="dxa"/>
            <w:noWrap/>
            <w:tcMar>
              <w:top w:w="15" w:type="dxa"/>
              <w:left w:w="15" w:type="dxa"/>
              <w:bottom w:w="0" w:type="dxa"/>
              <w:right w:w="15" w:type="dxa"/>
            </w:tcMar>
            <w:vAlign w:val="center"/>
          </w:tcPr>
          <w:p>
            <w:pPr>
              <w:jc w:val="center"/>
              <w:rPr>
                <w:rFonts w:ascii="Times New Roman" w:hAnsi="Times New Roman" w:eastAsia="仿宋_GB2312" w:cs="Times New Roman"/>
                <w:color w:val="auto"/>
                <w:sz w:val="22"/>
                <w:szCs w:val="24"/>
              </w:rPr>
            </w:pPr>
            <w:r>
              <w:rPr>
                <w:rFonts w:hint="eastAsia" w:ascii="Times New Roman" w:hAnsi="Times New Roman" w:eastAsia="仿宋_GB2312" w:cs="Times New Roman"/>
                <w:color w:val="auto"/>
                <w:sz w:val="22"/>
                <w:szCs w:val="24"/>
              </w:rPr>
              <w:t>180021340712</w:t>
            </w:r>
          </w:p>
        </w:tc>
        <w:tc>
          <w:tcPr>
            <w:tcW w:w="3624" w:type="dxa"/>
            <w:noWrap/>
            <w:tcMar>
              <w:top w:w="15" w:type="dxa"/>
              <w:left w:w="15" w:type="dxa"/>
              <w:bottom w:w="0" w:type="dxa"/>
              <w:right w:w="15" w:type="dxa"/>
            </w:tcMar>
            <w:vAlign w:val="center"/>
          </w:tcPr>
          <w:p>
            <w:pPr>
              <w:jc w:val="center"/>
              <w:rPr>
                <w:rFonts w:ascii="Times New Roman" w:hAnsi="Times New Roman" w:eastAsia="仿宋_GB2312" w:cs="Times New Roman"/>
                <w:color w:val="auto"/>
                <w:sz w:val="22"/>
                <w:szCs w:val="24"/>
              </w:rPr>
            </w:pPr>
            <w:r>
              <w:rPr>
                <w:rFonts w:hint="eastAsia" w:ascii="Times New Roman" w:hAnsi="Times New Roman" w:eastAsia="仿宋_GB2312" w:cs="Times New Roman"/>
                <w:color w:val="auto"/>
                <w:sz w:val="22"/>
                <w:szCs w:val="24"/>
              </w:rPr>
              <w:t>国家光电测距仪检测中心</w:t>
            </w:r>
          </w:p>
        </w:tc>
        <w:tc>
          <w:tcPr>
            <w:tcW w:w="7088" w:type="dxa"/>
            <w:noWrap/>
            <w:tcMar>
              <w:top w:w="15" w:type="dxa"/>
              <w:left w:w="15" w:type="dxa"/>
              <w:bottom w:w="0" w:type="dxa"/>
              <w:right w:w="15" w:type="dxa"/>
            </w:tcMar>
            <w:vAlign w:val="center"/>
          </w:tcPr>
          <w:p>
            <w:pPr>
              <w:rPr>
                <w:rFonts w:ascii="Times New Roman" w:hAnsi="Times New Roman" w:eastAsia="仿宋_GB2312" w:cs="Times New Roman"/>
                <w:color w:val="auto"/>
                <w:sz w:val="22"/>
                <w:szCs w:val="24"/>
              </w:rPr>
            </w:pPr>
            <w:r>
              <w:rPr>
                <w:rFonts w:hint="eastAsia" w:ascii="Times New Roman" w:hAnsi="Times New Roman" w:eastAsia="仿宋_GB2312" w:cs="Times New Roman"/>
                <w:color w:val="auto"/>
                <w:sz w:val="22"/>
                <w:szCs w:val="24"/>
              </w:rPr>
              <w:t>无人机航摄系统技术要求(CH/Z 3002-2010)</w:t>
            </w:r>
          </w:p>
        </w:tc>
        <w:tc>
          <w:tcPr>
            <w:tcW w:w="1134" w:type="dxa"/>
            <w:noWrap/>
            <w:tcMar>
              <w:top w:w="15" w:type="dxa"/>
              <w:left w:w="15" w:type="dxa"/>
              <w:bottom w:w="0" w:type="dxa"/>
              <w:right w:w="15" w:type="dxa"/>
            </w:tcMar>
            <w:vAlign w:val="center"/>
          </w:tcPr>
          <w:p>
            <w:pPr>
              <w:jc w:val="center"/>
              <w:rPr>
                <w:rFonts w:ascii="Times New Roman" w:hAnsi="Times New Roman" w:eastAsia="仿宋_GB2312" w:cs="Times New Roman"/>
                <w:color w:val="auto"/>
                <w:sz w:val="22"/>
                <w:szCs w:val="24"/>
              </w:rPr>
            </w:pPr>
            <w:r>
              <w:rPr>
                <w:rFonts w:hint="eastAsia" w:ascii="Times New Roman" w:hAnsi="Times New Roman" w:eastAsia="仿宋_GB2312" w:cs="Times New Roman"/>
                <w:color w:val="auto"/>
                <w:sz w:val="22"/>
                <w:szCs w:val="24"/>
              </w:rPr>
              <w:t>北京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1474" w:type="dxa"/>
            <w:noWrap/>
            <w:tcMar>
              <w:top w:w="15" w:type="dxa"/>
              <w:left w:w="15" w:type="dxa"/>
              <w:bottom w:w="0" w:type="dxa"/>
              <w:right w:w="15" w:type="dxa"/>
            </w:tcMar>
            <w:vAlign w:val="center"/>
          </w:tcPr>
          <w:p>
            <w:pPr>
              <w:jc w:val="center"/>
              <w:rPr>
                <w:rFonts w:ascii="Times New Roman" w:hAnsi="Times New Roman" w:eastAsia="仿宋_GB2312" w:cs="Times New Roman"/>
                <w:color w:val="auto"/>
                <w:sz w:val="22"/>
                <w:szCs w:val="24"/>
              </w:rPr>
            </w:pPr>
            <w:r>
              <w:rPr>
                <w:rFonts w:hint="eastAsia" w:ascii="Times New Roman" w:hAnsi="Times New Roman" w:eastAsia="仿宋_GB2312" w:cs="Times New Roman"/>
                <w:color w:val="auto"/>
                <w:sz w:val="22"/>
                <w:szCs w:val="24"/>
              </w:rPr>
              <w:t>210009344471</w:t>
            </w:r>
          </w:p>
        </w:tc>
        <w:tc>
          <w:tcPr>
            <w:tcW w:w="3624" w:type="dxa"/>
            <w:noWrap/>
            <w:tcMar>
              <w:top w:w="15" w:type="dxa"/>
              <w:left w:w="15" w:type="dxa"/>
              <w:bottom w:w="0" w:type="dxa"/>
              <w:right w:w="15" w:type="dxa"/>
            </w:tcMar>
            <w:vAlign w:val="center"/>
          </w:tcPr>
          <w:p>
            <w:pPr>
              <w:jc w:val="center"/>
              <w:rPr>
                <w:rFonts w:ascii="Times New Roman" w:hAnsi="Times New Roman" w:eastAsia="仿宋_GB2312" w:cs="Times New Roman"/>
                <w:color w:val="auto"/>
                <w:sz w:val="22"/>
                <w:szCs w:val="24"/>
              </w:rPr>
            </w:pPr>
            <w:r>
              <w:rPr>
                <w:rFonts w:hint="eastAsia" w:ascii="Times New Roman" w:hAnsi="Times New Roman" w:eastAsia="仿宋_GB2312" w:cs="Times New Roman"/>
                <w:color w:val="auto"/>
                <w:sz w:val="22"/>
                <w:szCs w:val="24"/>
              </w:rPr>
              <w:t>博鼎实华（北京）技术有限公司</w:t>
            </w:r>
          </w:p>
        </w:tc>
        <w:tc>
          <w:tcPr>
            <w:tcW w:w="7088" w:type="dxa"/>
            <w:noWrap/>
            <w:tcMar>
              <w:top w:w="15" w:type="dxa"/>
              <w:left w:w="15" w:type="dxa"/>
              <w:bottom w:w="0" w:type="dxa"/>
              <w:right w:w="15" w:type="dxa"/>
            </w:tcMar>
            <w:vAlign w:val="center"/>
          </w:tcPr>
          <w:p>
            <w:pPr>
              <w:rPr>
                <w:rFonts w:ascii="Times New Roman" w:hAnsi="Times New Roman" w:eastAsia="仿宋_GB2312" w:cs="Times New Roman"/>
                <w:color w:val="auto"/>
                <w:sz w:val="22"/>
                <w:szCs w:val="24"/>
              </w:rPr>
            </w:pPr>
            <w:r>
              <w:rPr>
                <w:rFonts w:hint="eastAsia" w:ascii="Times New Roman" w:hAnsi="Times New Roman" w:eastAsia="仿宋_GB2312" w:cs="Times New Roman"/>
                <w:color w:val="auto"/>
                <w:sz w:val="22"/>
                <w:szCs w:val="24"/>
              </w:rPr>
              <w:t>民用轻小型无人机系统电磁兼容性要求与试验方法(GB/T 38909-2020)</w:t>
            </w:r>
          </w:p>
        </w:tc>
        <w:tc>
          <w:tcPr>
            <w:tcW w:w="1134" w:type="dxa"/>
            <w:noWrap/>
            <w:tcMar>
              <w:top w:w="15" w:type="dxa"/>
              <w:left w:w="15" w:type="dxa"/>
              <w:bottom w:w="0" w:type="dxa"/>
              <w:right w:w="15" w:type="dxa"/>
            </w:tcMar>
            <w:vAlign w:val="center"/>
          </w:tcPr>
          <w:p>
            <w:pPr>
              <w:jc w:val="center"/>
              <w:rPr>
                <w:rFonts w:ascii="Times New Roman" w:hAnsi="Times New Roman" w:eastAsia="仿宋_GB2312" w:cs="Times New Roman"/>
                <w:color w:val="auto"/>
                <w:sz w:val="22"/>
                <w:szCs w:val="24"/>
              </w:rPr>
            </w:pPr>
            <w:r>
              <w:rPr>
                <w:rFonts w:hint="eastAsia" w:ascii="Times New Roman" w:hAnsi="Times New Roman" w:eastAsia="仿宋_GB2312" w:cs="Times New Roman"/>
                <w:color w:val="auto"/>
                <w:sz w:val="22"/>
                <w:szCs w:val="24"/>
              </w:rPr>
              <w:t>北京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1474" w:type="dxa"/>
            <w:noWrap/>
            <w:tcMar>
              <w:top w:w="15" w:type="dxa"/>
              <w:left w:w="15" w:type="dxa"/>
              <w:bottom w:w="0" w:type="dxa"/>
              <w:right w:w="15" w:type="dxa"/>
            </w:tcMar>
            <w:vAlign w:val="center"/>
          </w:tcPr>
          <w:p>
            <w:pPr>
              <w:jc w:val="center"/>
              <w:rPr>
                <w:rFonts w:ascii="Times New Roman" w:hAnsi="Times New Roman" w:eastAsia="仿宋_GB2312" w:cs="Times New Roman"/>
                <w:color w:val="auto"/>
                <w:sz w:val="22"/>
                <w:szCs w:val="24"/>
              </w:rPr>
            </w:pPr>
            <w:r>
              <w:rPr>
                <w:rFonts w:hint="eastAsia" w:ascii="Times New Roman" w:hAnsi="Times New Roman" w:eastAsia="仿宋_GB2312" w:cs="Times New Roman"/>
                <w:color w:val="auto"/>
                <w:sz w:val="22"/>
                <w:szCs w:val="24"/>
              </w:rPr>
              <w:t>220009343270</w:t>
            </w:r>
          </w:p>
        </w:tc>
        <w:tc>
          <w:tcPr>
            <w:tcW w:w="3624" w:type="dxa"/>
            <w:noWrap/>
            <w:tcMar>
              <w:top w:w="15" w:type="dxa"/>
              <w:left w:w="15" w:type="dxa"/>
              <w:bottom w:w="0" w:type="dxa"/>
              <w:right w:w="15" w:type="dxa"/>
            </w:tcMar>
            <w:vAlign w:val="center"/>
          </w:tcPr>
          <w:p>
            <w:pPr>
              <w:jc w:val="center"/>
              <w:rPr>
                <w:rFonts w:ascii="Times New Roman" w:hAnsi="Times New Roman" w:eastAsia="仿宋_GB2312" w:cs="Times New Roman"/>
                <w:color w:val="auto"/>
                <w:sz w:val="22"/>
                <w:szCs w:val="24"/>
              </w:rPr>
            </w:pPr>
            <w:r>
              <w:rPr>
                <w:rFonts w:hint="eastAsia" w:ascii="Times New Roman" w:hAnsi="Times New Roman" w:eastAsia="仿宋_GB2312" w:cs="Times New Roman"/>
                <w:color w:val="auto"/>
                <w:sz w:val="22"/>
                <w:szCs w:val="24"/>
              </w:rPr>
              <w:t>北京中认检测技术服务有限公司</w:t>
            </w:r>
          </w:p>
        </w:tc>
        <w:tc>
          <w:tcPr>
            <w:tcW w:w="7088" w:type="dxa"/>
            <w:noWrap/>
            <w:tcMar>
              <w:top w:w="15" w:type="dxa"/>
              <w:left w:w="15" w:type="dxa"/>
              <w:bottom w:w="0" w:type="dxa"/>
              <w:right w:w="15" w:type="dxa"/>
            </w:tcMar>
            <w:vAlign w:val="center"/>
          </w:tcPr>
          <w:p>
            <w:pPr>
              <w:rPr>
                <w:rFonts w:ascii="Times New Roman" w:hAnsi="Times New Roman" w:eastAsia="仿宋_GB2312" w:cs="Times New Roman"/>
                <w:color w:val="auto"/>
                <w:sz w:val="22"/>
                <w:szCs w:val="24"/>
              </w:rPr>
            </w:pPr>
            <w:r>
              <w:rPr>
                <w:rFonts w:hint="eastAsia" w:ascii="Times New Roman" w:hAnsi="Times New Roman" w:eastAsia="仿宋_GB2312" w:cs="Times New Roman"/>
                <w:color w:val="auto"/>
                <w:sz w:val="22"/>
                <w:szCs w:val="24"/>
              </w:rPr>
              <w:t>民用无人驾驶航空器系统安全要求(GB 42590-2023)，民用轻小型无人机系统电磁兼容性要求与试验方法(GB/T 38909-2020)，民用无人机唯一产品识别码(GB/T 41300-2022)</w:t>
            </w:r>
          </w:p>
        </w:tc>
        <w:tc>
          <w:tcPr>
            <w:tcW w:w="1134" w:type="dxa"/>
            <w:noWrap/>
            <w:tcMar>
              <w:top w:w="15" w:type="dxa"/>
              <w:left w:w="15" w:type="dxa"/>
              <w:bottom w:w="0" w:type="dxa"/>
              <w:right w:w="15" w:type="dxa"/>
            </w:tcMar>
            <w:vAlign w:val="center"/>
          </w:tcPr>
          <w:p>
            <w:pPr>
              <w:jc w:val="center"/>
              <w:rPr>
                <w:rFonts w:ascii="Times New Roman" w:hAnsi="Times New Roman" w:eastAsia="仿宋_GB2312" w:cs="Times New Roman"/>
                <w:color w:val="auto"/>
                <w:sz w:val="22"/>
                <w:szCs w:val="24"/>
              </w:rPr>
            </w:pPr>
            <w:r>
              <w:rPr>
                <w:rFonts w:hint="eastAsia" w:ascii="Times New Roman" w:hAnsi="Times New Roman" w:eastAsia="仿宋_GB2312" w:cs="Times New Roman"/>
                <w:color w:val="auto"/>
                <w:sz w:val="22"/>
                <w:szCs w:val="24"/>
              </w:rPr>
              <w:t>北京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1474" w:type="dxa"/>
            <w:noWrap/>
            <w:tcMar>
              <w:top w:w="15" w:type="dxa"/>
              <w:left w:w="15" w:type="dxa"/>
              <w:bottom w:w="0" w:type="dxa"/>
              <w:right w:w="15" w:type="dxa"/>
            </w:tcMar>
            <w:vAlign w:val="center"/>
          </w:tcPr>
          <w:p>
            <w:pPr>
              <w:jc w:val="center"/>
              <w:rPr>
                <w:rFonts w:ascii="Times New Roman" w:hAnsi="Times New Roman" w:eastAsia="仿宋_GB2312" w:cs="Times New Roman"/>
                <w:color w:val="auto"/>
                <w:sz w:val="22"/>
                <w:szCs w:val="24"/>
              </w:rPr>
            </w:pPr>
            <w:r>
              <w:rPr>
                <w:rFonts w:hint="eastAsia" w:ascii="Times New Roman" w:hAnsi="Times New Roman" w:eastAsia="仿宋_GB2312" w:cs="Times New Roman"/>
                <w:color w:val="auto"/>
                <w:sz w:val="22"/>
                <w:szCs w:val="24"/>
              </w:rPr>
              <w:t>220009349580</w:t>
            </w:r>
          </w:p>
        </w:tc>
        <w:tc>
          <w:tcPr>
            <w:tcW w:w="3624" w:type="dxa"/>
            <w:noWrap/>
            <w:tcMar>
              <w:top w:w="15" w:type="dxa"/>
              <w:left w:w="15" w:type="dxa"/>
              <w:bottom w:w="0" w:type="dxa"/>
              <w:right w:w="15" w:type="dxa"/>
            </w:tcMar>
            <w:vAlign w:val="center"/>
          </w:tcPr>
          <w:p>
            <w:pPr>
              <w:jc w:val="center"/>
              <w:rPr>
                <w:rFonts w:ascii="Times New Roman" w:hAnsi="Times New Roman" w:eastAsia="仿宋_GB2312" w:cs="Times New Roman"/>
                <w:color w:val="auto"/>
                <w:sz w:val="22"/>
                <w:szCs w:val="24"/>
              </w:rPr>
            </w:pPr>
            <w:r>
              <w:rPr>
                <w:rFonts w:hint="eastAsia" w:ascii="Times New Roman" w:hAnsi="Times New Roman" w:eastAsia="仿宋_GB2312" w:cs="Times New Roman"/>
                <w:color w:val="auto"/>
                <w:sz w:val="22"/>
                <w:szCs w:val="24"/>
              </w:rPr>
              <w:t>中国电子技术标准化研究院（赛西实验室）</w:t>
            </w:r>
          </w:p>
        </w:tc>
        <w:tc>
          <w:tcPr>
            <w:tcW w:w="7088" w:type="dxa"/>
            <w:noWrap/>
            <w:tcMar>
              <w:top w:w="15" w:type="dxa"/>
              <w:left w:w="15" w:type="dxa"/>
              <w:bottom w:w="0" w:type="dxa"/>
              <w:right w:w="15" w:type="dxa"/>
            </w:tcMar>
            <w:vAlign w:val="center"/>
          </w:tcPr>
          <w:p>
            <w:pPr>
              <w:rPr>
                <w:rFonts w:ascii="Times New Roman" w:hAnsi="Times New Roman" w:eastAsia="仿宋_GB2312" w:cs="Times New Roman"/>
                <w:color w:val="auto"/>
                <w:sz w:val="22"/>
                <w:szCs w:val="24"/>
              </w:rPr>
            </w:pPr>
            <w:r>
              <w:rPr>
                <w:rFonts w:hint="eastAsia" w:ascii="Times New Roman" w:hAnsi="Times New Roman" w:eastAsia="仿宋_GB2312" w:cs="Times New Roman"/>
                <w:color w:val="auto"/>
                <w:sz w:val="22"/>
                <w:szCs w:val="24"/>
              </w:rPr>
              <w:t>民用无人驾驶航空器系统安全要求(GB 42590-2023)，民用多旋翼无人机系统试验方法(GB/T 38058-2019)</w:t>
            </w:r>
          </w:p>
        </w:tc>
        <w:tc>
          <w:tcPr>
            <w:tcW w:w="1134" w:type="dxa"/>
            <w:noWrap/>
            <w:tcMar>
              <w:top w:w="15" w:type="dxa"/>
              <w:left w:w="15" w:type="dxa"/>
              <w:bottom w:w="0" w:type="dxa"/>
              <w:right w:w="15" w:type="dxa"/>
            </w:tcMar>
            <w:vAlign w:val="center"/>
          </w:tcPr>
          <w:p>
            <w:pPr>
              <w:jc w:val="center"/>
              <w:rPr>
                <w:rFonts w:ascii="Times New Roman" w:hAnsi="Times New Roman" w:eastAsia="仿宋_GB2312" w:cs="Times New Roman"/>
                <w:color w:val="auto"/>
                <w:sz w:val="22"/>
                <w:szCs w:val="24"/>
              </w:rPr>
            </w:pPr>
            <w:r>
              <w:rPr>
                <w:rFonts w:hint="eastAsia" w:ascii="Times New Roman" w:hAnsi="Times New Roman" w:eastAsia="仿宋_GB2312" w:cs="Times New Roman"/>
                <w:color w:val="auto"/>
                <w:sz w:val="22"/>
                <w:szCs w:val="24"/>
              </w:rPr>
              <w:t>北京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1474" w:type="dxa"/>
            <w:noWrap/>
            <w:tcMar>
              <w:top w:w="15" w:type="dxa"/>
              <w:left w:w="15" w:type="dxa"/>
              <w:bottom w:w="0" w:type="dxa"/>
              <w:right w:w="15" w:type="dxa"/>
            </w:tcMar>
            <w:vAlign w:val="center"/>
          </w:tcPr>
          <w:p>
            <w:pPr>
              <w:jc w:val="center"/>
              <w:rPr>
                <w:rFonts w:ascii="Times New Roman" w:hAnsi="Times New Roman" w:eastAsia="仿宋_GB2312" w:cs="Times New Roman"/>
                <w:color w:val="auto"/>
                <w:sz w:val="22"/>
                <w:szCs w:val="24"/>
              </w:rPr>
            </w:pPr>
            <w:r>
              <w:rPr>
                <w:rFonts w:hint="eastAsia" w:ascii="Times New Roman" w:hAnsi="Times New Roman" w:eastAsia="仿宋_GB2312" w:cs="Times New Roman"/>
                <w:color w:val="auto"/>
                <w:sz w:val="22"/>
                <w:szCs w:val="24"/>
              </w:rPr>
              <w:t>220021024472</w:t>
            </w:r>
          </w:p>
        </w:tc>
        <w:tc>
          <w:tcPr>
            <w:tcW w:w="3624" w:type="dxa"/>
            <w:noWrap/>
            <w:tcMar>
              <w:top w:w="15" w:type="dxa"/>
              <w:left w:w="15" w:type="dxa"/>
              <w:bottom w:w="0" w:type="dxa"/>
              <w:right w:w="15" w:type="dxa"/>
            </w:tcMar>
            <w:vAlign w:val="center"/>
          </w:tcPr>
          <w:p>
            <w:pPr>
              <w:jc w:val="center"/>
              <w:rPr>
                <w:rFonts w:ascii="Times New Roman" w:hAnsi="Times New Roman" w:eastAsia="仿宋_GB2312" w:cs="Times New Roman"/>
                <w:color w:val="auto"/>
                <w:sz w:val="22"/>
                <w:szCs w:val="24"/>
              </w:rPr>
            </w:pPr>
            <w:r>
              <w:rPr>
                <w:rFonts w:hint="eastAsia" w:ascii="Times New Roman" w:hAnsi="Times New Roman" w:eastAsia="仿宋_GB2312" w:cs="Times New Roman"/>
                <w:color w:val="auto"/>
                <w:sz w:val="22"/>
                <w:szCs w:val="24"/>
              </w:rPr>
              <w:t>公安部第一研究所</w:t>
            </w:r>
          </w:p>
        </w:tc>
        <w:tc>
          <w:tcPr>
            <w:tcW w:w="7088" w:type="dxa"/>
            <w:noWrap/>
            <w:tcMar>
              <w:top w:w="15" w:type="dxa"/>
              <w:left w:w="15" w:type="dxa"/>
              <w:bottom w:w="0" w:type="dxa"/>
              <w:right w:w="15" w:type="dxa"/>
            </w:tcMar>
            <w:vAlign w:val="center"/>
          </w:tcPr>
          <w:p>
            <w:pPr>
              <w:rPr>
                <w:rFonts w:ascii="Times New Roman" w:hAnsi="Times New Roman" w:eastAsia="仿宋_GB2312" w:cs="Times New Roman"/>
                <w:color w:val="auto"/>
                <w:sz w:val="22"/>
                <w:szCs w:val="24"/>
              </w:rPr>
            </w:pPr>
            <w:r>
              <w:rPr>
                <w:rFonts w:hint="eastAsia" w:ascii="Times New Roman" w:hAnsi="Times New Roman" w:eastAsia="仿宋_GB2312" w:cs="Times New Roman"/>
                <w:color w:val="auto"/>
                <w:sz w:val="22"/>
                <w:szCs w:val="24"/>
              </w:rPr>
              <w:t>民用轻小型无人机系统环境试验方法(GB/T 38924-2020)，民用多旋翼无人机系统试验方法(GB/T 38058-2019)，轻小型多旋翼无人机飞行控制与导航系统通用要求(GB/T 38997-2020)，无人机围栏(MH/T 2008-2017)，警用无人驾驶航空器系统(GA/T 1411-2017)，无人机系统通用要求(GJB 5433-2005)，无人机系统飞行试验通用要求(GJB 5434-2005)，无人机测控系统通用要求(GJB 6703-2009)</w:t>
            </w:r>
          </w:p>
        </w:tc>
        <w:tc>
          <w:tcPr>
            <w:tcW w:w="1134" w:type="dxa"/>
            <w:noWrap/>
            <w:tcMar>
              <w:top w:w="15" w:type="dxa"/>
              <w:left w:w="15" w:type="dxa"/>
              <w:bottom w:w="0" w:type="dxa"/>
              <w:right w:w="15" w:type="dxa"/>
            </w:tcMar>
            <w:vAlign w:val="center"/>
          </w:tcPr>
          <w:p>
            <w:pPr>
              <w:jc w:val="center"/>
              <w:rPr>
                <w:rFonts w:ascii="Times New Roman" w:hAnsi="Times New Roman" w:eastAsia="仿宋_GB2312" w:cs="Times New Roman"/>
                <w:color w:val="auto"/>
                <w:sz w:val="22"/>
                <w:szCs w:val="24"/>
              </w:rPr>
            </w:pPr>
            <w:r>
              <w:rPr>
                <w:rFonts w:hint="eastAsia" w:ascii="Times New Roman" w:hAnsi="Times New Roman" w:eastAsia="仿宋_GB2312" w:cs="Times New Roman"/>
                <w:color w:val="auto"/>
                <w:sz w:val="22"/>
                <w:szCs w:val="24"/>
              </w:rPr>
              <w:t>北京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1474" w:type="dxa"/>
            <w:noWrap/>
            <w:tcMar>
              <w:top w:w="15" w:type="dxa"/>
              <w:left w:w="15" w:type="dxa"/>
              <w:bottom w:w="0" w:type="dxa"/>
              <w:right w:w="15" w:type="dxa"/>
            </w:tcMar>
            <w:vAlign w:val="center"/>
          </w:tcPr>
          <w:p>
            <w:pPr>
              <w:jc w:val="center"/>
              <w:rPr>
                <w:rFonts w:ascii="Times New Roman" w:hAnsi="Times New Roman" w:eastAsia="仿宋_GB2312" w:cs="Times New Roman"/>
                <w:color w:val="auto"/>
                <w:sz w:val="22"/>
                <w:szCs w:val="24"/>
              </w:rPr>
            </w:pPr>
            <w:r>
              <w:rPr>
                <w:rFonts w:hint="eastAsia" w:ascii="Times New Roman" w:hAnsi="Times New Roman" w:eastAsia="仿宋_GB2312" w:cs="Times New Roman"/>
                <w:color w:val="auto"/>
                <w:sz w:val="22"/>
                <w:szCs w:val="24"/>
              </w:rPr>
              <w:t>230008349586</w:t>
            </w:r>
          </w:p>
        </w:tc>
        <w:tc>
          <w:tcPr>
            <w:tcW w:w="3624" w:type="dxa"/>
            <w:noWrap/>
            <w:tcMar>
              <w:top w:w="15" w:type="dxa"/>
              <w:left w:w="15" w:type="dxa"/>
              <w:bottom w:w="0" w:type="dxa"/>
              <w:right w:w="15" w:type="dxa"/>
            </w:tcMar>
            <w:vAlign w:val="center"/>
          </w:tcPr>
          <w:p>
            <w:pPr>
              <w:jc w:val="center"/>
              <w:rPr>
                <w:rFonts w:ascii="Times New Roman" w:hAnsi="Times New Roman" w:eastAsia="仿宋_GB2312" w:cs="Times New Roman"/>
                <w:color w:val="auto"/>
                <w:sz w:val="22"/>
                <w:szCs w:val="24"/>
              </w:rPr>
            </w:pPr>
            <w:r>
              <w:rPr>
                <w:rFonts w:hint="eastAsia" w:ascii="Times New Roman" w:hAnsi="Times New Roman" w:eastAsia="仿宋_GB2312" w:cs="Times New Roman"/>
                <w:color w:val="auto"/>
                <w:sz w:val="22"/>
                <w:szCs w:val="24"/>
              </w:rPr>
              <w:t>中机科（北京）车辆检测工程研究院有限公司</w:t>
            </w:r>
          </w:p>
        </w:tc>
        <w:tc>
          <w:tcPr>
            <w:tcW w:w="7088" w:type="dxa"/>
            <w:noWrap/>
            <w:tcMar>
              <w:top w:w="15" w:type="dxa"/>
              <w:left w:w="15" w:type="dxa"/>
              <w:bottom w:w="0" w:type="dxa"/>
              <w:right w:w="15" w:type="dxa"/>
            </w:tcMar>
            <w:vAlign w:val="center"/>
          </w:tcPr>
          <w:p>
            <w:pPr>
              <w:rPr>
                <w:rFonts w:ascii="Times New Roman" w:hAnsi="Times New Roman" w:eastAsia="仿宋_GB2312" w:cs="Times New Roman"/>
                <w:color w:val="auto"/>
                <w:sz w:val="22"/>
                <w:szCs w:val="24"/>
              </w:rPr>
            </w:pPr>
            <w:r>
              <w:rPr>
                <w:rFonts w:hint="eastAsia" w:ascii="Times New Roman" w:hAnsi="Times New Roman" w:eastAsia="仿宋_GB2312" w:cs="Times New Roman"/>
                <w:color w:val="auto"/>
                <w:sz w:val="22"/>
                <w:szCs w:val="24"/>
              </w:rPr>
              <w:t>民用无人驾驶航空器系统安全要求(GB 42590-2023)，民用轻小型无人机系统环境试验方法(GB/T 38924-2020)，民用轻小型无人机系统抗风性要求及试验方法(GB/T 38930-2020)，民用轻小型无人机系统电磁兼容性要求与试验方法(GB/T 38909-2020)，民用多旋翼无人机系统试验方法(GB/T 38058-2019)，无人机围栏(MH/T 2008-2017)，植保无人飞机 质量评价技术规范(NY/T 3213-2018)，无人机系统通用要求(GJB 5433-2005)，无人机系统飞行试验通用要求(GJB 5434-2005)</w:t>
            </w:r>
          </w:p>
        </w:tc>
        <w:tc>
          <w:tcPr>
            <w:tcW w:w="1134" w:type="dxa"/>
            <w:noWrap/>
            <w:tcMar>
              <w:top w:w="15" w:type="dxa"/>
              <w:left w:w="15" w:type="dxa"/>
              <w:bottom w:w="0" w:type="dxa"/>
              <w:right w:w="15" w:type="dxa"/>
            </w:tcMar>
            <w:vAlign w:val="center"/>
          </w:tcPr>
          <w:p>
            <w:pPr>
              <w:jc w:val="center"/>
              <w:rPr>
                <w:rFonts w:ascii="Times New Roman" w:hAnsi="Times New Roman" w:eastAsia="仿宋_GB2312" w:cs="Times New Roman"/>
                <w:color w:val="auto"/>
                <w:sz w:val="22"/>
                <w:szCs w:val="24"/>
              </w:rPr>
            </w:pPr>
            <w:r>
              <w:rPr>
                <w:rFonts w:hint="eastAsia" w:ascii="Times New Roman" w:hAnsi="Times New Roman" w:eastAsia="仿宋_GB2312" w:cs="Times New Roman"/>
                <w:color w:val="auto"/>
                <w:sz w:val="22"/>
                <w:szCs w:val="24"/>
              </w:rPr>
              <w:t>北京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1474" w:type="dxa"/>
            <w:noWrap/>
            <w:tcMar>
              <w:top w:w="15" w:type="dxa"/>
              <w:left w:w="15" w:type="dxa"/>
              <w:bottom w:w="0" w:type="dxa"/>
              <w:right w:w="15" w:type="dxa"/>
            </w:tcMar>
            <w:vAlign w:val="center"/>
          </w:tcPr>
          <w:p>
            <w:pPr>
              <w:jc w:val="center"/>
              <w:rPr>
                <w:rFonts w:ascii="Times New Roman" w:hAnsi="Times New Roman" w:eastAsia="仿宋_GB2312" w:cs="Times New Roman"/>
                <w:color w:val="auto"/>
                <w:sz w:val="22"/>
                <w:szCs w:val="24"/>
              </w:rPr>
            </w:pPr>
            <w:r>
              <w:rPr>
                <w:rFonts w:hint="eastAsia" w:ascii="Times New Roman" w:hAnsi="Times New Roman" w:eastAsia="仿宋_GB2312" w:cs="Times New Roman"/>
                <w:color w:val="auto"/>
                <w:sz w:val="22"/>
                <w:szCs w:val="24"/>
              </w:rPr>
              <w:t>230009349483</w:t>
            </w:r>
          </w:p>
        </w:tc>
        <w:tc>
          <w:tcPr>
            <w:tcW w:w="3624" w:type="dxa"/>
            <w:noWrap/>
            <w:tcMar>
              <w:top w:w="15" w:type="dxa"/>
              <w:left w:w="15" w:type="dxa"/>
              <w:bottom w:w="0" w:type="dxa"/>
              <w:right w:w="15" w:type="dxa"/>
            </w:tcMar>
            <w:vAlign w:val="center"/>
          </w:tcPr>
          <w:p>
            <w:pPr>
              <w:jc w:val="center"/>
              <w:rPr>
                <w:rFonts w:ascii="Times New Roman" w:hAnsi="Times New Roman" w:eastAsia="仿宋_GB2312" w:cs="Times New Roman"/>
                <w:color w:val="auto"/>
                <w:sz w:val="22"/>
                <w:szCs w:val="24"/>
              </w:rPr>
            </w:pPr>
            <w:r>
              <w:rPr>
                <w:rFonts w:hint="eastAsia" w:ascii="Times New Roman" w:hAnsi="Times New Roman" w:eastAsia="仿宋_GB2312" w:cs="Times New Roman"/>
                <w:color w:val="auto"/>
                <w:sz w:val="22"/>
                <w:szCs w:val="24"/>
              </w:rPr>
              <w:t>北京泰瑞特检测技术服务有限责任公司</w:t>
            </w:r>
          </w:p>
        </w:tc>
        <w:tc>
          <w:tcPr>
            <w:tcW w:w="7088" w:type="dxa"/>
            <w:noWrap/>
            <w:tcMar>
              <w:top w:w="15" w:type="dxa"/>
              <w:left w:w="15" w:type="dxa"/>
              <w:bottom w:w="0" w:type="dxa"/>
              <w:right w:w="15" w:type="dxa"/>
            </w:tcMar>
            <w:vAlign w:val="center"/>
          </w:tcPr>
          <w:p>
            <w:pPr>
              <w:rPr>
                <w:rFonts w:ascii="Times New Roman" w:hAnsi="Times New Roman" w:eastAsia="仿宋_GB2312" w:cs="Times New Roman"/>
                <w:color w:val="auto"/>
                <w:sz w:val="22"/>
                <w:szCs w:val="24"/>
              </w:rPr>
            </w:pPr>
            <w:r>
              <w:rPr>
                <w:rFonts w:hint="eastAsia" w:ascii="Times New Roman" w:hAnsi="Times New Roman" w:eastAsia="仿宋_GB2312" w:cs="Times New Roman"/>
                <w:color w:val="auto"/>
                <w:sz w:val="22"/>
                <w:szCs w:val="24"/>
              </w:rPr>
              <w:t>民用无人驾驶航空器系统安全要求(GB 42590-2023)，民用轻小型无人机系统电磁兼容性要求与试验方法(GB/T 38909-2020)</w:t>
            </w:r>
          </w:p>
        </w:tc>
        <w:tc>
          <w:tcPr>
            <w:tcW w:w="1134" w:type="dxa"/>
            <w:noWrap/>
            <w:tcMar>
              <w:top w:w="15" w:type="dxa"/>
              <w:left w:w="15" w:type="dxa"/>
              <w:bottom w:w="0" w:type="dxa"/>
              <w:right w:w="15" w:type="dxa"/>
            </w:tcMar>
            <w:vAlign w:val="center"/>
          </w:tcPr>
          <w:p>
            <w:pPr>
              <w:jc w:val="center"/>
              <w:rPr>
                <w:rFonts w:ascii="Times New Roman" w:hAnsi="Times New Roman" w:eastAsia="仿宋_GB2312" w:cs="Times New Roman"/>
                <w:color w:val="auto"/>
                <w:sz w:val="22"/>
                <w:szCs w:val="24"/>
              </w:rPr>
            </w:pPr>
            <w:r>
              <w:rPr>
                <w:rFonts w:hint="eastAsia" w:ascii="Times New Roman" w:hAnsi="Times New Roman" w:eastAsia="仿宋_GB2312" w:cs="Times New Roman"/>
                <w:color w:val="auto"/>
                <w:sz w:val="22"/>
                <w:szCs w:val="24"/>
              </w:rPr>
              <w:t>北京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1474" w:type="dxa"/>
            <w:noWrap/>
            <w:tcMar>
              <w:top w:w="15" w:type="dxa"/>
              <w:left w:w="15" w:type="dxa"/>
              <w:bottom w:w="0" w:type="dxa"/>
              <w:right w:w="15" w:type="dxa"/>
            </w:tcMar>
            <w:vAlign w:val="center"/>
          </w:tcPr>
          <w:p>
            <w:pPr>
              <w:jc w:val="center"/>
              <w:rPr>
                <w:rFonts w:ascii="Times New Roman" w:hAnsi="Times New Roman" w:eastAsia="仿宋_GB2312" w:cs="Times New Roman"/>
                <w:color w:val="auto"/>
                <w:sz w:val="22"/>
                <w:szCs w:val="24"/>
              </w:rPr>
            </w:pPr>
            <w:r>
              <w:rPr>
                <w:rFonts w:hint="eastAsia" w:ascii="Times New Roman" w:hAnsi="Times New Roman" w:eastAsia="仿宋_GB2312" w:cs="Times New Roman"/>
                <w:color w:val="auto"/>
                <w:sz w:val="22"/>
                <w:szCs w:val="24"/>
              </w:rPr>
              <w:t>230010349789</w:t>
            </w:r>
          </w:p>
        </w:tc>
        <w:tc>
          <w:tcPr>
            <w:tcW w:w="3624" w:type="dxa"/>
            <w:noWrap/>
            <w:tcMar>
              <w:top w:w="15" w:type="dxa"/>
              <w:left w:w="15" w:type="dxa"/>
              <w:bottom w:w="0" w:type="dxa"/>
              <w:right w:w="15" w:type="dxa"/>
            </w:tcMar>
            <w:vAlign w:val="center"/>
          </w:tcPr>
          <w:p>
            <w:pPr>
              <w:jc w:val="center"/>
              <w:rPr>
                <w:rFonts w:ascii="Times New Roman" w:hAnsi="Times New Roman" w:eastAsia="仿宋_GB2312" w:cs="Times New Roman"/>
                <w:color w:val="auto"/>
                <w:sz w:val="22"/>
                <w:szCs w:val="24"/>
              </w:rPr>
            </w:pPr>
            <w:r>
              <w:rPr>
                <w:rFonts w:hint="eastAsia" w:ascii="Times New Roman" w:hAnsi="Times New Roman" w:eastAsia="仿宋_GB2312" w:cs="Times New Roman"/>
                <w:color w:val="auto"/>
                <w:sz w:val="22"/>
                <w:szCs w:val="24"/>
              </w:rPr>
              <w:t>中家院（北京）检测认证有限公司</w:t>
            </w:r>
          </w:p>
        </w:tc>
        <w:tc>
          <w:tcPr>
            <w:tcW w:w="7088" w:type="dxa"/>
            <w:noWrap/>
            <w:tcMar>
              <w:top w:w="15" w:type="dxa"/>
              <w:left w:w="15" w:type="dxa"/>
              <w:bottom w:w="0" w:type="dxa"/>
              <w:right w:w="15" w:type="dxa"/>
            </w:tcMar>
            <w:vAlign w:val="center"/>
          </w:tcPr>
          <w:p>
            <w:pPr>
              <w:rPr>
                <w:rFonts w:ascii="Times New Roman" w:hAnsi="Times New Roman" w:eastAsia="仿宋_GB2312" w:cs="Times New Roman"/>
                <w:color w:val="auto"/>
                <w:sz w:val="22"/>
                <w:szCs w:val="24"/>
              </w:rPr>
            </w:pPr>
            <w:r>
              <w:rPr>
                <w:rFonts w:hint="eastAsia" w:ascii="Times New Roman" w:hAnsi="Times New Roman" w:eastAsia="仿宋_GB2312" w:cs="Times New Roman"/>
                <w:color w:val="auto"/>
                <w:sz w:val="22"/>
                <w:szCs w:val="24"/>
              </w:rPr>
              <w:t>民用无人驾驶航空器系统安全要求(GB 42590-2023)，民用轻小型无人机系统电磁兼容性要求与试验方法(GB/T 38909-2020)</w:t>
            </w:r>
          </w:p>
        </w:tc>
        <w:tc>
          <w:tcPr>
            <w:tcW w:w="1134" w:type="dxa"/>
            <w:noWrap/>
            <w:tcMar>
              <w:top w:w="15" w:type="dxa"/>
              <w:left w:w="15" w:type="dxa"/>
              <w:bottom w:w="0" w:type="dxa"/>
              <w:right w:w="15" w:type="dxa"/>
            </w:tcMar>
            <w:vAlign w:val="center"/>
          </w:tcPr>
          <w:p>
            <w:pPr>
              <w:jc w:val="center"/>
              <w:rPr>
                <w:rFonts w:ascii="Times New Roman" w:hAnsi="Times New Roman" w:eastAsia="仿宋_GB2312" w:cs="Times New Roman"/>
                <w:color w:val="auto"/>
                <w:sz w:val="22"/>
                <w:szCs w:val="24"/>
              </w:rPr>
            </w:pPr>
            <w:r>
              <w:rPr>
                <w:rFonts w:hint="eastAsia" w:ascii="Times New Roman" w:hAnsi="Times New Roman" w:eastAsia="仿宋_GB2312" w:cs="Times New Roman"/>
                <w:color w:val="auto"/>
                <w:sz w:val="22"/>
                <w:szCs w:val="24"/>
              </w:rPr>
              <w:t>北京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1474" w:type="dxa"/>
            <w:noWrap/>
            <w:tcMar>
              <w:top w:w="15" w:type="dxa"/>
              <w:left w:w="15" w:type="dxa"/>
              <w:bottom w:w="0" w:type="dxa"/>
              <w:right w:w="15" w:type="dxa"/>
            </w:tcMar>
            <w:vAlign w:val="center"/>
          </w:tcPr>
          <w:p>
            <w:pPr>
              <w:jc w:val="center"/>
              <w:rPr>
                <w:rFonts w:ascii="Times New Roman" w:hAnsi="Times New Roman" w:eastAsia="仿宋_GB2312" w:cs="Times New Roman"/>
                <w:color w:val="auto"/>
                <w:sz w:val="22"/>
                <w:szCs w:val="24"/>
              </w:rPr>
            </w:pPr>
            <w:r>
              <w:rPr>
                <w:rFonts w:hint="eastAsia" w:ascii="Times New Roman" w:hAnsi="Times New Roman" w:eastAsia="仿宋_GB2312" w:cs="Times New Roman"/>
                <w:color w:val="auto"/>
                <w:sz w:val="22"/>
                <w:szCs w:val="24"/>
              </w:rPr>
              <w:t>230021349758</w:t>
            </w:r>
          </w:p>
        </w:tc>
        <w:tc>
          <w:tcPr>
            <w:tcW w:w="3624" w:type="dxa"/>
            <w:noWrap/>
            <w:tcMar>
              <w:top w:w="15" w:type="dxa"/>
              <w:left w:w="15" w:type="dxa"/>
              <w:bottom w:w="0" w:type="dxa"/>
              <w:right w:w="15" w:type="dxa"/>
            </w:tcMar>
            <w:vAlign w:val="center"/>
          </w:tcPr>
          <w:p>
            <w:pPr>
              <w:jc w:val="center"/>
              <w:rPr>
                <w:rFonts w:ascii="Times New Roman" w:hAnsi="Times New Roman" w:eastAsia="仿宋_GB2312" w:cs="Times New Roman"/>
                <w:color w:val="auto"/>
                <w:sz w:val="22"/>
                <w:szCs w:val="24"/>
              </w:rPr>
            </w:pPr>
            <w:r>
              <w:rPr>
                <w:rFonts w:hint="eastAsia" w:ascii="Times New Roman" w:hAnsi="Times New Roman" w:eastAsia="仿宋_GB2312" w:cs="Times New Roman"/>
                <w:color w:val="auto"/>
                <w:sz w:val="22"/>
                <w:szCs w:val="24"/>
              </w:rPr>
              <w:t>中国兵器装备集团兵器装备研究所测试试验中心</w:t>
            </w:r>
          </w:p>
        </w:tc>
        <w:tc>
          <w:tcPr>
            <w:tcW w:w="7088" w:type="dxa"/>
            <w:noWrap/>
            <w:tcMar>
              <w:top w:w="15" w:type="dxa"/>
              <w:left w:w="15" w:type="dxa"/>
              <w:bottom w:w="0" w:type="dxa"/>
              <w:right w:w="15" w:type="dxa"/>
            </w:tcMar>
            <w:vAlign w:val="center"/>
          </w:tcPr>
          <w:p>
            <w:pPr>
              <w:rPr>
                <w:rFonts w:ascii="Times New Roman" w:hAnsi="Times New Roman" w:eastAsia="仿宋_GB2312" w:cs="Times New Roman"/>
                <w:color w:val="auto"/>
                <w:sz w:val="22"/>
                <w:szCs w:val="24"/>
              </w:rPr>
            </w:pPr>
            <w:r>
              <w:rPr>
                <w:rFonts w:hint="eastAsia" w:ascii="Times New Roman" w:hAnsi="Times New Roman" w:eastAsia="仿宋_GB2312" w:cs="Times New Roman"/>
                <w:color w:val="auto"/>
                <w:sz w:val="22"/>
                <w:szCs w:val="24"/>
              </w:rPr>
              <w:t>无人机系统通用要求(GJB 5433-2005)</w:t>
            </w:r>
          </w:p>
        </w:tc>
        <w:tc>
          <w:tcPr>
            <w:tcW w:w="1134" w:type="dxa"/>
            <w:noWrap/>
            <w:tcMar>
              <w:top w:w="15" w:type="dxa"/>
              <w:left w:w="15" w:type="dxa"/>
              <w:bottom w:w="0" w:type="dxa"/>
              <w:right w:w="15" w:type="dxa"/>
            </w:tcMar>
            <w:vAlign w:val="center"/>
          </w:tcPr>
          <w:p>
            <w:pPr>
              <w:jc w:val="center"/>
              <w:rPr>
                <w:rFonts w:ascii="Times New Roman" w:hAnsi="Times New Roman" w:eastAsia="仿宋_GB2312" w:cs="Times New Roman"/>
                <w:color w:val="auto"/>
                <w:sz w:val="22"/>
                <w:szCs w:val="24"/>
              </w:rPr>
            </w:pPr>
            <w:r>
              <w:rPr>
                <w:rFonts w:hint="eastAsia" w:ascii="Times New Roman" w:hAnsi="Times New Roman" w:eastAsia="仿宋_GB2312" w:cs="Times New Roman"/>
                <w:color w:val="auto"/>
                <w:sz w:val="22"/>
                <w:szCs w:val="24"/>
              </w:rPr>
              <w:t>北京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1474" w:type="dxa"/>
            <w:noWrap/>
            <w:tcMar>
              <w:top w:w="15" w:type="dxa"/>
              <w:left w:w="15" w:type="dxa"/>
              <w:bottom w:w="0" w:type="dxa"/>
              <w:right w:w="15" w:type="dxa"/>
            </w:tcMar>
            <w:vAlign w:val="center"/>
          </w:tcPr>
          <w:p>
            <w:pPr>
              <w:jc w:val="center"/>
              <w:rPr>
                <w:rFonts w:ascii="Times New Roman" w:hAnsi="Times New Roman" w:eastAsia="仿宋_GB2312" w:cs="Times New Roman"/>
                <w:color w:val="auto"/>
                <w:sz w:val="22"/>
                <w:szCs w:val="24"/>
              </w:rPr>
            </w:pPr>
            <w:r>
              <w:rPr>
                <w:rFonts w:hint="eastAsia" w:ascii="Times New Roman" w:hAnsi="Times New Roman" w:eastAsia="仿宋_GB2312" w:cs="Times New Roman"/>
                <w:color w:val="auto"/>
                <w:sz w:val="22"/>
                <w:szCs w:val="24"/>
              </w:rPr>
              <w:t>230021349763</w:t>
            </w:r>
          </w:p>
        </w:tc>
        <w:tc>
          <w:tcPr>
            <w:tcW w:w="3624" w:type="dxa"/>
            <w:noWrap/>
            <w:tcMar>
              <w:top w:w="15" w:type="dxa"/>
              <w:left w:w="15" w:type="dxa"/>
              <w:bottom w:w="0" w:type="dxa"/>
              <w:right w:w="15" w:type="dxa"/>
            </w:tcMar>
            <w:vAlign w:val="center"/>
          </w:tcPr>
          <w:p>
            <w:pPr>
              <w:jc w:val="center"/>
              <w:rPr>
                <w:rFonts w:ascii="Times New Roman" w:hAnsi="Times New Roman" w:eastAsia="仿宋_GB2312" w:cs="Times New Roman"/>
                <w:color w:val="auto"/>
                <w:sz w:val="22"/>
                <w:szCs w:val="24"/>
              </w:rPr>
            </w:pPr>
            <w:r>
              <w:rPr>
                <w:rFonts w:hint="eastAsia" w:ascii="Times New Roman" w:hAnsi="Times New Roman" w:eastAsia="仿宋_GB2312" w:cs="Times New Roman"/>
                <w:color w:val="auto"/>
                <w:sz w:val="22"/>
                <w:szCs w:val="24"/>
              </w:rPr>
              <w:t>中国航天科工集团第三研究院第三O三研究所</w:t>
            </w:r>
          </w:p>
        </w:tc>
        <w:tc>
          <w:tcPr>
            <w:tcW w:w="7088" w:type="dxa"/>
            <w:noWrap/>
            <w:tcMar>
              <w:top w:w="15" w:type="dxa"/>
              <w:left w:w="15" w:type="dxa"/>
              <w:bottom w:w="0" w:type="dxa"/>
              <w:right w:w="15" w:type="dxa"/>
            </w:tcMar>
            <w:vAlign w:val="center"/>
          </w:tcPr>
          <w:p>
            <w:pPr>
              <w:rPr>
                <w:rFonts w:ascii="Times New Roman" w:hAnsi="Times New Roman" w:eastAsia="仿宋_GB2312" w:cs="Times New Roman"/>
                <w:color w:val="auto"/>
                <w:sz w:val="22"/>
                <w:szCs w:val="24"/>
              </w:rPr>
            </w:pPr>
            <w:r>
              <w:rPr>
                <w:rFonts w:hint="eastAsia" w:ascii="Times New Roman" w:hAnsi="Times New Roman" w:eastAsia="仿宋_GB2312" w:cs="Times New Roman"/>
                <w:color w:val="auto"/>
                <w:sz w:val="22"/>
                <w:szCs w:val="24"/>
              </w:rPr>
              <w:t>警用无人驾驶航空器系统(GA/T 1411-2017)</w:t>
            </w:r>
          </w:p>
        </w:tc>
        <w:tc>
          <w:tcPr>
            <w:tcW w:w="1134" w:type="dxa"/>
            <w:noWrap/>
            <w:tcMar>
              <w:top w:w="15" w:type="dxa"/>
              <w:left w:w="15" w:type="dxa"/>
              <w:bottom w:w="0" w:type="dxa"/>
              <w:right w:w="15" w:type="dxa"/>
            </w:tcMar>
            <w:vAlign w:val="center"/>
          </w:tcPr>
          <w:p>
            <w:pPr>
              <w:jc w:val="center"/>
              <w:rPr>
                <w:rFonts w:ascii="Times New Roman" w:hAnsi="Times New Roman" w:eastAsia="仿宋_GB2312" w:cs="Times New Roman"/>
                <w:color w:val="auto"/>
                <w:sz w:val="22"/>
                <w:szCs w:val="24"/>
              </w:rPr>
            </w:pPr>
            <w:r>
              <w:rPr>
                <w:rFonts w:hint="eastAsia" w:ascii="Times New Roman" w:hAnsi="Times New Roman" w:eastAsia="仿宋_GB2312" w:cs="Times New Roman"/>
                <w:color w:val="auto"/>
                <w:sz w:val="22"/>
                <w:szCs w:val="24"/>
              </w:rPr>
              <w:t>北京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1474" w:type="dxa"/>
            <w:noWrap/>
            <w:tcMar>
              <w:top w:w="15" w:type="dxa"/>
              <w:left w:w="15" w:type="dxa"/>
              <w:bottom w:w="0" w:type="dxa"/>
              <w:right w:w="15" w:type="dxa"/>
            </w:tcMar>
            <w:vAlign w:val="center"/>
          </w:tcPr>
          <w:p>
            <w:pPr>
              <w:jc w:val="center"/>
              <w:rPr>
                <w:rFonts w:ascii="Times New Roman" w:hAnsi="Times New Roman" w:eastAsia="仿宋_GB2312" w:cs="Times New Roman"/>
                <w:color w:val="auto"/>
                <w:sz w:val="22"/>
                <w:szCs w:val="24"/>
              </w:rPr>
            </w:pPr>
            <w:r>
              <w:rPr>
                <w:rFonts w:hint="eastAsia" w:ascii="Times New Roman" w:hAnsi="Times New Roman" w:eastAsia="仿宋_GB2312" w:cs="Times New Roman"/>
                <w:color w:val="auto"/>
                <w:sz w:val="22"/>
                <w:szCs w:val="24"/>
              </w:rPr>
              <w:t>240008349315</w:t>
            </w:r>
          </w:p>
        </w:tc>
        <w:tc>
          <w:tcPr>
            <w:tcW w:w="3624" w:type="dxa"/>
            <w:noWrap/>
            <w:tcMar>
              <w:top w:w="15" w:type="dxa"/>
              <w:left w:w="15" w:type="dxa"/>
              <w:bottom w:w="0" w:type="dxa"/>
              <w:right w:w="15" w:type="dxa"/>
            </w:tcMar>
            <w:vAlign w:val="center"/>
          </w:tcPr>
          <w:p>
            <w:pPr>
              <w:jc w:val="center"/>
              <w:rPr>
                <w:rFonts w:ascii="Times New Roman" w:hAnsi="Times New Roman" w:eastAsia="仿宋_GB2312" w:cs="Times New Roman"/>
                <w:color w:val="auto"/>
                <w:sz w:val="22"/>
                <w:szCs w:val="24"/>
              </w:rPr>
            </w:pPr>
            <w:r>
              <w:rPr>
                <w:rFonts w:hint="eastAsia" w:ascii="Times New Roman" w:hAnsi="Times New Roman" w:eastAsia="仿宋_GB2312" w:cs="Times New Roman"/>
                <w:color w:val="auto"/>
                <w:sz w:val="22"/>
                <w:szCs w:val="24"/>
              </w:rPr>
              <w:t>中国农业机械化科学研究院集团有限公司</w:t>
            </w:r>
          </w:p>
        </w:tc>
        <w:tc>
          <w:tcPr>
            <w:tcW w:w="7088" w:type="dxa"/>
            <w:noWrap/>
            <w:tcMar>
              <w:top w:w="15" w:type="dxa"/>
              <w:left w:w="15" w:type="dxa"/>
              <w:bottom w:w="0" w:type="dxa"/>
              <w:right w:w="15" w:type="dxa"/>
            </w:tcMar>
            <w:vAlign w:val="center"/>
          </w:tcPr>
          <w:p>
            <w:pPr>
              <w:rPr>
                <w:rFonts w:ascii="Times New Roman" w:hAnsi="Times New Roman" w:eastAsia="仿宋_GB2312" w:cs="Times New Roman"/>
                <w:color w:val="auto"/>
                <w:sz w:val="22"/>
                <w:szCs w:val="24"/>
              </w:rPr>
            </w:pPr>
            <w:r>
              <w:rPr>
                <w:rFonts w:hint="eastAsia" w:ascii="Times New Roman" w:hAnsi="Times New Roman" w:eastAsia="仿宋_GB2312" w:cs="Times New Roman"/>
                <w:color w:val="auto"/>
                <w:sz w:val="22"/>
                <w:szCs w:val="24"/>
              </w:rPr>
              <w:t>植保无人驾驶航空器(DG/T 247-2021)</w:t>
            </w:r>
          </w:p>
        </w:tc>
        <w:tc>
          <w:tcPr>
            <w:tcW w:w="1134" w:type="dxa"/>
            <w:noWrap/>
            <w:tcMar>
              <w:top w:w="15" w:type="dxa"/>
              <w:left w:w="15" w:type="dxa"/>
              <w:bottom w:w="0" w:type="dxa"/>
              <w:right w:w="15" w:type="dxa"/>
            </w:tcMar>
            <w:vAlign w:val="center"/>
          </w:tcPr>
          <w:p>
            <w:pPr>
              <w:jc w:val="center"/>
              <w:rPr>
                <w:rFonts w:ascii="Times New Roman" w:hAnsi="Times New Roman" w:eastAsia="仿宋_GB2312" w:cs="Times New Roman"/>
                <w:color w:val="auto"/>
                <w:sz w:val="22"/>
                <w:szCs w:val="24"/>
              </w:rPr>
            </w:pPr>
            <w:r>
              <w:rPr>
                <w:rFonts w:hint="eastAsia" w:ascii="Times New Roman" w:hAnsi="Times New Roman" w:eastAsia="仿宋_GB2312" w:cs="Times New Roman"/>
                <w:color w:val="auto"/>
                <w:sz w:val="22"/>
                <w:szCs w:val="24"/>
              </w:rPr>
              <w:t>北京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1474" w:type="dxa"/>
            <w:noWrap/>
            <w:tcMar>
              <w:top w:w="15" w:type="dxa"/>
              <w:left w:w="15" w:type="dxa"/>
              <w:bottom w:w="0" w:type="dxa"/>
              <w:right w:w="15" w:type="dxa"/>
            </w:tcMar>
            <w:vAlign w:val="center"/>
          </w:tcPr>
          <w:p>
            <w:pPr>
              <w:jc w:val="center"/>
              <w:rPr>
                <w:rFonts w:ascii="Times New Roman" w:hAnsi="Times New Roman" w:eastAsia="仿宋_GB2312" w:cs="Times New Roman"/>
                <w:color w:val="auto"/>
                <w:sz w:val="22"/>
                <w:szCs w:val="24"/>
              </w:rPr>
            </w:pPr>
            <w:r>
              <w:rPr>
                <w:rFonts w:hint="eastAsia" w:ascii="Times New Roman" w:hAnsi="Times New Roman" w:eastAsia="仿宋_GB2312" w:cs="Times New Roman"/>
                <w:color w:val="auto"/>
                <w:sz w:val="22"/>
                <w:szCs w:val="24"/>
              </w:rPr>
              <w:t>240017342345</w:t>
            </w:r>
          </w:p>
        </w:tc>
        <w:tc>
          <w:tcPr>
            <w:tcW w:w="3624" w:type="dxa"/>
            <w:noWrap/>
            <w:tcMar>
              <w:top w:w="15" w:type="dxa"/>
              <w:left w:w="15" w:type="dxa"/>
              <w:bottom w:w="0" w:type="dxa"/>
              <w:right w:w="15" w:type="dxa"/>
            </w:tcMar>
            <w:vAlign w:val="center"/>
          </w:tcPr>
          <w:p>
            <w:pPr>
              <w:jc w:val="center"/>
              <w:rPr>
                <w:rFonts w:ascii="Times New Roman" w:hAnsi="Times New Roman" w:eastAsia="仿宋_GB2312" w:cs="Times New Roman"/>
                <w:color w:val="auto"/>
                <w:sz w:val="22"/>
                <w:szCs w:val="24"/>
              </w:rPr>
            </w:pPr>
            <w:r>
              <w:rPr>
                <w:rFonts w:hint="eastAsia" w:ascii="Times New Roman" w:hAnsi="Times New Roman" w:eastAsia="仿宋_GB2312" w:cs="Times New Roman"/>
                <w:color w:val="auto"/>
                <w:sz w:val="22"/>
                <w:szCs w:val="24"/>
              </w:rPr>
              <w:t>中国电力科学研究院有限公司</w:t>
            </w:r>
          </w:p>
        </w:tc>
        <w:tc>
          <w:tcPr>
            <w:tcW w:w="7088" w:type="dxa"/>
            <w:noWrap/>
            <w:tcMar>
              <w:top w:w="15" w:type="dxa"/>
              <w:left w:w="15" w:type="dxa"/>
              <w:bottom w:w="0" w:type="dxa"/>
              <w:right w:w="15" w:type="dxa"/>
            </w:tcMar>
            <w:vAlign w:val="center"/>
          </w:tcPr>
          <w:p>
            <w:pPr>
              <w:rPr>
                <w:rFonts w:ascii="Times New Roman" w:hAnsi="Times New Roman" w:eastAsia="仿宋_GB2312" w:cs="Times New Roman"/>
                <w:color w:val="auto"/>
                <w:sz w:val="22"/>
                <w:szCs w:val="24"/>
              </w:rPr>
            </w:pPr>
            <w:r>
              <w:rPr>
                <w:rFonts w:hint="eastAsia" w:ascii="Times New Roman" w:hAnsi="Times New Roman" w:eastAsia="仿宋_GB2312" w:cs="Times New Roman"/>
                <w:color w:val="auto"/>
                <w:sz w:val="22"/>
                <w:szCs w:val="24"/>
              </w:rPr>
              <w:t>架空输电线路无人直升机巡检系统(DL/T 1578-2016)，架空电力线路多旋翼无人机巡检系统(DL/T 1578-2021)</w:t>
            </w:r>
          </w:p>
        </w:tc>
        <w:tc>
          <w:tcPr>
            <w:tcW w:w="1134" w:type="dxa"/>
            <w:noWrap/>
            <w:tcMar>
              <w:top w:w="15" w:type="dxa"/>
              <w:left w:w="15" w:type="dxa"/>
              <w:bottom w:w="0" w:type="dxa"/>
              <w:right w:w="15" w:type="dxa"/>
            </w:tcMar>
            <w:vAlign w:val="center"/>
          </w:tcPr>
          <w:p>
            <w:pPr>
              <w:jc w:val="center"/>
              <w:rPr>
                <w:rFonts w:ascii="Times New Roman" w:hAnsi="Times New Roman" w:eastAsia="仿宋_GB2312" w:cs="Times New Roman"/>
                <w:color w:val="auto"/>
                <w:sz w:val="22"/>
                <w:szCs w:val="24"/>
              </w:rPr>
            </w:pPr>
            <w:r>
              <w:rPr>
                <w:rFonts w:hint="eastAsia" w:ascii="Times New Roman" w:hAnsi="Times New Roman" w:eastAsia="仿宋_GB2312" w:cs="Times New Roman"/>
                <w:color w:val="auto"/>
                <w:sz w:val="22"/>
                <w:szCs w:val="24"/>
              </w:rPr>
              <w:t>北京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1474" w:type="dxa"/>
            <w:noWrap/>
            <w:tcMar>
              <w:top w:w="15" w:type="dxa"/>
              <w:left w:w="15" w:type="dxa"/>
              <w:bottom w:w="0" w:type="dxa"/>
              <w:right w:w="15" w:type="dxa"/>
            </w:tcMar>
            <w:vAlign w:val="center"/>
          </w:tcPr>
          <w:p>
            <w:pPr>
              <w:jc w:val="center"/>
              <w:rPr>
                <w:rFonts w:ascii="Times New Roman" w:hAnsi="Times New Roman" w:eastAsia="仿宋_GB2312" w:cs="Times New Roman"/>
                <w:color w:val="auto"/>
                <w:sz w:val="22"/>
                <w:szCs w:val="24"/>
              </w:rPr>
            </w:pPr>
            <w:r>
              <w:rPr>
                <w:rFonts w:hint="eastAsia" w:ascii="Times New Roman" w:hAnsi="Times New Roman" w:eastAsia="仿宋_GB2312" w:cs="Times New Roman"/>
                <w:color w:val="auto"/>
                <w:sz w:val="22"/>
                <w:szCs w:val="24"/>
              </w:rPr>
              <w:t>220008343802</w:t>
            </w:r>
          </w:p>
        </w:tc>
        <w:tc>
          <w:tcPr>
            <w:tcW w:w="3624" w:type="dxa"/>
            <w:noWrap/>
            <w:tcMar>
              <w:top w:w="15" w:type="dxa"/>
              <w:left w:w="15" w:type="dxa"/>
              <w:bottom w:w="0" w:type="dxa"/>
              <w:right w:w="15" w:type="dxa"/>
            </w:tcMar>
            <w:vAlign w:val="center"/>
          </w:tcPr>
          <w:p>
            <w:pPr>
              <w:jc w:val="center"/>
              <w:rPr>
                <w:rFonts w:ascii="Times New Roman" w:hAnsi="Times New Roman" w:eastAsia="仿宋_GB2312" w:cs="Times New Roman"/>
                <w:color w:val="auto"/>
                <w:sz w:val="22"/>
                <w:szCs w:val="24"/>
              </w:rPr>
            </w:pPr>
            <w:r>
              <w:rPr>
                <w:rFonts w:hint="eastAsia" w:ascii="Times New Roman" w:hAnsi="Times New Roman" w:eastAsia="仿宋_GB2312" w:cs="Times New Roman"/>
                <w:color w:val="auto"/>
                <w:sz w:val="22"/>
                <w:szCs w:val="24"/>
              </w:rPr>
              <w:t>方圆广电检验检测股份有限公司</w:t>
            </w:r>
          </w:p>
        </w:tc>
        <w:tc>
          <w:tcPr>
            <w:tcW w:w="7088" w:type="dxa"/>
            <w:noWrap/>
            <w:tcMar>
              <w:top w:w="15" w:type="dxa"/>
              <w:left w:w="15" w:type="dxa"/>
              <w:bottom w:w="0" w:type="dxa"/>
              <w:right w:w="15" w:type="dxa"/>
            </w:tcMar>
            <w:vAlign w:val="center"/>
          </w:tcPr>
          <w:p>
            <w:pPr>
              <w:rPr>
                <w:rFonts w:ascii="Times New Roman" w:hAnsi="Times New Roman" w:eastAsia="仿宋_GB2312" w:cs="Times New Roman"/>
                <w:color w:val="auto"/>
                <w:sz w:val="22"/>
                <w:szCs w:val="24"/>
              </w:rPr>
            </w:pPr>
            <w:r>
              <w:rPr>
                <w:rFonts w:hint="eastAsia" w:ascii="Times New Roman" w:hAnsi="Times New Roman" w:eastAsia="仿宋_GB2312" w:cs="Times New Roman"/>
                <w:color w:val="auto"/>
                <w:sz w:val="22"/>
                <w:szCs w:val="24"/>
              </w:rPr>
              <w:t>民用无人驾驶航空器系统安全要求(GB 42590-2023)，民用轻小型无人机系统抗风性要求及试验方法(GB/T 38930-2020)，民用轻小型无人机系统电磁兼容性要求与试验方法(GB/T 38909-2020)</w:t>
            </w:r>
          </w:p>
        </w:tc>
        <w:tc>
          <w:tcPr>
            <w:tcW w:w="1134" w:type="dxa"/>
            <w:noWrap/>
            <w:tcMar>
              <w:top w:w="15" w:type="dxa"/>
              <w:left w:w="15" w:type="dxa"/>
              <w:bottom w:w="0" w:type="dxa"/>
              <w:right w:w="15" w:type="dxa"/>
            </w:tcMar>
            <w:vAlign w:val="center"/>
          </w:tcPr>
          <w:p>
            <w:pPr>
              <w:jc w:val="center"/>
              <w:rPr>
                <w:rFonts w:ascii="Times New Roman" w:hAnsi="Times New Roman" w:eastAsia="仿宋_GB2312" w:cs="Times New Roman"/>
                <w:color w:val="auto"/>
                <w:sz w:val="22"/>
                <w:szCs w:val="24"/>
              </w:rPr>
            </w:pPr>
            <w:r>
              <w:rPr>
                <w:rFonts w:hint="eastAsia" w:ascii="Times New Roman" w:hAnsi="Times New Roman" w:eastAsia="仿宋_GB2312" w:cs="Times New Roman"/>
                <w:color w:val="auto"/>
                <w:sz w:val="22"/>
                <w:szCs w:val="24"/>
              </w:rPr>
              <w:t>天津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1474" w:type="dxa"/>
            <w:noWrap/>
            <w:tcMar>
              <w:top w:w="15" w:type="dxa"/>
              <w:left w:w="15" w:type="dxa"/>
              <w:bottom w:w="0" w:type="dxa"/>
              <w:right w:w="15" w:type="dxa"/>
            </w:tcMar>
            <w:vAlign w:val="center"/>
          </w:tcPr>
          <w:p>
            <w:pPr>
              <w:jc w:val="center"/>
              <w:rPr>
                <w:rFonts w:ascii="Times New Roman" w:hAnsi="Times New Roman" w:eastAsia="仿宋_GB2312" w:cs="Times New Roman"/>
                <w:color w:val="auto"/>
                <w:sz w:val="22"/>
                <w:szCs w:val="24"/>
              </w:rPr>
            </w:pPr>
            <w:r>
              <w:rPr>
                <w:rFonts w:hint="eastAsia" w:ascii="Times New Roman" w:hAnsi="Times New Roman" w:eastAsia="仿宋_GB2312" w:cs="Times New Roman"/>
                <w:color w:val="auto"/>
                <w:sz w:val="22"/>
                <w:szCs w:val="24"/>
              </w:rPr>
              <w:t>230021349831</w:t>
            </w:r>
          </w:p>
        </w:tc>
        <w:tc>
          <w:tcPr>
            <w:tcW w:w="3624" w:type="dxa"/>
            <w:noWrap/>
            <w:tcMar>
              <w:top w:w="15" w:type="dxa"/>
              <w:left w:w="15" w:type="dxa"/>
              <w:bottom w:w="0" w:type="dxa"/>
              <w:right w:w="15" w:type="dxa"/>
            </w:tcMar>
            <w:vAlign w:val="center"/>
          </w:tcPr>
          <w:p>
            <w:pPr>
              <w:jc w:val="center"/>
              <w:rPr>
                <w:rFonts w:ascii="Times New Roman" w:hAnsi="Times New Roman" w:eastAsia="仿宋_GB2312" w:cs="Times New Roman"/>
                <w:color w:val="auto"/>
                <w:sz w:val="22"/>
                <w:szCs w:val="24"/>
              </w:rPr>
            </w:pPr>
            <w:r>
              <w:rPr>
                <w:rFonts w:hint="eastAsia" w:ascii="Times New Roman" w:hAnsi="Times New Roman" w:eastAsia="仿宋_GB2312" w:cs="Times New Roman"/>
                <w:color w:val="auto"/>
                <w:sz w:val="22"/>
                <w:szCs w:val="24"/>
              </w:rPr>
              <w:t>中国航天科技集团有限公司环境可靠性试验与检测中心</w:t>
            </w:r>
          </w:p>
        </w:tc>
        <w:tc>
          <w:tcPr>
            <w:tcW w:w="7088" w:type="dxa"/>
            <w:noWrap/>
            <w:tcMar>
              <w:top w:w="15" w:type="dxa"/>
              <w:left w:w="15" w:type="dxa"/>
              <w:bottom w:w="0" w:type="dxa"/>
              <w:right w:w="15" w:type="dxa"/>
            </w:tcMar>
            <w:vAlign w:val="center"/>
          </w:tcPr>
          <w:p>
            <w:pPr>
              <w:rPr>
                <w:rFonts w:ascii="Times New Roman" w:hAnsi="Times New Roman" w:eastAsia="仿宋_GB2312" w:cs="Times New Roman"/>
                <w:color w:val="auto"/>
                <w:sz w:val="22"/>
                <w:szCs w:val="24"/>
              </w:rPr>
            </w:pPr>
            <w:r>
              <w:rPr>
                <w:rFonts w:hint="eastAsia" w:ascii="Times New Roman" w:hAnsi="Times New Roman" w:eastAsia="仿宋_GB2312" w:cs="Times New Roman"/>
                <w:color w:val="auto"/>
                <w:sz w:val="22"/>
                <w:szCs w:val="24"/>
              </w:rPr>
              <w:t>无人机强度和刚度规范 第9部分-地面试验(GJB 5435.9-2005)</w:t>
            </w:r>
          </w:p>
        </w:tc>
        <w:tc>
          <w:tcPr>
            <w:tcW w:w="1134" w:type="dxa"/>
            <w:noWrap/>
            <w:tcMar>
              <w:top w:w="15" w:type="dxa"/>
              <w:left w:w="15" w:type="dxa"/>
              <w:bottom w:w="0" w:type="dxa"/>
              <w:right w:w="15" w:type="dxa"/>
            </w:tcMar>
            <w:vAlign w:val="center"/>
          </w:tcPr>
          <w:p>
            <w:pPr>
              <w:jc w:val="center"/>
              <w:rPr>
                <w:rFonts w:ascii="Times New Roman" w:hAnsi="Times New Roman" w:eastAsia="仿宋_GB2312" w:cs="Times New Roman"/>
                <w:color w:val="auto"/>
                <w:sz w:val="22"/>
                <w:szCs w:val="24"/>
              </w:rPr>
            </w:pPr>
            <w:r>
              <w:rPr>
                <w:rFonts w:hint="eastAsia" w:ascii="Times New Roman" w:hAnsi="Times New Roman" w:eastAsia="仿宋_GB2312" w:cs="Times New Roman"/>
                <w:color w:val="auto"/>
                <w:sz w:val="22"/>
                <w:szCs w:val="24"/>
              </w:rPr>
              <w:t>天津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1474" w:type="dxa"/>
            <w:noWrap/>
            <w:tcMar>
              <w:top w:w="15" w:type="dxa"/>
              <w:left w:w="15" w:type="dxa"/>
              <w:bottom w:w="0" w:type="dxa"/>
              <w:right w:w="15" w:type="dxa"/>
            </w:tcMar>
            <w:vAlign w:val="center"/>
          </w:tcPr>
          <w:p>
            <w:pPr>
              <w:jc w:val="center"/>
              <w:rPr>
                <w:rFonts w:ascii="Times New Roman" w:hAnsi="Times New Roman" w:eastAsia="仿宋_GB2312" w:cs="Times New Roman"/>
                <w:color w:val="auto"/>
                <w:sz w:val="22"/>
                <w:szCs w:val="24"/>
              </w:rPr>
            </w:pPr>
            <w:r>
              <w:rPr>
                <w:rFonts w:hint="eastAsia" w:ascii="Times New Roman" w:hAnsi="Times New Roman" w:eastAsia="仿宋_GB2312" w:cs="Times New Roman"/>
                <w:color w:val="auto"/>
                <w:sz w:val="22"/>
                <w:szCs w:val="24"/>
              </w:rPr>
              <w:t>240008349834</w:t>
            </w:r>
          </w:p>
        </w:tc>
        <w:tc>
          <w:tcPr>
            <w:tcW w:w="3624" w:type="dxa"/>
            <w:noWrap/>
            <w:tcMar>
              <w:top w:w="15" w:type="dxa"/>
              <w:left w:w="15" w:type="dxa"/>
              <w:bottom w:w="0" w:type="dxa"/>
              <w:right w:w="15" w:type="dxa"/>
            </w:tcMar>
            <w:vAlign w:val="center"/>
          </w:tcPr>
          <w:p>
            <w:pPr>
              <w:jc w:val="center"/>
              <w:rPr>
                <w:rFonts w:ascii="Times New Roman" w:hAnsi="Times New Roman" w:eastAsia="仿宋_GB2312" w:cs="Times New Roman"/>
                <w:color w:val="auto"/>
                <w:sz w:val="22"/>
                <w:szCs w:val="24"/>
              </w:rPr>
            </w:pPr>
            <w:r>
              <w:rPr>
                <w:rFonts w:hint="eastAsia" w:ascii="Times New Roman" w:hAnsi="Times New Roman" w:eastAsia="仿宋_GB2312" w:cs="Times New Roman"/>
                <w:color w:val="auto"/>
                <w:sz w:val="22"/>
                <w:szCs w:val="24"/>
              </w:rPr>
              <w:t>中汽研汽车检验中心（天津）有限公司</w:t>
            </w:r>
          </w:p>
        </w:tc>
        <w:tc>
          <w:tcPr>
            <w:tcW w:w="7088" w:type="dxa"/>
            <w:noWrap/>
            <w:tcMar>
              <w:top w:w="15" w:type="dxa"/>
              <w:left w:w="15" w:type="dxa"/>
              <w:bottom w:w="0" w:type="dxa"/>
              <w:right w:w="15" w:type="dxa"/>
            </w:tcMar>
            <w:vAlign w:val="center"/>
          </w:tcPr>
          <w:p>
            <w:pPr>
              <w:rPr>
                <w:rFonts w:ascii="Times New Roman" w:hAnsi="Times New Roman" w:eastAsia="仿宋_GB2312" w:cs="Times New Roman"/>
                <w:color w:val="auto"/>
                <w:sz w:val="22"/>
                <w:szCs w:val="24"/>
              </w:rPr>
            </w:pPr>
            <w:r>
              <w:rPr>
                <w:rFonts w:hint="eastAsia" w:ascii="Times New Roman" w:hAnsi="Times New Roman" w:eastAsia="仿宋_GB2312" w:cs="Times New Roman"/>
                <w:color w:val="auto"/>
                <w:sz w:val="22"/>
                <w:szCs w:val="24"/>
              </w:rPr>
              <w:t>民用无人驾驶航空器系统安全要求(GB 42590-2023)</w:t>
            </w:r>
          </w:p>
        </w:tc>
        <w:tc>
          <w:tcPr>
            <w:tcW w:w="1134" w:type="dxa"/>
            <w:noWrap/>
            <w:tcMar>
              <w:top w:w="15" w:type="dxa"/>
              <w:left w:w="15" w:type="dxa"/>
              <w:bottom w:w="0" w:type="dxa"/>
              <w:right w:w="15" w:type="dxa"/>
            </w:tcMar>
            <w:vAlign w:val="center"/>
          </w:tcPr>
          <w:p>
            <w:pPr>
              <w:jc w:val="center"/>
              <w:rPr>
                <w:rFonts w:ascii="Times New Roman" w:hAnsi="Times New Roman" w:eastAsia="仿宋_GB2312" w:cs="Times New Roman"/>
                <w:color w:val="auto"/>
                <w:sz w:val="22"/>
                <w:szCs w:val="24"/>
              </w:rPr>
            </w:pPr>
            <w:r>
              <w:rPr>
                <w:rFonts w:hint="eastAsia" w:ascii="Times New Roman" w:hAnsi="Times New Roman" w:eastAsia="仿宋_GB2312" w:cs="Times New Roman"/>
                <w:color w:val="auto"/>
                <w:sz w:val="22"/>
                <w:szCs w:val="24"/>
              </w:rPr>
              <w:t>天津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1474" w:type="dxa"/>
            <w:noWrap/>
            <w:tcMar>
              <w:top w:w="15" w:type="dxa"/>
              <w:left w:w="15" w:type="dxa"/>
              <w:bottom w:w="0" w:type="dxa"/>
              <w:right w:w="15" w:type="dxa"/>
            </w:tcMar>
            <w:vAlign w:val="center"/>
          </w:tcPr>
          <w:p>
            <w:pPr>
              <w:jc w:val="center"/>
              <w:rPr>
                <w:rFonts w:ascii="Times New Roman" w:hAnsi="Times New Roman" w:eastAsia="仿宋_GB2312" w:cs="Times New Roman"/>
                <w:color w:val="auto"/>
                <w:sz w:val="22"/>
                <w:szCs w:val="24"/>
              </w:rPr>
            </w:pPr>
            <w:r>
              <w:rPr>
                <w:rFonts w:hint="eastAsia" w:ascii="Times New Roman" w:hAnsi="Times New Roman" w:eastAsia="仿宋_GB2312" w:cs="Times New Roman"/>
                <w:color w:val="auto"/>
                <w:sz w:val="22"/>
                <w:szCs w:val="24"/>
              </w:rPr>
              <w:t>220020349412</w:t>
            </w:r>
          </w:p>
        </w:tc>
        <w:tc>
          <w:tcPr>
            <w:tcW w:w="3624" w:type="dxa"/>
            <w:noWrap/>
            <w:tcMar>
              <w:top w:w="15" w:type="dxa"/>
              <w:left w:w="15" w:type="dxa"/>
              <w:bottom w:w="0" w:type="dxa"/>
              <w:right w:w="15" w:type="dxa"/>
            </w:tcMar>
            <w:vAlign w:val="center"/>
          </w:tcPr>
          <w:p>
            <w:pPr>
              <w:jc w:val="center"/>
              <w:rPr>
                <w:rFonts w:ascii="Times New Roman" w:hAnsi="Times New Roman" w:eastAsia="仿宋_GB2312" w:cs="Times New Roman"/>
                <w:color w:val="auto"/>
                <w:sz w:val="22"/>
                <w:szCs w:val="24"/>
              </w:rPr>
            </w:pPr>
            <w:r>
              <w:rPr>
                <w:rFonts w:hint="eastAsia" w:ascii="Times New Roman" w:hAnsi="Times New Roman" w:eastAsia="仿宋_GB2312" w:cs="Times New Roman"/>
                <w:color w:val="auto"/>
                <w:sz w:val="22"/>
                <w:szCs w:val="24"/>
              </w:rPr>
              <w:t>中国电科网络通信研究院通信导航设备实验室（中国电子科技集团公司第五十四研究所通信导航设备实验室）</w:t>
            </w:r>
          </w:p>
        </w:tc>
        <w:tc>
          <w:tcPr>
            <w:tcW w:w="7088" w:type="dxa"/>
            <w:noWrap/>
            <w:tcMar>
              <w:top w:w="15" w:type="dxa"/>
              <w:left w:w="15" w:type="dxa"/>
              <w:bottom w:w="0" w:type="dxa"/>
              <w:right w:w="15" w:type="dxa"/>
            </w:tcMar>
            <w:vAlign w:val="center"/>
          </w:tcPr>
          <w:p>
            <w:pPr>
              <w:rPr>
                <w:rFonts w:ascii="Times New Roman" w:hAnsi="Times New Roman" w:eastAsia="仿宋_GB2312" w:cs="Times New Roman"/>
                <w:color w:val="auto"/>
                <w:sz w:val="22"/>
                <w:szCs w:val="24"/>
              </w:rPr>
            </w:pPr>
            <w:r>
              <w:rPr>
                <w:rFonts w:hint="eastAsia" w:ascii="Times New Roman" w:hAnsi="Times New Roman" w:eastAsia="仿宋_GB2312" w:cs="Times New Roman"/>
                <w:color w:val="auto"/>
                <w:sz w:val="22"/>
                <w:szCs w:val="24"/>
              </w:rPr>
              <w:t>民用无人驾驶航空器系统安全要求(GB 42590-2023)，民用轻小型无人机系统抗风性要求及试验方法(GB/T 38930-2020)，民用轻小型无人机系统电磁兼容性要求与试验方法(GB/T 38909-2020)，民用多旋翼无人机系统试验方法(GB/T 38058-2019)，民用大中型固定翼无人机飞行性能飞行试验要求(GB/T 43504-2023)，无人机围栏(MH/T 2008-2017)，警用无人驾驶航空器系统(GA/T 1411-2017)，植保无人飞机 质量评价技术规范(NY/T 3213-2018)，植保无人驾驶航空器(DG/T 247-2021)，架空电力线路多旋翼无人机巡检系统(DL/T 1578-2021)，无人机系统通用要求(GJB 5433-2005)，无人机系统飞行试验通用要求(GJB 5434-2005)，无人机北斗定位导航系统定型试验规程(GJB 6760-2009)</w:t>
            </w:r>
          </w:p>
        </w:tc>
        <w:tc>
          <w:tcPr>
            <w:tcW w:w="1134" w:type="dxa"/>
            <w:noWrap/>
            <w:tcMar>
              <w:top w:w="15" w:type="dxa"/>
              <w:left w:w="15" w:type="dxa"/>
              <w:bottom w:w="0" w:type="dxa"/>
              <w:right w:w="15" w:type="dxa"/>
            </w:tcMar>
            <w:vAlign w:val="center"/>
          </w:tcPr>
          <w:p>
            <w:pPr>
              <w:jc w:val="center"/>
              <w:rPr>
                <w:rFonts w:ascii="Times New Roman" w:hAnsi="Times New Roman" w:eastAsia="仿宋_GB2312" w:cs="Times New Roman"/>
                <w:color w:val="auto"/>
                <w:sz w:val="22"/>
                <w:szCs w:val="24"/>
              </w:rPr>
            </w:pPr>
            <w:r>
              <w:rPr>
                <w:rFonts w:hint="eastAsia" w:ascii="Times New Roman" w:hAnsi="Times New Roman" w:eastAsia="仿宋_GB2312" w:cs="Times New Roman"/>
                <w:color w:val="auto"/>
                <w:sz w:val="22"/>
                <w:szCs w:val="24"/>
              </w:rPr>
              <w:t>河北 石家庄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1474" w:type="dxa"/>
            <w:noWrap/>
            <w:tcMar>
              <w:top w:w="15" w:type="dxa"/>
              <w:left w:w="15" w:type="dxa"/>
              <w:bottom w:w="0" w:type="dxa"/>
              <w:right w:w="15" w:type="dxa"/>
            </w:tcMar>
            <w:vAlign w:val="center"/>
          </w:tcPr>
          <w:p>
            <w:pPr>
              <w:jc w:val="center"/>
              <w:rPr>
                <w:rFonts w:ascii="Times New Roman" w:hAnsi="Times New Roman" w:eastAsia="仿宋_GB2312" w:cs="Times New Roman"/>
                <w:color w:val="auto"/>
                <w:sz w:val="22"/>
                <w:szCs w:val="24"/>
              </w:rPr>
            </w:pPr>
            <w:r>
              <w:rPr>
                <w:rFonts w:hint="eastAsia" w:ascii="Times New Roman" w:hAnsi="Times New Roman" w:eastAsia="仿宋_GB2312" w:cs="Times New Roman"/>
                <w:color w:val="auto"/>
                <w:sz w:val="22"/>
                <w:szCs w:val="24"/>
              </w:rPr>
              <w:t>230008349402</w:t>
            </w:r>
          </w:p>
        </w:tc>
        <w:tc>
          <w:tcPr>
            <w:tcW w:w="3624" w:type="dxa"/>
            <w:noWrap/>
            <w:tcMar>
              <w:top w:w="15" w:type="dxa"/>
              <w:left w:w="15" w:type="dxa"/>
              <w:bottom w:w="0" w:type="dxa"/>
              <w:right w:w="15" w:type="dxa"/>
            </w:tcMar>
            <w:vAlign w:val="center"/>
          </w:tcPr>
          <w:p>
            <w:pPr>
              <w:jc w:val="center"/>
              <w:rPr>
                <w:rFonts w:ascii="Times New Roman" w:hAnsi="Times New Roman" w:eastAsia="仿宋_GB2312" w:cs="Times New Roman"/>
                <w:color w:val="auto"/>
                <w:sz w:val="22"/>
                <w:szCs w:val="24"/>
              </w:rPr>
            </w:pPr>
            <w:r>
              <w:rPr>
                <w:rFonts w:hint="eastAsia" w:ascii="Times New Roman" w:hAnsi="Times New Roman" w:eastAsia="仿宋_GB2312" w:cs="Times New Roman"/>
                <w:color w:val="auto"/>
                <w:sz w:val="22"/>
                <w:szCs w:val="24"/>
              </w:rPr>
              <w:t>中国科学院沈阳自动化研究所机器人检测中心</w:t>
            </w:r>
          </w:p>
        </w:tc>
        <w:tc>
          <w:tcPr>
            <w:tcW w:w="7088" w:type="dxa"/>
            <w:noWrap/>
            <w:tcMar>
              <w:top w:w="15" w:type="dxa"/>
              <w:left w:w="15" w:type="dxa"/>
              <w:bottom w:w="0" w:type="dxa"/>
              <w:right w:w="15" w:type="dxa"/>
            </w:tcMar>
            <w:vAlign w:val="center"/>
          </w:tcPr>
          <w:p>
            <w:pPr>
              <w:rPr>
                <w:rFonts w:ascii="Times New Roman" w:hAnsi="Times New Roman" w:eastAsia="仿宋_GB2312" w:cs="Times New Roman"/>
                <w:color w:val="auto"/>
                <w:sz w:val="22"/>
                <w:szCs w:val="24"/>
              </w:rPr>
            </w:pPr>
            <w:r>
              <w:rPr>
                <w:rFonts w:hint="eastAsia" w:ascii="Times New Roman" w:hAnsi="Times New Roman" w:eastAsia="仿宋_GB2312" w:cs="Times New Roman"/>
                <w:color w:val="auto"/>
                <w:sz w:val="22"/>
                <w:szCs w:val="24"/>
              </w:rPr>
              <w:t>民用多旋翼无人机系统试验方法(GB/T 38058-2019)，植保无人飞机 质量评价技术规范(NY/T 3213-2018)，架空电力线路多旋翼无人机巡检系统(DL/T 1578-2021)</w:t>
            </w:r>
          </w:p>
        </w:tc>
        <w:tc>
          <w:tcPr>
            <w:tcW w:w="1134" w:type="dxa"/>
            <w:noWrap/>
            <w:tcMar>
              <w:top w:w="15" w:type="dxa"/>
              <w:left w:w="15" w:type="dxa"/>
              <w:bottom w:w="0" w:type="dxa"/>
              <w:right w:w="15" w:type="dxa"/>
            </w:tcMar>
            <w:vAlign w:val="center"/>
          </w:tcPr>
          <w:p>
            <w:pPr>
              <w:jc w:val="center"/>
              <w:rPr>
                <w:rFonts w:ascii="Times New Roman" w:hAnsi="Times New Roman" w:eastAsia="仿宋_GB2312" w:cs="Times New Roman"/>
                <w:color w:val="auto"/>
                <w:sz w:val="22"/>
                <w:szCs w:val="24"/>
              </w:rPr>
            </w:pPr>
            <w:r>
              <w:rPr>
                <w:rFonts w:hint="eastAsia" w:ascii="Times New Roman" w:hAnsi="Times New Roman" w:eastAsia="仿宋_GB2312" w:cs="Times New Roman"/>
                <w:color w:val="auto"/>
                <w:sz w:val="22"/>
                <w:szCs w:val="24"/>
              </w:rPr>
              <w:t>辽宁 沈阳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1474" w:type="dxa"/>
            <w:noWrap/>
            <w:tcMar>
              <w:top w:w="15" w:type="dxa"/>
              <w:left w:w="15" w:type="dxa"/>
              <w:bottom w:w="0" w:type="dxa"/>
              <w:right w:w="15" w:type="dxa"/>
            </w:tcMar>
            <w:vAlign w:val="center"/>
          </w:tcPr>
          <w:p>
            <w:pPr>
              <w:jc w:val="center"/>
              <w:rPr>
                <w:rFonts w:ascii="Times New Roman" w:hAnsi="Times New Roman" w:eastAsia="仿宋_GB2312" w:cs="Times New Roman"/>
                <w:color w:val="auto"/>
                <w:sz w:val="22"/>
                <w:szCs w:val="24"/>
              </w:rPr>
            </w:pPr>
            <w:r>
              <w:rPr>
                <w:rFonts w:hint="eastAsia" w:ascii="Times New Roman" w:hAnsi="Times New Roman" w:eastAsia="仿宋_GB2312" w:cs="Times New Roman"/>
                <w:color w:val="auto"/>
                <w:sz w:val="22"/>
                <w:szCs w:val="24"/>
              </w:rPr>
              <w:t>230020029648</w:t>
            </w:r>
          </w:p>
        </w:tc>
        <w:tc>
          <w:tcPr>
            <w:tcW w:w="3624" w:type="dxa"/>
            <w:noWrap/>
            <w:tcMar>
              <w:top w:w="15" w:type="dxa"/>
              <w:left w:w="15" w:type="dxa"/>
              <w:bottom w:w="0" w:type="dxa"/>
              <w:right w:w="15" w:type="dxa"/>
            </w:tcMar>
            <w:vAlign w:val="center"/>
          </w:tcPr>
          <w:p>
            <w:pPr>
              <w:jc w:val="center"/>
              <w:rPr>
                <w:rFonts w:ascii="Times New Roman" w:hAnsi="Times New Roman" w:eastAsia="仿宋_GB2312" w:cs="Times New Roman"/>
                <w:color w:val="auto"/>
                <w:sz w:val="22"/>
                <w:szCs w:val="24"/>
              </w:rPr>
            </w:pPr>
            <w:r>
              <w:rPr>
                <w:rFonts w:hint="eastAsia" w:ascii="Times New Roman" w:hAnsi="Times New Roman" w:eastAsia="仿宋_GB2312" w:cs="Times New Roman"/>
                <w:color w:val="auto"/>
                <w:sz w:val="22"/>
                <w:szCs w:val="24"/>
              </w:rPr>
              <w:t>公安部第三研究所</w:t>
            </w:r>
          </w:p>
        </w:tc>
        <w:tc>
          <w:tcPr>
            <w:tcW w:w="7088" w:type="dxa"/>
            <w:noWrap/>
            <w:tcMar>
              <w:top w:w="15" w:type="dxa"/>
              <w:left w:w="15" w:type="dxa"/>
              <w:bottom w:w="0" w:type="dxa"/>
              <w:right w:w="15" w:type="dxa"/>
            </w:tcMar>
            <w:vAlign w:val="center"/>
          </w:tcPr>
          <w:p>
            <w:pPr>
              <w:rPr>
                <w:rFonts w:ascii="Times New Roman" w:hAnsi="Times New Roman" w:eastAsia="仿宋_GB2312" w:cs="Times New Roman"/>
                <w:color w:val="auto"/>
                <w:sz w:val="22"/>
                <w:szCs w:val="24"/>
              </w:rPr>
            </w:pPr>
            <w:r>
              <w:rPr>
                <w:rFonts w:hint="eastAsia" w:ascii="Times New Roman" w:hAnsi="Times New Roman" w:eastAsia="仿宋_GB2312" w:cs="Times New Roman"/>
                <w:color w:val="auto"/>
                <w:sz w:val="22"/>
                <w:szCs w:val="24"/>
              </w:rPr>
              <w:t>民用轻小型无人机系统环境试验方法(GB/T 38924-2020)，民用轻小型无人机系统抗风性要求及试验方法(GB/T 38930-2020)，民用轻小型无人机系统电磁兼容性要求与试验方法(GB/T 38909-2020)，民用多旋翼无人机系统试验方法(GB/T 38058-2019)，轻小型多旋翼无人机飞行控制与导航系统通用要求(GB/T 38997-2020)，民用轻小型固定翼无人机飞行控制系统通用要求(GB/T 38996-2020)，警用无人驾驶航空器系统(GA/T 1411-2017)，无人机系统通用要求(GJB 5433-2005)，无人机系统飞行试验通用要求(GJB 5434-2005)</w:t>
            </w:r>
          </w:p>
        </w:tc>
        <w:tc>
          <w:tcPr>
            <w:tcW w:w="1134" w:type="dxa"/>
            <w:noWrap/>
            <w:tcMar>
              <w:top w:w="15" w:type="dxa"/>
              <w:left w:w="15" w:type="dxa"/>
              <w:bottom w:w="0" w:type="dxa"/>
              <w:right w:w="15" w:type="dxa"/>
            </w:tcMar>
            <w:vAlign w:val="center"/>
          </w:tcPr>
          <w:p>
            <w:pPr>
              <w:jc w:val="center"/>
              <w:rPr>
                <w:rFonts w:ascii="Times New Roman" w:hAnsi="Times New Roman" w:eastAsia="仿宋_GB2312" w:cs="Times New Roman"/>
                <w:color w:val="auto"/>
                <w:sz w:val="22"/>
                <w:szCs w:val="24"/>
              </w:rPr>
            </w:pPr>
            <w:r>
              <w:rPr>
                <w:rFonts w:hint="eastAsia" w:ascii="Times New Roman" w:hAnsi="Times New Roman" w:eastAsia="仿宋_GB2312" w:cs="Times New Roman"/>
                <w:color w:val="auto"/>
                <w:sz w:val="22"/>
                <w:szCs w:val="24"/>
              </w:rPr>
              <w:t>上海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1474" w:type="dxa"/>
            <w:noWrap/>
            <w:tcMar>
              <w:top w:w="15" w:type="dxa"/>
              <w:left w:w="15" w:type="dxa"/>
              <w:bottom w:w="0" w:type="dxa"/>
              <w:right w:w="15" w:type="dxa"/>
            </w:tcMar>
            <w:vAlign w:val="center"/>
          </w:tcPr>
          <w:p>
            <w:pPr>
              <w:jc w:val="center"/>
              <w:rPr>
                <w:rFonts w:ascii="Times New Roman" w:hAnsi="Times New Roman" w:eastAsia="仿宋_GB2312" w:cs="Times New Roman"/>
                <w:color w:val="auto"/>
                <w:sz w:val="22"/>
                <w:szCs w:val="24"/>
              </w:rPr>
            </w:pPr>
            <w:r>
              <w:rPr>
                <w:rFonts w:hint="eastAsia" w:ascii="Times New Roman" w:hAnsi="Times New Roman" w:eastAsia="仿宋_GB2312" w:cs="Times New Roman"/>
                <w:color w:val="auto"/>
                <w:sz w:val="22"/>
                <w:szCs w:val="24"/>
              </w:rPr>
              <w:t>240008343976</w:t>
            </w:r>
          </w:p>
        </w:tc>
        <w:tc>
          <w:tcPr>
            <w:tcW w:w="3624" w:type="dxa"/>
            <w:noWrap/>
            <w:tcMar>
              <w:top w:w="15" w:type="dxa"/>
              <w:left w:w="15" w:type="dxa"/>
              <w:bottom w:w="0" w:type="dxa"/>
              <w:right w:w="15" w:type="dxa"/>
            </w:tcMar>
            <w:vAlign w:val="center"/>
          </w:tcPr>
          <w:p>
            <w:pPr>
              <w:jc w:val="center"/>
              <w:rPr>
                <w:rFonts w:ascii="Times New Roman" w:hAnsi="Times New Roman" w:eastAsia="仿宋_GB2312" w:cs="Times New Roman"/>
                <w:color w:val="auto"/>
                <w:sz w:val="22"/>
                <w:szCs w:val="24"/>
              </w:rPr>
            </w:pPr>
            <w:r>
              <w:rPr>
                <w:rFonts w:hint="eastAsia" w:ascii="Times New Roman" w:hAnsi="Times New Roman" w:eastAsia="仿宋_GB2312" w:cs="Times New Roman"/>
                <w:color w:val="auto"/>
                <w:sz w:val="22"/>
                <w:szCs w:val="24"/>
              </w:rPr>
              <w:t>上海电器设备检测所有限公司</w:t>
            </w:r>
          </w:p>
        </w:tc>
        <w:tc>
          <w:tcPr>
            <w:tcW w:w="7088" w:type="dxa"/>
            <w:noWrap/>
            <w:tcMar>
              <w:top w:w="15" w:type="dxa"/>
              <w:left w:w="15" w:type="dxa"/>
              <w:bottom w:w="0" w:type="dxa"/>
              <w:right w:w="15" w:type="dxa"/>
            </w:tcMar>
            <w:vAlign w:val="center"/>
          </w:tcPr>
          <w:p>
            <w:pPr>
              <w:rPr>
                <w:rFonts w:ascii="Times New Roman" w:hAnsi="Times New Roman" w:eastAsia="仿宋_GB2312" w:cs="Times New Roman"/>
                <w:color w:val="auto"/>
                <w:sz w:val="22"/>
                <w:szCs w:val="24"/>
              </w:rPr>
            </w:pPr>
            <w:r>
              <w:rPr>
                <w:rFonts w:hint="eastAsia" w:ascii="Times New Roman" w:hAnsi="Times New Roman" w:eastAsia="仿宋_GB2312" w:cs="Times New Roman"/>
                <w:color w:val="auto"/>
                <w:sz w:val="22"/>
                <w:szCs w:val="24"/>
              </w:rPr>
              <w:t>民用无人驾驶航空器系统安全要求(GB 42590-2023)，警用无人驾驶航空器系统(GA/T 1411-2017)，植保无人飞机 质量评价技术规范(NY/T 3213-2018)</w:t>
            </w:r>
          </w:p>
        </w:tc>
        <w:tc>
          <w:tcPr>
            <w:tcW w:w="1134" w:type="dxa"/>
            <w:noWrap/>
            <w:tcMar>
              <w:top w:w="15" w:type="dxa"/>
              <w:left w:w="15" w:type="dxa"/>
              <w:bottom w:w="0" w:type="dxa"/>
              <w:right w:w="15" w:type="dxa"/>
            </w:tcMar>
            <w:vAlign w:val="center"/>
          </w:tcPr>
          <w:p>
            <w:pPr>
              <w:jc w:val="center"/>
              <w:rPr>
                <w:rFonts w:ascii="Times New Roman" w:hAnsi="Times New Roman" w:eastAsia="仿宋_GB2312" w:cs="Times New Roman"/>
                <w:color w:val="auto"/>
                <w:sz w:val="22"/>
                <w:szCs w:val="24"/>
              </w:rPr>
            </w:pPr>
            <w:r>
              <w:rPr>
                <w:rFonts w:hint="eastAsia" w:ascii="Times New Roman" w:hAnsi="Times New Roman" w:eastAsia="仿宋_GB2312" w:cs="Times New Roman"/>
                <w:color w:val="auto"/>
                <w:sz w:val="22"/>
                <w:szCs w:val="24"/>
              </w:rPr>
              <w:t>上海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1474" w:type="dxa"/>
            <w:noWrap/>
            <w:tcMar>
              <w:top w:w="15" w:type="dxa"/>
              <w:left w:w="15" w:type="dxa"/>
              <w:bottom w:w="0" w:type="dxa"/>
              <w:right w:w="15" w:type="dxa"/>
            </w:tcMar>
            <w:vAlign w:val="center"/>
          </w:tcPr>
          <w:p>
            <w:pPr>
              <w:jc w:val="center"/>
              <w:rPr>
                <w:rFonts w:ascii="Times New Roman" w:hAnsi="Times New Roman" w:eastAsia="仿宋_GB2312" w:cs="Times New Roman"/>
                <w:color w:val="auto"/>
                <w:sz w:val="22"/>
                <w:szCs w:val="24"/>
              </w:rPr>
            </w:pPr>
            <w:r>
              <w:rPr>
                <w:rFonts w:hint="eastAsia" w:ascii="Times New Roman" w:hAnsi="Times New Roman" w:eastAsia="仿宋_GB2312" w:cs="Times New Roman"/>
                <w:color w:val="auto"/>
                <w:sz w:val="22"/>
                <w:szCs w:val="24"/>
              </w:rPr>
              <w:t>230008349193</w:t>
            </w:r>
          </w:p>
        </w:tc>
        <w:tc>
          <w:tcPr>
            <w:tcW w:w="3624" w:type="dxa"/>
            <w:noWrap/>
            <w:tcMar>
              <w:top w:w="15" w:type="dxa"/>
              <w:left w:w="15" w:type="dxa"/>
              <w:bottom w:w="0" w:type="dxa"/>
              <w:right w:w="15" w:type="dxa"/>
            </w:tcMar>
            <w:vAlign w:val="center"/>
          </w:tcPr>
          <w:p>
            <w:pPr>
              <w:jc w:val="center"/>
              <w:rPr>
                <w:rFonts w:ascii="Times New Roman" w:hAnsi="Times New Roman" w:eastAsia="仿宋_GB2312" w:cs="Times New Roman"/>
                <w:color w:val="auto"/>
                <w:sz w:val="22"/>
                <w:szCs w:val="24"/>
              </w:rPr>
            </w:pPr>
            <w:r>
              <w:rPr>
                <w:rFonts w:hint="eastAsia" w:ascii="Times New Roman" w:hAnsi="Times New Roman" w:eastAsia="仿宋_GB2312" w:cs="Times New Roman"/>
                <w:color w:val="auto"/>
                <w:sz w:val="22"/>
                <w:szCs w:val="24"/>
              </w:rPr>
              <w:t>农业农村部南京农业机械化研究所</w:t>
            </w:r>
          </w:p>
        </w:tc>
        <w:tc>
          <w:tcPr>
            <w:tcW w:w="7088" w:type="dxa"/>
            <w:noWrap/>
            <w:tcMar>
              <w:top w:w="15" w:type="dxa"/>
              <w:left w:w="15" w:type="dxa"/>
              <w:bottom w:w="0" w:type="dxa"/>
              <w:right w:w="15" w:type="dxa"/>
            </w:tcMar>
            <w:vAlign w:val="center"/>
          </w:tcPr>
          <w:p>
            <w:pPr>
              <w:rPr>
                <w:rFonts w:ascii="Times New Roman" w:hAnsi="Times New Roman" w:eastAsia="仿宋_GB2312" w:cs="Times New Roman"/>
                <w:color w:val="auto"/>
                <w:sz w:val="22"/>
                <w:szCs w:val="24"/>
              </w:rPr>
            </w:pPr>
            <w:r>
              <w:rPr>
                <w:rFonts w:hint="eastAsia" w:ascii="Times New Roman" w:hAnsi="Times New Roman" w:eastAsia="仿宋_GB2312" w:cs="Times New Roman"/>
                <w:color w:val="auto"/>
                <w:sz w:val="22"/>
                <w:szCs w:val="24"/>
              </w:rPr>
              <w:t>民用多旋翼无人机系统试验方法(GB/T 38058-2019)，植保无人飞机 质量评价技术规范(NY/T 3213-2018)，遥控飞行播种机质量评价技术规范(NY/T 3881-2021)，植保无人驾驶航空器(DG/T 247-2021)</w:t>
            </w:r>
          </w:p>
        </w:tc>
        <w:tc>
          <w:tcPr>
            <w:tcW w:w="1134" w:type="dxa"/>
            <w:noWrap/>
            <w:tcMar>
              <w:top w:w="15" w:type="dxa"/>
              <w:left w:w="15" w:type="dxa"/>
              <w:bottom w:w="0" w:type="dxa"/>
              <w:right w:w="15" w:type="dxa"/>
            </w:tcMar>
            <w:vAlign w:val="center"/>
          </w:tcPr>
          <w:p>
            <w:pPr>
              <w:jc w:val="center"/>
              <w:rPr>
                <w:rFonts w:ascii="Times New Roman" w:hAnsi="Times New Roman" w:eastAsia="仿宋_GB2312" w:cs="Times New Roman"/>
                <w:color w:val="auto"/>
                <w:sz w:val="22"/>
                <w:szCs w:val="24"/>
              </w:rPr>
            </w:pPr>
            <w:r>
              <w:rPr>
                <w:rFonts w:hint="eastAsia" w:ascii="Times New Roman" w:hAnsi="Times New Roman" w:eastAsia="仿宋_GB2312" w:cs="Times New Roman"/>
                <w:color w:val="auto"/>
                <w:sz w:val="22"/>
                <w:szCs w:val="24"/>
              </w:rPr>
              <w:t>江苏 南京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1474" w:type="dxa"/>
            <w:noWrap/>
            <w:tcMar>
              <w:top w:w="15" w:type="dxa"/>
              <w:left w:w="15" w:type="dxa"/>
              <w:bottom w:w="0" w:type="dxa"/>
              <w:right w:w="15" w:type="dxa"/>
            </w:tcMar>
            <w:vAlign w:val="center"/>
          </w:tcPr>
          <w:p>
            <w:pPr>
              <w:jc w:val="center"/>
              <w:rPr>
                <w:rFonts w:ascii="Times New Roman" w:hAnsi="Times New Roman" w:eastAsia="仿宋_GB2312" w:cs="Times New Roman"/>
                <w:color w:val="auto"/>
                <w:sz w:val="22"/>
                <w:szCs w:val="24"/>
              </w:rPr>
            </w:pPr>
            <w:r>
              <w:rPr>
                <w:rFonts w:hint="eastAsia" w:ascii="Times New Roman" w:hAnsi="Times New Roman" w:eastAsia="仿宋_GB2312" w:cs="Times New Roman"/>
                <w:color w:val="auto"/>
                <w:sz w:val="22"/>
                <w:szCs w:val="24"/>
              </w:rPr>
              <w:t>240017349912</w:t>
            </w:r>
          </w:p>
        </w:tc>
        <w:tc>
          <w:tcPr>
            <w:tcW w:w="3624" w:type="dxa"/>
            <w:noWrap/>
            <w:tcMar>
              <w:top w:w="15" w:type="dxa"/>
              <w:left w:w="15" w:type="dxa"/>
              <w:bottom w:w="0" w:type="dxa"/>
              <w:right w:w="15" w:type="dxa"/>
            </w:tcMar>
            <w:vAlign w:val="center"/>
          </w:tcPr>
          <w:p>
            <w:pPr>
              <w:jc w:val="center"/>
              <w:rPr>
                <w:rFonts w:ascii="Times New Roman" w:hAnsi="Times New Roman" w:eastAsia="仿宋_GB2312" w:cs="Times New Roman"/>
                <w:color w:val="auto"/>
                <w:sz w:val="22"/>
                <w:szCs w:val="24"/>
              </w:rPr>
            </w:pPr>
            <w:r>
              <w:rPr>
                <w:rFonts w:hint="eastAsia" w:ascii="Times New Roman" w:hAnsi="Times New Roman" w:eastAsia="仿宋_GB2312" w:cs="Times New Roman"/>
                <w:color w:val="auto"/>
                <w:sz w:val="22"/>
                <w:szCs w:val="24"/>
              </w:rPr>
              <w:t>国网电力科学研究院有限公司实验验证中心</w:t>
            </w:r>
          </w:p>
        </w:tc>
        <w:tc>
          <w:tcPr>
            <w:tcW w:w="7088" w:type="dxa"/>
            <w:noWrap/>
            <w:tcMar>
              <w:top w:w="15" w:type="dxa"/>
              <w:left w:w="15" w:type="dxa"/>
              <w:bottom w:w="0" w:type="dxa"/>
              <w:right w:w="15" w:type="dxa"/>
            </w:tcMar>
            <w:vAlign w:val="center"/>
          </w:tcPr>
          <w:p>
            <w:pPr>
              <w:rPr>
                <w:rFonts w:ascii="Times New Roman" w:hAnsi="Times New Roman" w:eastAsia="仿宋_GB2312" w:cs="Times New Roman"/>
                <w:color w:val="auto"/>
                <w:sz w:val="22"/>
                <w:szCs w:val="24"/>
              </w:rPr>
            </w:pPr>
            <w:r>
              <w:rPr>
                <w:rFonts w:hint="eastAsia" w:ascii="Times New Roman" w:hAnsi="Times New Roman" w:eastAsia="仿宋_GB2312" w:cs="Times New Roman"/>
                <w:color w:val="auto"/>
                <w:sz w:val="22"/>
                <w:szCs w:val="24"/>
              </w:rPr>
              <w:t>架空电力线路多旋翼无人机巡检系统(DL/T 1578-2021)</w:t>
            </w:r>
          </w:p>
        </w:tc>
        <w:tc>
          <w:tcPr>
            <w:tcW w:w="1134" w:type="dxa"/>
            <w:noWrap/>
            <w:tcMar>
              <w:top w:w="15" w:type="dxa"/>
              <w:left w:w="15" w:type="dxa"/>
              <w:bottom w:w="0" w:type="dxa"/>
              <w:right w:w="15" w:type="dxa"/>
            </w:tcMar>
            <w:vAlign w:val="center"/>
          </w:tcPr>
          <w:p>
            <w:pPr>
              <w:jc w:val="center"/>
              <w:rPr>
                <w:rFonts w:ascii="Times New Roman" w:hAnsi="Times New Roman" w:eastAsia="仿宋_GB2312" w:cs="Times New Roman"/>
                <w:color w:val="auto"/>
                <w:sz w:val="22"/>
                <w:szCs w:val="24"/>
              </w:rPr>
            </w:pPr>
            <w:r>
              <w:rPr>
                <w:rFonts w:hint="eastAsia" w:ascii="Times New Roman" w:hAnsi="Times New Roman" w:eastAsia="仿宋_GB2312" w:cs="Times New Roman"/>
                <w:color w:val="auto"/>
                <w:sz w:val="22"/>
                <w:szCs w:val="24"/>
              </w:rPr>
              <w:t>江苏 南京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1474" w:type="dxa"/>
            <w:noWrap/>
            <w:tcMar>
              <w:top w:w="15" w:type="dxa"/>
              <w:left w:w="15" w:type="dxa"/>
              <w:bottom w:w="0" w:type="dxa"/>
              <w:right w:w="15" w:type="dxa"/>
            </w:tcMar>
            <w:vAlign w:val="center"/>
          </w:tcPr>
          <w:p>
            <w:pPr>
              <w:jc w:val="center"/>
              <w:rPr>
                <w:rFonts w:ascii="Times New Roman" w:hAnsi="Times New Roman" w:eastAsia="仿宋_GB2312" w:cs="Times New Roman"/>
                <w:color w:val="auto"/>
                <w:sz w:val="22"/>
                <w:szCs w:val="24"/>
              </w:rPr>
            </w:pPr>
            <w:r>
              <w:rPr>
                <w:rFonts w:hint="eastAsia" w:ascii="Times New Roman" w:hAnsi="Times New Roman" w:eastAsia="仿宋_GB2312" w:cs="Times New Roman"/>
                <w:color w:val="auto"/>
                <w:sz w:val="22"/>
                <w:szCs w:val="24"/>
              </w:rPr>
              <w:t>240020349844</w:t>
            </w:r>
          </w:p>
        </w:tc>
        <w:tc>
          <w:tcPr>
            <w:tcW w:w="3624" w:type="dxa"/>
            <w:noWrap/>
            <w:tcMar>
              <w:top w:w="15" w:type="dxa"/>
              <w:left w:w="15" w:type="dxa"/>
              <w:bottom w:w="0" w:type="dxa"/>
              <w:right w:w="15" w:type="dxa"/>
            </w:tcMar>
            <w:vAlign w:val="center"/>
          </w:tcPr>
          <w:p>
            <w:pPr>
              <w:jc w:val="center"/>
              <w:rPr>
                <w:rFonts w:ascii="Times New Roman" w:hAnsi="Times New Roman" w:eastAsia="仿宋_GB2312" w:cs="Times New Roman"/>
                <w:color w:val="auto"/>
                <w:sz w:val="22"/>
                <w:szCs w:val="24"/>
              </w:rPr>
            </w:pPr>
            <w:r>
              <w:rPr>
                <w:rFonts w:hint="eastAsia" w:ascii="Times New Roman" w:hAnsi="Times New Roman" w:eastAsia="仿宋_GB2312" w:cs="Times New Roman"/>
                <w:color w:val="auto"/>
                <w:sz w:val="22"/>
                <w:szCs w:val="24"/>
              </w:rPr>
              <w:t>江苏省产品质量监督检验研究院</w:t>
            </w:r>
          </w:p>
        </w:tc>
        <w:tc>
          <w:tcPr>
            <w:tcW w:w="7088" w:type="dxa"/>
            <w:noWrap/>
            <w:tcMar>
              <w:top w:w="15" w:type="dxa"/>
              <w:left w:w="15" w:type="dxa"/>
              <w:bottom w:w="0" w:type="dxa"/>
              <w:right w:w="15" w:type="dxa"/>
            </w:tcMar>
            <w:vAlign w:val="center"/>
          </w:tcPr>
          <w:p>
            <w:pPr>
              <w:rPr>
                <w:rFonts w:ascii="Times New Roman" w:hAnsi="Times New Roman" w:eastAsia="仿宋_GB2312" w:cs="Times New Roman"/>
                <w:color w:val="auto"/>
                <w:sz w:val="22"/>
                <w:szCs w:val="24"/>
              </w:rPr>
            </w:pPr>
            <w:r>
              <w:rPr>
                <w:rFonts w:hint="eastAsia" w:ascii="Times New Roman" w:hAnsi="Times New Roman" w:eastAsia="仿宋_GB2312" w:cs="Times New Roman"/>
                <w:color w:val="auto"/>
                <w:sz w:val="22"/>
                <w:szCs w:val="24"/>
              </w:rPr>
              <w:t>民用无人驾驶航空器系统安全要求(GB 42590-2023)，民用轻小型无人机系统电磁兼容性要求与试验方法(GB/T 38909-2020)，民用多旋翼无人机系统试验方法(GB/T 38058-2019)</w:t>
            </w:r>
          </w:p>
        </w:tc>
        <w:tc>
          <w:tcPr>
            <w:tcW w:w="1134" w:type="dxa"/>
            <w:noWrap/>
            <w:tcMar>
              <w:top w:w="15" w:type="dxa"/>
              <w:left w:w="15" w:type="dxa"/>
              <w:bottom w:w="0" w:type="dxa"/>
              <w:right w:w="15" w:type="dxa"/>
            </w:tcMar>
            <w:vAlign w:val="center"/>
          </w:tcPr>
          <w:p>
            <w:pPr>
              <w:jc w:val="center"/>
              <w:rPr>
                <w:rFonts w:ascii="Times New Roman" w:hAnsi="Times New Roman" w:eastAsia="仿宋_GB2312" w:cs="Times New Roman"/>
                <w:color w:val="auto"/>
                <w:sz w:val="22"/>
                <w:szCs w:val="24"/>
              </w:rPr>
            </w:pPr>
            <w:r>
              <w:rPr>
                <w:rFonts w:hint="eastAsia" w:ascii="Times New Roman" w:hAnsi="Times New Roman" w:eastAsia="仿宋_GB2312" w:cs="Times New Roman"/>
                <w:color w:val="auto"/>
                <w:sz w:val="22"/>
                <w:szCs w:val="24"/>
              </w:rPr>
              <w:t>江苏 南京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1474" w:type="dxa"/>
            <w:noWrap/>
            <w:tcMar>
              <w:top w:w="15" w:type="dxa"/>
              <w:left w:w="15" w:type="dxa"/>
              <w:bottom w:w="0" w:type="dxa"/>
              <w:right w:w="15" w:type="dxa"/>
            </w:tcMar>
            <w:vAlign w:val="center"/>
          </w:tcPr>
          <w:p>
            <w:pPr>
              <w:jc w:val="center"/>
              <w:rPr>
                <w:rFonts w:ascii="Times New Roman" w:hAnsi="Times New Roman" w:eastAsia="仿宋_GB2312" w:cs="Times New Roman"/>
                <w:color w:val="auto"/>
                <w:sz w:val="22"/>
                <w:szCs w:val="24"/>
              </w:rPr>
            </w:pPr>
            <w:r>
              <w:rPr>
                <w:rFonts w:hint="eastAsia" w:ascii="Times New Roman" w:hAnsi="Times New Roman" w:eastAsia="仿宋_GB2312" w:cs="Times New Roman"/>
                <w:color w:val="auto"/>
                <w:sz w:val="22"/>
                <w:szCs w:val="24"/>
              </w:rPr>
              <w:t>240021349953</w:t>
            </w:r>
          </w:p>
        </w:tc>
        <w:tc>
          <w:tcPr>
            <w:tcW w:w="3624" w:type="dxa"/>
            <w:noWrap/>
            <w:tcMar>
              <w:top w:w="15" w:type="dxa"/>
              <w:left w:w="15" w:type="dxa"/>
              <w:bottom w:w="0" w:type="dxa"/>
              <w:right w:w="15" w:type="dxa"/>
            </w:tcMar>
            <w:vAlign w:val="center"/>
          </w:tcPr>
          <w:p>
            <w:pPr>
              <w:jc w:val="center"/>
              <w:rPr>
                <w:rFonts w:ascii="Times New Roman" w:hAnsi="Times New Roman" w:eastAsia="仿宋_GB2312" w:cs="Times New Roman"/>
                <w:color w:val="auto"/>
                <w:sz w:val="22"/>
                <w:szCs w:val="24"/>
              </w:rPr>
            </w:pPr>
            <w:r>
              <w:rPr>
                <w:rFonts w:hint="eastAsia" w:ascii="Times New Roman" w:hAnsi="Times New Roman" w:eastAsia="仿宋_GB2312" w:cs="Times New Roman"/>
                <w:color w:val="auto"/>
                <w:sz w:val="22"/>
                <w:szCs w:val="24"/>
              </w:rPr>
              <w:t>南京北方卫星导航检测认证中心有限公司</w:t>
            </w:r>
          </w:p>
        </w:tc>
        <w:tc>
          <w:tcPr>
            <w:tcW w:w="7088" w:type="dxa"/>
            <w:noWrap/>
            <w:tcMar>
              <w:top w:w="15" w:type="dxa"/>
              <w:left w:w="15" w:type="dxa"/>
              <w:bottom w:w="0" w:type="dxa"/>
              <w:right w:w="15" w:type="dxa"/>
            </w:tcMar>
            <w:vAlign w:val="center"/>
          </w:tcPr>
          <w:p>
            <w:pPr>
              <w:rPr>
                <w:rFonts w:ascii="Times New Roman" w:hAnsi="Times New Roman" w:eastAsia="仿宋_GB2312" w:cs="Times New Roman"/>
                <w:color w:val="auto"/>
                <w:sz w:val="22"/>
                <w:szCs w:val="24"/>
              </w:rPr>
            </w:pPr>
            <w:r>
              <w:rPr>
                <w:rFonts w:hint="eastAsia" w:ascii="Times New Roman" w:hAnsi="Times New Roman" w:eastAsia="仿宋_GB2312" w:cs="Times New Roman"/>
                <w:color w:val="auto"/>
                <w:sz w:val="22"/>
                <w:szCs w:val="24"/>
              </w:rPr>
              <w:t>民用多旋翼无人机系统试验方法(GB/T 38058-2019)，无人机北斗定位导航系统定型试验规程(GJB 6760-2009)</w:t>
            </w:r>
          </w:p>
        </w:tc>
        <w:tc>
          <w:tcPr>
            <w:tcW w:w="1134" w:type="dxa"/>
            <w:noWrap/>
            <w:tcMar>
              <w:top w:w="15" w:type="dxa"/>
              <w:left w:w="15" w:type="dxa"/>
              <w:bottom w:w="0" w:type="dxa"/>
              <w:right w:w="15" w:type="dxa"/>
            </w:tcMar>
            <w:vAlign w:val="center"/>
          </w:tcPr>
          <w:p>
            <w:pPr>
              <w:jc w:val="center"/>
              <w:rPr>
                <w:rFonts w:ascii="Times New Roman" w:hAnsi="Times New Roman" w:eastAsia="仿宋_GB2312" w:cs="Times New Roman"/>
                <w:color w:val="auto"/>
                <w:sz w:val="22"/>
                <w:szCs w:val="24"/>
              </w:rPr>
            </w:pPr>
            <w:r>
              <w:rPr>
                <w:rFonts w:hint="eastAsia" w:ascii="Times New Roman" w:hAnsi="Times New Roman" w:eastAsia="仿宋_GB2312" w:cs="Times New Roman"/>
                <w:color w:val="auto"/>
                <w:sz w:val="22"/>
                <w:szCs w:val="24"/>
              </w:rPr>
              <w:t>江苏 南京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1474" w:type="dxa"/>
            <w:noWrap/>
            <w:tcMar>
              <w:top w:w="15" w:type="dxa"/>
              <w:left w:w="15" w:type="dxa"/>
              <w:bottom w:w="0" w:type="dxa"/>
              <w:right w:w="15" w:type="dxa"/>
            </w:tcMar>
            <w:vAlign w:val="center"/>
          </w:tcPr>
          <w:p>
            <w:pPr>
              <w:jc w:val="center"/>
              <w:rPr>
                <w:rFonts w:ascii="Times New Roman" w:hAnsi="Times New Roman" w:eastAsia="仿宋_GB2312" w:cs="Times New Roman"/>
                <w:color w:val="auto"/>
                <w:sz w:val="22"/>
                <w:szCs w:val="24"/>
              </w:rPr>
            </w:pPr>
            <w:r>
              <w:rPr>
                <w:rFonts w:hint="eastAsia" w:ascii="Times New Roman" w:hAnsi="Times New Roman" w:eastAsia="仿宋_GB2312" w:cs="Times New Roman"/>
                <w:color w:val="auto"/>
                <w:sz w:val="22"/>
                <w:szCs w:val="24"/>
              </w:rPr>
              <w:t>210021349225</w:t>
            </w:r>
          </w:p>
        </w:tc>
        <w:tc>
          <w:tcPr>
            <w:tcW w:w="3624" w:type="dxa"/>
            <w:noWrap/>
            <w:tcMar>
              <w:top w:w="15" w:type="dxa"/>
              <w:left w:w="15" w:type="dxa"/>
              <w:bottom w:w="0" w:type="dxa"/>
              <w:right w:w="15" w:type="dxa"/>
            </w:tcMar>
            <w:vAlign w:val="center"/>
          </w:tcPr>
          <w:p>
            <w:pPr>
              <w:jc w:val="center"/>
              <w:rPr>
                <w:rFonts w:ascii="Times New Roman" w:hAnsi="Times New Roman" w:eastAsia="仿宋_GB2312" w:cs="Times New Roman"/>
                <w:color w:val="auto"/>
                <w:sz w:val="22"/>
                <w:szCs w:val="24"/>
              </w:rPr>
            </w:pPr>
            <w:r>
              <w:rPr>
                <w:rFonts w:hint="eastAsia" w:ascii="Times New Roman" w:hAnsi="Times New Roman" w:eastAsia="仿宋_GB2312" w:cs="Times New Roman"/>
                <w:color w:val="auto"/>
                <w:sz w:val="22"/>
                <w:szCs w:val="24"/>
              </w:rPr>
              <w:t>公安部交通管理科学研究所</w:t>
            </w:r>
          </w:p>
        </w:tc>
        <w:tc>
          <w:tcPr>
            <w:tcW w:w="7088" w:type="dxa"/>
            <w:noWrap/>
            <w:tcMar>
              <w:top w:w="15" w:type="dxa"/>
              <w:left w:w="15" w:type="dxa"/>
              <w:bottom w:w="0" w:type="dxa"/>
              <w:right w:w="15" w:type="dxa"/>
            </w:tcMar>
            <w:vAlign w:val="center"/>
          </w:tcPr>
          <w:p>
            <w:pPr>
              <w:rPr>
                <w:rFonts w:ascii="Times New Roman" w:hAnsi="Times New Roman" w:eastAsia="仿宋_GB2312" w:cs="Times New Roman"/>
                <w:color w:val="auto"/>
                <w:sz w:val="22"/>
                <w:szCs w:val="24"/>
              </w:rPr>
            </w:pPr>
            <w:r>
              <w:rPr>
                <w:rFonts w:hint="eastAsia" w:ascii="Times New Roman" w:hAnsi="Times New Roman" w:eastAsia="仿宋_GB2312" w:cs="Times New Roman"/>
                <w:color w:val="auto"/>
                <w:sz w:val="22"/>
                <w:szCs w:val="24"/>
              </w:rPr>
              <w:t>警用无人驾驶航空器系统(GA/T 1411-2017)</w:t>
            </w:r>
          </w:p>
        </w:tc>
        <w:tc>
          <w:tcPr>
            <w:tcW w:w="1134" w:type="dxa"/>
            <w:noWrap/>
            <w:tcMar>
              <w:top w:w="15" w:type="dxa"/>
              <w:left w:w="15" w:type="dxa"/>
              <w:bottom w:w="0" w:type="dxa"/>
              <w:right w:w="15" w:type="dxa"/>
            </w:tcMar>
            <w:vAlign w:val="center"/>
          </w:tcPr>
          <w:p>
            <w:pPr>
              <w:jc w:val="center"/>
              <w:rPr>
                <w:rFonts w:ascii="Times New Roman" w:hAnsi="Times New Roman" w:eastAsia="仿宋_GB2312" w:cs="Times New Roman"/>
                <w:color w:val="auto"/>
                <w:sz w:val="22"/>
                <w:szCs w:val="24"/>
              </w:rPr>
            </w:pPr>
            <w:r>
              <w:rPr>
                <w:rFonts w:hint="eastAsia" w:ascii="Times New Roman" w:hAnsi="Times New Roman" w:eastAsia="仿宋_GB2312" w:cs="Times New Roman"/>
                <w:color w:val="auto"/>
                <w:sz w:val="22"/>
                <w:szCs w:val="24"/>
              </w:rPr>
              <w:t>江苏 无锡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1474" w:type="dxa"/>
            <w:noWrap/>
            <w:tcMar>
              <w:top w:w="15" w:type="dxa"/>
              <w:left w:w="15" w:type="dxa"/>
              <w:bottom w:w="0" w:type="dxa"/>
              <w:right w:w="15" w:type="dxa"/>
            </w:tcMar>
            <w:vAlign w:val="center"/>
          </w:tcPr>
          <w:p>
            <w:pPr>
              <w:jc w:val="center"/>
              <w:rPr>
                <w:rFonts w:ascii="Times New Roman" w:hAnsi="Times New Roman" w:eastAsia="仿宋_GB2312" w:cs="Times New Roman"/>
                <w:color w:val="auto"/>
                <w:sz w:val="22"/>
                <w:szCs w:val="24"/>
              </w:rPr>
            </w:pPr>
            <w:r>
              <w:rPr>
                <w:rFonts w:hint="eastAsia" w:ascii="Times New Roman" w:hAnsi="Times New Roman" w:eastAsia="仿宋_GB2312" w:cs="Times New Roman"/>
                <w:color w:val="auto"/>
                <w:sz w:val="22"/>
                <w:szCs w:val="24"/>
              </w:rPr>
              <w:t>220020349097</w:t>
            </w:r>
          </w:p>
        </w:tc>
        <w:tc>
          <w:tcPr>
            <w:tcW w:w="3624" w:type="dxa"/>
            <w:noWrap/>
            <w:tcMar>
              <w:top w:w="15" w:type="dxa"/>
              <w:left w:w="15" w:type="dxa"/>
              <w:bottom w:w="0" w:type="dxa"/>
              <w:right w:w="15" w:type="dxa"/>
            </w:tcMar>
            <w:vAlign w:val="center"/>
          </w:tcPr>
          <w:p>
            <w:pPr>
              <w:jc w:val="center"/>
              <w:rPr>
                <w:rFonts w:ascii="Times New Roman" w:hAnsi="Times New Roman" w:eastAsia="仿宋_GB2312" w:cs="Times New Roman"/>
                <w:color w:val="auto"/>
                <w:sz w:val="22"/>
                <w:szCs w:val="24"/>
              </w:rPr>
            </w:pPr>
            <w:r>
              <w:rPr>
                <w:rFonts w:hint="eastAsia" w:ascii="Times New Roman" w:hAnsi="Times New Roman" w:eastAsia="仿宋_GB2312" w:cs="Times New Roman"/>
                <w:color w:val="auto"/>
                <w:sz w:val="22"/>
                <w:szCs w:val="24"/>
              </w:rPr>
              <w:t>无锡市检验检测认证研究院（无锡市计量测试院、无锡市纤维检验中心）</w:t>
            </w:r>
          </w:p>
        </w:tc>
        <w:tc>
          <w:tcPr>
            <w:tcW w:w="7088" w:type="dxa"/>
            <w:noWrap/>
            <w:tcMar>
              <w:top w:w="15" w:type="dxa"/>
              <w:left w:w="15" w:type="dxa"/>
              <w:bottom w:w="0" w:type="dxa"/>
              <w:right w:w="15" w:type="dxa"/>
            </w:tcMar>
            <w:vAlign w:val="center"/>
          </w:tcPr>
          <w:p>
            <w:pPr>
              <w:rPr>
                <w:rFonts w:ascii="Times New Roman" w:hAnsi="Times New Roman" w:eastAsia="仿宋_GB2312" w:cs="Times New Roman"/>
                <w:color w:val="auto"/>
                <w:sz w:val="22"/>
                <w:szCs w:val="24"/>
              </w:rPr>
            </w:pPr>
            <w:r>
              <w:rPr>
                <w:rFonts w:hint="eastAsia" w:ascii="Times New Roman" w:hAnsi="Times New Roman" w:eastAsia="仿宋_GB2312" w:cs="Times New Roman"/>
                <w:color w:val="auto"/>
                <w:sz w:val="22"/>
                <w:szCs w:val="24"/>
              </w:rPr>
              <w:t>民用多旋翼无人机系统试验方法(GB/T 38058-2019)</w:t>
            </w:r>
          </w:p>
        </w:tc>
        <w:tc>
          <w:tcPr>
            <w:tcW w:w="1134" w:type="dxa"/>
            <w:noWrap/>
            <w:tcMar>
              <w:top w:w="15" w:type="dxa"/>
              <w:left w:w="15" w:type="dxa"/>
              <w:bottom w:w="0" w:type="dxa"/>
              <w:right w:w="15" w:type="dxa"/>
            </w:tcMar>
            <w:vAlign w:val="center"/>
          </w:tcPr>
          <w:p>
            <w:pPr>
              <w:jc w:val="center"/>
              <w:rPr>
                <w:rFonts w:ascii="Times New Roman" w:hAnsi="Times New Roman" w:eastAsia="仿宋_GB2312" w:cs="Times New Roman"/>
                <w:color w:val="auto"/>
                <w:sz w:val="22"/>
                <w:szCs w:val="24"/>
              </w:rPr>
            </w:pPr>
            <w:r>
              <w:rPr>
                <w:rFonts w:hint="eastAsia" w:ascii="Times New Roman" w:hAnsi="Times New Roman" w:eastAsia="仿宋_GB2312" w:cs="Times New Roman"/>
                <w:color w:val="auto"/>
                <w:sz w:val="22"/>
                <w:szCs w:val="24"/>
              </w:rPr>
              <w:t>江苏 无锡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1474" w:type="dxa"/>
            <w:noWrap/>
            <w:tcMar>
              <w:top w:w="15" w:type="dxa"/>
              <w:left w:w="15" w:type="dxa"/>
              <w:bottom w:w="0" w:type="dxa"/>
              <w:right w:w="15" w:type="dxa"/>
            </w:tcMar>
            <w:vAlign w:val="center"/>
          </w:tcPr>
          <w:p>
            <w:pPr>
              <w:jc w:val="center"/>
              <w:rPr>
                <w:rFonts w:ascii="Times New Roman" w:hAnsi="Times New Roman" w:eastAsia="仿宋_GB2312" w:cs="Times New Roman"/>
                <w:color w:val="auto"/>
                <w:sz w:val="22"/>
                <w:szCs w:val="24"/>
              </w:rPr>
            </w:pPr>
            <w:r>
              <w:rPr>
                <w:rFonts w:hint="eastAsia" w:ascii="Times New Roman" w:hAnsi="Times New Roman" w:eastAsia="仿宋_GB2312" w:cs="Times New Roman"/>
                <w:color w:val="auto"/>
                <w:sz w:val="22"/>
                <w:szCs w:val="24"/>
              </w:rPr>
              <w:t>230009342837</w:t>
            </w:r>
          </w:p>
        </w:tc>
        <w:tc>
          <w:tcPr>
            <w:tcW w:w="3624" w:type="dxa"/>
            <w:noWrap/>
            <w:tcMar>
              <w:top w:w="15" w:type="dxa"/>
              <w:left w:w="15" w:type="dxa"/>
              <w:bottom w:w="0" w:type="dxa"/>
              <w:right w:w="15" w:type="dxa"/>
            </w:tcMar>
            <w:vAlign w:val="center"/>
          </w:tcPr>
          <w:p>
            <w:pPr>
              <w:jc w:val="center"/>
              <w:rPr>
                <w:rFonts w:ascii="Times New Roman" w:hAnsi="Times New Roman" w:eastAsia="仿宋_GB2312" w:cs="Times New Roman"/>
                <w:color w:val="auto"/>
                <w:sz w:val="22"/>
                <w:szCs w:val="24"/>
              </w:rPr>
            </w:pPr>
            <w:r>
              <w:rPr>
                <w:rFonts w:hint="eastAsia" w:ascii="Times New Roman" w:hAnsi="Times New Roman" w:eastAsia="仿宋_GB2312" w:cs="Times New Roman"/>
                <w:color w:val="auto"/>
                <w:sz w:val="22"/>
                <w:szCs w:val="24"/>
              </w:rPr>
              <w:t>中认英泰检测技术有限公司</w:t>
            </w:r>
          </w:p>
        </w:tc>
        <w:tc>
          <w:tcPr>
            <w:tcW w:w="7088" w:type="dxa"/>
            <w:noWrap/>
            <w:tcMar>
              <w:top w:w="15" w:type="dxa"/>
              <w:left w:w="15" w:type="dxa"/>
              <w:bottom w:w="0" w:type="dxa"/>
              <w:right w:w="15" w:type="dxa"/>
            </w:tcMar>
            <w:vAlign w:val="center"/>
          </w:tcPr>
          <w:p>
            <w:pPr>
              <w:rPr>
                <w:rFonts w:ascii="Times New Roman" w:hAnsi="Times New Roman" w:eastAsia="仿宋_GB2312" w:cs="Times New Roman"/>
                <w:color w:val="auto"/>
                <w:sz w:val="22"/>
                <w:szCs w:val="24"/>
              </w:rPr>
            </w:pPr>
            <w:r>
              <w:rPr>
                <w:rFonts w:hint="eastAsia" w:ascii="Times New Roman" w:hAnsi="Times New Roman" w:eastAsia="仿宋_GB2312" w:cs="Times New Roman"/>
                <w:color w:val="auto"/>
                <w:sz w:val="22"/>
                <w:szCs w:val="24"/>
              </w:rPr>
              <w:t>民用无人驾驶航空器系统安全要求(GB 42590-2023)，民用轻小型无人机系统电磁兼容性要求与试验方法(GB/T 38909-2020)，无人机系统通用要求(GJB 5433-2005)</w:t>
            </w:r>
          </w:p>
        </w:tc>
        <w:tc>
          <w:tcPr>
            <w:tcW w:w="1134" w:type="dxa"/>
            <w:noWrap/>
            <w:tcMar>
              <w:top w:w="15" w:type="dxa"/>
              <w:left w:w="15" w:type="dxa"/>
              <w:bottom w:w="0" w:type="dxa"/>
              <w:right w:w="15" w:type="dxa"/>
            </w:tcMar>
            <w:vAlign w:val="center"/>
          </w:tcPr>
          <w:p>
            <w:pPr>
              <w:jc w:val="center"/>
              <w:rPr>
                <w:rFonts w:ascii="Times New Roman" w:hAnsi="Times New Roman" w:eastAsia="仿宋_GB2312" w:cs="Times New Roman"/>
                <w:color w:val="auto"/>
                <w:sz w:val="22"/>
                <w:szCs w:val="24"/>
              </w:rPr>
            </w:pPr>
            <w:r>
              <w:rPr>
                <w:rFonts w:hint="eastAsia" w:ascii="Times New Roman" w:hAnsi="Times New Roman" w:eastAsia="仿宋_GB2312" w:cs="Times New Roman"/>
                <w:color w:val="auto"/>
                <w:sz w:val="22"/>
                <w:szCs w:val="24"/>
              </w:rPr>
              <w:t>江苏 苏州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1474" w:type="dxa"/>
            <w:noWrap/>
            <w:tcMar>
              <w:top w:w="15" w:type="dxa"/>
              <w:left w:w="15" w:type="dxa"/>
              <w:bottom w:w="0" w:type="dxa"/>
              <w:right w:w="15" w:type="dxa"/>
            </w:tcMar>
            <w:vAlign w:val="center"/>
          </w:tcPr>
          <w:p>
            <w:pPr>
              <w:jc w:val="center"/>
              <w:rPr>
                <w:rFonts w:ascii="Times New Roman" w:hAnsi="Times New Roman" w:eastAsia="仿宋_GB2312" w:cs="Times New Roman"/>
                <w:color w:val="auto"/>
                <w:sz w:val="22"/>
                <w:szCs w:val="24"/>
              </w:rPr>
            </w:pPr>
            <w:r>
              <w:rPr>
                <w:rFonts w:hint="eastAsia" w:ascii="Times New Roman" w:hAnsi="Times New Roman" w:eastAsia="仿宋_GB2312" w:cs="Times New Roman"/>
                <w:color w:val="auto"/>
                <w:sz w:val="22"/>
                <w:szCs w:val="24"/>
              </w:rPr>
              <w:t>240020349812</w:t>
            </w:r>
          </w:p>
        </w:tc>
        <w:tc>
          <w:tcPr>
            <w:tcW w:w="3624" w:type="dxa"/>
            <w:noWrap/>
            <w:tcMar>
              <w:top w:w="15" w:type="dxa"/>
              <w:left w:w="15" w:type="dxa"/>
              <w:bottom w:w="0" w:type="dxa"/>
              <w:right w:w="15" w:type="dxa"/>
            </w:tcMar>
            <w:vAlign w:val="center"/>
          </w:tcPr>
          <w:p>
            <w:pPr>
              <w:jc w:val="center"/>
              <w:rPr>
                <w:rFonts w:ascii="Times New Roman" w:hAnsi="Times New Roman" w:eastAsia="仿宋_GB2312" w:cs="Times New Roman"/>
                <w:color w:val="auto"/>
                <w:sz w:val="22"/>
                <w:szCs w:val="24"/>
              </w:rPr>
            </w:pPr>
            <w:r>
              <w:rPr>
                <w:rFonts w:hint="eastAsia" w:ascii="Times New Roman" w:hAnsi="Times New Roman" w:eastAsia="仿宋_GB2312" w:cs="Times New Roman"/>
                <w:color w:val="auto"/>
                <w:sz w:val="22"/>
                <w:szCs w:val="24"/>
              </w:rPr>
              <w:t>山东省产品质量检验研究院（山东省产品质量认证咨询服务中心、山东省低压电器产品质量检验站、山东省产品质量安全风险监测中心）</w:t>
            </w:r>
          </w:p>
        </w:tc>
        <w:tc>
          <w:tcPr>
            <w:tcW w:w="7088" w:type="dxa"/>
            <w:noWrap/>
            <w:tcMar>
              <w:top w:w="15" w:type="dxa"/>
              <w:left w:w="15" w:type="dxa"/>
              <w:bottom w:w="0" w:type="dxa"/>
              <w:right w:w="15" w:type="dxa"/>
            </w:tcMar>
            <w:vAlign w:val="center"/>
          </w:tcPr>
          <w:p>
            <w:pPr>
              <w:rPr>
                <w:rFonts w:ascii="Times New Roman" w:hAnsi="Times New Roman" w:eastAsia="仿宋_GB2312" w:cs="Times New Roman"/>
                <w:color w:val="auto"/>
                <w:sz w:val="22"/>
                <w:szCs w:val="24"/>
              </w:rPr>
            </w:pPr>
            <w:r>
              <w:rPr>
                <w:rFonts w:hint="eastAsia" w:ascii="Times New Roman" w:hAnsi="Times New Roman" w:eastAsia="仿宋_GB2312" w:cs="Times New Roman"/>
                <w:color w:val="auto"/>
                <w:sz w:val="22"/>
                <w:szCs w:val="24"/>
              </w:rPr>
              <w:t>民用轻小型无人机系统环境试验方法(GB/T 38924-2020)，民用轻小型无人机系统电磁兼容性要求与试验方法(GB/T 38909-2020)</w:t>
            </w:r>
          </w:p>
        </w:tc>
        <w:tc>
          <w:tcPr>
            <w:tcW w:w="1134" w:type="dxa"/>
            <w:noWrap/>
            <w:tcMar>
              <w:top w:w="15" w:type="dxa"/>
              <w:left w:w="15" w:type="dxa"/>
              <w:bottom w:w="0" w:type="dxa"/>
              <w:right w:w="15" w:type="dxa"/>
            </w:tcMar>
            <w:vAlign w:val="center"/>
          </w:tcPr>
          <w:p>
            <w:pPr>
              <w:jc w:val="center"/>
              <w:rPr>
                <w:rFonts w:ascii="Times New Roman" w:hAnsi="Times New Roman" w:eastAsia="仿宋_GB2312" w:cs="Times New Roman"/>
                <w:color w:val="auto"/>
                <w:sz w:val="22"/>
                <w:szCs w:val="24"/>
              </w:rPr>
            </w:pPr>
            <w:r>
              <w:rPr>
                <w:rFonts w:hint="eastAsia" w:ascii="Times New Roman" w:hAnsi="Times New Roman" w:eastAsia="仿宋_GB2312" w:cs="Times New Roman"/>
                <w:color w:val="auto"/>
                <w:sz w:val="22"/>
                <w:szCs w:val="24"/>
              </w:rPr>
              <w:t>山东 济南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1474" w:type="dxa"/>
            <w:noWrap/>
            <w:tcMar>
              <w:top w:w="15" w:type="dxa"/>
              <w:left w:w="15" w:type="dxa"/>
              <w:bottom w:w="0" w:type="dxa"/>
              <w:right w:w="15" w:type="dxa"/>
            </w:tcMar>
            <w:vAlign w:val="center"/>
          </w:tcPr>
          <w:p>
            <w:pPr>
              <w:jc w:val="center"/>
              <w:rPr>
                <w:rFonts w:ascii="Times New Roman" w:hAnsi="Times New Roman" w:eastAsia="仿宋_GB2312" w:cs="Times New Roman"/>
                <w:color w:val="auto"/>
                <w:sz w:val="22"/>
                <w:szCs w:val="24"/>
              </w:rPr>
            </w:pPr>
            <w:r>
              <w:rPr>
                <w:rFonts w:hint="eastAsia" w:ascii="Times New Roman" w:hAnsi="Times New Roman" w:eastAsia="仿宋_GB2312" w:cs="Times New Roman"/>
                <w:color w:val="auto"/>
                <w:sz w:val="22"/>
                <w:szCs w:val="24"/>
              </w:rPr>
              <w:t>210008344492</w:t>
            </w:r>
          </w:p>
        </w:tc>
        <w:tc>
          <w:tcPr>
            <w:tcW w:w="3624" w:type="dxa"/>
            <w:noWrap/>
            <w:tcMar>
              <w:top w:w="15" w:type="dxa"/>
              <w:left w:w="15" w:type="dxa"/>
              <w:bottom w:w="0" w:type="dxa"/>
              <w:right w:w="15" w:type="dxa"/>
            </w:tcMar>
            <w:vAlign w:val="center"/>
          </w:tcPr>
          <w:p>
            <w:pPr>
              <w:jc w:val="center"/>
              <w:rPr>
                <w:rFonts w:ascii="Times New Roman" w:hAnsi="Times New Roman" w:eastAsia="仿宋_GB2312" w:cs="Times New Roman"/>
                <w:color w:val="auto"/>
                <w:sz w:val="22"/>
                <w:szCs w:val="24"/>
              </w:rPr>
            </w:pPr>
            <w:r>
              <w:rPr>
                <w:rFonts w:hint="eastAsia" w:ascii="Times New Roman" w:hAnsi="Times New Roman" w:eastAsia="仿宋_GB2312" w:cs="Times New Roman"/>
                <w:color w:val="auto"/>
                <w:sz w:val="22"/>
                <w:szCs w:val="24"/>
              </w:rPr>
              <w:t>中机寰宇（山东）车辆认证检测有限公司</w:t>
            </w:r>
          </w:p>
        </w:tc>
        <w:tc>
          <w:tcPr>
            <w:tcW w:w="7088" w:type="dxa"/>
            <w:noWrap/>
            <w:tcMar>
              <w:top w:w="15" w:type="dxa"/>
              <w:left w:w="15" w:type="dxa"/>
              <w:bottom w:w="0" w:type="dxa"/>
              <w:right w:w="15" w:type="dxa"/>
            </w:tcMar>
            <w:vAlign w:val="center"/>
          </w:tcPr>
          <w:p>
            <w:pPr>
              <w:rPr>
                <w:rFonts w:ascii="Times New Roman" w:hAnsi="Times New Roman" w:eastAsia="仿宋_GB2312" w:cs="Times New Roman"/>
                <w:color w:val="auto"/>
                <w:sz w:val="22"/>
                <w:szCs w:val="24"/>
              </w:rPr>
            </w:pPr>
            <w:r>
              <w:rPr>
                <w:rFonts w:hint="eastAsia" w:ascii="Times New Roman" w:hAnsi="Times New Roman" w:eastAsia="仿宋_GB2312" w:cs="Times New Roman"/>
                <w:color w:val="auto"/>
                <w:sz w:val="22"/>
                <w:szCs w:val="24"/>
              </w:rPr>
              <w:t>民用无人驾驶航空器系统安全要求(GB 42590-2023)，民用轻小型无人机系统电磁兼容性要求与试验方法(GB/T 38909-2020)，民用多旋翼无人机系统试验方法(GB/T 38058-2019)，架空输电线路无人直升机巡检系统(DL/T 1578-2016)</w:t>
            </w:r>
          </w:p>
        </w:tc>
        <w:tc>
          <w:tcPr>
            <w:tcW w:w="1134" w:type="dxa"/>
            <w:noWrap/>
            <w:tcMar>
              <w:top w:w="15" w:type="dxa"/>
              <w:left w:w="15" w:type="dxa"/>
              <w:bottom w:w="0" w:type="dxa"/>
              <w:right w:w="15" w:type="dxa"/>
            </w:tcMar>
            <w:vAlign w:val="center"/>
          </w:tcPr>
          <w:p>
            <w:pPr>
              <w:jc w:val="center"/>
              <w:rPr>
                <w:rFonts w:ascii="Times New Roman" w:hAnsi="Times New Roman" w:eastAsia="仿宋_GB2312" w:cs="Times New Roman"/>
                <w:color w:val="auto"/>
                <w:sz w:val="22"/>
                <w:szCs w:val="24"/>
              </w:rPr>
            </w:pPr>
            <w:r>
              <w:rPr>
                <w:rFonts w:hint="eastAsia" w:ascii="Times New Roman" w:hAnsi="Times New Roman" w:eastAsia="仿宋_GB2312" w:cs="Times New Roman"/>
                <w:color w:val="auto"/>
                <w:sz w:val="22"/>
                <w:szCs w:val="24"/>
              </w:rPr>
              <w:t>山东 德州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1474" w:type="dxa"/>
            <w:noWrap/>
            <w:tcMar>
              <w:top w:w="15" w:type="dxa"/>
              <w:left w:w="15" w:type="dxa"/>
              <w:bottom w:w="0" w:type="dxa"/>
              <w:right w:w="15" w:type="dxa"/>
            </w:tcMar>
            <w:vAlign w:val="center"/>
          </w:tcPr>
          <w:p>
            <w:pPr>
              <w:jc w:val="center"/>
              <w:rPr>
                <w:rFonts w:ascii="Times New Roman" w:hAnsi="Times New Roman" w:eastAsia="仿宋_GB2312" w:cs="Times New Roman"/>
                <w:color w:val="auto"/>
                <w:sz w:val="22"/>
                <w:szCs w:val="24"/>
              </w:rPr>
            </w:pPr>
            <w:r>
              <w:rPr>
                <w:rFonts w:hint="eastAsia" w:ascii="Times New Roman" w:hAnsi="Times New Roman" w:eastAsia="仿宋_GB2312" w:cs="Times New Roman"/>
                <w:color w:val="auto"/>
                <w:sz w:val="22"/>
                <w:szCs w:val="24"/>
              </w:rPr>
              <w:t>220020349320</w:t>
            </w:r>
          </w:p>
        </w:tc>
        <w:tc>
          <w:tcPr>
            <w:tcW w:w="3624" w:type="dxa"/>
            <w:noWrap/>
            <w:tcMar>
              <w:top w:w="15" w:type="dxa"/>
              <w:left w:w="15" w:type="dxa"/>
              <w:bottom w:w="0" w:type="dxa"/>
              <w:right w:w="15" w:type="dxa"/>
            </w:tcMar>
            <w:vAlign w:val="center"/>
          </w:tcPr>
          <w:p>
            <w:pPr>
              <w:jc w:val="center"/>
              <w:rPr>
                <w:rFonts w:ascii="Times New Roman" w:hAnsi="Times New Roman" w:eastAsia="仿宋_GB2312" w:cs="Times New Roman"/>
                <w:color w:val="auto"/>
                <w:sz w:val="22"/>
                <w:szCs w:val="24"/>
              </w:rPr>
            </w:pPr>
            <w:r>
              <w:rPr>
                <w:rFonts w:hint="eastAsia" w:ascii="Times New Roman" w:hAnsi="Times New Roman" w:eastAsia="仿宋_GB2312" w:cs="Times New Roman"/>
                <w:color w:val="auto"/>
                <w:sz w:val="22"/>
                <w:szCs w:val="24"/>
              </w:rPr>
              <w:t>浙江方圆检测集团股份有限公司</w:t>
            </w:r>
          </w:p>
        </w:tc>
        <w:tc>
          <w:tcPr>
            <w:tcW w:w="7088" w:type="dxa"/>
            <w:noWrap/>
            <w:tcMar>
              <w:top w:w="15" w:type="dxa"/>
              <w:left w:w="15" w:type="dxa"/>
              <w:bottom w:w="0" w:type="dxa"/>
              <w:right w:w="15" w:type="dxa"/>
            </w:tcMar>
            <w:vAlign w:val="center"/>
          </w:tcPr>
          <w:p>
            <w:pPr>
              <w:rPr>
                <w:rFonts w:ascii="Times New Roman" w:hAnsi="Times New Roman" w:eastAsia="仿宋_GB2312" w:cs="Times New Roman"/>
                <w:color w:val="auto"/>
                <w:sz w:val="22"/>
                <w:szCs w:val="24"/>
              </w:rPr>
            </w:pPr>
            <w:r>
              <w:rPr>
                <w:rFonts w:hint="eastAsia" w:ascii="Times New Roman" w:hAnsi="Times New Roman" w:eastAsia="仿宋_GB2312" w:cs="Times New Roman"/>
                <w:color w:val="auto"/>
                <w:sz w:val="22"/>
                <w:szCs w:val="24"/>
              </w:rPr>
              <w:t>民用轻小型无人机系统电磁兼容性要求与试验方法(GB/T 38909-2020)，警用无人驾驶航空器系统(GA/T 1411-2017)</w:t>
            </w:r>
          </w:p>
        </w:tc>
        <w:tc>
          <w:tcPr>
            <w:tcW w:w="1134" w:type="dxa"/>
            <w:noWrap/>
            <w:tcMar>
              <w:top w:w="15" w:type="dxa"/>
              <w:left w:w="15" w:type="dxa"/>
              <w:bottom w:w="0" w:type="dxa"/>
              <w:right w:w="15" w:type="dxa"/>
            </w:tcMar>
            <w:vAlign w:val="center"/>
          </w:tcPr>
          <w:p>
            <w:pPr>
              <w:jc w:val="center"/>
              <w:rPr>
                <w:rFonts w:ascii="Times New Roman" w:hAnsi="Times New Roman" w:eastAsia="仿宋_GB2312" w:cs="Times New Roman"/>
                <w:color w:val="auto"/>
                <w:sz w:val="22"/>
                <w:szCs w:val="24"/>
              </w:rPr>
            </w:pPr>
            <w:r>
              <w:rPr>
                <w:rFonts w:hint="eastAsia" w:ascii="Times New Roman" w:hAnsi="Times New Roman" w:eastAsia="仿宋_GB2312" w:cs="Times New Roman"/>
                <w:color w:val="auto"/>
                <w:sz w:val="22"/>
                <w:szCs w:val="24"/>
              </w:rPr>
              <w:t>浙江 杭州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1474" w:type="dxa"/>
            <w:noWrap/>
            <w:tcMar>
              <w:top w:w="15" w:type="dxa"/>
              <w:left w:w="15" w:type="dxa"/>
              <w:bottom w:w="0" w:type="dxa"/>
              <w:right w:w="15" w:type="dxa"/>
            </w:tcMar>
            <w:vAlign w:val="center"/>
          </w:tcPr>
          <w:p>
            <w:pPr>
              <w:jc w:val="center"/>
              <w:rPr>
                <w:rFonts w:ascii="Times New Roman" w:hAnsi="Times New Roman" w:eastAsia="仿宋_GB2312" w:cs="Times New Roman"/>
                <w:color w:val="auto"/>
                <w:sz w:val="22"/>
                <w:szCs w:val="24"/>
              </w:rPr>
            </w:pPr>
            <w:r>
              <w:rPr>
                <w:rFonts w:hint="eastAsia" w:ascii="Times New Roman" w:hAnsi="Times New Roman" w:eastAsia="仿宋_GB2312" w:cs="Times New Roman"/>
                <w:color w:val="auto"/>
                <w:sz w:val="22"/>
                <w:szCs w:val="24"/>
              </w:rPr>
              <w:t>190008224337</w:t>
            </w:r>
          </w:p>
        </w:tc>
        <w:tc>
          <w:tcPr>
            <w:tcW w:w="3624" w:type="dxa"/>
            <w:noWrap/>
            <w:tcMar>
              <w:top w:w="15" w:type="dxa"/>
              <w:left w:w="15" w:type="dxa"/>
              <w:bottom w:w="0" w:type="dxa"/>
              <w:right w:w="15" w:type="dxa"/>
            </w:tcMar>
            <w:vAlign w:val="center"/>
          </w:tcPr>
          <w:p>
            <w:pPr>
              <w:jc w:val="center"/>
              <w:rPr>
                <w:rFonts w:ascii="Times New Roman" w:hAnsi="Times New Roman" w:eastAsia="仿宋_GB2312" w:cs="Times New Roman"/>
                <w:color w:val="auto"/>
                <w:sz w:val="22"/>
                <w:szCs w:val="24"/>
              </w:rPr>
            </w:pPr>
            <w:r>
              <w:rPr>
                <w:rFonts w:hint="eastAsia" w:ascii="Times New Roman" w:hAnsi="Times New Roman" w:eastAsia="仿宋_GB2312" w:cs="Times New Roman"/>
                <w:color w:val="auto"/>
                <w:sz w:val="22"/>
                <w:szCs w:val="24"/>
              </w:rPr>
              <w:t>中汽研汽车检验中心（广州）有限公司</w:t>
            </w:r>
          </w:p>
        </w:tc>
        <w:tc>
          <w:tcPr>
            <w:tcW w:w="7088" w:type="dxa"/>
            <w:noWrap/>
            <w:tcMar>
              <w:top w:w="15" w:type="dxa"/>
              <w:left w:w="15" w:type="dxa"/>
              <w:bottom w:w="0" w:type="dxa"/>
              <w:right w:w="15" w:type="dxa"/>
            </w:tcMar>
            <w:vAlign w:val="center"/>
          </w:tcPr>
          <w:p>
            <w:pPr>
              <w:rPr>
                <w:rFonts w:ascii="Times New Roman" w:hAnsi="Times New Roman" w:eastAsia="仿宋_GB2312" w:cs="Times New Roman"/>
                <w:color w:val="auto"/>
                <w:sz w:val="22"/>
                <w:szCs w:val="24"/>
              </w:rPr>
            </w:pPr>
            <w:r>
              <w:rPr>
                <w:rFonts w:hint="eastAsia" w:ascii="Times New Roman" w:hAnsi="Times New Roman" w:eastAsia="仿宋_GB2312" w:cs="Times New Roman"/>
                <w:color w:val="auto"/>
                <w:sz w:val="22"/>
                <w:szCs w:val="24"/>
              </w:rPr>
              <w:t>民用轻小型无人机系统环境试验方法(GB/T 38924-2020)，民用多旋翼无人机系统试验方法(GB/T 38058-2019)</w:t>
            </w:r>
          </w:p>
        </w:tc>
        <w:tc>
          <w:tcPr>
            <w:tcW w:w="1134" w:type="dxa"/>
            <w:noWrap/>
            <w:tcMar>
              <w:top w:w="15" w:type="dxa"/>
              <w:left w:w="15" w:type="dxa"/>
              <w:bottom w:w="0" w:type="dxa"/>
              <w:right w:w="15" w:type="dxa"/>
            </w:tcMar>
            <w:vAlign w:val="center"/>
          </w:tcPr>
          <w:p>
            <w:pPr>
              <w:jc w:val="center"/>
              <w:rPr>
                <w:rFonts w:ascii="Times New Roman" w:hAnsi="Times New Roman" w:eastAsia="仿宋_GB2312" w:cs="Times New Roman"/>
                <w:color w:val="auto"/>
                <w:sz w:val="22"/>
                <w:szCs w:val="24"/>
              </w:rPr>
            </w:pPr>
            <w:r>
              <w:rPr>
                <w:rFonts w:hint="eastAsia" w:ascii="Times New Roman" w:hAnsi="Times New Roman" w:eastAsia="仿宋_GB2312" w:cs="Times New Roman"/>
                <w:color w:val="auto"/>
                <w:sz w:val="22"/>
                <w:szCs w:val="24"/>
              </w:rPr>
              <w:t>广东 广州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1474" w:type="dxa"/>
            <w:noWrap/>
            <w:tcMar>
              <w:top w:w="15" w:type="dxa"/>
              <w:left w:w="15" w:type="dxa"/>
              <w:bottom w:w="0" w:type="dxa"/>
              <w:right w:w="15" w:type="dxa"/>
            </w:tcMar>
            <w:vAlign w:val="center"/>
          </w:tcPr>
          <w:p>
            <w:pPr>
              <w:jc w:val="center"/>
              <w:rPr>
                <w:rFonts w:ascii="Times New Roman" w:hAnsi="Times New Roman" w:eastAsia="仿宋_GB2312" w:cs="Times New Roman"/>
                <w:color w:val="auto"/>
                <w:sz w:val="22"/>
                <w:szCs w:val="24"/>
              </w:rPr>
            </w:pPr>
            <w:r>
              <w:rPr>
                <w:rFonts w:hint="eastAsia" w:ascii="Times New Roman" w:hAnsi="Times New Roman" w:eastAsia="仿宋_GB2312" w:cs="Times New Roman"/>
                <w:color w:val="auto"/>
                <w:sz w:val="22"/>
                <w:szCs w:val="24"/>
              </w:rPr>
              <w:t>200008344378</w:t>
            </w:r>
          </w:p>
        </w:tc>
        <w:tc>
          <w:tcPr>
            <w:tcW w:w="3624" w:type="dxa"/>
            <w:noWrap/>
            <w:tcMar>
              <w:top w:w="15" w:type="dxa"/>
              <w:left w:w="15" w:type="dxa"/>
              <w:bottom w:w="0" w:type="dxa"/>
              <w:right w:w="15" w:type="dxa"/>
            </w:tcMar>
            <w:vAlign w:val="center"/>
          </w:tcPr>
          <w:p>
            <w:pPr>
              <w:jc w:val="center"/>
              <w:rPr>
                <w:rFonts w:ascii="Times New Roman" w:hAnsi="Times New Roman" w:eastAsia="仿宋_GB2312" w:cs="Times New Roman"/>
                <w:color w:val="auto"/>
                <w:sz w:val="22"/>
                <w:szCs w:val="24"/>
              </w:rPr>
            </w:pPr>
            <w:r>
              <w:rPr>
                <w:rFonts w:hint="eastAsia" w:ascii="Times New Roman" w:hAnsi="Times New Roman" w:eastAsia="仿宋_GB2312" w:cs="Times New Roman"/>
                <w:color w:val="auto"/>
                <w:sz w:val="22"/>
                <w:szCs w:val="24"/>
              </w:rPr>
              <w:t>国家新能源汽车质量监督检验中心（广州）</w:t>
            </w:r>
          </w:p>
        </w:tc>
        <w:tc>
          <w:tcPr>
            <w:tcW w:w="7088" w:type="dxa"/>
            <w:noWrap/>
            <w:tcMar>
              <w:top w:w="15" w:type="dxa"/>
              <w:left w:w="15" w:type="dxa"/>
              <w:bottom w:w="0" w:type="dxa"/>
              <w:right w:w="15" w:type="dxa"/>
            </w:tcMar>
            <w:vAlign w:val="center"/>
          </w:tcPr>
          <w:p>
            <w:pPr>
              <w:rPr>
                <w:rFonts w:ascii="Times New Roman" w:hAnsi="Times New Roman" w:eastAsia="仿宋_GB2312" w:cs="Times New Roman"/>
                <w:color w:val="auto"/>
                <w:sz w:val="22"/>
                <w:szCs w:val="24"/>
              </w:rPr>
            </w:pPr>
            <w:r>
              <w:rPr>
                <w:rFonts w:hint="eastAsia" w:ascii="Times New Roman" w:hAnsi="Times New Roman" w:eastAsia="仿宋_GB2312" w:cs="Times New Roman"/>
                <w:color w:val="auto"/>
                <w:sz w:val="22"/>
                <w:szCs w:val="24"/>
              </w:rPr>
              <w:t>民用轻小型无人机系统环境试验方法(GB/T 38924-2020)，民用多旋翼无人机系统试验方法(GB/T 38058-2019)</w:t>
            </w:r>
          </w:p>
        </w:tc>
        <w:tc>
          <w:tcPr>
            <w:tcW w:w="1134" w:type="dxa"/>
            <w:noWrap/>
            <w:tcMar>
              <w:top w:w="15" w:type="dxa"/>
              <w:left w:w="15" w:type="dxa"/>
              <w:bottom w:w="0" w:type="dxa"/>
              <w:right w:w="15" w:type="dxa"/>
            </w:tcMar>
            <w:vAlign w:val="center"/>
          </w:tcPr>
          <w:p>
            <w:pPr>
              <w:jc w:val="center"/>
              <w:rPr>
                <w:rFonts w:ascii="Times New Roman" w:hAnsi="Times New Roman" w:eastAsia="仿宋_GB2312" w:cs="Times New Roman"/>
                <w:color w:val="auto"/>
                <w:sz w:val="22"/>
                <w:szCs w:val="24"/>
              </w:rPr>
            </w:pPr>
            <w:r>
              <w:rPr>
                <w:rFonts w:hint="eastAsia" w:ascii="Times New Roman" w:hAnsi="Times New Roman" w:eastAsia="仿宋_GB2312" w:cs="Times New Roman"/>
                <w:color w:val="auto"/>
                <w:sz w:val="22"/>
                <w:szCs w:val="24"/>
              </w:rPr>
              <w:t>广东 广州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1474" w:type="dxa"/>
            <w:noWrap/>
            <w:tcMar>
              <w:top w:w="15" w:type="dxa"/>
              <w:left w:w="15" w:type="dxa"/>
              <w:bottom w:w="0" w:type="dxa"/>
              <w:right w:w="15" w:type="dxa"/>
            </w:tcMar>
            <w:vAlign w:val="center"/>
          </w:tcPr>
          <w:p>
            <w:pPr>
              <w:jc w:val="center"/>
              <w:rPr>
                <w:rFonts w:ascii="Times New Roman" w:hAnsi="Times New Roman" w:eastAsia="仿宋_GB2312" w:cs="Times New Roman"/>
                <w:color w:val="auto"/>
                <w:sz w:val="22"/>
                <w:szCs w:val="24"/>
              </w:rPr>
            </w:pPr>
            <w:r>
              <w:rPr>
                <w:rFonts w:hint="eastAsia" w:ascii="Times New Roman" w:hAnsi="Times New Roman" w:eastAsia="仿宋_GB2312" w:cs="Times New Roman"/>
                <w:color w:val="auto"/>
                <w:sz w:val="22"/>
                <w:szCs w:val="24"/>
              </w:rPr>
              <w:t>220009349535</w:t>
            </w:r>
          </w:p>
        </w:tc>
        <w:tc>
          <w:tcPr>
            <w:tcW w:w="3624" w:type="dxa"/>
            <w:noWrap/>
            <w:tcMar>
              <w:top w:w="15" w:type="dxa"/>
              <w:left w:w="15" w:type="dxa"/>
              <w:bottom w:w="0" w:type="dxa"/>
              <w:right w:w="15" w:type="dxa"/>
            </w:tcMar>
            <w:vAlign w:val="center"/>
          </w:tcPr>
          <w:p>
            <w:pPr>
              <w:jc w:val="center"/>
              <w:rPr>
                <w:rFonts w:ascii="Times New Roman" w:hAnsi="Times New Roman" w:eastAsia="仿宋_GB2312" w:cs="Times New Roman"/>
                <w:color w:val="auto"/>
                <w:sz w:val="22"/>
                <w:szCs w:val="24"/>
              </w:rPr>
            </w:pPr>
            <w:r>
              <w:rPr>
                <w:rFonts w:hint="eastAsia" w:ascii="Times New Roman" w:hAnsi="Times New Roman" w:eastAsia="仿宋_GB2312" w:cs="Times New Roman"/>
                <w:color w:val="auto"/>
                <w:sz w:val="22"/>
                <w:szCs w:val="24"/>
              </w:rPr>
              <w:t>中国电子产品可靠性与环境试验研究所（工业和信息化部电子第五研究所）（中国赛宝实验室）)</w:t>
            </w:r>
          </w:p>
        </w:tc>
        <w:tc>
          <w:tcPr>
            <w:tcW w:w="7088" w:type="dxa"/>
            <w:noWrap/>
            <w:tcMar>
              <w:top w:w="15" w:type="dxa"/>
              <w:left w:w="15" w:type="dxa"/>
              <w:bottom w:w="0" w:type="dxa"/>
              <w:right w:w="15" w:type="dxa"/>
            </w:tcMar>
            <w:vAlign w:val="center"/>
          </w:tcPr>
          <w:p>
            <w:pPr>
              <w:rPr>
                <w:rFonts w:ascii="Times New Roman" w:hAnsi="Times New Roman" w:eastAsia="仿宋_GB2312" w:cs="Times New Roman"/>
                <w:color w:val="auto"/>
                <w:sz w:val="22"/>
                <w:szCs w:val="24"/>
              </w:rPr>
            </w:pPr>
            <w:r>
              <w:rPr>
                <w:rFonts w:hint="eastAsia" w:ascii="Times New Roman" w:hAnsi="Times New Roman" w:eastAsia="仿宋_GB2312" w:cs="Times New Roman"/>
                <w:color w:val="auto"/>
                <w:sz w:val="22"/>
                <w:szCs w:val="24"/>
              </w:rPr>
              <w:t>民用无人驾驶航空器系统安全要求(GB 42590-2023)，民用轻小型无人机系统环境试验方法(GB/T 38924-2020)，民用多旋翼无人机系统试验方法(GB/T 38058-2019)，警用无人驾驶航空器系统(GA/T 1411-2017)</w:t>
            </w:r>
          </w:p>
        </w:tc>
        <w:tc>
          <w:tcPr>
            <w:tcW w:w="1134" w:type="dxa"/>
            <w:noWrap/>
            <w:tcMar>
              <w:top w:w="15" w:type="dxa"/>
              <w:left w:w="15" w:type="dxa"/>
              <w:bottom w:w="0" w:type="dxa"/>
              <w:right w:w="15" w:type="dxa"/>
            </w:tcMar>
            <w:vAlign w:val="center"/>
          </w:tcPr>
          <w:p>
            <w:pPr>
              <w:jc w:val="center"/>
              <w:rPr>
                <w:rFonts w:ascii="Times New Roman" w:hAnsi="Times New Roman" w:eastAsia="仿宋_GB2312" w:cs="Times New Roman"/>
                <w:color w:val="auto"/>
                <w:sz w:val="22"/>
                <w:szCs w:val="24"/>
              </w:rPr>
            </w:pPr>
            <w:r>
              <w:rPr>
                <w:rFonts w:hint="eastAsia" w:ascii="Times New Roman" w:hAnsi="Times New Roman" w:eastAsia="仿宋_GB2312" w:cs="Times New Roman"/>
                <w:color w:val="auto"/>
                <w:sz w:val="22"/>
                <w:szCs w:val="24"/>
              </w:rPr>
              <w:t>广东 广州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1474" w:type="dxa"/>
            <w:noWrap/>
            <w:tcMar>
              <w:top w:w="15" w:type="dxa"/>
              <w:left w:w="15" w:type="dxa"/>
              <w:bottom w:w="0" w:type="dxa"/>
              <w:right w:w="15" w:type="dxa"/>
            </w:tcMar>
            <w:vAlign w:val="center"/>
          </w:tcPr>
          <w:p>
            <w:pPr>
              <w:jc w:val="center"/>
              <w:rPr>
                <w:rFonts w:ascii="Times New Roman" w:hAnsi="Times New Roman" w:eastAsia="仿宋_GB2312" w:cs="Times New Roman"/>
                <w:color w:val="auto"/>
                <w:sz w:val="22"/>
                <w:szCs w:val="24"/>
              </w:rPr>
            </w:pPr>
            <w:r>
              <w:rPr>
                <w:rFonts w:hint="eastAsia" w:ascii="Times New Roman" w:hAnsi="Times New Roman" w:eastAsia="仿宋_GB2312" w:cs="Times New Roman"/>
                <w:color w:val="auto"/>
                <w:sz w:val="22"/>
                <w:szCs w:val="24"/>
              </w:rPr>
              <w:t>220020349627</w:t>
            </w:r>
          </w:p>
        </w:tc>
        <w:tc>
          <w:tcPr>
            <w:tcW w:w="3624" w:type="dxa"/>
            <w:noWrap/>
            <w:tcMar>
              <w:top w:w="15" w:type="dxa"/>
              <w:left w:w="15" w:type="dxa"/>
              <w:bottom w:w="0" w:type="dxa"/>
              <w:right w:w="15" w:type="dxa"/>
            </w:tcMar>
            <w:vAlign w:val="center"/>
          </w:tcPr>
          <w:p>
            <w:pPr>
              <w:jc w:val="center"/>
              <w:rPr>
                <w:rFonts w:ascii="Times New Roman" w:hAnsi="Times New Roman" w:eastAsia="仿宋_GB2312" w:cs="Times New Roman"/>
                <w:color w:val="auto"/>
                <w:sz w:val="22"/>
                <w:szCs w:val="24"/>
              </w:rPr>
            </w:pPr>
            <w:r>
              <w:rPr>
                <w:rFonts w:hint="eastAsia" w:ascii="Times New Roman" w:hAnsi="Times New Roman" w:eastAsia="仿宋_GB2312" w:cs="Times New Roman"/>
                <w:color w:val="auto"/>
                <w:sz w:val="22"/>
                <w:szCs w:val="24"/>
              </w:rPr>
              <w:t>威凯检测技术有限公司</w:t>
            </w:r>
          </w:p>
        </w:tc>
        <w:tc>
          <w:tcPr>
            <w:tcW w:w="7088" w:type="dxa"/>
            <w:noWrap/>
            <w:tcMar>
              <w:top w:w="15" w:type="dxa"/>
              <w:left w:w="15" w:type="dxa"/>
              <w:bottom w:w="0" w:type="dxa"/>
              <w:right w:w="15" w:type="dxa"/>
            </w:tcMar>
            <w:vAlign w:val="center"/>
          </w:tcPr>
          <w:p>
            <w:pPr>
              <w:rPr>
                <w:rFonts w:ascii="Times New Roman" w:hAnsi="Times New Roman" w:eastAsia="仿宋_GB2312" w:cs="Times New Roman"/>
                <w:color w:val="auto"/>
                <w:sz w:val="22"/>
                <w:szCs w:val="24"/>
              </w:rPr>
            </w:pPr>
            <w:r>
              <w:rPr>
                <w:rFonts w:hint="eastAsia" w:ascii="Times New Roman" w:hAnsi="Times New Roman" w:eastAsia="仿宋_GB2312" w:cs="Times New Roman"/>
                <w:color w:val="auto"/>
                <w:sz w:val="22"/>
                <w:szCs w:val="24"/>
              </w:rPr>
              <w:t>民用轻小型无人机系统环境试验方法(GB/T 38924-2020)，民用多旋翼无人机系统试验方法(GB/T 38058-2019)</w:t>
            </w:r>
          </w:p>
        </w:tc>
        <w:tc>
          <w:tcPr>
            <w:tcW w:w="1134" w:type="dxa"/>
            <w:noWrap/>
            <w:tcMar>
              <w:top w:w="15" w:type="dxa"/>
              <w:left w:w="15" w:type="dxa"/>
              <w:bottom w:w="0" w:type="dxa"/>
              <w:right w:w="15" w:type="dxa"/>
            </w:tcMar>
            <w:vAlign w:val="center"/>
          </w:tcPr>
          <w:p>
            <w:pPr>
              <w:jc w:val="center"/>
              <w:rPr>
                <w:rFonts w:ascii="Times New Roman" w:hAnsi="Times New Roman" w:eastAsia="仿宋_GB2312" w:cs="Times New Roman"/>
                <w:color w:val="auto"/>
                <w:sz w:val="22"/>
                <w:szCs w:val="24"/>
              </w:rPr>
            </w:pPr>
            <w:r>
              <w:rPr>
                <w:rFonts w:hint="eastAsia" w:ascii="Times New Roman" w:hAnsi="Times New Roman" w:eastAsia="仿宋_GB2312" w:cs="Times New Roman"/>
                <w:color w:val="auto"/>
                <w:sz w:val="22"/>
                <w:szCs w:val="24"/>
              </w:rPr>
              <w:t>广东 广州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1474" w:type="dxa"/>
            <w:noWrap/>
            <w:tcMar>
              <w:top w:w="15" w:type="dxa"/>
              <w:left w:w="15" w:type="dxa"/>
              <w:bottom w:w="0" w:type="dxa"/>
              <w:right w:w="15" w:type="dxa"/>
            </w:tcMar>
            <w:vAlign w:val="center"/>
          </w:tcPr>
          <w:p>
            <w:pPr>
              <w:jc w:val="center"/>
              <w:rPr>
                <w:rFonts w:ascii="Times New Roman" w:hAnsi="Times New Roman" w:eastAsia="仿宋_GB2312" w:cs="Times New Roman"/>
                <w:color w:val="auto"/>
                <w:sz w:val="22"/>
                <w:szCs w:val="24"/>
              </w:rPr>
            </w:pPr>
            <w:r>
              <w:rPr>
                <w:rFonts w:hint="eastAsia" w:ascii="Times New Roman" w:hAnsi="Times New Roman" w:eastAsia="仿宋_GB2312" w:cs="Times New Roman"/>
                <w:color w:val="auto"/>
                <w:sz w:val="22"/>
                <w:szCs w:val="24"/>
              </w:rPr>
              <w:t>240020349096</w:t>
            </w:r>
          </w:p>
        </w:tc>
        <w:tc>
          <w:tcPr>
            <w:tcW w:w="3624" w:type="dxa"/>
            <w:noWrap/>
            <w:tcMar>
              <w:top w:w="15" w:type="dxa"/>
              <w:left w:w="15" w:type="dxa"/>
              <w:bottom w:w="0" w:type="dxa"/>
              <w:right w:w="15" w:type="dxa"/>
            </w:tcMar>
            <w:vAlign w:val="center"/>
          </w:tcPr>
          <w:p>
            <w:pPr>
              <w:jc w:val="center"/>
              <w:rPr>
                <w:rFonts w:ascii="Times New Roman" w:hAnsi="Times New Roman" w:eastAsia="仿宋_GB2312" w:cs="Times New Roman"/>
                <w:color w:val="auto"/>
                <w:sz w:val="22"/>
                <w:szCs w:val="24"/>
              </w:rPr>
            </w:pPr>
            <w:r>
              <w:rPr>
                <w:rFonts w:hint="eastAsia" w:ascii="Times New Roman" w:hAnsi="Times New Roman" w:eastAsia="仿宋_GB2312" w:cs="Times New Roman"/>
                <w:color w:val="auto"/>
                <w:sz w:val="22"/>
                <w:szCs w:val="24"/>
              </w:rPr>
              <w:t>广东产品质量监督检验研究院(国家质量技术监督局广州电气安全检验所、广东省试验认证研究院、华安实验室)</w:t>
            </w:r>
          </w:p>
        </w:tc>
        <w:tc>
          <w:tcPr>
            <w:tcW w:w="7088" w:type="dxa"/>
            <w:noWrap/>
            <w:tcMar>
              <w:top w:w="15" w:type="dxa"/>
              <w:left w:w="15" w:type="dxa"/>
              <w:bottom w:w="0" w:type="dxa"/>
              <w:right w:w="15" w:type="dxa"/>
            </w:tcMar>
            <w:vAlign w:val="center"/>
          </w:tcPr>
          <w:p>
            <w:pPr>
              <w:rPr>
                <w:rFonts w:ascii="Times New Roman" w:hAnsi="Times New Roman" w:eastAsia="仿宋_GB2312" w:cs="Times New Roman"/>
                <w:color w:val="auto"/>
                <w:sz w:val="22"/>
                <w:szCs w:val="24"/>
              </w:rPr>
            </w:pPr>
            <w:r>
              <w:rPr>
                <w:rFonts w:hint="eastAsia" w:ascii="Times New Roman" w:hAnsi="Times New Roman" w:eastAsia="仿宋_GB2312" w:cs="Times New Roman"/>
                <w:color w:val="auto"/>
                <w:sz w:val="22"/>
                <w:szCs w:val="24"/>
              </w:rPr>
              <w:t>民用无人驾驶航空器系统安全要求(GB 42590-2023)，民用多旋翼无人机系统试验方法(GB/T 38058-2019)</w:t>
            </w:r>
          </w:p>
        </w:tc>
        <w:tc>
          <w:tcPr>
            <w:tcW w:w="1134" w:type="dxa"/>
            <w:noWrap/>
            <w:tcMar>
              <w:top w:w="15" w:type="dxa"/>
              <w:left w:w="15" w:type="dxa"/>
              <w:bottom w:w="0" w:type="dxa"/>
              <w:right w:w="15" w:type="dxa"/>
            </w:tcMar>
            <w:vAlign w:val="center"/>
          </w:tcPr>
          <w:p>
            <w:pPr>
              <w:jc w:val="center"/>
              <w:rPr>
                <w:rFonts w:ascii="Times New Roman" w:hAnsi="Times New Roman" w:eastAsia="仿宋_GB2312" w:cs="Times New Roman"/>
                <w:color w:val="auto"/>
                <w:sz w:val="22"/>
                <w:szCs w:val="24"/>
              </w:rPr>
            </w:pPr>
            <w:r>
              <w:rPr>
                <w:rFonts w:hint="eastAsia" w:ascii="Times New Roman" w:hAnsi="Times New Roman" w:eastAsia="仿宋_GB2312" w:cs="Times New Roman"/>
                <w:color w:val="auto"/>
                <w:sz w:val="22"/>
                <w:szCs w:val="24"/>
              </w:rPr>
              <w:t>广东 广州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1474" w:type="dxa"/>
            <w:noWrap/>
            <w:tcMar>
              <w:top w:w="15" w:type="dxa"/>
              <w:left w:w="15" w:type="dxa"/>
              <w:bottom w:w="0" w:type="dxa"/>
              <w:right w:w="15" w:type="dxa"/>
            </w:tcMar>
            <w:vAlign w:val="center"/>
          </w:tcPr>
          <w:p>
            <w:pPr>
              <w:jc w:val="center"/>
              <w:rPr>
                <w:rFonts w:ascii="Times New Roman" w:hAnsi="Times New Roman" w:eastAsia="仿宋_GB2312" w:cs="Times New Roman"/>
                <w:color w:val="auto"/>
                <w:sz w:val="22"/>
                <w:szCs w:val="24"/>
              </w:rPr>
            </w:pPr>
            <w:r>
              <w:rPr>
                <w:rFonts w:hint="eastAsia" w:ascii="Times New Roman" w:hAnsi="Times New Roman" w:eastAsia="仿宋_GB2312" w:cs="Times New Roman"/>
                <w:color w:val="auto"/>
                <w:sz w:val="22"/>
                <w:szCs w:val="24"/>
              </w:rPr>
              <w:t>210000112402</w:t>
            </w:r>
          </w:p>
        </w:tc>
        <w:tc>
          <w:tcPr>
            <w:tcW w:w="3624" w:type="dxa"/>
            <w:noWrap/>
            <w:tcMar>
              <w:top w:w="15" w:type="dxa"/>
              <w:left w:w="15" w:type="dxa"/>
              <w:bottom w:w="0" w:type="dxa"/>
              <w:right w:w="15" w:type="dxa"/>
            </w:tcMar>
            <w:vAlign w:val="center"/>
          </w:tcPr>
          <w:p>
            <w:pPr>
              <w:jc w:val="center"/>
              <w:rPr>
                <w:rFonts w:ascii="Times New Roman" w:hAnsi="Times New Roman" w:eastAsia="仿宋_GB2312" w:cs="Times New Roman"/>
                <w:color w:val="auto"/>
                <w:sz w:val="22"/>
                <w:szCs w:val="24"/>
              </w:rPr>
            </w:pPr>
            <w:r>
              <w:rPr>
                <w:rFonts w:hint="eastAsia" w:ascii="Times New Roman" w:hAnsi="Times New Roman" w:eastAsia="仿宋_GB2312" w:cs="Times New Roman"/>
                <w:color w:val="auto"/>
                <w:sz w:val="22"/>
                <w:szCs w:val="24"/>
              </w:rPr>
              <w:t>中检集团南方测试股份有限公司</w:t>
            </w:r>
          </w:p>
        </w:tc>
        <w:tc>
          <w:tcPr>
            <w:tcW w:w="7088" w:type="dxa"/>
            <w:noWrap/>
            <w:tcMar>
              <w:top w:w="15" w:type="dxa"/>
              <w:left w:w="15" w:type="dxa"/>
              <w:bottom w:w="0" w:type="dxa"/>
              <w:right w:w="15" w:type="dxa"/>
            </w:tcMar>
            <w:vAlign w:val="center"/>
          </w:tcPr>
          <w:p>
            <w:pPr>
              <w:rPr>
                <w:rFonts w:ascii="Times New Roman" w:hAnsi="Times New Roman" w:eastAsia="仿宋_GB2312" w:cs="Times New Roman"/>
                <w:color w:val="auto"/>
                <w:sz w:val="22"/>
                <w:szCs w:val="24"/>
              </w:rPr>
            </w:pPr>
            <w:r>
              <w:rPr>
                <w:rFonts w:hint="eastAsia" w:ascii="Times New Roman" w:hAnsi="Times New Roman" w:eastAsia="仿宋_GB2312" w:cs="Times New Roman"/>
                <w:color w:val="auto"/>
                <w:sz w:val="22"/>
                <w:szCs w:val="24"/>
              </w:rPr>
              <w:t>民用轻小型无人机系统电磁兼容性要求与试验方法(GB/T 38909-2020)</w:t>
            </w:r>
          </w:p>
        </w:tc>
        <w:tc>
          <w:tcPr>
            <w:tcW w:w="1134" w:type="dxa"/>
            <w:noWrap/>
            <w:tcMar>
              <w:top w:w="15" w:type="dxa"/>
              <w:left w:w="15" w:type="dxa"/>
              <w:bottom w:w="0" w:type="dxa"/>
              <w:right w:w="15" w:type="dxa"/>
            </w:tcMar>
            <w:vAlign w:val="center"/>
          </w:tcPr>
          <w:p>
            <w:pPr>
              <w:jc w:val="center"/>
              <w:rPr>
                <w:rFonts w:ascii="Times New Roman" w:hAnsi="Times New Roman" w:eastAsia="仿宋_GB2312" w:cs="Times New Roman"/>
                <w:color w:val="auto"/>
                <w:sz w:val="22"/>
                <w:szCs w:val="24"/>
              </w:rPr>
            </w:pPr>
            <w:r>
              <w:rPr>
                <w:rFonts w:hint="eastAsia" w:ascii="Times New Roman" w:hAnsi="Times New Roman" w:eastAsia="仿宋_GB2312" w:cs="Times New Roman"/>
                <w:color w:val="auto"/>
                <w:sz w:val="22"/>
                <w:szCs w:val="24"/>
              </w:rPr>
              <w:t>广东 深圳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1474" w:type="dxa"/>
            <w:noWrap/>
            <w:tcMar>
              <w:top w:w="15" w:type="dxa"/>
              <w:left w:w="15" w:type="dxa"/>
              <w:bottom w:w="0" w:type="dxa"/>
              <w:right w:w="15" w:type="dxa"/>
            </w:tcMar>
            <w:vAlign w:val="center"/>
          </w:tcPr>
          <w:p>
            <w:pPr>
              <w:jc w:val="center"/>
              <w:rPr>
                <w:rFonts w:ascii="Times New Roman" w:hAnsi="Times New Roman" w:eastAsia="仿宋_GB2312" w:cs="Times New Roman"/>
                <w:color w:val="auto"/>
                <w:sz w:val="22"/>
                <w:szCs w:val="24"/>
              </w:rPr>
            </w:pPr>
            <w:r>
              <w:rPr>
                <w:rFonts w:hint="eastAsia" w:ascii="Times New Roman" w:hAnsi="Times New Roman" w:eastAsia="仿宋_GB2312" w:cs="Times New Roman"/>
                <w:color w:val="auto"/>
                <w:sz w:val="22"/>
                <w:szCs w:val="24"/>
              </w:rPr>
              <w:t>210020349306</w:t>
            </w:r>
          </w:p>
        </w:tc>
        <w:tc>
          <w:tcPr>
            <w:tcW w:w="3624" w:type="dxa"/>
            <w:noWrap/>
            <w:tcMar>
              <w:top w:w="15" w:type="dxa"/>
              <w:left w:w="15" w:type="dxa"/>
              <w:bottom w:w="0" w:type="dxa"/>
              <w:right w:w="15" w:type="dxa"/>
            </w:tcMar>
            <w:vAlign w:val="center"/>
          </w:tcPr>
          <w:p>
            <w:pPr>
              <w:jc w:val="center"/>
              <w:rPr>
                <w:rFonts w:ascii="Times New Roman" w:hAnsi="Times New Roman" w:eastAsia="仿宋_GB2312" w:cs="Times New Roman"/>
                <w:color w:val="auto"/>
                <w:sz w:val="22"/>
                <w:szCs w:val="24"/>
              </w:rPr>
            </w:pPr>
            <w:r>
              <w:rPr>
                <w:rFonts w:hint="eastAsia" w:ascii="Times New Roman" w:hAnsi="Times New Roman" w:eastAsia="仿宋_GB2312" w:cs="Times New Roman"/>
                <w:color w:val="auto"/>
                <w:sz w:val="22"/>
                <w:szCs w:val="24"/>
              </w:rPr>
              <w:t>中认车联网技术服务（深圳）有限公司</w:t>
            </w:r>
          </w:p>
        </w:tc>
        <w:tc>
          <w:tcPr>
            <w:tcW w:w="7088" w:type="dxa"/>
            <w:noWrap/>
            <w:tcMar>
              <w:top w:w="15" w:type="dxa"/>
              <w:left w:w="15" w:type="dxa"/>
              <w:bottom w:w="0" w:type="dxa"/>
              <w:right w:w="15" w:type="dxa"/>
            </w:tcMar>
            <w:vAlign w:val="center"/>
          </w:tcPr>
          <w:p>
            <w:pPr>
              <w:rPr>
                <w:rFonts w:ascii="Times New Roman" w:hAnsi="Times New Roman" w:eastAsia="仿宋_GB2312" w:cs="Times New Roman"/>
                <w:color w:val="auto"/>
                <w:sz w:val="22"/>
                <w:szCs w:val="24"/>
              </w:rPr>
            </w:pPr>
            <w:r>
              <w:rPr>
                <w:rFonts w:hint="eastAsia" w:ascii="Times New Roman" w:hAnsi="Times New Roman" w:eastAsia="仿宋_GB2312" w:cs="Times New Roman"/>
                <w:color w:val="auto"/>
                <w:sz w:val="22"/>
                <w:szCs w:val="24"/>
              </w:rPr>
              <w:t>民用无人驾驶航空器系统安全要求(GB 42590-2023)，民用轻小型无人机系统电磁兼容性要求与试验方法(GB/T 38909-2020)</w:t>
            </w:r>
          </w:p>
        </w:tc>
        <w:tc>
          <w:tcPr>
            <w:tcW w:w="1134" w:type="dxa"/>
            <w:noWrap/>
            <w:tcMar>
              <w:top w:w="15" w:type="dxa"/>
              <w:left w:w="15" w:type="dxa"/>
              <w:bottom w:w="0" w:type="dxa"/>
              <w:right w:w="15" w:type="dxa"/>
            </w:tcMar>
            <w:vAlign w:val="center"/>
          </w:tcPr>
          <w:p>
            <w:pPr>
              <w:jc w:val="center"/>
              <w:rPr>
                <w:rFonts w:ascii="Times New Roman" w:hAnsi="Times New Roman" w:eastAsia="仿宋_GB2312" w:cs="Times New Roman"/>
                <w:color w:val="auto"/>
                <w:sz w:val="22"/>
                <w:szCs w:val="24"/>
              </w:rPr>
            </w:pPr>
            <w:r>
              <w:rPr>
                <w:rFonts w:hint="eastAsia" w:ascii="Times New Roman" w:hAnsi="Times New Roman" w:eastAsia="仿宋_GB2312" w:cs="Times New Roman"/>
                <w:color w:val="auto"/>
                <w:sz w:val="22"/>
                <w:szCs w:val="24"/>
              </w:rPr>
              <w:t>广东 深圳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1474" w:type="dxa"/>
            <w:noWrap/>
            <w:tcMar>
              <w:top w:w="15" w:type="dxa"/>
              <w:left w:w="15" w:type="dxa"/>
              <w:bottom w:w="0" w:type="dxa"/>
              <w:right w:w="15" w:type="dxa"/>
            </w:tcMar>
            <w:vAlign w:val="center"/>
          </w:tcPr>
          <w:p>
            <w:pPr>
              <w:jc w:val="center"/>
              <w:rPr>
                <w:rFonts w:ascii="Times New Roman" w:hAnsi="Times New Roman" w:eastAsia="仿宋_GB2312" w:cs="Times New Roman"/>
                <w:color w:val="auto"/>
                <w:sz w:val="22"/>
                <w:szCs w:val="24"/>
              </w:rPr>
            </w:pPr>
            <w:r>
              <w:rPr>
                <w:rFonts w:hint="eastAsia" w:ascii="Times New Roman" w:hAnsi="Times New Roman" w:eastAsia="仿宋_GB2312" w:cs="Times New Roman"/>
                <w:color w:val="auto"/>
                <w:sz w:val="22"/>
                <w:szCs w:val="24"/>
              </w:rPr>
              <w:t>220020344590</w:t>
            </w:r>
          </w:p>
        </w:tc>
        <w:tc>
          <w:tcPr>
            <w:tcW w:w="3624" w:type="dxa"/>
            <w:noWrap/>
            <w:tcMar>
              <w:top w:w="15" w:type="dxa"/>
              <w:left w:w="15" w:type="dxa"/>
              <w:bottom w:w="0" w:type="dxa"/>
              <w:right w:w="15" w:type="dxa"/>
            </w:tcMar>
            <w:vAlign w:val="center"/>
          </w:tcPr>
          <w:p>
            <w:pPr>
              <w:jc w:val="center"/>
              <w:rPr>
                <w:rFonts w:ascii="Times New Roman" w:hAnsi="Times New Roman" w:eastAsia="仿宋_GB2312" w:cs="Times New Roman"/>
                <w:color w:val="auto"/>
                <w:sz w:val="22"/>
                <w:szCs w:val="24"/>
              </w:rPr>
            </w:pPr>
            <w:r>
              <w:rPr>
                <w:rFonts w:hint="eastAsia" w:ascii="Times New Roman" w:hAnsi="Times New Roman" w:eastAsia="仿宋_GB2312" w:cs="Times New Roman"/>
                <w:color w:val="auto"/>
                <w:sz w:val="22"/>
                <w:szCs w:val="24"/>
              </w:rPr>
              <w:t>威凯（深圳）检测技术有限公司</w:t>
            </w:r>
          </w:p>
        </w:tc>
        <w:tc>
          <w:tcPr>
            <w:tcW w:w="7088" w:type="dxa"/>
            <w:noWrap/>
            <w:tcMar>
              <w:top w:w="15" w:type="dxa"/>
              <w:left w:w="15" w:type="dxa"/>
              <w:bottom w:w="0" w:type="dxa"/>
              <w:right w:w="15" w:type="dxa"/>
            </w:tcMar>
            <w:vAlign w:val="center"/>
          </w:tcPr>
          <w:p>
            <w:pPr>
              <w:rPr>
                <w:rFonts w:ascii="Times New Roman" w:hAnsi="Times New Roman" w:eastAsia="仿宋_GB2312" w:cs="Times New Roman"/>
                <w:color w:val="auto"/>
                <w:sz w:val="22"/>
                <w:szCs w:val="24"/>
              </w:rPr>
            </w:pPr>
            <w:r>
              <w:rPr>
                <w:rFonts w:hint="eastAsia" w:ascii="Times New Roman" w:hAnsi="Times New Roman" w:eastAsia="仿宋_GB2312" w:cs="Times New Roman"/>
                <w:color w:val="auto"/>
                <w:sz w:val="22"/>
                <w:szCs w:val="24"/>
              </w:rPr>
              <w:t>民用无人驾驶航空器系统安全要求(GB 42590-2023)，民用轻小型无人机系统电磁兼容性要求与试验方法(GB/T 38909-2020)</w:t>
            </w:r>
          </w:p>
        </w:tc>
        <w:tc>
          <w:tcPr>
            <w:tcW w:w="1134" w:type="dxa"/>
            <w:noWrap/>
            <w:tcMar>
              <w:top w:w="15" w:type="dxa"/>
              <w:left w:w="15" w:type="dxa"/>
              <w:bottom w:w="0" w:type="dxa"/>
              <w:right w:w="15" w:type="dxa"/>
            </w:tcMar>
            <w:vAlign w:val="center"/>
          </w:tcPr>
          <w:p>
            <w:pPr>
              <w:jc w:val="center"/>
              <w:rPr>
                <w:rFonts w:ascii="Times New Roman" w:hAnsi="Times New Roman" w:eastAsia="仿宋_GB2312" w:cs="Times New Roman"/>
                <w:color w:val="auto"/>
                <w:sz w:val="22"/>
                <w:szCs w:val="24"/>
              </w:rPr>
            </w:pPr>
            <w:r>
              <w:rPr>
                <w:rFonts w:hint="eastAsia" w:ascii="Times New Roman" w:hAnsi="Times New Roman" w:eastAsia="仿宋_GB2312" w:cs="Times New Roman"/>
                <w:color w:val="auto"/>
                <w:sz w:val="22"/>
                <w:szCs w:val="24"/>
              </w:rPr>
              <w:t>广东 深圳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1474" w:type="dxa"/>
            <w:noWrap/>
            <w:tcMar>
              <w:top w:w="15" w:type="dxa"/>
              <w:left w:w="15" w:type="dxa"/>
              <w:bottom w:w="0" w:type="dxa"/>
              <w:right w:w="15" w:type="dxa"/>
            </w:tcMar>
            <w:vAlign w:val="center"/>
          </w:tcPr>
          <w:p>
            <w:pPr>
              <w:jc w:val="center"/>
              <w:rPr>
                <w:rFonts w:ascii="Times New Roman" w:hAnsi="Times New Roman" w:eastAsia="仿宋_GB2312" w:cs="Times New Roman"/>
                <w:color w:val="auto"/>
                <w:sz w:val="22"/>
                <w:szCs w:val="24"/>
              </w:rPr>
            </w:pPr>
            <w:r>
              <w:rPr>
                <w:rFonts w:hint="eastAsia" w:ascii="Times New Roman" w:hAnsi="Times New Roman" w:eastAsia="仿宋_GB2312" w:cs="Times New Roman"/>
                <w:color w:val="auto"/>
                <w:sz w:val="22"/>
                <w:szCs w:val="24"/>
              </w:rPr>
              <w:t>220020349183</w:t>
            </w:r>
          </w:p>
        </w:tc>
        <w:tc>
          <w:tcPr>
            <w:tcW w:w="3624" w:type="dxa"/>
            <w:noWrap/>
            <w:tcMar>
              <w:top w:w="15" w:type="dxa"/>
              <w:left w:w="15" w:type="dxa"/>
              <w:bottom w:w="0" w:type="dxa"/>
              <w:right w:w="15" w:type="dxa"/>
            </w:tcMar>
            <w:vAlign w:val="center"/>
          </w:tcPr>
          <w:p>
            <w:pPr>
              <w:jc w:val="center"/>
              <w:rPr>
                <w:rFonts w:ascii="Times New Roman" w:hAnsi="Times New Roman" w:eastAsia="仿宋_GB2312" w:cs="Times New Roman"/>
                <w:color w:val="auto"/>
                <w:sz w:val="22"/>
                <w:szCs w:val="24"/>
              </w:rPr>
            </w:pPr>
            <w:r>
              <w:rPr>
                <w:rFonts w:hint="eastAsia" w:ascii="Times New Roman" w:hAnsi="Times New Roman" w:eastAsia="仿宋_GB2312" w:cs="Times New Roman"/>
                <w:color w:val="auto"/>
                <w:sz w:val="22"/>
                <w:szCs w:val="24"/>
              </w:rPr>
              <w:t>深圳市计量质量检测研究院(国家高新技术计量站、国家数字电子产品质量监督检验中心)</w:t>
            </w:r>
          </w:p>
        </w:tc>
        <w:tc>
          <w:tcPr>
            <w:tcW w:w="7088" w:type="dxa"/>
            <w:noWrap/>
            <w:tcMar>
              <w:top w:w="15" w:type="dxa"/>
              <w:left w:w="15" w:type="dxa"/>
              <w:bottom w:w="0" w:type="dxa"/>
              <w:right w:w="15" w:type="dxa"/>
            </w:tcMar>
            <w:vAlign w:val="center"/>
          </w:tcPr>
          <w:p>
            <w:pPr>
              <w:rPr>
                <w:rFonts w:ascii="Times New Roman" w:hAnsi="Times New Roman" w:eastAsia="仿宋_GB2312" w:cs="Times New Roman"/>
                <w:color w:val="auto"/>
                <w:sz w:val="22"/>
                <w:szCs w:val="24"/>
              </w:rPr>
            </w:pPr>
            <w:r>
              <w:rPr>
                <w:rFonts w:hint="eastAsia" w:ascii="Times New Roman" w:hAnsi="Times New Roman" w:eastAsia="仿宋_GB2312" w:cs="Times New Roman"/>
                <w:color w:val="auto"/>
                <w:sz w:val="22"/>
                <w:szCs w:val="24"/>
              </w:rPr>
              <w:t>民用无人驾驶航空器系统安全要求(GB 42590-2023)，民用轻小型无人机系统环境试验方法(GB/T 38924-2020)，民用轻小型无人机系统抗风性要求及试验方法(GB/T 38930-2020)，民用轻小型无人机系统电磁兼容性要求与试验方法(GB/T 38909-2020)，民用轻小型无人机系统安全性通用要求(GB/T 38931-2020)，民用多旋翼无人机系统试验方法(GB/T 38058-2019)，轻小型多旋翼无人机飞行控制与导航系统通用要求(GB/T 38997-2020)，民用轻小型固定翼无人机飞行控制系统通用要求(GB/T 38996-2020)，多旋翼无人机用无刷伺服电动机系统通用规范(GB/T 39567-2020)，无人机围栏(MH/T 2008-2017)，无人机云系统接口数据规范(MH/T 2009-2017)，植保无人飞机 质量评价技术规范(NY/T 3213-2018)，架空输电线路无人直升机巡检系统(DL/T 1578-2016)，民用无人机唯一产品识别码(GB/T 41300-2022)</w:t>
            </w:r>
          </w:p>
        </w:tc>
        <w:tc>
          <w:tcPr>
            <w:tcW w:w="1134" w:type="dxa"/>
            <w:noWrap/>
            <w:tcMar>
              <w:top w:w="15" w:type="dxa"/>
              <w:left w:w="15" w:type="dxa"/>
              <w:bottom w:w="0" w:type="dxa"/>
              <w:right w:w="15" w:type="dxa"/>
            </w:tcMar>
            <w:vAlign w:val="center"/>
          </w:tcPr>
          <w:p>
            <w:pPr>
              <w:jc w:val="center"/>
              <w:rPr>
                <w:rFonts w:ascii="Times New Roman" w:hAnsi="Times New Roman" w:eastAsia="仿宋_GB2312" w:cs="Times New Roman"/>
                <w:color w:val="auto"/>
                <w:sz w:val="22"/>
                <w:szCs w:val="24"/>
              </w:rPr>
            </w:pPr>
            <w:r>
              <w:rPr>
                <w:rFonts w:hint="eastAsia" w:ascii="Times New Roman" w:hAnsi="Times New Roman" w:eastAsia="仿宋_GB2312" w:cs="Times New Roman"/>
                <w:color w:val="auto"/>
                <w:sz w:val="22"/>
                <w:szCs w:val="24"/>
              </w:rPr>
              <w:t>广东 深圳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1474" w:type="dxa"/>
            <w:noWrap/>
            <w:tcMar>
              <w:top w:w="15" w:type="dxa"/>
              <w:left w:w="15" w:type="dxa"/>
              <w:bottom w:w="0" w:type="dxa"/>
              <w:right w:w="15" w:type="dxa"/>
            </w:tcMar>
            <w:vAlign w:val="center"/>
          </w:tcPr>
          <w:p>
            <w:pPr>
              <w:jc w:val="center"/>
              <w:rPr>
                <w:rFonts w:ascii="Times New Roman" w:hAnsi="Times New Roman" w:eastAsia="仿宋_GB2312" w:cs="Times New Roman"/>
                <w:color w:val="auto"/>
                <w:sz w:val="22"/>
                <w:szCs w:val="24"/>
              </w:rPr>
            </w:pPr>
            <w:r>
              <w:rPr>
                <w:rFonts w:hint="eastAsia" w:ascii="Times New Roman" w:hAnsi="Times New Roman" w:eastAsia="仿宋_GB2312" w:cs="Times New Roman"/>
                <w:color w:val="auto"/>
                <w:sz w:val="22"/>
                <w:szCs w:val="24"/>
              </w:rPr>
              <w:t>230020344715</w:t>
            </w:r>
          </w:p>
        </w:tc>
        <w:tc>
          <w:tcPr>
            <w:tcW w:w="3624" w:type="dxa"/>
            <w:noWrap/>
            <w:tcMar>
              <w:top w:w="15" w:type="dxa"/>
              <w:left w:w="15" w:type="dxa"/>
              <w:bottom w:w="0" w:type="dxa"/>
              <w:right w:w="15" w:type="dxa"/>
            </w:tcMar>
            <w:vAlign w:val="center"/>
          </w:tcPr>
          <w:p>
            <w:pPr>
              <w:jc w:val="center"/>
              <w:rPr>
                <w:rFonts w:ascii="Times New Roman" w:hAnsi="Times New Roman" w:eastAsia="仿宋_GB2312" w:cs="Times New Roman"/>
                <w:color w:val="auto"/>
                <w:sz w:val="22"/>
                <w:szCs w:val="24"/>
              </w:rPr>
            </w:pPr>
            <w:r>
              <w:rPr>
                <w:rFonts w:hint="eastAsia" w:ascii="Times New Roman" w:hAnsi="Times New Roman" w:eastAsia="仿宋_GB2312" w:cs="Times New Roman"/>
                <w:color w:val="auto"/>
                <w:sz w:val="22"/>
                <w:szCs w:val="24"/>
              </w:rPr>
              <w:t>珠海开普检测技术有限公司</w:t>
            </w:r>
          </w:p>
        </w:tc>
        <w:tc>
          <w:tcPr>
            <w:tcW w:w="7088" w:type="dxa"/>
            <w:noWrap/>
            <w:tcMar>
              <w:top w:w="15" w:type="dxa"/>
              <w:left w:w="15" w:type="dxa"/>
              <w:bottom w:w="0" w:type="dxa"/>
              <w:right w:w="15" w:type="dxa"/>
            </w:tcMar>
            <w:vAlign w:val="center"/>
          </w:tcPr>
          <w:p>
            <w:pPr>
              <w:rPr>
                <w:rFonts w:ascii="Times New Roman" w:hAnsi="Times New Roman" w:eastAsia="仿宋_GB2312" w:cs="Times New Roman"/>
                <w:color w:val="auto"/>
                <w:sz w:val="22"/>
                <w:szCs w:val="24"/>
              </w:rPr>
            </w:pPr>
            <w:r>
              <w:rPr>
                <w:rFonts w:hint="eastAsia" w:ascii="Times New Roman" w:hAnsi="Times New Roman" w:eastAsia="仿宋_GB2312" w:cs="Times New Roman"/>
                <w:color w:val="auto"/>
                <w:sz w:val="22"/>
                <w:szCs w:val="24"/>
              </w:rPr>
              <w:t>民用轻小型无人机系统环境试验方法(GB/T 38924-2020)，民用轻小型无人机系统电磁兼容性要求与试验方法(GB/T 38909-2020)</w:t>
            </w:r>
          </w:p>
        </w:tc>
        <w:tc>
          <w:tcPr>
            <w:tcW w:w="1134" w:type="dxa"/>
            <w:noWrap/>
            <w:tcMar>
              <w:top w:w="15" w:type="dxa"/>
              <w:left w:w="15" w:type="dxa"/>
              <w:bottom w:w="0" w:type="dxa"/>
              <w:right w:w="15" w:type="dxa"/>
            </w:tcMar>
            <w:vAlign w:val="center"/>
          </w:tcPr>
          <w:p>
            <w:pPr>
              <w:jc w:val="center"/>
              <w:rPr>
                <w:rFonts w:ascii="Times New Roman" w:hAnsi="Times New Roman" w:eastAsia="仿宋_GB2312" w:cs="Times New Roman"/>
                <w:color w:val="auto"/>
                <w:sz w:val="22"/>
                <w:szCs w:val="24"/>
              </w:rPr>
            </w:pPr>
            <w:r>
              <w:rPr>
                <w:rFonts w:hint="eastAsia" w:ascii="Times New Roman" w:hAnsi="Times New Roman" w:eastAsia="仿宋_GB2312" w:cs="Times New Roman"/>
                <w:color w:val="auto"/>
                <w:sz w:val="22"/>
                <w:szCs w:val="24"/>
              </w:rPr>
              <w:t>广东 珠海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1474" w:type="dxa"/>
            <w:noWrap/>
            <w:tcMar>
              <w:top w:w="15" w:type="dxa"/>
              <w:left w:w="15" w:type="dxa"/>
              <w:bottom w:w="0" w:type="dxa"/>
              <w:right w:w="15" w:type="dxa"/>
            </w:tcMar>
            <w:vAlign w:val="center"/>
          </w:tcPr>
          <w:p>
            <w:pPr>
              <w:jc w:val="center"/>
              <w:rPr>
                <w:rFonts w:ascii="Times New Roman" w:hAnsi="Times New Roman" w:eastAsia="仿宋_GB2312" w:cs="Times New Roman"/>
                <w:color w:val="auto"/>
                <w:sz w:val="22"/>
                <w:szCs w:val="24"/>
              </w:rPr>
            </w:pPr>
            <w:r>
              <w:rPr>
                <w:rFonts w:hint="eastAsia" w:ascii="Times New Roman" w:hAnsi="Times New Roman" w:eastAsia="仿宋_GB2312" w:cs="Times New Roman"/>
                <w:color w:val="auto"/>
                <w:sz w:val="22"/>
                <w:szCs w:val="24"/>
              </w:rPr>
              <w:t>230020349182</w:t>
            </w:r>
          </w:p>
        </w:tc>
        <w:tc>
          <w:tcPr>
            <w:tcW w:w="3624" w:type="dxa"/>
            <w:noWrap/>
            <w:tcMar>
              <w:top w:w="15" w:type="dxa"/>
              <w:left w:w="15" w:type="dxa"/>
              <w:bottom w:w="0" w:type="dxa"/>
              <w:right w:w="15" w:type="dxa"/>
            </w:tcMar>
            <w:vAlign w:val="center"/>
          </w:tcPr>
          <w:p>
            <w:pPr>
              <w:jc w:val="center"/>
              <w:rPr>
                <w:rFonts w:ascii="Times New Roman" w:hAnsi="Times New Roman" w:eastAsia="仿宋_GB2312" w:cs="Times New Roman"/>
                <w:color w:val="auto"/>
                <w:sz w:val="22"/>
                <w:szCs w:val="24"/>
              </w:rPr>
            </w:pPr>
            <w:r>
              <w:rPr>
                <w:rFonts w:hint="eastAsia" w:ascii="Times New Roman" w:hAnsi="Times New Roman" w:eastAsia="仿宋_GB2312" w:cs="Times New Roman"/>
                <w:color w:val="auto"/>
                <w:sz w:val="22"/>
                <w:szCs w:val="24"/>
              </w:rPr>
              <w:t>广东省东莞市质量监督检测中心</w:t>
            </w:r>
          </w:p>
        </w:tc>
        <w:tc>
          <w:tcPr>
            <w:tcW w:w="7088" w:type="dxa"/>
            <w:noWrap/>
            <w:tcMar>
              <w:top w:w="15" w:type="dxa"/>
              <w:left w:w="15" w:type="dxa"/>
              <w:bottom w:w="0" w:type="dxa"/>
              <w:right w:w="15" w:type="dxa"/>
            </w:tcMar>
            <w:vAlign w:val="center"/>
          </w:tcPr>
          <w:p>
            <w:pPr>
              <w:rPr>
                <w:rFonts w:ascii="Times New Roman" w:hAnsi="Times New Roman" w:eastAsia="仿宋_GB2312" w:cs="Times New Roman"/>
                <w:color w:val="auto"/>
                <w:sz w:val="22"/>
                <w:szCs w:val="24"/>
              </w:rPr>
            </w:pPr>
            <w:r>
              <w:rPr>
                <w:rFonts w:hint="eastAsia" w:ascii="Times New Roman" w:hAnsi="Times New Roman" w:eastAsia="仿宋_GB2312" w:cs="Times New Roman"/>
                <w:color w:val="auto"/>
                <w:sz w:val="22"/>
                <w:szCs w:val="24"/>
              </w:rPr>
              <w:t>民用无人驾驶航空器系统安全要求(GB 42590-2023)，民用轻小型无人机系统电磁兼容性要求与试验方法(GB/T 38909-2020)</w:t>
            </w:r>
          </w:p>
        </w:tc>
        <w:tc>
          <w:tcPr>
            <w:tcW w:w="1134" w:type="dxa"/>
            <w:noWrap/>
            <w:tcMar>
              <w:top w:w="15" w:type="dxa"/>
              <w:left w:w="15" w:type="dxa"/>
              <w:bottom w:w="0" w:type="dxa"/>
              <w:right w:w="15" w:type="dxa"/>
            </w:tcMar>
            <w:vAlign w:val="center"/>
          </w:tcPr>
          <w:p>
            <w:pPr>
              <w:jc w:val="center"/>
              <w:rPr>
                <w:rFonts w:ascii="Times New Roman" w:hAnsi="Times New Roman" w:eastAsia="仿宋_GB2312" w:cs="Times New Roman"/>
                <w:color w:val="auto"/>
                <w:sz w:val="22"/>
                <w:szCs w:val="24"/>
              </w:rPr>
            </w:pPr>
            <w:r>
              <w:rPr>
                <w:rFonts w:hint="eastAsia" w:ascii="Times New Roman" w:hAnsi="Times New Roman" w:eastAsia="仿宋_GB2312" w:cs="Times New Roman"/>
                <w:color w:val="auto"/>
                <w:sz w:val="22"/>
                <w:szCs w:val="24"/>
              </w:rPr>
              <w:t>广东 东莞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1474" w:type="dxa"/>
            <w:noWrap/>
            <w:tcMar>
              <w:top w:w="15" w:type="dxa"/>
              <w:left w:w="15" w:type="dxa"/>
              <w:bottom w:w="0" w:type="dxa"/>
              <w:right w:w="15" w:type="dxa"/>
            </w:tcMar>
            <w:vAlign w:val="center"/>
          </w:tcPr>
          <w:p>
            <w:pPr>
              <w:jc w:val="center"/>
              <w:rPr>
                <w:rFonts w:ascii="Times New Roman" w:hAnsi="Times New Roman" w:eastAsia="仿宋_GB2312" w:cs="Times New Roman"/>
                <w:color w:val="auto"/>
                <w:sz w:val="22"/>
                <w:szCs w:val="24"/>
              </w:rPr>
            </w:pPr>
            <w:r>
              <w:rPr>
                <w:rFonts w:hint="eastAsia" w:ascii="Times New Roman" w:hAnsi="Times New Roman" w:eastAsia="仿宋_GB2312" w:cs="Times New Roman"/>
                <w:color w:val="auto"/>
                <w:sz w:val="22"/>
                <w:szCs w:val="24"/>
              </w:rPr>
              <w:t>230009349146</w:t>
            </w:r>
          </w:p>
        </w:tc>
        <w:tc>
          <w:tcPr>
            <w:tcW w:w="3624" w:type="dxa"/>
            <w:noWrap/>
            <w:tcMar>
              <w:top w:w="15" w:type="dxa"/>
              <w:left w:w="15" w:type="dxa"/>
              <w:bottom w:w="0" w:type="dxa"/>
              <w:right w:w="15" w:type="dxa"/>
            </w:tcMar>
            <w:vAlign w:val="center"/>
          </w:tcPr>
          <w:p>
            <w:pPr>
              <w:jc w:val="center"/>
              <w:rPr>
                <w:rFonts w:ascii="Times New Roman" w:hAnsi="Times New Roman" w:eastAsia="仿宋_GB2312" w:cs="Times New Roman"/>
                <w:color w:val="auto"/>
                <w:sz w:val="22"/>
                <w:szCs w:val="24"/>
              </w:rPr>
            </w:pPr>
            <w:r>
              <w:rPr>
                <w:rFonts w:hint="eastAsia" w:ascii="Times New Roman" w:hAnsi="Times New Roman" w:eastAsia="仿宋_GB2312" w:cs="Times New Roman"/>
                <w:color w:val="auto"/>
                <w:sz w:val="22"/>
                <w:szCs w:val="24"/>
              </w:rPr>
              <w:t>广东省通讯终端产品质量监督检验中心</w:t>
            </w:r>
          </w:p>
        </w:tc>
        <w:tc>
          <w:tcPr>
            <w:tcW w:w="7088" w:type="dxa"/>
            <w:noWrap/>
            <w:tcMar>
              <w:top w:w="15" w:type="dxa"/>
              <w:left w:w="15" w:type="dxa"/>
              <w:bottom w:w="0" w:type="dxa"/>
              <w:right w:w="15" w:type="dxa"/>
            </w:tcMar>
            <w:vAlign w:val="center"/>
          </w:tcPr>
          <w:p>
            <w:pPr>
              <w:rPr>
                <w:rFonts w:ascii="Times New Roman" w:hAnsi="Times New Roman" w:eastAsia="仿宋_GB2312" w:cs="Times New Roman"/>
                <w:color w:val="auto"/>
                <w:sz w:val="22"/>
                <w:szCs w:val="24"/>
              </w:rPr>
            </w:pPr>
            <w:r>
              <w:rPr>
                <w:rFonts w:hint="eastAsia" w:ascii="Times New Roman" w:hAnsi="Times New Roman" w:eastAsia="仿宋_GB2312" w:cs="Times New Roman"/>
                <w:color w:val="auto"/>
                <w:sz w:val="22"/>
                <w:szCs w:val="24"/>
              </w:rPr>
              <w:t>民用多旋翼无人机系统试验方法(GB/T 38058-2019)，植保无人飞机 质量评价技术规范(NY/T 3213-2018)，植保无人驾驶航空器(DG/T 247-2021)</w:t>
            </w:r>
          </w:p>
        </w:tc>
        <w:tc>
          <w:tcPr>
            <w:tcW w:w="1134" w:type="dxa"/>
            <w:noWrap/>
            <w:tcMar>
              <w:top w:w="15" w:type="dxa"/>
              <w:left w:w="15" w:type="dxa"/>
              <w:bottom w:w="0" w:type="dxa"/>
              <w:right w:w="15" w:type="dxa"/>
            </w:tcMar>
            <w:vAlign w:val="center"/>
          </w:tcPr>
          <w:p>
            <w:pPr>
              <w:jc w:val="center"/>
              <w:rPr>
                <w:rFonts w:ascii="Times New Roman" w:hAnsi="Times New Roman" w:eastAsia="仿宋_GB2312" w:cs="Times New Roman"/>
                <w:color w:val="auto"/>
                <w:sz w:val="22"/>
                <w:szCs w:val="24"/>
              </w:rPr>
            </w:pPr>
            <w:r>
              <w:rPr>
                <w:rFonts w:hint="eastAsia" w:ascii="Times New Roman" w:hAnsi="Times New Roman" w:eastAsia="仿宋_GB2312" w:cs="Times New Roman"/>
                <w:color w:val="auto"/>
                <w:sz w:val="22"/>
                <w:szCs w:val="24"/>
              </w:rPr>
              <w:t>广东 河源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1474" w:type="dxa"/>
            <w:noWrap/>
            <w:tcMar>
              <w:top w:w="15" w:type="dxa"/>
              <w:left w:w="15" w:type="dxa"/>
              <w:bottom w:w="0" w:type="dxa"/>
              <w:right w:w="15" w:type="dxa"/>
            </w:tcMar>
            <w:vAlign w:val="center"/>
          </w:tcPr>
          <w:p>
            <w:pPr>
              <w:jc w:val="center"/>
              <w:rPr>
                <w:rFonts w:ascii="Times New Roman" w:hAnsi="Times New Roman" w:eastAsia="仿宋_GB2312" w:cs="Times New Roman"/>
                <w:color w:val="auto"/>
                <w:sz w:val="22"/>
                <w:szCs w:val="24"/>
              </w:rPr>
            </w:pPr>
            <w:r>
              <w:rPr>
                <w:rFonts w:hint="eastAsia" w:ascii="Times New Roman" w:hAnsi="Times New Roman" w:eastAsia="仿宋_GB2312" w:cs="Times New Roman"/>
                <w:color w:val="auto"/>
                <w:sz w:val="22"/>
                <w:szCs w:val="24"/>
              </w:rPr>
              <w:t>220008349335</w:t>
            </w:r>
          </w:p>
        </w:tc>
        <w:tc>
          <w:tcPr>
            <w:tcW w:w="3624" w:type="dxa"/>
            <w:noWrap/>
            <w:tcMar>
              <w:top w:w="15" w:type="dxa"/>
              <w:left w:w="15" w:type="dxa"/>
              <w:bottom w:w="0" w:type="dxa"/>
              <w:right w:w="15" w:type="dxa"/>
            </w:tcMar>
            <w:vAlign w:val="center"/>
          </w:tcPr>
          <w:p>
            <w:pPr>
              <w:jc w:val="center"/>
              <w:rPr>
                <w:rFonts w:ascii="Times New Roman" w:hAnsi="Times New Roman" w:eastAsia="仿宋_GB2312" w:cs="Times New Roman"/>
                <w:color w:val="auto"/>
                <w:sz w:val="22"/>
                <w:szCs w:val="24"/>
              </w:rPr>
            </w:pPr>
            <w:r>
              <w:rPr>
                <w:rFonts w:hint="eastAsia" w:ascii="Times New Roman" w:hAnsi="Times New Roman" w:eastAsia="仿宋_GB2312" w:cs="Times New Roman"/>
                <w:color w:val="auto"/>
                <w:sz w:val="22"/>
                <w:szCs w:val="24"/>
              </w:rPr>
              <w:t>洛阳西苑车辆与动力检验所有限公司</w:t>
            </w:r>
          </w:p>
        </w:tc>
        <w:tc>
          <w:tcPr>
            <w:tcW w:w="7088" w:type="dxa"/>
            <w:noWrap/>
            <w:tcMar>
              <w:top w:w="15" w:type="dxa"/>
              <w:left w:w="15" w:type="dxa"/>
              <w:bottom w:w="0" w:type="dxa"/>
              <w:right w:w="15" w:type="dxa"/>
            </w:tcMar>
            <w:vAlign w:val="center"/>
          </w:tcPr>
          <w:p>
            <w:pPr>
              <w:rPr>
                <w:rFonts w:ascii="Times New Roman" w:hAnsi="Times New Roman" w:eastAsia="仿宋_GB2312" w:cs="Times New Roman"/>
                <w:color w:val="auto"/>
                <w:sz w:val="22"/>
                <w:szCs w:val="24"/>
              </w:rPr>
            </w:pPr>
            <w:r>
              <w:rPr>
                <w:rFonts w:hint="eastAsia" w:ascii="Times New Roman" w:hAnsi="Times New Roman" w:eastAsia="仿宋_GB2312" w:cs="Times New Roman"/>
                <w:color w:val="auto"/>
                <w:sz w:val="22"/>
                <w:szCs w:val="24"/>
              </w:rPr>
              <w:t>植保无人飞机 质量评价技术规范(NY/T 3213-2018)，植保无人驾驶航空器(DG/T 247-2021)</w:t>
            </w:r>
          </w:p>
        </w:tc>
        <w:tc>
          <w:tcPr>
            <w:tcW w:w="1134" w:type="dxa"/>
            <w:noWrap/>
            <w:tcMar>
              <w:top w:w="15" w:type="dxa"/>
              <w:left w:w="15" w:type="dxa"/>
              <w:bottom w:w="0" w:type="dxa"/>
              <w:right w:w="15" w:type="dxa"/>
            </w:tcMar>
            <w:vAlign w:val="center"/>
          </w:tcPr>
          <w:p>
            <w:pPr>
              <w:jc w:val="center"/>
              <w:rPr>
                <w:rFonts w:ascii="Times New Roman" w:hAnsi="Times New Roman" w:eastAsia="仿宋_GB2312" w:cs="Times New Roman"/>
                <w:color w:val="auto"/>
                <w:sz w:val="22"/>
                <w:szCs w:val="24"/>
              </w:rPr>
            </w:pPr>
            <w:r>
              <w:rPr>
                <w:rFonts w:hint="eastAsia" w:ascii="Times New Roman" w:hAnsi="Times New Roman" w:eastAsia="仿宋_GB2312" w:cs="Times New Roman"/>
                <w:color w:val="auto"/>
                <w:sz w:val="22"/>
                <w:szCs w:val="24"/>
              </w:rPr>
              <w:t>河南 洛阳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1474" w:type="dxa"/>
            <w:noWrap/>
            <w:tcMar>
              <w:top w:w="15" w:type="dxa"/>
              <w:left w:w="15" w:type="dxa"/>
              <w:bottom w:w="0" w:type="dxa"/>
              <w:right w:w="15" w:type="dxa"/>
            </w:tcMar>
            <w:vAlign w:val="center"/>
          </w:tcPr>
          <w:p>
            <w:pPr>
              <w:jc w:val="center"/>
              <w:rPr>
                <w:rFonts w:ascii="Times New Roman" w:hAnsi="Times New Roman" w:eastAsia="仿宋_GB2312" w:cs="Times New Roman"/>
                <w:color w:val="auto"/>
                <w:sz w:val="22"/>
                <w:szCs w:val="24"/>
              </w:rPr>
            </w:pPr>
            <w:r>
              <w:rPr>
                <w:rFonts w:hint="eastAsia" w:ascii="Times New Roman" w:hAnsi="Times New Roman" w:eastAsia="仿宋_GB2312" w:cs="Times New Roman"/>
                <w:color w:val="auto"/>
                <w:sz w:val="22"/>
                <w:szCs w:val="24"/>
              </w:rPr>
              <w:t>230020349844</w:t>
            </w:r>
          </w:p>
        </w:tc>
        <w:tc>
          <w:tcPr>
            <w:tcW w:w="3624" w:type="dxa"/>
            <w:noWrap/>
            <w:tcMar>
              <w:top w:w="15" w:type="dxa"/>
              <w:left w:w="15" w:type="dxa"/>
              <w:bottom w:w="0" w:type="dxa"/>
              <w:right w:w="15" w:type="dxa"/>
            </w:tcMar>
            <w:vAlign w:val="center"/>
          </w:tcPr>
          <w:p>
            <w:pPr>
              <w:jc w:val="center"/>
              <w:rPr>
                <w:rFonts w:ascii="Times New Roman" w:hAnsi="Times New Roman" w:eastAsia="仿宋_GB2312" w:cs="Times New Roman"/>
                <w:color w:val="auto"/>
                <w:sz w:val="22"/>
                <w:szCs w:val="24"/>
              </w:rPr>
            </w:pPr>
            <w:r>
              <w:rPr>
                <w:rFonts w:hint="eastAsia" w:ascii="Times New Roman" w:hAnsi="Times New Roman" w:eastAsia="仿宋_GB2312" w:cs="Times New Roman"/>
                <w:color w:val="auto"/>
                <w:sz w:val="22"/>
                <w:szCs w:val="24"/>
              </w:rPr>
              <w:t>福建省产品质量检验研究院</w:t>
            </w:r>
          </w:p>
        </w:tc>
        <w:tc>
          <w:tcPr>
            <w:tcW w:w="7088" w:type="dxa"/>
            <w:noWrap/>
            <w:tcMar>
              <w:top w:w="15" w:type="dxa"/>
              <w:left w:w="15" w:type="dxa"/>
              <w:bottom w:w="0" w:type="dxa"/>
              <w:right w:w="15" w:type="dxa"/>
            </w:tcMar>
            <w:vAlign w:val="center"/>
          </w:tcPr>
          <w:p>
            <w:pPr>
              <w:rPr>
                <w:rFonts w:ascii="Times New Roman" w:hAnsi="Times New Roman" w:eastAsia="仿宋_GB2312" w:cs="Times New Roman"/>
                <w:color w:val="auto"/>
                <w:sz w:val="22"/>
                <w:szCs w:val="24"/>
              </w:rPr>
            </w:pPr>
            <w:r>
              <w:rPr>
                <w:rFonts w:hint="eastAsia" w:ascii="Times New Roman" w:hAnsi="Times New Roman" w:eastAsia="仿宋_GB2312" w:cs="Times New Roman"/>
                <w:color w:val="auto"/>
                <w:sz w:val="22"/>
                <w:szCs w:val="24"/>
              </w:rPr>
              <w:t>民用多旋翼无人机系统试验方法(GB/T 38058-2019)</w:t>
            </w:r>
          </w:p>
        </w:tc>
        <w:tc>
          <w:tcPr>
            <w:tcW w:w="1134" w:type="dxa"/>
            <w:noWrap/>
            <w:tcMar>
              <w:top w:w="15" w:type="dxa"/>
              <w:left w:w="15" w:type="dxa"/>
              <w:bottom w:w="0" w:type="dxa"/>
              <w:right w:w="15" w:type="dxa"/>
            </w:tcMar>
            <w:vAlign w:val="center"/>
          </w:tcPr>
          <w:p>
            <w:pPr>
              <w:jc w:val="center"/>
              <w:rPr>
                <w:rFonts w:ascii="Times New Roman" w:hAnsi="Times New Roman" w:eastAsia="仿宋_GB2312" w:cs="Times New Roman"/>
                <w:color w:val="auto"/>
                <w:sz w:val="22"/>
                <w:szCs w:val="24"/>
              </w:rPr>
            </w:pPr>
            <w:r>
              <w:rPr>
                <w:rFonts w:hint="eastAsia" w:ascii="Times New Roman" w:hAnsi="Times New Roman" w:eastAsia="仿宋_GB2312" w:cs="Times New Roman"/>
                <w:color w:val="auto"/>
                <w:sz w:val="22"/>
                <w:szCs w:val="24"/>
              </w:rPr>
              <w:t>福建 福州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1474" w:type="dxa"/>
            <w:noWrap/>
            <w:tcMar>
              <w:top w:w="15" w:type="dxa"/>
              <w:left w:w="15" w:type="dxa"/>
              <w:bottom w:w="0" w:type="dxa"/>
              <w:right w:w="15" w:type="dxa"/>
            </w:tcMar>
            <w:vAlign w:val="center"/>
          </w:tcPr>
          <w:p>
            <w:pPr>
              <w:jc w:val="center"/>
              <w:rPr>
                <w:rFonts w:ascii="Times New Roman" w:hAnsi="Times New Roman" w:eastAsia="仿宋_GB2312" w:cs="Times New Roman"/>
                <w:color w:val="auto"/>
                <w:sz w:val="22"/>
                <w:szCs w:val="24"/>
              </w:rPr>
            </w:pPr>
            <w:r>
              <w:rPr>
                <w:rFonts w:hint="eastAsia" w:ascii="Times New Roman" w:hAnsi="Times New Roman" w:eastAsia="仿宋_GB2312" w:cs="Times New Roman"/>
                <w:color w:val="auto"/>
                <w:sz w:val="22"/>
                <w:szCs w:val="24"/>
              </w:rPr>
              <w:t>210009344447</w:t>
            </w:r>
          </w:p>
        </w:tc>
        <w:tc>
          <w:tcPr>
            <w:tcW w:w="3624" w:type="dxa"/>
            <w:noWrap/>
            <w:tcMar>
              <w:top w:w="15" w:type="dxa"/>
              <w:left w:w="15" w:type="dxa"/>
              <w:bottom w:w="0" w:type="dxa"/>
              <w:right w:w="15" w:type="dxa"/>
            </w:tcMar>
            <w:vAlign w:val="center"/>
          </w:tcPr>
          <w:p>
            <w:pPr>
              <w:jc w:val="center"/>
              <w:rPr>
                <w:rFonts w:ascii="Times New Roman" w:hAnsi="Times New Roman" w:eastAsia="仿宋_GB2312" w:cs="Times New Roman"/>
                <w:color w:val="auto"/>
                <w:sz w:val="22"/>
                <w:szCs w:val="24"/>
              </w:rPr>
            </w:pPr>
            <w:r>
              <w:rPr>
                <w:rFonts w:hint="eastAsia" w:ascii="Times New Roman" w:hAnsi="Times New Roman" w:eastAsia="仿宋_GB2312" w:cs="Times New Roman"/>
                <w:color w:val="auto"/>
                <w:sz w:val="22"/>
                <w:szCs w:val="24"/>
              </w:rPr>
              <w:t>重庆信息通信研究院</w:t>
            </w:r>
          </w:p>
        </w:tc>
        <w:tc>
          <w:tcPr>
            <w:tcW w:w="7088" w:type="dxa"/>
            <w:noWrap/>
            <w:tcMar>
              <w:top w:w="15" w:type="dxa"/>
              <w:left w:w="15" w:type="dxa"/>
              <w:bottom w:w="0" w:type="dxa"/>
              <w:right w:w="15" w:type="dxa"/>
            </w:tcMar>
            <w:vAlign w:val="center"/>
          </w:tcPr>
          <w:p>
            <w:pPr>
              <w:rPr>
                <w:rFonts w:ascii="Times New Roman" w:hAnsi="Times New Roman" w:eastAsia="仿宋_GB2312" w:cs="Times New Roman"/>
                <w:color w:val="auto"/>
                <w:sz w:val="22"/>
                <w:szCs w:val="24"/>
              </w:rPr>
            </w:pPr>
            <w:r>
              <w:rPr>
                <w:rFonts w:hint="eastAsia" w:ascii="Times New Roman" w:hAnsi="Times New Roman" w:eastAsia="仿宋_GB2312" w:cs="Times New Roman"/>
                <w:color w:val="auto"/>
                <w:sz w:val="22"/>
                <w:szCs w:val="24"/>
              </w:rPr>
              <w:t>民用轻小型无人机系统电磁兼容性要求与试验方法(GB/T 38909-2020)</w:t>
            </w:r>
          </w:p>
        </w:tc>
        <w:tc>
          <w:tcPr>
            <w:tcW w:w="1134" w:type="dxa"/>
            <w:noWrap/>
            <w:tcMar>
              <w:top w:w="15" w:type="dxa"/>
              <w:left w:w="15" w:type="dxa"/>
              <w:bottom w:w="0" w:type="dxa"/>
              <w:right w:w="15" w:type="dxa"/>
            </w:tcMar>
            <w:vAlign w:val="center"/>
          </w:tcPr>
          <w:p>
            <w:pPr>
              <w:jc w:val="center"/>
              <w:rPr>
                <w:rFonts w:ascii="Times New Roman" w:hAnsi="Times New Roman" w:eastAsia="仿宋_GB2312" w:cs="Times New Roman"/>
                <w:color w:val="auto"/>
                <w:sz w:val="22"/>
                <w:szCs w:val="24"/>
              </w:rPr>
            </w:pPr>
            <w:r>
              <w:rPr>
                <w:rFonts w:hint="eastAsia" w:ascii="Times New Roman" w:hAnsi="Times New Roman" w:eastAsia="仿宋_GB2312" w:cs="Times New Roman"/>
                <w:color w:val="auto"/>
                <w:sz w:val="22"/>
                <w:szCs w:val="24"/>
              </w:rPr>
              <w:t>重庆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1474" w:type="dxa"/>
            <w:noWrap/>
            <w:tcMar>
              <w:top w:w="15" w:type="dxa"/>
              <w:left w:w="15" w:type="dxa"/>
              <w:bottom w:w="0" w:type="dxa"/>
              <w:right w:w="15" w:type="dxa"/>
            </w:tcMar>
            <w:vAlign w:val="center"/>
          </w:tcPr>
          <w:p>
            <w:pPr>
              <w:jc w:val="center"/>
              <w:rPr>
                <w:rFonts w:ascii="Times New Roman" w:hAnsi="Times New Roman" w:eastAsia="仿宋_GB2312" w:cs="Times New Roman"/>
                <w:color w:val="auto"/>
                <w:sz w:val="22"/>
                <w:szCs w:val="24"/>
              </w:rPr>
            </w:pPr>
            <w:r>
              <w:rPr>
                <w:rFonts w:hint="eastAsia" w:ascii="Times New Roman" w:hAnsi="Times New Roman" w:eastAsia="仿宋_GB2312" w:cs="Times New Roman"/>
                <w:color w:val="auto"/>
                <w:sz w:val="22"/>
                <w:szCs w:val="24"/>
              </w:rPr>
              <w:t>210021349331</w:t>
            </w:r>
          </w:p>
        </w:tc>
        <w:tc>
          <w:tcPr>
            <w:tcW w:w="3624" w:type="dxa"/>
            <w:noWrap/>
            <w:tcMar>
              <w:top w:w="15" w:type="dxa"/>
              <w:left w:w="15" w:type="dxa"/>
              <w:bottom w:w="0" w:type="dxa"/>
              <w:right w:w="15" w:type="dxa"/>
            </w:tcMar>
            <w:vAlign w:val="center"/>
          </w:tcPr>
          <w:p>
            <w:pPr>
              <w:jc w:val="center"/>
              <w:rPr>
                <w:rFonts w:ascii="Times New Roman" w:hAnsi="Times New Roman" w:eastAsia="仿宋_GB2312" w:cs="Times New Roman"/>
                <w:color w:val="auto"/>
                <w:sz w:val="22"/>
                <w:szCs w:val="24"/>
              </w:rPr>
            </w:pPr>
            <w:r>
              <w:rPr>
                <w:rFonts w:hint="eastAsia" w:ascii="Times New Roman" w:hAnsi="Times New Roman" w:eastAsia="仿宋_GB2312" w:cs="Times New Roman"/>
                <w:color w:val="auto"/>
                <w:sz w:val="22"/>
                <w:szCs w:val="24"/>
              </w:rPr>
              <w:t>重庆凯瑞机器人技术有限公司</w:t>
            </w:r>
          </w:p>
        </w:tc>
        <w:tc>
          <w:tcPr>
            <w:tcW w:w="7088" w:type="dxa"/>
            <w:noWrap/>
            <w:tcMar>
              <w:top w:w="15" w:type="dxa"/>
              <w:left w:w="15" w:type="dxa"/>
              <w:bottom w:w="0" w:type="dxa"/>
              <w:right w:w="15" w:type="dxa"/>
            </w:tcMar>
            <w:vAlign w:val="center"/>
          </w:tcPr>
          <w:p>
            <w:pPr>
              <w:rPr>
                <w:rFonts w:ascii="Times New Roman" w:hAnsi="Times New Roman" w:eastAsia="仿宋_GB2312" w:cs="Times New Roman"/>
                <w:color w:val="auto"/>
                <w:sz w:val="22"/>
                <w:szCs w:val="24"/>
              </w:rPr>
            </w:pPr>
            <w:r>
              <w:rPr>
                <w:rFonts w:hint="eastAsia" w:ascii="Times New Roman" w:hAnsi="Times New Roman" w:eastAsia="仿宋_GB2312" w:cs="Times New Roman"/>
                <w:color w:val="auto"/>
                <w:sz w:val="22"/>
                <w:szCs w:val="24"/>
              </w:rPr>
              <w:t>民用无人驾驶航空器系统安全要求(GB 42590-2023)，民用轻小型无人机系统环境试验方法(GB/T 38924-2020)，民用轻小型无人机系统抗风性要求及试验方法(GB/T 38930-2020)，民用轻小型无人机系统电磁兼容性要求与试验方法(GB/T 38909-2020)，民用轻小型无人机系统安全性通用要求(GB/T 38931-2020)，民用多旋翼无人机系统试验方法(GB/T 38058-2019)，警用无人驾驶航空器系统(GA/T 1411-2017)，植保无人飞机 质量评价技术规范(NY/T 3213-2018)，架空电力线路多旋翼无人机巡检系统(DL/T 1578-2021)，民用无人机唯一产品识别码(GB/T 41300-2022)</w:t>
            </w:r>
          </w:p>
        </w:tc>
        <w:tc>
          <w:tcPr>
            <w:tcW w:w="1134" w:type="dxa"/>
            <w:noWrap/>
            <w:tcMar>
              <w:top w:w="15" w:type="dxa"/>
              <w:left w:w="15" w:type="dxa"/>
              <w:bottom w:w="0" w:type="dxa"/>
              <w:right w:w="15" w:type="dxa"/>
            </w:tcMar>
            <w:vAlign w:val="center"/>
          </w:tcPr>
          <w:p>
            <w:pPr>
              <w:jc w:val="center"/>
              <w:rPr>
                <w:rFonts w:ascii="Times New Roman" w:hAnsi="Times New Roman" w:eastAsia="仿宋_GB2312" w:cs="Times New Roman"/>
                <w:color w:val="auto"/>
                <w:sz w:val="22"/>
                <w:szCs w:val="24"/>
              </w:rPr>
            </w:pPr>
            <w:r>
              <w:rPr>
                <w:rFonts w:hint="eastAsia" w:ascii="Times New Roman" w:hAnsi="Times New Roman" w:eastAsia="仿宋_GB2312" w:cs="Times New Roman"/>
                <w:color w:val="auto"/>
                <w:sz w:val="22"/>
                <w:szCs w:val="24"/>
              </w:rPr>
              <w:t>重庆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1474" w:type="dxa"/>
            <w:noWrap/>
            <w:tcMar>
              <w:top w:w="15" w:type="dxa"/>
              <w:left w:w="15" w:type="dxa"/>
              <w:bottom w:w="0" w:type="dxa"/>
              <w:right w:w="15" w:type="dxa"/>
            </w:tcMar>
            <w:vAlign w:val="center"/>
          </w:tcPr>
          <w:p>
            <w:pPr>
              <w:jc w:val="center"/>
              <w:rPr>
                <w:rFonts w:ascii="Times New Roman" w:hAnsi="Times New Roman" w:eastAsia="仿宋_GB2312" w:cs="Times New Roman"/>
                <w:color w:val="auto"/>
                <w:sz w:val="22"/>
                <w:szCs w:val="24"/>
              </w:rPr>
            </w:pPr>
            <w:r>
              <w:rPr>
                <w:rFonts w:hint="eastAsia" w:ascii="Times New Roman" w:hAnsi="Times New Roman" w:eastAsia="仿宋_GB2312" w:cs="Times New Roman"/>
                <w:color w:val="auto"/>
                <w:sz w:val="22"/>
                <w:szCs w:val="24"/>
              </w:rPr>
              <w:t>210000110290</w:t>
            </w:r>
          </w:p>
        </w:tc>
        <w:tc>
          <w:tcPr>
            <w:tcW w:w="3624" w:type="dxa"/>
            <w:noWrap/>
            <w:tcMar>
              <w:top w:w="15" w:type="dxa"/>
              <w:left w:w="15" w:type="dxa"/>
              <w:bottom w:w="0" w:type="dxa"/>
              <w:right w:w="15" w:type="dxa"/>
            </w:tcMar>
            <w:vAlign w:val="center"/>
          </w:tcPr>
          <w:p>
            <w:pPr>
              <w:jc w:val="center"/>
              <w:rPr>
                <w:rFonts w:ascii="Times New Roman" w:hAnsi="Times New Roman" w:eastAsia="仿宋_GB2312" w:cs="Times New Roman"/>
                <w:color w:val="auto"/>
                <w:sz w:val="22"/>
                <w:szCs w:val="24"/>
              </w:rPr>
            </w:pPr>
            <w:r>
              <w:rPr>
                <w:rFonts w:hint="eastAsia" w:ascii="Times New Roman" w:hAnsi="Times New Roman" w:eastAsia="仿宋_GB2312" w:cs="Times New Roman"/>
                <w:color w:val="auto"/>
                <w:sz w:val="22"/>
                <w:szCs w:val="24"/>
              </w:rPr>
              <w:t>中国测试技术研究院</w:t>
            </w:r>
          </w:p>
        </w:tc>
        <w:tc>
          <w:tcPr>
            <w:tcW w:w="7088" w:type="dxa"/>
            <w:noWrap/>
            <w:tcMar>
              <w:top w:w="15" w:type="dxa"/>
              <w:left w:w="15" w:type="dxa"/>
              <w:bottom w:w="0" w:type="dxa"/>
              <w:right w:w="15" w:type="dxa"/>
            </w:tcMar>
            <w:vAlign w:val="center"/>
          </w:tcPr>
          <w:p>
            <w:pPr>
              <w:rPr>
                <w:rFonts w:ascii="Times New Roman" w:hAnsi="Times New Roman" w:eastAsia="仿宋_GB2312" w:cs="Times New Roman"/>
                <w:color w:val="auto"/>
                <w:sz w:val="22"/>
                <w:szCs w:val="24"/>
              </w:rPr>
            </w:pPr>
            <w:r>
              <w:rPr>
                <w:rFonts w:hint="eastAsia" w:ascii="Times New Roman" w:hAnsi="Times New Roman" w:eastAsia="仿宋_GB2312" w:cs="Times New Roman"/>
                <w:color w:val="auto"/>
                <w:sz w:val="22"/>
                <w:szCs w:val="24"/>
              </w:rPr>
              <w:t>民用多旋翼无人机系统试验方法(GB/T 38058-2019)，警用无人驾驶航空器系统(GA/T 1411-2017)，植保无人飞机 质量评价技术规范(NY/T 3213-2018)</w:t>
            </w:r>
          </w:p>
        </w:tc>
        <w:tc>
          <w:tcPr>
            <w:tcW w:w="1134" w:type="dxa"/>
            <w:noWrap/>
            <w:tcMar>
              <w:top w:w="15" w:type="dxa"/>
              <w:left w:w="15" w:type="dxa"/>
              <w:bottom w:w="0" w:type="dxa"/>
              <w:right w:w="15" w:type="dxa"/>
            </w:tcMar>
            <w:vAlign w:val="center"/>
          </w:tcPr>
          <w:p>
            <w:pPr>
              <w:jc w:val="center"/>
              <w:rPr>
                <w:rFonts w:ascii="Times New Roman" w:hAnsi="Times New Roman" w:eastAsia="仿宋_GB2312" w:cs="Times New Roman"/>
                <w:color w:val="auto"/>
                <w:sz w:val="22"/>
                <w:szCs w:val="24"/>
              </w:rPr>
            </w:pPr>
            <w:r>
              <w:rPr>
                <w:rFonts w:hint="eastAsia" w:ascii="Times New Roman" w:hAnsi="Times New Roman" w:eastAsia="仿宋_GB2312" w:cs="Times New Roman"/>
                <w:color w:val="auto"/>
                <w:sz w:val="22"/>
                <w:szCs w:val="24"/>
              </w:rPr>
              <w:t>四川 成都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1474" w:type="dxa"/>
            <w:noWrap/>
            <w:tcMar>
              <w:top w:w="15" w:type="dxa"/>
              <w:left w:w="15" w:type="dxa"/>
              <w:bottom w:w="0" w:type="dxa"/>
              <w:right w:w="15" w:type="dxa"/>
            </w:tcMar>
            <w:vAlign w:val="center"/>
          </w:tcPr>
          <w:p>
            <w:pPr>
              <w:jc w:val="center"/>
              <w:rPr>
                <w:rFonts w:ascii="Times New Roman" w:hAnsi="Times New Roman" w:eastAsia="仿宋_GB2312" w:cs="Times New Roman"/>
                <w:color w:val="auto"/>
                <w:sz w:val="22"/>
                <w:szCs w:val="24"/>
              </w:rPr>
            </w:pPr>
            <w:r>
              <w:rPr>
                <w:rFonts w:hint="eastAsia" w:ascii="Times New Roman" w:hAnsi="Times New Roman" w:eastAsia="仿宋_GB2312" w:cs="Times New Roman"/>
                <w:color w:val="auto"/>
                <w:sz w:val="22"/>
                <w:szCs w:val="24"/>
              </w:rPr>
              <w:t>230020349795</w:t>
            </w:r>
          </w:p>
        </w:tc>
        <w:tc>
          <w:tcPr>
            <w:tcW w:w="3624" w:type="dxa"/>
            <w:noWrap/>
            <w:tcMar>
              <w:top w:w="15" w:type="dxa"/>
              <w:left w:w="15" w:type="dxa"/>
              <w:bottom w:w="0" w:type="dxa"/>
              <w:right w:w="15" w:type="dxa"/>
            </w:tcMar>
            <w:vAlign w:val="center"/>
          </w:tcPr>
          <w:p>
            <w:pPr>
              <w:jc w:val="center"/>
              <w:rPr>
                <w:rFonts w:ascii="Times New Roman" w:hAnsi="Times New Roman" w:eastAsia="仿宋_GB2312" w:cs="Times New Roman"/>
                <w:color w:val="auto"/>
                <w:sz w:val="22"/>
                <w:szCs w:val="24"/>
              </w:rPr>
            </w:pPr>
            <w:r>
              <w:rPr>
                <w:rFonts w:hint="eastAsia" w:ascii="Times New Roman" w:hAnsi="Times New Roman" w:eastAsia="仿宋_GB2312" w:cs="Times New Roman"/>
                <w:color w:val="auto"/>
                <w:sz w:val="22"/>
                <w:szCs w:val="24"/>
              </w:rPr>
              <w:t>中国民用航空总局第二研究所空中交通管制新技术应用实验室</w:t>
            </w:r>
          </w:p>
        </w:tc>
        <w:tc>
          <w:tcPr>
            <w:tcW w:w="7088" w:type="dxa"/>
            <w:noWrap/>
            <w:tcMar>
              <w:top w:w="15" w:type="dxa"/>
              <w:left w:w="15" w:type="dxa"/>
              <w:bottom w:w="0" w:type="dxa"/>
              <w:right w:w="15" w:type="dxa"/>
            </w:tcMar>
            <w:vAlign w:val="center"/>
          </w:tcPr>
          <w:p>
            <w:pPr>
              <w:rPr>
                <w:rFonts w:ascii="Times New Roman" w:hAnsi="Times New Roman" w:eastAsia="仿宋_GB2312" w:cs="Times New Roman"/>
                <w:color w:val="auto"/>
                <w:sz w:val="22"/>
                <w:szCs w:val="24"/>
              </w:rPr>
            </w:pPr>
            <w:r>
              <w:rPr>
                <w:rFonts w:hint="eastAsia" w:ascii="Times New Roman" w:hAnsi="Times New Roman" w:eastAsia="仿宋_GB2312" w:cs="Times New Roman"/>
                <w:color w:val="auto"/>
                <w:sz w:val="22"/>
                <w:szCs w:val="24"/>
              </w:rPr>
              <w:t>民用轻小型无人机系统电磁兼容性要求与试验方法(GB/T 38909-2020)</w:t>
            </w:r>
          </w:p>
        </w:tc>
        <w:tc>
          <w:tcPr>
            <w:tcW w:w="1134" w:type="dxa"/>
            <w:noWrap/>
            <w:tcMar>
              <w:top w:w="15" w:type="dxa"/>
              <w:left w:w="15" w:type="dxa"/>
              <w:bottom w:w="0" w:type="dxa"/>
              <w:right w:w="15" w:type="dxa"/>
            </w:tcMar>
            <w:vAlign w:val="center"/>
          </w:tcPr>
          <w:p>
            <w:pPr>
              <w:jc w:val="center"/>
              <w:rPr>
                <w:rFonts w:ascii="Times New Roman" w:hAnsi="Times New Roman" w:eastAsia="仿宋_GB2312" w:cs="Times New Roman"/>
                <w:color w:val="auto"/>
                <w:sz w:val="22"/>
                <w:szCs w:val="24"/>
              </w:rPr>
            </w:pPr>
            <w:r>
              <w:rPr>
                <w:rFonts w:hint="eastAsia" w:ascii="Times New Roman" w:hAnsi="Times New Roman" w:eastAsia="仿宋_GB2312" w:cs="Times New Roman"/>
                <w:color w:val="auto"/>
                <w:sz w:val="22"/>
                <w:szCs w:val="24"/>
              </w:rPr>
              <w:t>四川 成都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1474" w:type="dxa"/>
            <w:noWrap/>
            <w:tcMar>
              <w:top w:w="15" w:type="dxa"/>
              <w:left w:w="15" w:type="dxa"/>
              <w:bottom w:w="0" w:type="dxa"/>
              <w:right w:w="15" w:type="dxa"/>
            </w:tcMar>
            <w:vAlign w:val="center"/>
          </w:tcPr>
          <w:p>
            <w:pPr>
              <w:jc w:val="center"/>
              <w:rPr>
                <w:rFonts w:ascii="Times New Roman" w:hAnsi="Times New Roman" w:eastAsia="仿宋_GB2312" w:cs="Times New Roman"/>
                <w:color w:val="auto"/>
                <w:sz w:val="22"/>
                <w:szCs w:val="24"/>
              </w:rPr>
            </w:pPr>
            <w:r>
              <w:rPr>
                <w:rFonts w:hint="eastAsia" w:ascii="Times New Roman" w:hAnsi="Times New Roman" w:eastAsia="仿宋_GB2312" w:cs="Times New Roman"/>
                <w:color w:val="auto"/>
                <w:sz w:val="22"/>
                <w:szCs w:val="24"/>
              </w:rPr>
              <w:t>240008349900</w:t>
            </w:r>
          </w:p>
        </w:tc>
        <w:tc>
          <w:tcPr>
            <w:tcW w:w="3624" w:type="dxa"/>
            <w:noWrap/>
            <w:tcMar>
              <w:top w:w="15" w:type="dxa"/>
              <w:left w:w="15" w:type="dxa"/>
              <w:bottom w:w="0" w:type="dxa"/>
              <w:right w:w="15" w:type="dxa"/>
            </w:tcMar>
            <w:vAlign w:val="center"/>
          </w:tcPr>
          <w:p>
            <w:pPr>
              <w:jc w:val="center"/>
              <w:rPr>
                <w:rFonts w:ascii="Times New Roman" w:hAnsi="Times New Roman" w:eastAsia="仿宋_GB2312" w:cs="Times New Roman"/>
                <w:color w:val="auto"/>
                <w:sz w:val="22"/>
                <w:szCs w:val="24"/>
              </w:rPr>
            </w:pPr>
            <w:r>
              <w:rPr>
                <w:rFonts w:hint="eastAsia" w:ascii="Times New Roman" w:hAnsi="Times New Roman" w:eastAsia="仿宋_GB2312" w:cs="Times New Roman"/>
                <w:color w:val="auto"/>
                <w:sz w:val="22"/>
                <w:szCs w:val="24"/>
              </w:rPr>
              <w:t>西安高压电器研究院股份有限公司</w:t>
            </w:r>
          </w:p>
        </w:tc>
        <w:tc>
          <w:tcPr>
            <w:tcW w:w="7088" w:type="dxa"/>
            <w:noWrap/>
            <w:tcMar>
              <w:top w:w="15" w:type="dxa"/>
              <w:left w:w="15" w:type="dxa"/>
              <w:bottom w:w="0" w:type="dxa"/>
              <w:right w:w="15" w:type="dxa"/>
            </w:tcMar>
            <w:vAlign w:val="center"/>
          </w:tcPr>
          <w:p>
            <w:pPr>
              <w:rPr>
                <w:rFonts w:ascii="Times New Roman" w:hAnsi="Times New Roman" w:eastAsia="仿宋_GB2312" w:cs="Times New Roman"/>
                <w:color w:val="auto"/>
                <w:sz w:val="22"/>
                <w:szCs w:val="24"/>
              </w:rPr>
            </w:pPr>
            <w:r>
              <w:rPr>
                <w:rFonts w:hint="eastAsia" w:ascii="Times New Roman" w:hAnsi="Times New Roman" w:eastAsia="仿宋_GB2312" w:cs="Times New Roman"/>
                <w:color w:val="auto"/>
                <w:sz w:val="22"/>
                <w:szCs w:val="24"/>
              </w:rPr>
              <w:t>民用轻小型无人机系统电磁兼容性要求与试验方法(GB/T 38909-2020)</w:t>
            </w:r>
          </w:p>
        </w:tc>
        <w:tc>
          <w:tcPr>
            <w:tcW w:w="1134" w:type="dxa"/>
            <w:noWrap/>
            <w:tcMar>
              <w:top w:w="15" w:type="dxa"/>
              <w:left w:w="15" w:type="dxa"/>
              <w:bottom w:w="0" w:type="dxa"/>
              <w:right w:w="15" w:type="dxa"/>
            </w:tcMar>
            <w:vAlign w:val="center"/>
          </w:tcPr>
          <w:p>
            <w:pPr>
              <w:jc w:val="center"/>
              <w:rPr>
                <w:rFonts w:ascii="Times New Roman" w:hAnsi="Times New Roman" w:eastAsia="仿宋_GB2312" w:cs="Times New Roman"/>
                <w:color w:val="auto"/>
                <w:sz w:val="22"/>
                <w:szCs w:val="24"/>
              </w:rPr>
            </w:pPr>
            <w:r>
              <w:rPr>
                <w:rFonts w:hint="eastAsia" w:ascii="Times New Roman" w:hAnsi="Times New Roman" w:eastAsia="仿宋_GB2312" w:cs="Times New Roman"/>
                <w:color w:val="auto"/>
                <w:sz w:val="22"/>
                <w:szCs w:val="24"/>
              </w:rPr>
              <w:t>陕西 西安</w:t>
            </w:r>
          </w:p>
        </w:tc>
      </w:tr>
    </w:tbl>
    <w:p>
      <w:pPr>
        <w:rPr>
          <w:rFonts w:ascii="Times New Roman" w:hAnsi="Times New Roman" w:eastAsia="仿宋_GB2312" w:cs="Times New Roman"/>
          <w:color w:val="auto"/>
          <w:sz w:val="24"/>
          <w:szCs w:val="32"/>
        </w:rPr>
      </w:pPr>
    </w:p>
    <w:p>
      <w:pPr>
        <w:rPr>
          <w:rFonts w:ascii="Times New Roman" w:hAnsi="Times New Roman" w:cs="Times New Roman"/>
          <w:color w:val="auto"/>
        </w:rPr>
        <w:sectPr>
          <w:pgSz w:w="16838" w:h="11906" w:orient="landscape"/>
          <w:pgMar w:top="1587" w:right="2098" w:bottom="1474" w:left="1984" w:header="851" w:footer="992" w:gutter="0"/>
          <w:cols w:space="425" w:num="1"/>
          <w:docGrid w:type="lines" w:linePitch="312" w:charSpace="0"/>
        </w:sectPr>
      </w:pPr>
    </w:p>
    <w:p>
      <w:pPr>
        <w:widowControl/>
        <w:spacing w:line="600" w:lineRule="exact"/>
        <w:jc w:val="left"/>
        <w:outlineLvl w:val="0"/>
        <w:rPr>
          <w:rFonts w:ascii="Times New Roman" w:hAnsi="Times New Roman" w:eastAsia="黑体" w:cs="Times New Roman"/>
          <w:color w:val="auto"/>
          <w:sz w:val="32"/>
          <w:szCs w:val="32"/>
          <w:shd w:val="clear" w:color="auto" w:fill="FFFFFF"/>
        </w:rPr>
      </w:pPr>
      <w:bookmarkStart w:id="236" w:name="_Toc23766"/>
      <w:bookmarkStart w:id="237" w:name="_Toc182670553"/>
      <w:bookmarkStart w:id="238" w:name="_Toc8480"/>
      <w:bookmarkStart w:id="239" w:name="_Toc220270495"/>
      <w:bookmarkStart w:id="240" w:name="_Toc207125806"/>
      <w:bookmarkStart w:id="241" w:name="_Toc13830"/>
      <w:r>
        <w:rPr>
          <w:rFonts w:hint="eastAsia" w:ascii="Times New Roman" w:hAnsi="Times New Roman" w:eastAsia="黑体" w:cs="Times New Roman"/>
          <w:color w:val="auto"/>
          <w:sz w:val="32"/>
          <w:szCs w:val="32"/>
          <w:shd w:val="clear" w:color="auto" w:fill="FFFFFF"/>
        </w:rPr>
        <w:t>附件6：无人机适航体系发展</w:t>
      </w:r>
      <w:bookmarkEnd w:id="236"/>
      <w:bookmarkEnd w:id="237"/>
      <w:bookmarkEnd w:id="238"/>
      <w:r>
        <w:rPr>
          <w:rFonts w:hint="eastAsia" w:ascii="Times New Roman" w:hAnsi="Times New Roman" w:eastAsia="黑体" w:cs="Times New Roman"/>
          <w:color w:val="auto"/>
          <w:sz w:val="32"/>
          <w:szCs w:val="32"/>
          <w:shd w:val="clear" w:color="auto" w:fill="FFFFFF"/>
        </w:rPr>
        <w:t>报告</w:t>
      </w:r>
      <w:bookmarkEnd w:id="239"/>
      <w:bookmarkEnd w:id="240"/>
      <w:bookmarkEnd w:id="241"/>
    </w:p>
    <w:p>
      <w:pPr>
        <w:pStyle w:val="9"/>
        <w:spacing w:line="560" w:lineRule="exact"/>
        <w:jc w:val="center"/>
        <w:rPr>
          <w:rFonts w:ascii="Times New Roman" w:hAnsi="Times New Roman" w:eastAsia="黑体" w:cs="Times New Roman"/>
          <w:color w:val="auto"/>
          <w:sz w:val="36"/>
          <w:szCs w:val="36"/>
          <w:shd w:val="clear" w:color="auto" w:fill="FFFFFF"/>
        </w:rPr>
      </w:pPr>
    </w:p>
    <w:p>
      <w:pPr>
        <w:spacing w:line="600" w:lineRule="exact"/>
        <w:jc w:val="center"/>
        <w:rPr>
          <w:rFonts w:ascii="Times New Roman" w:hAnsi="Times New Roman" w:eastAsia="黑体" w:cs="Times New Roman"/>
          <w:color w:val="auto"/>
          <w:sz w:val="36"/>
          <w:szCs w:val="36"/>
        </w:rPr>
      </w:pPr>
      <w:r>
        <w:rPr>
          <w:rFonts w:hint="eastAsia" w:ascii="Times New Roman" w:hAnsi="Times New Roman" w:eastAsia="黑体" w:cs="Times New Roman"/>
          <w:color w:val="auto"/>
          <w:sz w:val="36"/>
          <w:szCs w:val="36"/>
          <w:shd w:val="clear" w:color="auto" w:fill="FFFFFF"/>
        </w:rPr>
        <w:t>无人机检验检测体系发展报告</w:t>
      </w:r>
    </w:p>
    <w:p>
      <w:pPr>
        <w:pStyle w:val="9"/>
        <w:spacing w:line="560" w:lineRule="exact"/>
        <w:jc w:val="center"/>
        <w:rPr>
          <w:rFonts w:ascii="Times New Roman" w:hAnsi="Times New Roman" w:eastAsia="黑体" w:cs="Times New Roman"/>
          <w:bCs/>
          <w:snapToGrid w:val="0"/>
          <w:color w:val="auto"/>
          <w:kern w:val="0"/>
          <w:sz w:val="32"/>
          <w:szCs w:val="32"/>
          <w:lang w:bidi="ar"/>
        </w:rPr>
      </w:pPr>
    </w:p>
    <w:p>
      <w:pPr>
        <w:widowControl/>
        <w:adjustRightInd w:val="0"/>
        <w:snapToGrid w:val="0"/>
        <w:spacing w:line="560" w:lineRule="exact"/>
        <w:ind w:firstLine="640" w:firstLineChars="200"/>
        <w:rPr>
          <w:rFonts w:ascii="Times New Roman" w:hAnsi="Times New Roman" w:eastAsia="黑体" w:cs="Times New Roman"/>
          <w:bCs/>
          <w:snapToGrid w:val="0"/>
          <w:color w:val="auto"/>
          <w:kern w:val="0"/>
          <w:sz w:val="32"/>
          <w:szCs w:val="32"/>
          <w:lang w:bidi="ar"/>
        </w:rPr>
      </w:pPr>
      <w:r>
        <w:rPr>
          <w:rFonts w:hint="eastAsia" w:ascii="Times New Roman" w:hAnsi="Times New Roman" w:eastAsia="黑体" w:cs="Times New Roman"/>
          <w:bCs/>
          <w:snapToGrid w:val="0"/>
          <w:color w:val="auto"/>
          <w:kern w:val="0"/>
          <w:sz w:val="32"/>
          <w:szCs w:val="32"/>
          <w:lang w:bidi="ar"/>
        </w:rPr>
        <w:t>一、适航相关概念</w:t>
      </w:r>
    </w:p>
    <w:p>
      <w:pPr>
        <w:widowControl/>
        <w:adjustRightInd w:val="0"/>
        <w:snapToGrid w:val="0"/>
        <w:spacing w:line="560" w:lineRule="exact"/>
        <w:ind w:firstLine="640" w:firstLineChars="200"/>
        <w:rPr>
          <w:rFonts w:ascii="Times New Roman" w:hAnsi="Times New Roman" w:eastAsia="楷体_GB2312" w:cs="Times New Roman"/>
          <w:bCs/>
          <w:snapToGrid w:val="0"/>
          <w:color w:val="auto"/>
          <w:kern w:val="0"/>
          <w:sz w:val="32"/>
          <w:szCs w:val="32"/>
          <w:lang w:bidi="ar"/>
        </w:rPr>
      </w:pPr>
      <w:r>
        <w:rPr>
          <w:rFonts w:hint="eastAsia" w:ascii="Times New Roman" w:hAnsi="Times New Roman" w:eastAsia="楷体_GB2312" w:cs="Times New Roman"/>
          <w:bCs/>
          <w:snapToGrid w:val="0"/>
          <w:color w:val="auto"/>
          <w:kern w:val="0"/>
          <w:sz w:val="32"/>
          <w:szCs w:val="32"/>
          <w:lang w:bidi="ar"/>
        </w:rPr>
        <w:t>（一）适航</w:t>
      </w:r>
    </w:p>
    <w:p>
      <w:pPr>
        <w:widowControl/>
        <w:adjustRightInd w:val="0"/>
        <w:snapToGrid w:val="0"/>
        <w:spacing w:line="560" w:lineRule="exact"/>
        <w:ind w:firstLine="640" w:firstLineChars="200"/>
        <w:rPr>
          <w:rFonts w:ascii="Times New Roman" w:hAnsi="Times New Roman" w:eastAsia="仿宋_GB2312" w:cs="Times New Roman"/>
          <w:bCs/>
          <w:snapToGrid w:val="0"/>
          <w:color w:val="auto"/>
          <w:kern w:val="0"/>
          <w:sz w:val="32"/>
          <w:szCs w:val="32"/>
          <w:lang w:bidi="ar"/>
        </w:rPr>
      </w:pPr>
      <w:r>
        <w:rPr>
          <w:rFonts w:hint="eastAsia" w:ascii="Times New Roman" w:hAnsi="Times New Roman" w:eastAsia="仿宋_GB2312" w:cs="Times New Roman"/>
          <w:bCs/>
          <w:snapToGrid w:val="0"/>
          <w:color w:val="auto"/>
          <w:kern w:val="0"/>
          <w:sz w:val="32"/>
          <w:szCs w:val="32"/>
          <w:lang w:bidi="ar"/>
        </w:rPr>
        <w:t>是适航性的简称，指民用航空器符合型号设计，在预期的使用环境和使用限制下安全运行的固有品质，这种品质可以通过合适的维修而持续保持，贯穿航空器全寿命周期。申请人通过适航审定的符合性验证工作来表明这种品质，局方通过适航审定来确认这种品质。</w:t>
      </w:r>
    </w:p>
    <w:p>
      <w:pPr>
        <w:widowControl/>
        <w:adjustRightInd w:val="0"/>
        <w:snapToGrid w:val="0"/>
        <w:spacing w:line="560" w:lineRule="exact"/>
        <w:ind w:firstLine="640" w:firstLineChars="200"/>
        <w:rPr>
          <w:rFonts w:ascii="Times New Roman" w:hAnsi="Times New Roman" w:eastAsia="楷体_GB2312" w:cs="Times New Roman"/>
          <w:bCs/>
          <w:snapToGrid w:val="0"/>
          <w:color w:val="auto"/>
          <w:kern w:val="0"/>
          <w:sz w:val="32"/>
          <w:szCs w:val="32"/>
          <w:lang w:bidi="ar"/>
        </w:rPr>
      </w:pPr>
      <w:r>
        <w:rPr>
          <w:rFonts w:hint="eastAsia" w:ascii="Times New Roman" w:hAnsi="Times New Roman" w:eastAsia="楷体_GB2312" w:cs="Times New Roman"/>
          <w:bCs/>
          <w:snapToGrid w:val="0"/>
          <w:color w:val="auto"/>
          <w:kern w:val="0"/>
          <w:sz w:val="32"/>
          <w:szCs w:val="32"/>
          <w:lang w:bidi="ar"/>
        </w:rPr>
        <w:t>（二）适航管理</w:t>
      </w:r>
    </w:p>
    <w:p>
      <w:pPr>
        <w:widowControl/>
        <w:adjustRightInd w:val="0"/>
        <w:snapToGrid w:val="0"/>
        <w:spacing w:line="560" w:lineRule="exact"/>
        <w:ind w:firstLine="640" w:firstLineChars="200"/>
        <w:rPr>
          <w:rFonts w:ascii="Times New Roman" w:hAnsi="Times New Roman" w:eastAsia="仿宋_GB2312" w:cs="Times New Roman"/>
          <w:bCs/>
          <w:snapToGrid w:val="0"/>
          <w:color w:val="auto"/>
          <w:kern w:val="0"/>
          <w:sz w:val="32"/>
          <w:szCs w:val="32"/>
          <w:lang w:bidi="ar"/>
        </w:rPr>
      </w:pPr>
      <w:r>
        <w:rPr>
          <w:rFonts w:hint="eastAsia" w:ascii="Times New Roman" w:hAnsi="Times New Roman" w:eastAsia="仿宋_GB2312" w:cs="Times New Roman"/>
          <w:bCs/>
          <w:snapToGrid w:val="0"/>
          <w:color w:val="auto"/>
          <w:kern w:val="0"/>
          <w:sz w:val="32"/>
          <w:szCs w:val="32"/>
          <w:lang w:bidi="ar"/>
        </w:rPr>
        <w:t>是对航空器的适航性进行控制，要求航空器符合经批准的型号设计，处于安全可用状态，旨在保证航空安全、促进航空事业发展、降低航空污染，其管理方法主要是立法定标、合格审定、持续适航。管理要素包括适航标准（适航管理工作的基石）、组织机构和人员（执行符合性验证活动）、适航管理程序（符合性证据产生和监管的过程）。</w:t>
      </w:r>
    </w:p>
    <w:p>
      <w:pPr>
        <w:spacing w:line="560" w:lineRule="exact"/>
        <w:ind w:firstLine="640" w:firstLineChars="200"/>
        <w:rPr>
          <w:rFonts w:ascii="Times New Roman" w:hAnsi="Times New Roman" w:eastAsia="仿宋_GB2312" w:cs="Times New Roman"/>
          <w:color w:val="auto"/>
          <w:sz w:val="32"/>
          <w:szCs w:val="32"/>
          <w:lang w:val="zh-CN" w:bidi="zh-CN"/>
        </w:rPr>
      </w:pPr>
      <w:r>
        <w:rPr>
          <w:rFonts w:hint="eastAsia" w:ascii="Times New Roman" w:hAnsi="Times New Roman" w:eastAsia="仿宋_GB2312" w:cs="Times New Roman"/>
          <w:color w:val="auto"/>
          <w:sz w:val="32"/>
          <w:szCs w:val="32"/>
          <w:lang w:val="zh-CN" w:bidi="zh-CN"/>
        </w:rPr>
        <w:t>我国民用航空产品适航管理工作由中国民航局组织实施，包括负责起草民用航空器国籍登记和注册、民用航空产品（包括航空器、发动机、螺旋桨）及航空材料、零部件、机载设备和民用航空油料、化学产品适航审定管理等工作，其管理体系如下图所示。适航审定的具体实施由审定中心负责，其中，沈阳审定中心、南昌审定中心等具体负责通用航空产品相关的适航审定工作。</w:t>
      </w:r>
    </w:p>
    <w:p>
      <w:pPr>
        <w:shd w:val="clear" w:color="auto" w:fill="FFFFFF"/>
        <w:spacing w:before="156" w:beforeLines="50"/>
        <w:rPr>
          <w:rFonts w:ascii="Times New Roman" w:hAnsi="Times New Roman" w:eastAsia="宋体" w:cs="Times New Roman"/>
          <w:color w:val="auto"/>
          <w:kern w:val="0"/>
          <w:sz w:val="24"/>
          <w:szCs w:val="24"/>
        </w:rPr>
      </w:pPr>
      <w:r>
        <w:rPr>
          <w:rFonts w:hint="eastAsia" w:ascii="Times New Roman" w:hAnsi="Times New Roman" w:eastAsia="宋体" w:cs="Times New Roman"/>
          <w:color w:val="auto"/>
        </w:rPr>
        <w:drawing>
          <wp:inline distT="0" distB="0" distL="0" distR="0">
            <wp:extent cx="5257800" cy="3571875"/>
            <wp:effectExtent l="0" t="0" r="10160" b="1270"/>
            <wp:docPr id="5" name="图片 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true" noChangeArrowheads="true"/>
                    </pic:cNvPicPr>
                  </pic:nvPicPr>
                  <pic:blipFill>
                    <a:blip r:embed="rId7" cstate="print">
                      <a:extLst>
                        <a:ext uri="{28A0092B-C50C-407E-A947-70E740481C1C}">
                          <a14:useLocalDpi xmlns:a14="http://schemas.microsoft.com/office/drawing/2010/main" val="false"/>
                        </a:ext>
                      </a:extLst>
                    </a:blip>
                    <a:srcRect/>
                    <a:stretch>
                      <a:fillRect/>
                    </a:stretch>
                  </pic:blipFill>
                  <pic:spPr>
                    <a:xfrm>
                      <a:off x="0" y="0"/>
                      <a:ext cx="5257800" cy="3571875"/>
                    </a:xfrm>
                    <a:prstGeom prst="rect">
                      <a:avLst/>
                    </a:prstGeom>
                    <a:noFill/>
                    <a:ln>
                      <a:noFill/>
                    </a:ln>
                  </pic:spPr>
                </pic:pic>
              </a:graphicData>
            </a:graphic>
          </wp:inline>
        </w:drawing>
      </w:r>
    </w:p>
    <w:p>
      <w:pPr>
        <w:widowControl/>
        <w:adjustRightInd w:val="0"/>
        <w:snapToGrid w:val="0"/>
        <w:spacing w:line="560" w:lineRule="exact"/>
        <w:jc w:val="center"/>
        <w:rPr>
          <w:rFonts w:ascii="Times New Roman" w:hAnsi="Times New Roman" w:eastAsia="楷体_GB2312" w:cs="Times New Roman"/>
          <w:bCs/>
          <w:snapToGrid w:val="0"/>
          <w:color w:val="auto"/>
          <w:kern w:val="0"/>
          <w:sz w:val="24"/>
          <w:szCs w:val="24"/>
          <w:lang w:eastAsia="zh-Hans" w:bidi="ar"/>
        </w:rPr>
      </w:pPr>
      <w:r>
        <w:rPr>
          <w:rFonts w:hint="eastAsia" w:ascii="Times New Roman" w:hAnsi="Times New Roman" w:eastAsia="楷体_GB2312" w:cs="Times New Roman"/>
          <w:bCs/>
          <w:snapToGrid w:val="0"/>
          <w:color w:val="auto"/>
          <w:kern w:val="0"/>
          <w:sz w:val="24"/>
          <w:szCs w:val="24"/>
          <w:lang w:eastAsia="zh-Hans" w:bidi="ar"/>
        </w:rPr>
        <w:t>附图</w:t>
      </w:r>
      <w:r>
        <w:rPr>
          <w:rFonts w:hint="eastAsia" w:ascii="Times New Roman" w:hAnsi="Times New Roman" w:eastAsia="楷体_GB2312" w:cs="Times New Roman"/>
          <w:bCs/>
          <w:snapToGrid w:val="0"/>
          <w:color w:val="auto"/>
          <w:kern w:val="0"/>
          <w:sz w:val="24"/>
          <w:szCs w:val="24"/>
          <w:lang w:bidi="ar"/>
        </w:rPr>
        <w:t>6-1</w:t>
      </w:r>
      <w:r>
        <w:rPr>
          <w:rFonts w:hint="eastAsia" w:ascii="Times New Roman" w:hAnsi="Times New Roman" w:eastAsia="楷体_GB2312" w:cs="Times New Roman"/>
          <w:bCs/>
          <w:snapToGrid w:val="0"/>
          <w:color w:val="auto"/>
          <w:kern w:val="0"/>
          <w:sz w:val="24"/>
          <w:szCs w:val="24"/>
          <w:lang w:eastAsia="zh-Hans" w:bidi="ar"/>
        </w:rPr>
        <w:t xml:space="preserve">  中国民用航空局适航管理组织机构</w:t>
      </w:r>
    </w:p>
    <w:p>
      <w:pPr>
        <w:widowControl/>
        <w:adjustRightInd w:val="0"/>
        <w:snapToGrid w:val="0"/>
        <w:spacing w:line="560" w:lineRule="exact"/>
        <w:ind w:firstLine="640" w:firstLineChars="200"/>
        <w:rPr>
          <w:rFonts w:ascii="Times New Roman" w:hAnsi="Times New Roman" w:eastAsia="楷体_GB2312" w:cs="Times New Roman"/>
          <w:bCs/>
          <w:snapToGrid w:val="0"/>
          <w:color w:val="auto"/>
          <w:kern w:val="0"/>
          <w:sz w:val="32"/>
          <w:szCs w:val="32"/>
          <w:lang w:bidi="ar"/>
        </w:rPr>
      </w:pPr>
      <w:r>
        <w:rPr>
          <w:rFonts w:hint="eastAsia" w:ascii="Times New Roman" w:hAnsi="Times New Roman" w:eastAsia="楷体_GB2312" w:cs="Times New Roman"/>
          <w:bCs/>
          <w:snapToGrid w:val="0"/>
          <w:color w:val="auto"/>
          <w:kern w:val="0"/>
          <w:sz w:val="32"/>
          <w:szCs w:val="32"/>
          <w:lang w:bidi="ar"/>
        </w:rPr>
        <w:t>（三）适航审定</w:t>
      </w:r>
    </w:p>
    <w:p>
      <w:pPr>
        <w:widowControl/>
        <w:adjustRightInd w:val="0"/>
        <w:snapToGrid w:val="0"/>
        <w:spacing w:line="560" w:lineRule="exact"/>
        <w:ind w:firstLine="640" w:firstLineChars="200"/>
        <w:rPr>
          <w:rFonts w:ascii="Times New Roman" w:hAnsi="Times New Roman" w:eastAsia="仿宋_GB2312" w:cs="Times New Roman"/>
          <w:bCs/>
          <w:snapToGrid w:val="0"/>
          <w:color w:val="auto"/>
          <w:kern w:val="0"/>
          <w:sz w:val="32"/>
          <w:szCs w:val="32"/>
          <w:lang w:bidi="ar"/>
        </w:rPr>
      </w:pPr>
      <w:r>
        <w:rPr>
          <w:rFonts w:hint="eastAsia" w:ascii="Times New Roman" w:hAnsi="Times New Roman" w:eastAsia="仿宋_GB2312" w:cs="Times New Roman"/>
          <w:bCs/>
          <w:snapToGrid w:val="0"/>
          <w:color w:val="auto"/>
          <w:kern w:val="0"/>
          <w:sz w:val="32"/>
          <w:szCs w:val="32"/>
          <w:lang w:bidi="ar"/>
        </w:rPr>
        <w:t>是民航局代表国家为保障民用航空安全而开展的依法行政行为，是初始适航管理工作的一部分，是指在航空器交付使用前，适航管理部门依据适航规章、程序和标准，对民用航空器的设计和制造所进行的审查、鉴定、监督和管理，以确保航空器和航空器零部件的设计、制造满足适航规章规定的最低安全标准。</w:t>
      </w:r>
    </w:p>
    <w:p>
      <w:pPr>
        <w:widowControl/>
        <w:adjustRightInd w:val="0"/>
        <w:snapToGrid w:val="0"/>
        <w:spacing w:line="560" w:lineRule="exact"/>
        <w:ind w:firstLine="640" w:firstLineChars="200"/>
        <w:rPr>
          <w:rFonts w:ascii="Times New Roman" w:hAnsi="Times New Roman" w:eastAsia="仿宋_GB2312" w:cs="Times New Roman"/>
          <w:bCs/>
          <w:snapToGrid w:val="0"/>
          <w:color w:val="auto"/>
          <w:kern w:val="0"/>
          <w:sz w:val="32"/>
          <w:szCs w:val="32"/>
          <w:lang w:bidi="ar"/>
        </w:rPr>
      </w:pPr>
      <w:bookmarkStart w:id="242" w:name="_Hlk182668710"/>
      <w:r>
        <w:rPr>
          <w:rFonts w:hint="eastAsia" w:ascii="Times New Roman" w:hAnsi="Times New Roman" w:eastAsia="仿宋_GB2312" w:cs="Times New Roman"/>
          <w:bCs/>
          <w:snapToGrid w:val="0"/>
          <w:color w:val="auto"/>
          <w:kern w:val="0"/>
          <w:sz w:val="32"/>
          <w:szCs w:val="32"/>
          <w:lang w:bidi="ar"/>
        </w:rPr>
        <w:t>型号合格审定流程</w:t>
      </w:r>
      <w:bookmarkEnd w:id="242"/>
      <w:r>
        <w:rPr>
          <w:rFonts w:hint="eastAsia" w:ascii="Times New Roman" w:hAnsi="Times New Roman" w:eastAsia="仿宋_GB2312" w:cs="Times New Roman"/>
          <w:bCs/>
          <w:snapToGrid w:val="0"/>
          <w:color w:val="auto"/>
          <w:kern w:val="0"/>
          <w:sz w:val="32"/>
          <w:szCs w:val="32"/>
          <w:lang w:bidi="ar"/>
        </w:rPr>
        <w:t>为：项目受理和启动—要求确定—符合性计划制定—符合性确认——颁证，各阶段主要内容如下：</w:t>
      </w:r>
    </w:p>
    <w:p>
      <w:pPr>
        <w:widowControl/>
        <w:adjustRightInd w:val="0"/>
        <w:snapToGrid w:val="0"/>
        <w:spacing w:line="560" w:lineRule="exact"/>
        <w:jc w:val="center"/>
        <w:rPr>
          <w:rFonts w:ascii="Times New Roman" w:hAnsi="Times New Roman" w:eastAsia="楷体_GB2312" w:cs="Times New Roman"/>
          <w:bCs/>
          <w:snapToGrid w:val="0"/>
          <w:color w:val="auto"/>
          <w:kern w:val="0"/>
          <w:sz w:val="24"/>
          <w:szCs w:val="24"/>
          <w:lang w:eastAsia="zh-Hans" w:bidi="ar"/>
        </w:rPr>
      </w:pPr>
      <w:r>
        <w:rPr>
          <w:rFonts w:hint="eastAsia" w:ascii="Times New Roman" w:hAnsi="Times New Roman" w:eastAsia="楷体_GB2312" w:cs="Times New Roman"/>
          <w:bCs/>
          <w:snapToGrid w:val="0"/>
          <w:color w:val="auto"/>
          <w:kern w:val="0"/>
          <w:sz w:val="24"/>
          <w:szCs w:val="24"/>
          <w:lang w:eastAsia="zh-Hans" w:bidi="ar"/>
        </w:rPr>
        <w:t>附表</w:t>
      </w:r>
      <w:r>
        <w:rPr>
          <w:rFonts w:hint="eastAsia" w:ascii="Times New Roman" w:hAnsi="Times New Roman" w:eastAsia="楷体_GB2312" w:cs="Times New Roman"/>
          <w:bCs/>
          <w:snapToGrid w:val="0"/>
          <w:color w:val="auto"/>
          <w:kern w:val="0"/>
          <w:sz w:val="24"/>
          <w:szCs w:val="24"/>
          <w:lang w:bidi="ar"/>
        </w:rPr>
        <w:t>6-1</w:t>
      </w:r>
      <w:r>
        <w:rPr>
          <w:rFonts w:hint="eastAsia" w:ascii="Times New Roman" w:hAnsi="Times New Roman" w:eastAsia="楷体_GB2312" w:cs="Times New Roman"/>
          <w:bCs/>
          <w:snapToGrid w:val="0"/>
          <w:color w:val="auto"/>
          <w:kern w:val="0"/>
          <w:sz w:val="24"/>
          <w:szCs w:val="24"/>
          <w:lang w:eastAsia="zh-Hans" w:bidi="ar"/>
        </w:rPr>
        <w:t xml:space="preserve">  型号合格审定流程表</w:t>
      </w:r>
    </w:p>
    <w:tbl>
      <w:tblPr>
        <w:tblStyle w:val="23"/>
        <w:tblW w:w="87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44"/>
        <w:gridCol w:w="3515"/>
        <w:gridCol w:w="35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44" w:type="dxa"/>
            <w:vAlign w:val="center"/>
          </w:tcPr>
          <w:p>
            <w:pPr>
              <w:widowControl/>
              <w:adjustRightInd w:val="0"/>
              <w:snapToGrid w:val="0"/>
              <w:jc w:val="center"/>
              <w:rPr>
                <w:rFonts w:ascii="Times New Roman" w:hAnsi="Times New Roman" w:eastAsia="黑体" w:cs="Times New Roman"/>
                <w:bCs/>
                <w:color w:val="auto"/>
                <w:kern w:val="0"/>
                <w:sz w:val="24"/>
                <w:szCs w:val="28"/>
              </w:rPr>
            </w:pPr>
            <w:r>
              <w:rPr>
                <w:rFonts w:hint="eastAsia" w:ascii="Times New Roman" w:hAnsi="Times New Roman" w:eastAsia="黑体" w:cs="Times New Roman"/>
                <w:bCs/>
                <w:color w:val="auto"/>
                <w:kern w:val="0"/>
                <w:sz w:val="24"/>
                <w:szCs w:val="28"/>
              </w:rPr>
              <w:t>阶段</w:t>
            </w:r>
          </w:p>
        </w:tc>
        <w:tc>
          <w:tcPr>
            <w:tcW w:w="3515" w:type="dxa"/>
            <w:vAlign w:val="center"/>
          </w:tcPr>
          <w:p>
            <w:pPr>
              <w:widowControl/>
              <w:adjustRightInd w:val="0"/>
              <w:snapToGrid w:val="0"/>
              <w:jc w:val="center"/>
              <w:rPr>
                <w:rFonts w:ascii="Times New Roman" w:hAnsi="Times New Roman" w:eastAsia="黑体" w:cs="Times New Roman"/>
                <w:bCs/>
                <w:color w:val="auto"/>
                <w:kern w:val="0"/>
                <w:sz w:val="24"/>
                <w:szCs w:val="28"/>
              </w:rPr>
            </w:pPr>
            <w:r>
              <w:rPr>
                <w:rFonts w:hint="eastAsia" w:ascii="Times New Roman" w:hAnsi="Times New Roman" w:eastAsia="黑体" w:cs="Times New Roman"/>
                <w:bCs/>
                <w:color w:val="auto"/>
                <w:kern w:val="0"/>
                <w:sz w:val="24"/>
                <w:szCs w:val="28"/>
              </w:rPr>
              <w:t>主要内容</w:t>
            </w:r>
          </w:p>
        </w:tc>
        <w:tc>
          <w:tcPr>
            <w:tcW w:w="3544" w:type="dxa"/>
            <w:vAlign w:val="center"/>
          </w:tcPr>
          <w:p>
            <w:pPr>
              <w:widowControl/>
              <w:adjustRightInd w:val="0"/>
              <w:snapToGrid w:val="0"/>
              <w:jc w:val="center"/>
              <w:rPr>
                <w:rFonts w:ascii="Times New Roman" w:hAnsi="Times New Roman" w:eastAsia="黑体" w:cs="Times New Roman"/>
                <w:bCs/>
                <w:color w:val="auto"/>
                <w:kern w:val="0"/>
                <w:sz w:val="24"/>
                <w:szCs w:val="28"/>
              </w:rPr>
            </w:pPr>
            <w:r>
              <w:rPr>
                <w:rFonts w:hint="eastAsia" w:ascii="Times New Roman" w:hAnsi="Times New Roman" w:eastAsia="黑体" w:cs="Times New Roman"/>
                <w:bCs/>
                <w:color w:val="auto"/>
                <w:kern w:val="0"/>
                <w:sz w:val="24"/>
                <w:szCs w:val="28"/>
              </w:rPr>
              <w:t>关闭条件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44" w:type="dxa"/>
            <w:vAlign w:val="center"/>
          </w:tcPr>
          <w:p>
            <w:pPr>
              <w:widowControl/>
              <w:adjustRightInd w:val="0"/>
              <w:snapToGrid w:val="0"/>
              <w:jc w:val="center"/>
              <w:rPr>
                <w:rFonts w:ascii="Times New Roman" w:hAnsi="Times New Roman" w:eastAsia="仿宋_GB2312" w:cs="Times New Roman"/>
                <w:color w:val="auto"/>
                <w:kern w:val="0"/>
                <w:sz w:val="24"/>
                <w:szCs w:val="28"/>
              </w:rPr>
            </w:pPr>
            <w:r>
              <w:rPr>
                <w:rFonts w:hint="eastAsia" w:ascii="Times New Roman" w:hAnsi="Times New Roman" w:eastAsia="仿宋_GB2312" w:cs="Times New Roman"/>
                <w:color w:val="auto"/>
                <w:kern w:val="0"/>
                <w:sz w:val="24"/>
                <w:szCs w:val="28"/>
              </w:rPr>
              <w:t>项目受理和启动</w:t>
            </w:r>
          </w:p>
        </w:tc>
        <w:tc>
          <w:tcPr>
            <w:tcW w:w="3515" w:type="dxa"/>
            <w:vAlign w:val="center"/>
          </w:tcPr>
          <w:p>
            <w:pPr>
              <w:widowControl/>
              <w:adjustRightInd w:val="0"/>
              <w:snapToGrid w:val="0"/>
              <w:rPr>
                <w:rFonts w:ascii="Times New Roman" w:hAnsi="Times New Roman" w:eastAsia="仿宋_GB2312" w:cs="Times New Roman"/>
                <w:color w:val="auto"/>
                <w:kern w:val="0"/>
                <w:sz w:val="24"/>
                <w:szCs w:val="28"/>
              </w:rPr>
            </w:pPr>
            <w:r>
              <w:rPr>
                <w:rFonts w:hint="eastAsia" w:ascii="Times New Roman" w:hAnsi="Times New Roman" w:eastAsia="仿宋_GB2312" w:cs="Times New Roman"/>
                <w:color w:val="auto"/>
                <w:kern w:val="0"/>
                <w:sz w:val="24"/>
                <w:szCs w:val="28"/>
              </w:rPr>
              <w:t>申请，受理，一般熟悉性介绍。</w:t>
            </w:r>
          </w:p>
        </w:tc>
        <w:tc>
          <w:tcPr>
            <w:tcW w:w="3544" w:type="dxa"/>
            <w:vAlign w:val="center"/>
          </w:tcPr>
          <w:p>
            <w:pPr>
              <w:widowControl/>
              <w:adjustRightInd w:val="0"/>
              <w:snapToGrid w:val="0"/>
              <w:rPr>
                <w:rFonts w:ascii="Times New Roman" w:hAnsi="Times New Roman" w:eastAsia="仿宋_GB2312" w:cs="Times New Roman"/>
                <w:color w:val="auto"/>
                <w:kern w:val="0"/>
                <w:sz w:val="24"/>
                <w:szCs w:val="28"/>
              </w:rPr>
            </w:pPr>
            <w:r>
              <w:rPr>
                <w:rFonts w:hint="eastAsia" w:ascii="Times New Roman" w:hAnsi="Times New Roman" w:eastAsia="仿宋_GB2312" w:cs="Times New Roman"/>
                <w:color w:val="auto"/>
                <w:kern w:val="0"/>
                <w:sz w:val="24"/>
                <w:szCs w:val="28"/>
              </w:rPr>
              <w:t>受理申请；组建TCB和审查组。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44" w:type="dxa"/>
            <w:vAlign w:val="center"/>
          </w:tcPr>
          <w:p>
            <w:pPr>
              <w:widowControl/>
              <w:adjustRightInd w:val="0"/>
              <w:snapToGrid w:val="0"/>
              <w:jc w:val="center"/>
              <w:rPr>
                <w:rFonts w:ascii="Times New Roman" w:hAnsi="Times New Roman" w:eastAsia="仿宋_GB2312" w:cs="Times New Roman"/>
                <w:color w:val="auto"/>
                <w:kern w:val="0"/>
                <w:sz w:val="24"/>
                <w:szCs w:val="28"/>
              </w:rPr>
            </w:pPr>
            <w:r>
              <w:rPr>
                <w:rFonts w:hint="eastAsia" w:ascii="Times New Roman" w:hAnsi="Times New Roman" w:eastAsia="仿宋_GB2312" w:cs="Times New Roman"/>
                <w:color w:val="auto"/>
                <w:kern w:val="0"/>
                <w:sz w:val="24"/>
                <w:szCs w:val="28"/>
              </w:rPr>
              <w:t>要求确定</w:t>
            </w:r>
          </w:p>
        </w:tc>
        <w:tc>
          <w:tcPr>
            <w:tcW w:w="3515" w:type="dxa"/>
            <w:vAlign w:val="center"/>
          </w:tcPr>
          <w:p>
            <w:pPr>
              <w:widowControl/>
              <w:adjustRightInd w:val="0"/>
              <w:snapToGrid w:val="0"/>
              <w:rPr>
                <w:rFonts w:ascii="Times New Roman" w:hAnsi="Times New Roman" w:eastAsia="仿宋_GB2312" w:cs="Times New Roman"/>
                <w:color w:val="auto"/>
                <w:kern w:val="0"/>
                <w:sz w:val="24"/>
                <w:szCs w:val="28"/>
              </w:rPr>
            </w:pPr>
            <w:r>
              <w:rPr>
                <w:rFonts w:hint="eastAsia" w:ascii="Times New Roman" w:hAnsi="Times New Roman" w:eastAsia="仿宋_GB2312" w:cs="Times New Roman"/>
                <w:color w:val="auto"/>
                <w:kern w:val="0"/>
                <w:sz w:val="24"/>
                <w:szCs w:val="28"/>
              </w:rPr>
              <w:t>首次TCB会议；审查组熟悉性会议。</w:t>
            </w:r>
          </w:p>
        </w:tc>
        <w:tc>
          <w:tcPr>
            <w:tcW w:w="3544" w:type="dxa"/>
            <w:vAlign w:val="center"/>
          </w:tcPr>
          <w:p>
            <w:pPr>
              <w:widowControl/>
              <w:adjustRightInd w:val="0"/>
              <w:snapToGrid w:val="0"/>
              <w:rPr>
                <w:rFonts w:ascii="Times New Roman" w:hAnsi="Times New Roman" w:eastAsia="仿宋_GB2312" w:cs="Times New Roman"/>
                <w:color w:val="auto"/>
                <w:kern w:val="0"/>
                <w:sz w:val="24"/>
                <w:szCs w:val="28"/>
              </w:rPr>
            </w:pPr>
            <w:r>
              <w:rPr>
                <w:rFonts w:hint="eastAsia" w:ascii="Times New Roman" w:hAnsi="Times New Roman" w:eastAsia="仿宋_GB2312" w:cs="Times New Roman"/>
                <w:color w:val="auto"/>
                <w:kern w:val="0"/>
                <w:sz w:val="24"/>
                <w:szCs w:val="28"/>
              </w:rPr>
              <w:t>审查组完成技术熟悉工作；初步确定审定基础；相关问题纪要起草。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44" w:type="dxa"/>
            <w:vAlign w:val="center"/>
          </w:tcPr>
          <w:p>
            <w:pPr>
              <w:widowControl/>
              <w:adjustRightInd w:val="0"/>
              <w:snapToGrid w:val="0"/>
              <w:jc w:val="center"/>
              <w:rPr>
                <w:rFonts w:ascii="Times New Roman" w:hAnsi="Times New Roman" w:eastAsia="仿宋_GB2312" w:cs="Times New Roman"/>
                <w:color w:val="auto"/>
                <w:kern w:val="0"/>
                <w:sz w:val="24"/>
                <w:szCs w:val="28"/>
              </w:rPr>
            </w:pPr>
            <w:r>
              <w:rPr>
                <w:rFonts w:hint="eastAsia" w:ascii="Times New Roman" w:hAnsi="Times New Roman" w:eastAsia="仿宋_GB2312" w:cs="Times New Roman"/>
                <w:color w:val="auto"/>
                <w:kern w:val="0"/>
                <w:sz w:val="24"/>
                <w:szCs w:val="28"/>
              </w:rPr>
              <w:t>符合性计划制定</w:t>
            </w:r>
          </w:p>
        </w:tc>
        <w:tc>
          <w:tcPr>
            <w:tcW w:w="3515" w:type="dxa"/>
            <w:vAlign w:val="center"/>
          </w:tcPr>
          <w:p>
            <w:pPr>
              <w:widowControl/>
              <w:adjustRightInd w:val="0"/>
              <w:snapToGrid w:val="0"/>
              <w:rPr>
                <w:rFonts w:ascii="Times New Roman" w:hAnsi="Times New Roman" w:eastAsia="仿宋_GB2312" w:cs="Times New Roman"/>
                <w:color w:val="auto"/>
                <w:kern w:val="0"/>
                <w:sz w:val="24"/>
                <w:szCs w:val="28"/>
              </w:rPr>
            </w:pPr>
            <w:r>
              <w:rPr>
                <w:rFonts w:hint="eastAsia" w:ascii="Times New Roman" w:hAnsi="Times New Roman" w:eastAsia="仿宋_GB2312" w:cs="Times New Roman"/>
                <w:color w:val="auto"/>
                <w:kern w:val="0"/>
                <w:sz w:val="24"/>
                <w:szCs w:val="28"/>
              </w:rPr>
              <w:t>审查审定计划，确定局方审查重点和方式方法。</w:t>
            </w:r>
          </w:p>
        </w:tc>
        <w:tc>
          <w:tcPr>
            <w:tcW w:w="3544" w:type="dxa"/>
            <w:vAlign w:val="center"/>
          </w:tcPr>
          <w:p>
            <w:pPr>
              <w:widowControl/>
              <w:adjustRightInd w:val="0"/>
              <w:snapToGrid w:val="0"/>
              <w:rPr>
                <w:rFonts w:ascii="Times New Roman" w:hAnsi="Times New Roman" w:eastAsia="仿宋_GB2312" w:cs="Times New Roman"/>
                <w:color w:val="auto"/>
                <w:kern w:val="0"/>
                <w:sz w:val="24"/>
                <w:szCs w:val="28"/>
              </w:rPr>
            </w:pPr>
            <w:r>
              <w:rPr>
                <w:rFonts w:hint="eastAsia" w:ascii="Times New Roman" w:hAnsi="Times New Roman" w:eastAsia="仿宋_GB2312" w:cs="Times New Roman"/>
                <w:color w:val="auto"/>
                <w:kern w:val="0"/>
                <w:sz w:val="24"/>
                <w:szCs w:val="28"/>
              </w:rPr>
              <w:t>完成审定计划或专项合格审定计划。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44" w:type="dxa"/>
            <w:vAlign w:val="center"/>
          </w:tcPr>
          <w:p>
            <w:pPr>
              <w:widowControl/>
              <w:adjustRightInd w:val="0"/>
              <w:snapToGrid w:val="0"/>
              <w:jc w:val="center"/>
              <w:rPr>
                <w:rFonts w:ascii="Times New Roman" w:hAnsi="Times New Roman" w:eastAsia="仿宋_GB2312" w:cs="Times New Roman"/>
                <w:color w:val="auto"/>
                <w:kern w:val="0"/>
                <w:sz w:val="24"/>
                <w:szCs w:val="28"/>
              </w:rPr>
            </w:pPr>
            <w:r>
              <w:rPr>
                <w:rFonts w:hint="eastAsia" w:ascii="Times New Roman" w:hAnsi="Times New Roman" w:eastAsia="仿宋_GB2312" w:cs="Times New Roman"/>
                <w:color w:val="auto"/>
                <w:kern w:val="0"/>
                <w:sz w:val="24"/>
                <w:szCs w:val="28"/>
              </w:rPr>
              <w:t>符合性确认</w:t>
            </w:r>
          </w:p>
        </w:tc>
        <w:tc>
          <w:tcPr>
            <w:tcW w:w="3515" w:type="dxa"/>
            <w:vAlign w:val="center"/>
          </w:tcPr>
          <w:p>
            <w:pPr>
              <w:widowControl/>
              <w:adjustRightInd w:val="0"/>
              <w:snapToGrid w:val="0"/>
              <w:rPr>
                <w:rFonts w:ascii="Times New Roman" w:hAnsi="Times New Roman" w:eastAsia="仿宋_GB2312" w:cs="Times New Roman"/>
                <w:color w:val="auto"/>
                <w:kern w:val="0"/>
                <w:sz w:val="24"/>
                <w:szCs w:val="28"/>
              </w:rPr>
            </w:pPr>
            <w:r>
              <w:rPr>
                <w:rFonts w:hint="eastAsia" w:ascii="Times New Roman" w:hAnsi="Times New Roman" w:eastAsia="仿宋_GB2312" w:cs="Times New Roman"/>
                <w:color w:val="auto"/>
                <w:kern w:val="0"/>
                <w:sz w:val="24"/>
                <w:szCs w:val="28"/>
              </w:rPr>
              <w:t>审查组对申请人的符合性表明工作进行验证</w:t>
            </w:r>
          </w:p>
        </w:tc>
        <w:tc>
          <w:tcPr>
            <w:tcW w:w="3544" w:type="dxa"/>
            <w:vAlign w:val="center"/>
          </w:tcPr>
          <w:p>
            <w:pPr>
              <w:widowControl/>
              <w:adjustRightInd w:val="0"/>
              <w:snapToGrid w:val="0"/>
              <w:rPr>
                <w:rFonts w:ascii="Times New Roman" w:hAnsi="Times New Roman" w:eastAsia="仿宋_GB2312" w:cs="Times New Roman"/>
                <w:color w:val="auto"/>
                <w:kern w:val="0"/>
                <w:sz w:val="24"/>
                <w:szCs w:val="28"/>
              </w:rPr>
            </w:pPr>
            <w:r>
              <w:rPr>
                <w:rFonts w:hint="eastAsia" w:ascii="Times New Roman" w:hAnsi="Times New Roman" w:eastAsia="仿宋_GB2312" w:cs="Times New Roman"/>
                <w:color w:val="auto"/>
                <w:kern w:val="0"/>
                <w:sz w:val="24"/>
                <w:szCs w:val="28"/>
              </w:rPr>
              <w:t>完成局方验证和确认工作（文件评审试验目击、审定飞行试验等）。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44" w:type="dxa"/>
            <w:vAlign w:val="center"/>
          </w:tcPr>
          <w:p>
            <w:pPr>
              <w:widowControl/>
              <w:adjustRightInd w:val="0"/>
              <w:snapToGrid w:val="0"/>
              <w:jc w:val="center"/>
              <w:rPr>
                <w:rFonts w:ascii="Times New Roman" w:hAnsi="Times New Roman" w:eastAsia="仿宋_GB2312" w:cs="Times New Roman"/>
                <w:color w:val="auto"/>
                <w:kern w:val="0"/>
                <w:sz w:val="24"/>
                <w:szCs w:val="28"/>
              </w:rPr>
            </w:pPr>
            <w:r>
              <w:rPr>
                <w:rFonts w:hint="eastAsia" w:ascii="Times New Roman" w:hAnsi="Times New Roman" w:eastAsia="仿宋_GB2312" w:cs="Times New Roman"/>
                <w:color w:val="auto"/>
                <w:kern w:val="0"/>
                <w:sz w:val="24"/>
                <w:szCs w:val="28"/>
              </w:rPr>
              <w:t>颁证</w:t>
            </w:r>
          </w:p>
        </w:tc>
        <w:tc>
          <w:tcPr>
            <w:tcW w:w="3515" w:type="dxa"/>
            <w:vAlign w:val="center"/>
          </w:tcPr>
          <w:p>
            <w:pPr>
              <w:widowControl/>
              <w:adjustRightInd w:val="0"/>
              <w:snapToGrid w:val="0"/>
              <w:rPr>
                <w:rFonts w:ascii="Times New Roman" w:hAnsi="Times New Roman" w:eastAsia="仿宋_GB2312" w:cs="Times New Roman"/>
                <w:color w:val="auto"/>
                <w:kern w:val="0"/>
                <w:sz w:val="24"/>
                <w:szCs w:val="28"/>
              </w:rPr>
            </w:pPr>
            <w:r>
              <w:rPr>
                <w:rFonts w:hint="eastAsia" w:ascii="Times New Roman" w:hAnsi="Times New Roman" w:eastAsia="仿宋_GB2312" w:cs="Times New Roman"/>
                <w:color w:val="auto"/>
                <w:kern w:val="0"/>
                <w:sz w:val="24"/>
                <w:szCs w:val="28"/>
              </w:rPr>
              <w:t>最终TCB会议；颁证。</w:t>
            </w:r>
          </w:p>
        </w:tc>
        <w:tc>
          <w:tcPr>
            <w:tcW w:w="3544" w:type="dxa"/>
            <w:vAlign w:val="center"/>
          </w:tcPr>
          <w:p>
            <w:pPr>
              <w:widowControl/>
              <w:adjustRightInd w:val="0"/>
              <w:snapToGrid w:val="0"/>
              <w:rPr>
                <w:rFonts w:ascii="Times New Roman" w:hAnsi="Times New Roman" w:eastAsia="仿宋_GB2312" w:cs="Times New Roman"/>
                <w:color w:val="auto"/>
                <w:kern w:val="0"/>
                <w:sz w:val="24"/>
                <w:szCs w:val="28"/>
              </w:rPr>
            </w:pPr>
            <w:r>
              <w:rPr>
                <w:rFonts w:hint="eastAsia" w:ascii="Times New Roman" w:hAnsi="Times New Roman" w:eastAsia="仿宋_GB2312" w:cs="Times New Roman"/>
                <w:color w:val="auto"/>
                <w:kern w:val="0"/>
                <w:sz w:val="24"/>
                <w:szCs w:val="28"/>
              </w:rPr>
              <w:t>完成型号审查报告；颁发型号合格证。</w:t>
            </w:r>
          </w:p>
        </w:tc>
      </w:tr>
    </w:tbl>
    <w:p>
      <w:pPr>
        <w:widowControl/>
        <w:adjustRightInd w:val="0"/>
        <w:snapToGrid w:val="0"/>
        <w:spacing w:line="560" w:lineRule="exact"/>
        <w:ind w:firstLine="640" w:firstLineChars="200"/>
        <w:rPr>
          <w:rFonts w:ascii="Times New Roman" w:hAnsi="Times New Roman" w:eastAsia="黑体" w:cs="Times New Roman"/>
          <w:bCs/>
          <w:snapToGrid w:val="0"/>
          <w:color w:val="auto"/>
          <w:kern w:val="0"/>
          <w:sz w:val="32"/>
          <w:szCs w:val="32"/>
          <w:lang w:bidi="ar"/>
        </w:rPr>
      </w:pPr>
      <w:r>
        <w:rPr>
          <w:rFonts w:hint="eastAsia" w:ascii="Times New Roman" w:hAnsi="Times New Roman" w:eastAsia="黑体" w:cs="Times New Roman"/>
          <w:bCs/>
          <w:snapToGrid w:val="0"/>
          <w:color w:val="auto"/>
          <w:kern w:val="0"/>
          <w:sz w:val="32"/>
          <w:szCs w:val="32"/>
          <w:lang w:bidi="ar"/>
        </w:rPr>
        <w:t>二、适航法规体系</w:t>
      </w:r>
    </w:p>
    <w:p>
      <w:pPr>
        <w:widowControl/>
        <w:adjustRightInd w:val="0"/>
        <w:snapToGrid w:val="0"/>
        <w:spacing w:line="560" w:lineRule="exact"/>
        <w:ind w:firstLine="640" w:firstLineChars="200"/>
        <w:rPr>
          <w:rFonts w:ascii="Times New Roman" w:hAnsi="Times New Roman" w:eastAsia="仿宋_GB2312" w:cs="Times New Roman"/>
          <w:bCs/>
          <w:snapToGrid w:val="0"/>
          <w:color w:val="auto"/>
          <w:kern w:val="0"/>
          <w:sz w:val="32"/>
          <w:szCs w:val="32"/>
          <w:lang w:bidi="ar"/>
        </w:rPr>
      </w:pPr>
      <w:r>
        <w:rPr>
          <w:rFonts w:hint="eastAsia" w:ascii="Times New Roman" w:hAnsi="Times New Roman" w:eastAsia="仿宋_GB2312" w:cs="Times New Roman"/>
          <w:bCs/>
          <w:snapToGrid w:val="0"/>
          <w:color w:val="auto"/>
          <w:kern w:val="0"/>
          <w:sz w:val="32"/>
          <w:szCs w:val="32"/>
          <w:lang w:bidi="ar"/>
        </w:rPr>
        <w:t>适航法规体系是“法律+行政法规+民航规章+行政规范性文件”的四级结构。</w:t>
      </w:r>
    </w:p>
    <w:p>
      <w:pPr>
        <w:widowControl/>
        <w:adjustRightInd w:val="0"/>
        <w:snapToGrid w:val="0"/>
        <w:spacing w:line="560" w:lineRule="exact"/>
        <w:ind w:firstLine="642" w:firstLineChars="200"/>
        <w:rPr>
          <w:rFonts w:ascii="Times New Roman" w:hAnsi="Times New Roman" w:eastAsia="仿宋_GB2312" w:cs="Times New Roman"/>
          <w:bCs/>
          <w:snapToGrid w:val="0"/>
          <w:color w:val="auto"/>
          <w:kern w:val="0"/>
          <w:sz w:val="32"/>
          <w:szCs w:val="32"/>
          <w:lang w:bidi="ar"/>
        </w:rPr>
      </w:pPr>
      <w:r>
        <w:rPr>
          <w:rFonts w:hint="eastAsia" w:ascii="Times New Roman" w:hAnsi="Times New Roman" w:eastAsia="仿宋_GB2312" w:cs="Times New Roman"/>
          <w:b/>
          <w:bCs/>
          <w:snapToGrid w:val="0"/>
          <w:color w:val="auto"/>
          <w:kern w:val="0"/>
          <w:sz w:val="32"/>
          <w:szCs w:val="32"/>
          <w:lang w:bidi="ar"/>
        </w:rPr>
        <w:t>法律</w:t>
      </w:r>
      <w:r>
        <w:rPr>
          <w:rFonts w:hint="eastAsia" w:ascii="Times New Roman" w:hAnsi="Times New Roman" w:eastAsia="仿宋_GB2312" w:cs="Times New Roman"/>
          <w:bCs/>
          <w:snapToGrid w:val="0"/>
          <w:color w:val="auto"/>
          <w:kern w:val="0"/>
          <w:sz w:val="32"/>
          <w:szCs w:val="32"/>
          <w:lang w:bidi="ar"/>
        </w:rPr>
        <w:t>：如《中华人民共和国民用航空法》《中华人民共和国行政许可法》，由全国人大（或人大常委会）审议通过、主席令发布；</w:t>
      </w:r>
    </w:p>
    <w:p>
      <w:pPr>
        <w:widowControl/>
        <w:adjustRightInd w:val="0"/>
        <w:snapToGrid w:val="0"/>
        <w:spacing w:line="560" w:lineRule="exact"/>
        <w:ind w:firstLine="642" w:firstLineChars="200"/>
        <w:rPr>
          <w:rFonts w:ascii="Times New Roman" w:hAnsi="Times New Roman" w:eastAsia="仿宋_GB2312" w:cs="Times New Roman"/>
          <w:bCs/>
          <w:snapToGrid w:val="0"/>
          <w:color w:val="auto"/>
          <w:kern w:val="0"/>
          <w:sz w:val="32"/>
          <w:szCs w:val="32"/>
          <w:lang w:bidi="ar"/>
        </w:rPr>
      </w:pPr>
      <w:r>
        <w:rPr>
          <w:rFonts w:hint="eastAsia" w:ascii="Times New Roman" w:hAnsi="Times New Roman" w:eastAsia="仿宋_GB2312" w:cs="Times New Roman"/>
          <w:b/>
          <w:bCs/>
          <w:snapToGrid w:val="0"/>
          <w:color w:val="auto"/>
          <w:kern w:val="0"/>
          <w:sz w:val="32"/>
          <w:szCs w:val="32"/>
          <w:lang w:bidi="ar"/>
        </w:rPr>
        <w:t>行政法规</w:t>
      </w:r>
      <w:r>
        <w:rPr>
          <w:rFonts w:hint="eastAsia" w:ascii="Times New Roman" w:hAnsi="Times New Roman" w:eastAsia="仿宋_GB2312" w:cs="Times New Roman"/>
          <w:bCs/>
          <w:snapToGrid w:val="0"/>
          <w:color w:val="auto"/>
          <w:kern w:val="0"/>
          <w:sz w:val="32"/>
          <w:szCs w:val="32"/>
          <w:lang w:bidi="ar"/>
        </w:rPr>
        <w:t>：如《中华人民共和国民用航空器适航管理条例》，由国务院通过，由国务院令发布；</w:t>
      </w:r>
    </w:p>
    <w:p>
      <w:pPr>
        <w:widowControl/>
        <w:adjustRightInd w:val="0"/>
        <w:snapToGrid w:val="0"/>
        <w:spacing w:line="560" w:lineRule="exact"/>
        <w:ind w:firstLine="642" w:firstLineChars="200"/>
        <w:rPr>
          <w:rFonts w:ascii="Times New Roman" w:hAnsi="Times New Roman" w:eastAsia="仿宋_GB2312" w:cs="Times New Roman"/>
          <w:bCs/>
          <w:snapToGrid w:val="0"/>
          <w:color w:val="auto"/>
          <w:kern w:val="0"/>
          <w:sz w:val="32"/>
          <w:szCs w:val="32"/>
          <w:lang w:bidi="ar"/>
        </w:rPr>
      </w:pPr>
      <w:r>
        <w:rPr>
          <w:rFonts w:hint="eastAsia" w:ascii="Times New Roman" w:hAnsi="Times New Roman" w:eastAsia="仿宋_GB2312" w:cs="Times New Roman"/>
          <w:b/>
          <w:bCs/>
          <w:snapToGrid w:val="0"/>
          <w:color w:val="auto"/>
          <w:kern w:val="0"/>
          <w:sz w:val="32"/>
          <w:szCs w:val="32"/>
          <w:lang w:bidi="ar"/>
        </w:rPr>
        <w:t>民航规章</w:t>
      </w:r>
      <w:r>
        <w:rPr>
          <w:rFonts w:hint="eastAsia" w:ascii="Times New Roman" w:hAnsi="Times New Roman" w:eastAsia="仿宋_GB2312" w:cs="Times New Roman"/>
          <w:bCs/>
          <w:snapToGrid w:val="0"/>
          <w:color w:val="auto"/>
          <w:kern w:val="0"/>
          <w:sz w:val="32"/>
          <w:szCs w:val="32"/>
          <w:lang w:bidi="ar"/>
        </w:rPr>
        <w:t>：如CCAR-23，交通运输部令发布；</w:t>
      </w:r>
    </w:p>
    <w:p>
      <w:pPr>
        <w:widowControl/>
        <w:adjustRightInd w:val="0"/>
        <w:snapToGrid w:val="0"/>
        <w:spacing w:line="560" w:lineRule="exact"/>
        <w:ind w:firstLine="642" w:firstLineChars="200"/>
        <w:rPr>
          <w:rFonts w:ascii="Times New Roman" w:hAnsi="Times New Roman" w:eastAsia="仿宋_GB2312" w:cs="Times New Roman"/>
          <w:bCs/>
          <w:snapToGrid w:val="0"/>
          <w:color w:val="auto"/>
          <w:kern w:val="0"/>
          <w:sz w:val="32"/>
          <w:szCs w:val="32"/>
          <w:lang w:bidi="ar"/>
        </w:rPr>
      </w:pPr>
      <w:r>
        <w:rPr>
          <w:rFonts w:hint="eastAsia" w:ascii="Times New Roman" w:hAnsi="Times New Roman" w:eastAsia="仿宋_GB2312" w:cs="Times New Roman"/>
          <w:b/>
          <w:bCs/>
          <w:snapToGrid w:val="0"/>
          <w:color w:val="auto"/>
          <w:kern w:val="0"/>
          <w:sz w:val="32"/>
          <w:szCs w:val="32"/>
          <w:lang w:bidi="ar"/>
        </w:rPr>
        <w:t>行政规范性文件（</w:t>
      </w:r>
      <w:r>
        <w:rPr>
          <w:rFonts w:hint="eastAsia" w:ascii="Times New Roman" w:hAnsi="Times New Roman" w:eastAsia="仿宋_GB2312" w:cs="Times New Roman"/>
          <w:bCs/>
          <w:snapToGrid w:val="0"/>
          <w:color w:val="auto"/>
          <w:kern w:val="0"/>
          <w:sz w:val="32"/>
          <w:szCs w:val="32"/>
          <w:lang w:bidi="ar"/>
        </w:rPr>
        <w:t>ARD</w:t>
      </w:r>
      <w:r>
        <w:rPr>
          <w:rFonts w:hint="eastAsia" w:ascii="Times New Roman" w:hAnsi="Times New Roman" w:eastAsia="仿宋_GB2312" w:cs="Times New Roman"/>
          <w:b/>
          <w:bCs/>
          <w:snapToGrid w:val="0"/>
          <w:color w:val="auto"/>
          <w:kern w:val="0"/>
          <w:sz w:val="32"/>
          <w:szCs w:val="32"/>
          <w:lang w:bidi="ar"/>
        </w:rPr>
        <w:t>）</w:t>
      </w:r>
      <w:r>
        <w:rPr>
          <w:rFonts w:hint="eastAsia" w:ascii="Times New Roman" w:hAnsi="Times New Roman" w:eastAsia="仿宋_GB2312" w:cs="Times New Roman"/>
          <w:bCs/>
          <w:snapToGrid w:val="0"/>
          <w:color w:val="auto"/>
          <w:kern w:val="0"/>
          <w:sz w:val="32"/>
          <w:szCs w:val="32"/>
          <w:lang w:bidi="ar"/>
        </w:rPr>
        <w:t>：如各类管理程序、咨询通告、工作手册、信息通告、管理文件，民航局以“民航规”“民航局文件”的形式发布。</w:t>
      </w:r>
    </w:p>
    <w:p>
      <w:pPr>
        <w:widowControl/>
        <w:adjustRightInd w:val="0"/>
        <w:snapToGrid w:val="0"/>
        <w:spacing w:line="560" w:lineRule="exact"/>
        <w:ind w:firstLine="640" w:firstLineChars="200"/>
        <w:rPr>
          <w:rFonts w:ascii="Times New Roman" w:hAnsi="Times New Roman" w:eastAsia="仿宋_GB2312" w:cs="Times New Roman"/>
          <w:bCs/>
          <w:snapToGrid w:val="0"/>
          <w:color w:val="auto"/>
          <w:kern w:val="0"/>
          <w:sz w:val="32"/>
          <w:szCs w:val="32"/>
          <w:lang w:bidi="ar"/>
        </w:rPr>
      </w:pPr>
      <w:r>
        <w:rPr>
          <w:rFonts w:hint="eastAsia" w:ascii="Times New Roman" w:hAnsi="Times New Roman" w:eastAsia="仿宋_GB2312" w:cs="Times New Roman"/>
          <w:bCs/>
          <w:snapToGrid w:val="0"/>
          <w:color w:val="auto"/>
          <w:kern w:val="0"/>
          <w:sz w:val="32"/>
          <w:szCs w:val="32"/>
          <w:lang w:bidi="ar"/>
        </w:rPr>
        <w:t>再下游是技术标准、指南、手册等。</w:t>
      </w:r>
    </w:p>
    <w:p>
      <w:pPr>
        <w:widowControl/>
        <w:adjustRightInd w:val="0"/>
        <w:snapToGrid w:val="0"/>
        <w:spacing w:line="560" w:lineRule="exact"/>
        <w:ind w:firstLine="640" w:firstLineChars="200"/>
        <w:rPr>
          <w:rFonts w:ascii="Times New Roman" w:hAnsi="Times New Roman" w:eastAsia="黑体" w:cs="Times New Roman"/>
          <w:bCs/>
          <w:snapToGrid w:val="0"/>
          <w:color w:val="auto"/>
          <w:kern w:val="0"/>
          <w:sz w:val="32"/>
          <w:szCs w:val="32"/>
          <w:lang w:bidi="ar"/>
        </w:rPr>
      </w:pPr>
      <w:r>
        <w:rPr>
          <w:rFonts w:hint="eastAsia" w:ascii="Times New Roman" w:hAnsi="Times New Roman" w:eastAsia="黑体" w:cs="Times New Roman"/>
          <w:bCs/>
          <w:snapToGrid w:val="0"/>
          <w:color w:val="auto"/>
          <w:kern w:val="0"/>
          <w:sz w:val="32"/>
          <w:szCs w:val="32"/>
          <w:lang w:bidi="ar"/>
        </w:rPr>
        <w:t>三、现行管理文件</w:t>
      </w:r>
    </w:p>
    <w:p>
      <w:pPr>
        <w:widowControl/>
        <w:jc w:val="left"/>
        <w:rPr>
          <w:rFonts w:ascii="Times New Roman" w:hAnsi="Times New Roman" w:eastAsia="楷体_GB2312" w:cs="Times New Roman"/>
          <w:bCs/>
          <w:snapToGrid w:val="0"/>
          <w:color w:val="auto"/>
          <w:kern w:val="0"/>
          <w:sz w:val="24"/>
          <w:szCs w:val="24"/>
          <w:lang w:bidi="ar"/>
        </w:rPr>
      </w:pPr>
      <w:bookmarkStart w:id="243" w:name="_Hlk182668669"/>
      <w:r>
        <w:rPr>
          <w:rFonts w:hint="eastAsia" w:ascii="Times New Roman" w:hAnsi="Times New Roman" w:eastAsia="楷体_GB2312" w:cs="Times New Roman"/>
          <w:bCs/>
          <w:snapToGrid w:val="0"/>
          <w:color w:val="auto"/>
          <w:kern w:val="0"/>
          <w:sz w:val="24"/>
          <w:szCs w:val="24"/>
          <w:lang w:bidi="ar"/>
        </w:rPr>
        <w:br w:type="page"/>
      </w:r>
    </w:p>
    <w:p>
      <w:pPr>
        <w:widowControl/>
        <w:adjustRightInd w:val="0"/>
        <w:snapToGrid w:val="0"/>
        <w:spacing w:line="560" w:lineRule="exact"/>
        <w:jc w:val="center"/>
        <w:rPr>
          <w:rFonts w:ascii="Times New Roman" w:hAnsi="Times New Roman" w:eastAsia="楷体_GB2312" w:cs="Times New Roman"/>
          <w:bCs/>
          <w:snapToGrid w:val="0"/>
          <w:color w:val="auto"/>
          <w:kern w:val="0"/>
          <w:sz w:val="24"/>
          <w:szCs w:val="24"/>
          <w:lang w:eastAsia="zh-Hans" w:bidi="ar"/>
        </w:rPr>
      </w:pPr>
      <w:r>
        <w:rPr>
          <w:rFonts w:hint="eastAsia" w:ascii="Times New Roman" w:hAnsi="Times New Roman" w:eastAsia="楷体_GB2312" w:cs="Times New Roman"/>
          <w:bCs/>
          <w:snapToGrid w:val="0"/>
          <w:color w:val="auto"/>
          <w:kern w:val="0"/>
          <w:sz w:val="24"/>
          <w:szCs w:val="24"/>
          <w:lang w:eastAsia="zh-Hans" w:bidi="ar"/>
        </w:rPr>
        <w:t>附表</w:t>
      </w:r>
      <w:r>
        <w:rPr>
          <w:rFonts w:hint="eastAsia" w:ascii="Times New Roman" w:hAnsi="Times New Roman" w:eastAsia="楷体_GB2312" w:cs="Times New Roman"/>
          <w:bCs/>
          <w:snapToGrid w:val="0"/>
          <w:color w:val="auto"/>
          <w:kern w:val="0"/>
          <w:sz w:val="24"/>
          <w:szCs w:val="24"/>
          <w:lang w:bidi="ar"/>
        </w:rPr>
        <w:t>6-2</w:t>
      </w:r>
      <w:r>
        <w:rPr>
          <w:rFonts w:hint="eastAsia" w:ascii="Times New Roman" w:hAnsi="Times New Roman" w:eastAsia="楷体_GB2312" w:cs="Times New Roman"/>
          <w:bCs/>
          <w:snapToGrid w:val="0"/>
          <w:color w:val="auto"/>
          <w:kern w:val="0"/>
          <w:sz w:val="24"/>
          <w:szCs w:val="24"/>
          <w:lang w:eastAsia="zh-Hans" w:bidi="ar"/>
        </w:rPr>
        <w:t xml:space="preserve">  现行无人机适航法规及规范性文件</w:t>
      </w:r>
    </w:p>
    <w:bookmarkEnd w:id="243"/>
    <w:tbl>
      <w:tblPr>
        <w:tblStyle w:val="40"/>
        <w:tblW w:w="89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6"/>
        <w:gridCol w:w="1316"/>
        <w:gridCol w:w="1391"/>
        <w:gridCol w:w="47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416" w:type="dxa"/>
            <w:vAlign w:val="center"/>
          </w:tcPr>
          <w:p>
            <w:pPr>
              <w:widowControl/>
              <w:adjustRightInd w:val="0"/>
              <w:snapToGrid w:val="0"/>
              <w:jc w:val="center"/>
              <w:rPr>
                <w:rFonts w:ascii="Times New Roman" w:hAnsi="Times New Roman" w:eastAsia="黑体" w:cs="Times New Roman"/>
                <w:bCs/>
                <w:snapToGrid w:val="0"/>
                <w:color w:val="auto"/>
                <w:kern w:val="0"/>
                <w:sz w:val="24"/>
                <w:szCs w:val="24"/>
                <w:lang w:eastAsia="zh-Hans"/>
              </w:rPr>
            </w:pPr>
            <w:r>
              <w:rPr>
                <w:rFonts w:hint="eastAsia" w:ascii="Times New Roman" w:hAnsi="Times New Roman" w:eastAsia="黑体" w:cs="Times New Roman"/>
                <w:bCs/>
                <w:snapToGrid w:val="0"/>
                <w:color w:val="auto"/>
                <w:kern w:val="0"/>
                <w:sz w:val="24"/>
                <w:szCs w:val="24"/>
                <w:lang w:eastAsia="zh-Hans"/>
              </w:rPr>
              <w:t>发布日期</w:t>
            </w:r>
          </w:p>
        </w:tc>
        <w:tc>
          <w:tcPr>
            <w:tcW w:w="1316" w:type="dxa"/>
            <w:vAlign w:val="center"/>
          </w:tcPr>
          <w:p>
            <w:pPr>
              <w:widowControl/>
              <w:adjustRightInd w:val="0"/>
              <w:snapToGrid w:val="0"/>
              <w:jc w:val="center"/>
              <w:rPr>
                <w:rFonts w:ascii="Times New Roman" w:hAnsi="Times New Roman" w:eastAsia="黑体" w:cs="Times New Roman"/>
                <w:bCs/>
                <w:snapToGrid w:val="0"/>
                <w:color w:val="auto"/>
                <w:kern w:val="0"/>
                <w:sz w:val="24"/>
                <w:szCs w:val="24"/>
                <w:lang w:eastAsia="zh-Hans"/>
              </w:rPr>
            </w:pPr>
            <w:r>
              <w:rPr>
                <w:rFonts w:hint="eastAsia" w:ascii="Times New Roman" w:hAnsi="Times New Roman" w:eastAsia="黑体" w:cs="Times New Roman"/>
                <w:bCs/>
                <w:snapToGrid w:val="0"/>
                <w:color w:val="auto"/>
                <w:kern w:val="0"/>
                <w:sz w:val="24"/>
                <w:szCs w:val="24"/>
                <w:lang w:eastAsia="zh-Hans"/>
              </w:rPr>
              <w:t>文号</w:t>
            </w:r>
          </w:p>
        </w:tc>
        <w:tc>
          <w:tcPr>
            <w:tcW w:w="1391" w:type="dxa"/>
            <w:vAlign w:val="center"/>
          </w:tcPr>
          <w:p>
            <w:pPr>
              <w:widowControl/>
              <w:adjustRightInd w:val="0"/>
              <w:snapToGrid w:val="0"/>
              <w:jc w:val="center"/>
              <w:rPr>
                <w:rFonts w:ascii="Times New Roman" w:hAnsi="Times New Roman" w:eastAsia="黑体" w:cs="Times New Roman"/>
                <w:bCs/>
                <w:snapToGrid w:val="0"/>
                <w:color w:val="auto"/>
                <w:kern w:val="0"/>
                <w:sz w:val="24"/>
                <w:szCs w:val="24"/>
                <w:lang w:eastAsia="zh-Hans"/>
              </w:rPr>
            </w:pPr>
            <w:r>
              <w:rPr>
                <w:rFonts w:hint="eastAsia" w:ascii="Times New Roman" w:hAnsi="Times New Roman" w:eastAsia="黑体" w:cs="Times New Roman"/>
                <w:bCs/>
                <w:snapToGrid w:val="0"/>
                <w:color w:val="auto"/>
                <w:kern w:val="0"/>
                <w:sz w:val="24"/>
                <w:szCs w:val="24"/>
                <w:lang w:eastAsia="zh-Hans"/>
              </w:rPr>
              <w:t>文件名称</w:t>
            </w:r>
          </w:p>
        </w:tc>
        <w:tc>
          <w:tcPr>
            <w:tcW w:w="4791" w:type="dxa"/>
            <w:vAlign w:val="center"/>
          </w:tcPr>
          <w:p>
            <w:pPr>
              <w:widowControl/>
              <w:adjustRightInd w:val="0"/>
              <w:snapToGrid w:val="0"/>
              <w:jc w:val="center"/>
              <w:rPr>
                <w:rFonts w:ascii="Times New Roman" w:hAnsi="Times New Roman" w:eastAsia="黑体" w:cs="Times New Roman"/>
                <w:bCs/>
                <w:snapToGrid w:val="0"/>
                <w:color w:val="auto"/>
                <w:kern w:val="0"/>
                <w:sz w:val="24"/>
                <w:szCs w:val="24"/>
                <w:lang w:eastAsia="zh-Hans"/>
              </w:rPr>
            </w:pPr>
            <w:r>
              <w:rPr>
                <w:rFonts w:hint="eastAsia" w:ascii="Times New Roman" w:hAnsi="Times New Roman" w:eastAsia="黑体" w:cs="Times New Roman"/>
                <w:bCs/>
                <w:snapToGrid w:val="0"/>
                <w:color w:val="auto"/>
                <w:kern w:val="0"/>
                <w:sz w:val="24"/>
                <w:szCs w:val="24"/>
                <w:lang w:eastAsia="zh-Hans"/>
              </w:rPr>
              <w:t>主要内容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416" w:type="dxa"/>
          </w:tcPr>
          <w:p>
            <w:pPr>
              <w:widowControl/>
              <w:adjustRightInd w:val="0"/>
              <w:snapToGrid w:val="0"/>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Cs/>
                <w:snapToGrid w:val="0"/>
                <w:color w:val="auto"/>
                <w:kern w:val="0"/>
                <w:sz w:val="24"/>
                <w:szCs w:val="24"/>
                <w:lang w:eastAsia="zh-Hans"/>
              </w:rPr>
              <w:t>2023-05-31</w:t>
            </w:r>
          </w:p>
        </w:tc>
        <w:tc>
          <w:tcPr>
            <w:tcW w:w="1316" w:type="dxa"/>
          </w:tcPr>
          <w:p>
            <w:pPr>
              <w:widowControl/>
              <w:adjustRightInd w:val="0"/>
              <w:snapToGrid w:val="0"/>
              <w:jc w:val="center"/>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Cs/>
                <w:snapToGrid w:val="0"/>
                <w:color w:val="auto"/>
                <w:kern w:val="0"/>
                <w:sz w:val="24"/>
                <w:szCs w:val="24"/>
                <w:lang w:eastAsia="zh-Hans"/>
              </w:rPr>
              <w:t>国务院 中央军委令 第761号</w:t>
            </w:r>
          </w:p>
        </w:tc>
        <w:tc>
          <w:tcPr>
            <w:tcW w:w="1391" w:type="dxa"/>
          </w:tcPr>
          <w:p>
            <w:pPr>
              <w:widowControl/>
              <w:adjustRightInd w:val="0"/>
              <w:snapToGrid w:val="0"/>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Cs/>
                <w:snapToGrid w:val="0"/>
                <w:color w:val="auto"/>
                <w:kern w:val="0"/>
                <w:sz w:val="24"/>
                <w:szCs w:val="24"/>
                <w:lang w:eastAsia="zh-Hans"/>
              </w:rPr>
              <w:t>无人驾驶航空器飞行管理暂行条例</w:t>
            </w:r>
          </w:p>
        </w:tc>
        <w:tc>
          <w:tcPr>
            <w:tcW w:w="4791" w:type="dxa"/>
          </w:tcPr>
          <w:p>
            <w:pPr>
              <w:widowControl/>
              <w:adjustRightInd w:val="0"/>
              <w:snapToGrid w:val="0"/>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
                <w:bCs/>
                <w:snapToGrid w:val="0"/>
                <w:color w:val="auto"/>
                <w:kern w:val="0"/>
                <w:sz w:val="24"/>
                <w:szCs w:val="24"/>
                <w:lang w:eastAsia="zh-Hans"/>
              </w:rPr>
              <w:t>第八条</w:t>
            </w:r>
            <w:r>
              <w:rPr>
                <w:rFonts w:hint="eastAsia" w:ascii="Times New Roman" w:hAnsi="Times New Roman" w:eastAsia="仿宋_GB2312" w:cs="Times New Roman"/>
                <w:bCs/>
                <w:snapToGrid w:val="0"/>
                <w:color w:val="auto"/>
                <w:kern w:val="0"/>
                <w:sz w:val="24"/>
                <w:szCs w:val="24"/>
                <w:lang w:eastAsia="zh-Hans"/>
              </w:rPr>
              <w:t xml:space="preserve"> 从事中型、大型民用无人驾驶航空器系统的设计、生产、进口、飞行和维修活动，应当依法向国务院民用航空主管部门申请取得适航许可。</w:t>
            </w:r>
          </w:p>
          <w:p>
            <w:pPr>
              <w:widowControl/>
              <w:adjustRightInd w:val="0"/>
              <w:snapToGrid w:val="0"/>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
                <w:bCs/>
                <w:snapToGrid w:val="0"/>
                <w:color w:val="auto"/>
                <w:kern w:val="0"/>
                <w:sz w:val="24"/>
                <w:szCs w:val="24"/>
                <w:lang w:eastAsia="zh-Hans"/>
              </w:rPr>
              <w:t>第十三条中</w:t>
            </w:r>
            <w:r>
              <w:rPr>
                <w:rFonts w:hint="eastAsia" w:ascii="Times New Roman" w:hAnsi="Times New Roman" w:eastAsia="仿宋_GB2312" w:cs="Times New Roman"/>
                <w:bCs/>
                <w:snapToGrid w:val="0"/>
                <w:color w:val="auto"/>
                <w:kern w:val="0"/>
                <w:sz w:val="24"/>
                <w:szCs w:val="24"/>
                <w:lang w:eastAsia="zh-Hans"/>
              </w:rPr>
              <w:t>：中型、大型民用无人驾驶航空器系统不能持续处于适航状态的，由国务院民用航空主管部门依照有关适航管理的规定处理。</w:t>
            </w:r>
          </w:p>
          <w:p>
            <w:pPr>
              <w:widowControl/>
              <w:adjustRightInd w:val="0"/>
              <w:snapToGrid w:val="0"/>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
                <w:bCs/>
                <w:snapToGrid w:val="0"/>
                <w:color w:val="auto"/>
                <w:kern w:val="0"/>
                <w:sz w:val="24"/>
                <w:szCs w:val="24"/>
                <w:lang w:eastAsia="zh-Hans"/>
              </w:rPr>
              <w:t>第十四条</w:t>
            </w:r>
            <w:r>
              <w:rPr>
                <w:rFonts w:hint="eastAsia" w:ascii="Times New Roman" w:hAnsi="Times New Roman" w:eastAsia="仿宋_GB2312" w:cs="Times New Roman"/>
                <w:bCs/>
                <w:snapToGrid w:val="0"/>
                <w:color w:val="auto"/>
                <w:kern w:val="0"/>
                <w:sz w:val="24"/>
                <w:szCs w:val="24"/>
                <w:lang w:eastAsia="zh-Hans"/>
              </w:rPr>
              <w:t xml:space="preserve"> 对已经取得适航许可的民用无人驾驶航空器系统进行重大设计更改并拟将其用于飞行活动的，应当重新申请取得适航许可。</w:t>
            </w:r>
          </w:p>
          <w:p>
            <w:pPr>
              <w:widowControl/>
              <w:adjustRightInd w:val="0"/>
              <w:snapToGrid w:val="0"/>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
                <w:bCs/>
                <w:snapToGrid w:val="0"/>
                <w:color w:val="auto"/>
                <w:kern w:val="0"/>
                <w:sz w:val="24"/>
                <w:szCs w:val="24"/>
                <w:lang w:eastAsia="zh-Hans"/>
              </w:rPr>
              <w:t>第四十四条</w:t>
            </w:r>
            <w:r>
              <w:rPr>
                <w:rFonts w:hint="eastAsia" w:ascii="Times New Roman" w:hAnsi="Times New Roman" w:eastAsia="仿宋_GB2312" w:cs="Times New Roman"/>
                <w:bCs/>
                <w:snapToGrid w:val="0"/>
                <w:color w:val="auto"/>
                <w:kern w:val="0"/>
                <w:sz w:val="24"/>
                <w:szCs w:val="24"/>
                <w:lang w:eastAsia="zh-Hans"/>
              </w:rPr>
              <w:t xml:space="preserve"> 违反本条例规定，从事中型、大型民用无人驾驶航空器系统的设计、生产、进口、飞行和维修活动，未依法取得适航许可的，由民用航空管理部门责令停止有关活动，没收违法所得，并处无人驾驶航空器系统货值金额1倍以上5倍以下的罚款；情节严重的，责令停业整顿。</w:t>
            </w:r>
          </w:p>
          <w:p>
            <w:pPr>
              <w:widowControl/>
              <w:adjustRightInd w:val="0"/>
              <w:snapToGrid w:val="0"/>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
                <w:bCs/>
                <w:snapToGrid w:val="0"/>
                <w:color w:val="auto"/>
                <w:kern w:val="0"/>
                <w:sz w:val="24"/>
                <w:szCs w:val="24"/>
                <w:lang w:eastAsia="zh-Hans"/>
              </w:rPr>
              <w:t>第四十六条</w:t>
            </w:r>
            <w:r>
              <w:rPr>
                <w:rFonts w:hint="eastAsia" w:ascii="Times New Roman" w:hAnsi="Times New Roman" w:eastAsia="仿宋_GB2312" w:cs="Times New Roman"/>
                <w:bCs/>
                <w:snapToGrid w:val="0"/>
                <w:color w:val="auto"/>
                <w:kern w:val="0"/>
                <w:sz w:val="24"/>
                <w:szCs w:val="24"/>
                <w:lang w:eastAsia="zh-Hans"/>
              </w:rPr>
              <w:t xml:space="preserve"> 违反本条例规定，对已经取得适航许可的民用无人驾驶航空器系统进行重大设计更改，未重新申请取得适航许可并将其用于飞行活动的，由民用航空管理部门责令改正，处无人驾驶航空器系统货值金额1倍以上5倍以下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416" w:type="dxa"/>
          </w:tcPr>
          <w:p>
            <w:pPr>
              <w:widowControl/>
              <w:adjustRightInd w:val="0"/>
              <w:snapToGrid w:val="0"/>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Cs/>
                <w:snapToGrid w:val="0"/>
                <w:color w:val="auto"/>
                <w:kern w:val="0"/>
                <w:sz w:val="24"/>
                <w:szCs w:val="24"/>
                <w:lang w:eastAsia="zh-Hans"/>
              </w:rPr>
              <w:t>2024-01-01</w:t>
            </w:r>
          </w:p>
        </w:tc>
        <w:tc>
          <w:tcPr>
            <w:tcW w:w="1316" w:type="dxa"/>
          </w:tcPr>
          <w:p>
            <w:pPr>
              <w:widowControl/>
              <w:adjustRightInd w:val="0"/>
              <w:snapToGrid w:val="0"/>
              <w:jc w:val="center"/>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Cs/>
                <w:snapToGrid w:val="0"/>
                <w:color w:val="auto"/>
                <w:kern w:val="0"/>
                <w:sz w:val="24"/>
                <w:szCs w:val="24"/>
                <w:lang w:eastAsia="zh-Hans"/>
              </w:rPr>
              <w:t>中华人民共和国交通运输部令 2024年第1号</w:t>
            </w:r>
          </w:p>
        </w:tc>
        <w:tc>
          <w:tcPr>
            <w:tcW w:w="1391" w:type="dxa"/>
          </w:tcPr>
          <w:p>
            <w:pPr>
              <w:widowControl/>
              <w:adjustRightInd w:val="0"/>
              <w:snapToGrid w:val="0"/>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Cs/>
                <w:snapToGrid w:val="0"/>
                <w:color w:val="auto"/>
                <w:kern w:val="0"/>
                <w:sz w:val="24"/>
                <w:szCs w:val="24"/>
                <w:lang w:eastAsia="zh-Hans"/>
              </w:rPr>
              <w:t>民用无人驾驶航空器运行安全管理规则</w:t>
            </w:r>
          </w:p>
        </w:tc>
        <w:tc>
          <w:tcPr>
            <w:tcW w:w="4791" w:type="dxa"/>
          </w:tcPr>
          <w:p>
            <w:pPr>
              <w:widowControl/>
              <w:adjustRightInd w:val="0"/>
              <w:snapToGrid w:val="0"/>
              <w:rPr>
                <w:rFonts w:ascii="Times New Roman" w:hAnsi="Times New Roman" w:eastAsia="仿宋_GB2312" w:cs="Times New Roman"/>
                <w:b/>
                <w:bCs/>
                <w:snapToGrid w:val="0"/>
                <w:color w:val="auto"/>
                <w:kern w:val="0"/>
                <w:sz w:val="24"/>
                <w:szCs w:val="24"/>
                <w:lang w:eastAsia="zh-Hans"/>
              </w:rPr>
            </w:pPr>
            <w:r>
              <w:rPr>
                <w:rFonts w:hint="eastAsia" w:ascii="Times New Roman" w:hAnsi="Times New Roman" w:eastAsia="仿宋_GB2312" w:cs="Times New Roman"/>
                <w:b/>
                <w:bCs/>
                <w:snapToGrid w:val="0"/>
                <w:color w:val="auto"/>
                <w:kern w:val="0"/>
                <w:sz w:val="24"/>
                <w:szCs w:val="24"/>
                <w:lang w:eastAsia="zh-Hans"/>
              </w:rPr>
              <w:t>D章适航管理</w:t>
            </w:r>
          </w:p>
          <w:p>
            <w:pPr>
              <w:widowControl/>
              <w:adjustRightInd w:val="0"/>
              <w:snapToGrid w:val="0"/>
              <w:rPr>
                <w:rFonts w:ascii="Times New Roman" w:hAnsi="Times New Roman" w:eastAsia="仿宋_GB2312" w:cs="Times New Roman"/>
                <w:b/>
                <w:bCs/>
                <w:snapToGrid w:val="0"/>
                <w:color w:val="auto"/>
                <w:kern w:val="0"/>
                <w:sz w:val="24"/>
                <w:szCs w:val="24"/>
                <w:lang w:eastAsia="zh-Hans"/>
              </w:rPr>
            </w:pPr>
            <w:r>
              <w:rPr>
                <w:rFonts w:hint="eastAsia" w:ascii="Times New Roman" w:hAnsi="Times New Roman" w:eastAsia="仿宋_GB2312" w:cs="Times New Roman"/>
                <w:b/>
                <w:bCs/>
                <w:snapToGrid w:val="0"/>
                <w:color w:val="auto"/>
                <w:kern w:val="0"/>
                <w:sz w:val="24"/>
                <w:szCs w:val="24"/>
                <w:lang w:eastAsia="zh-Hans"/>
              </w:rPr>
              <w:t>第一节 一般规定</w:t>
            </w:r>
          </w:p>
          <w:p>
            <w:pPr>
              <w:widowControl/>
              <w:adjustRightInd w:val="0"/>
              <w:snapToGrid w:val="0"/>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Cs/>
                <w:snapToGrid w:val="0"/>
                <w:color w:val="auto"/>
                <w:kern w:val="0"/>
                <w:sz w:val="24"/>
                <w:szCs w:val="24"/>
                <w:lang w:eastAsia="zh-Hans"/>
              </w:rPr>
              <w:t>适用范围、溯及力、合格审定程序和职责、基于风险的审定原则、豁免、故障、失效和缺陷的报告、替换件和改装件</w:t>
            </w:r>
          </w:p>
          <w:p>
            <w:pPr>
              <w:widowControl/>
              <w:adjustRightInd w:val="0"/>
              <w:snapToGrid w:val="0"/>
              <w:rPr>
                <w:rFonts w:ascii="Times New Roman" w:hAnsi="Times New Roman" w:eastAsia="仿宋_GB2312" w:cs="Times New Roman"/>
                <w:b/>
                <w:bCs/>
                <w:snapToGrid w:val="0"/>
                <w:color w:val="auto"/>
                <w:kern w:val="0"/>
                <w:sz w:val="24"/>
                <w:szCs w:val="24"/>
                <w:lang w:eastAsia="zh-Hans"/>
              </w:rPr>
            </w:pPr>
            <w:r>
              <w:rPr>
                <w:rFonts w:hint="eastAsia" w:ascii="Times New Roman" w:hAnsi="Times New Roman" w:eastAsia="仿宋_GB2312" w:cs="Times New Roman"/>
                <w:b/>
                <w:bCs/>
                <w:snapToGrid w:val="0"/>
                <w:color w:val="auto"/>
                <w:kern w:val="0"/>
                <w:sz w:val="24"/>
                <w:szCs w:val="24"/>
                <w:lang w:eastAsia="zh-Hans"/>
              </w:rPr>
              <w:t>第二节设计批准</w:t>
            </w:r>
          </w:p>
          <w:p>
            <w:pPr>
              <w:widowControl/>
              <w:adjustRightInd w:val="0"/>
              <w:snapToGrid w:val="0"/>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Cs/>
                <w:snapToGrid w:val="0"/>
                <w:color w:val="auto"/>
                <w:kern w:val="0"/>
                <w:sz w:val="24"/>
                <w:szCs w:val="24"/>
                <w:lang w:eastAsia="zh-Hans"/>
              </w:rPr>
              <w:t>适用范围、申请人资格、申请书和申请文件、专用条件、适用要求的确定、适用要求的符合性、检查和试验、飞行试验、型号合格证的颁发：正常类、运输类民用无人驾驶航空器系统、限用类民用无人驾驶航空器系统；遥控台（站）、需要申请新型号合格证的实质性更改、设计更改的管理、补充型号合格证的颁发、要求的设计更改、持证人的责任、持证人的权益、转让性、有效期和证件检查</w:t>
            </w:r>
          </w:p>
          <w:p>
            <w:pPr>
              <w:widowControl/>
              <w:adjustRightInd w:val="0"/>
              <w:snapToGrid w:val="0"/>
              <w:rPr>
                <w:rFonts w:ascii="Times New Roman" w:hAnsi="Times New Roman" w:eastAsia="仿宋_GB2312" w:cs="Times New Roman"/>
                <w:b/>
                <w:bCs/>
                <w:snapToGrid w:val="0"/>
                <w:color w:val="auto"/>
                <w:kern w:val="0"/>
                <w:sz w:val="24"/>
                <w:szCs w:val="24"/>
                <w:lang w:eastAsia="zh-Hans"/>
              </w:rPr>
            </w:pPr>
            <w:r>
              <w:rPr>
                <w:rFonts w:hint="eastAsia" w:ascii="Times New Roman" w:hAnsi="Times New Roman" w:eastAsia="仿宋_GB2312" w:cs="Times New Roman"/>
                <w:b/>
                <w:bCs/>
                <w:snapToGrid w:val="0"/>
                <w:color w:val="auto"/>
                <w:kern w:val="0"/>
                <w:sz w:val="24"/>
                <w:szCs w:val="24"/>
                <w:lang w:eastAsia="zh-Hans"/>
              </w:rPr>
              <w:t>第三节生产批准</w:t>
            </w:r>
          </w:p>
          <w:p>
            <w:pPr>
              <w:widowControl/>
              <w:adjustRightInd w:val="0"/>
              <w:snapToGrid w:val="0"/>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Cs/>
                <w:snapToGrid w:val="0"/>
                <w:color w:val="auto"/>
                <w:kern w:val="0"/>
                <w:sz w:val="24"/>
                <w:szCs w:val="24"/>
                <w:lang w:eastAsia="zh-Hans"/>
              </w:rPr>
              <w:t>适用范围、申请人的资格和要求、机构</w:t>
            </w:r>
          </w:p>
          <w:p>
            <w:pPr>
              <w:widowControl/>
              <w:adjustRightInd w:val="0"/>
              <w:snapToGrid w:val="0"/>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Cs/>
                <w:snapToGrid w:val="0"/>
                <w:color w:val="auto"/>
                <w:kern w:val="0"/>
                <w:sz w:val="24"/>
                <w:szCs w:val="24"/>
                <w:lang w:eastAsia="zh-Hans"/>
              </w:rPr>
              <w:t>质量系统、质量手册、检查和试验、生产许可证及其更改、持证人的权益、持证人的责任、依据型号合格证的生产管理、</w:t>
            </w:r>
          </w:p>
          <w:p>
            <w:pPr>
              <w:widowControl/>
              <w:adjustRightInd w:val="0"/>
              <w:snapToGrid w:val="0"/>
              <w:rPr>
                <w:rFonts w:ascii="Times New Roman" w:hAnsi="Times New Roman" w:eastAsia="仿宋_GB2312" w:cs="Times New Roman"/>
                <w:b/>
                <w:bCs/>
                <w:snapToGrid w:val="0"/>
                <w:color w:val="auto"/>
                <w:kern w:val="0"/>
                <w:sz w:val="24"/>
                <w:szCs w:val="24"/>
                <w:lang w:eastAsia="zh-Hans"/>
              </w:rPr>
            </w:pPr>
            <w:r>
              <w:rPr>
                <w:rFonts w:hint="eastAsia" w:ascii="Times New Roman" w:hAnsi="Times New Roman" w:eastAsia="仿宋_GB2312" w:cs="Times New Roman"/>
                <w:b/>
                <w:bCs/>
                <w:snapToGrid w:val="0"/>
                <w:color w:val="auto"/>
                <w:kern w:val="0"/>
                <w:sz w:val="24"/>
                <w:szCs w:val="24"/>
                <w:lang w:eastAsia="zh-Hans"/>
              </w:rPr>
              <w:t>第四节适航批准</w:t>
            </w:r>
          </w:p>
          <w:p>
            <w:pPr>
              <w:widowControl/>
              <w:adjustRightInd w:val="0"/>
              <w:snapToGrid w:val="0"/>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Cs/>
                <w:snapToGrid w:val="0"/>
                <w:color w:val="auto"/>
                <w:kern w:val="0"/>
                <w:sz w:val="24"/>
                <w:szCs w:val="24"/>
                <w:lang w:eastAsia="zh-Hans"/>
              </w:rPr>
              <w:t>适用范围、适航证件、适航证的申请书和申请文件、适航证的适航检查、适航证的颁发和更改、特殊适航证的限制、民用无人驾驶航空器系统适航证的有效期、民用无人驾驶航空器系统适航证的转让性、特许飞行证的申请书和申请文件、特许飞行证的适航检查和颁发、特许飞行的基本要求和限制、特许飞行证的有效期、出口适航证的申请书和申请文件、出口适航证的颁发、出口人的责任、第五节其他要求、标牌或者标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416" w:type="dxa"/>
          </w:tcPr>
          <w:p>
            <w:pPr>
              <w:widowControl/>
              <w:adjustRightInd w:val="0"/>
              <w:snapToGrid w:val="0"/>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Cs/>
                <w:snapToGrid w:val="0"/>
                <w:color w:val="auto"/>
                <w:kern w:val="0"/>
                <w:sz w:val="24"/>
                <w:szCs w:val="24"/>
                <w:lang w:eastAsia="zh-Hans"/>
              </w:rPr>
              <w:t>2022-12-19</w:t>
            </w:r>
          </w:p>
        </w:tc>
        <w:tc>
          <w:tcPr>
            <w:tcW w:w="1316" w:type="dxa"/>
          </w:tcPr>
          <w:p>
            <w:pPr>
              <w:widowControl/>
              <w:adjustRightInd w:val="0"/>
              <w:snapToGrid w:val="0"/>
              <w:jc w:val="center"/>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Cs/>
                <w:snapToGrid w:val="0"/>
                <w:color w:val="auto"/>
                <w:kern w:val="0"/>
                <w:sz w:val="24"/>
                <w:szCs w:val="24"/>
                <w:lang w:eastAsia="zh-Hans"/>
              </w:rPr>
              <w:t>民航规〔2022〕64号</w:t>
            </w:r>
          </w:p>
        </w:tc>
        <w:tc>
          <w:tcPr>
            <w:tcW w:w="1391" w:type="dxa"/>
          </w:tcPr>
          <w:p>
            <w:pPr>
              <w:widowControl/>
              <w:adjustRightInd w:val="0"/>
              <w:snapToGrid w:val="0"/>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Cs/>
                <w:snapToGrid w:val="0"/>
                <w:color w:val="auto"/>
                <w:kern w:val="0"/>
                <w:sz w:val="24"/>
                <w:szCs w:val="24"/>
                <w:lang w:eastAsia="zh-Hans"/>
              </w:rPr>
              <w:t>民用无人驾驶航空器系统适航审定管理程序</w:t>
            </w:r>
          </w:p>
        </w:tc>
        <w:tc>
          <w:tcPr>
            <w:tcW w:w="4791" w:type="dxa"/>
          </w:tcPr>
          <w:p>
            <w:pPr>
              <w:widowControl/>
              <w:adjustRightInd w:val="0"/>
              <w:snapToGrid w:val="0"/>
              <w:rPr>
                <w:rFonts w:ascii="Times New Roman" w:hAnsi="Times New Roman" w:eastAsia="仿宋_GB2312" w:cs="Times New Roman"/>
                <w:b/>
                <w:bCs/>
                <w:snapToGrid w:val="0"/>
                <w:color w:val="auto"/>
                <w:kern w:val="0"/>
                <w:sz w:val="24"/>
                <w:szCs w:val="24"/>
                <w:lang w:eastAsia="zh-Hans"/>
              </w:rPr>
            </w:pPr>
            <w:r>
              <w:rPr>
                <w:rFonts w:hint="eastAsia" w:ascii="Times New Roman" w:hAnsi="Times New Roman" w:eastAsia="仿宋_GB2312" w:cs="Times New Roman"/>
                <w:b/>
                <w:bCs/>
                <w:snapToGrid w:val="0"/>
                <w:color w:val="auto"/>
                <w:kern w:val="0"/>
                <w:sz w:val="24"/>
                <w:szCs w:val="24"/>
                <w:lang w:eastAsia="zh-Hans"/>
              </w:rPr>
              <w:t>第一部分总则</w:t>
            </w:r>
          </w:p>
          <w:p>
            <w:pPr>
              <w:widowControl/>
              <w:adjustRightInd w:val="0"/>
              <w:snapToGrid w:val="0"/>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Cs/>
                <w:snapToGrid w:val="0"/>
                <w:color w:val="auto"/>
                <w:kern w:val="0"/>
                <w:sz w:val="24"/>
                <w:szCs w:val="24"/>
                <w:lang w:eastAsia="zh-Hans"/>
              </w:rPr>
              <w:t>目的、依据、相关文件、一般原则、适用范围、定义</w:t>
            </w:r>
          </w:p>
          <w:p>
            <w:pPr>
              <w:widowControl/>
              <w:adjustRightInd w:val="0"/>
              <w:snapToGrid w:val="0"/>
              <w:rPr>
                <w:rFonts w:ascii="Times New Roman" w:hAnsi="Times New Roman" w:eastAsia="仿宋_GB2312" w:cs="Times New Roman"/>
                <w:b/>
                <w:bCs/>
                <w:snapToGrid w:val="0"/>
                <w:color w:val="auto"/>
                <w:kern w:val="0"/>
                <w:sz w:val="24"/>
                <w:szCs w:val="24"/>
                <w:lang w:eastAsia="zh-Hans"/>
              </w:rPr>
            </w:pPr>
            <w:r>
              <w:rPr>
                <w:rFonts w:hint="eastAsia" w:ascii="Times New Roman" w:hAnsi="Times New Roman" w:eastAsia="仿宋_GB2312" w:cs="Times New Roman"/>
                <w:b/>
                <w:bCs/>
                <w:snapToGrid w:val="0"/>
                <w:color w:val="auto"/>
                <w:kern w:val="0"/>
                <w:sz w:val="24"/>
                <w:szCs w:val="24"/>
                <w:lang w:eastAsia="zh-Hans"/>
              </w:rPr>
              <w:t>第二部分 设计批准</w:t>
            </w:r>
          </w:p>
          <w:p>
            <w:pPr>
              <w:widowControl/>
              <w:adjustRightInd w:val="0"/>
              <w:snapToGrid w:val="0"/>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Cs/>
                <w:snapToGrid w:val="0"/>
                <w:color w:val="auto"/>
                <w:kern w:val="0"/>
                <w:sz w:val="24"/>
                <w:szCs w:val="24"/>
                <w:lang w:eastAsia="zh-Hans"/>
              </w:rPr>
              <w:t>基于风险的设计批准审定原则、设计保证系统、型号合格审定流程、基于风险确定审查范围和深度、设计批准证件的管理、设计更改管理</w:t>
            </w:r>
          </w:p>
          <w:p>
            <w:pPr>
              <w:widowControl/>
              <w:adjustRightInd w:val="0"/>
              <w:snapToGrid w:val="0"/>
              <w:rPr>
                <w:rFonts w:ascii="Times New Roman" w:hAnsi="Times New Roman" w:eastAsia="仿宋_GB2312" w:cs="Times New Roman"/>
                <w:b/>
                <w:bCs/>
                <w:snapToGrid w:val="0"/>
                <w:color w:val="auto"/>
                <w:kern w:val="0"/>
                <w:sz w:val="24"/>
                <w:szCs w:val="24"/>
                <w:lang w:eastAsia="zh-Hans"/>
              </w:rPr>
            </w:pPr>
            <w:r>
              <w:rPr>
                <w:rFonts w:hint="eastAsia" w:ascii="Times New Roman" w:hAnsi="Times New Roman" w:eastAsia="仿宋_GB2312" w:cs="Times New Roman"/>
                <w:b/>
                <w:bCs/>
                <w:snapToGrid w:val="0"/>
                <w:color w:val="auto"/>
                <w:kern w:val="0"/>
                <w:sz w:val="24"/>
                <w:szCs w:val="24"/>
                <w:lang w:eastAsia="zh-Hans"/>
              </w:rPr>
              <w:t>第三部分生产批准</w:t>
            </w:r>
          </w:p>
          <w:p>
            <w:pPr>
              <w:widowControl/>
              <w:adjustRightInd w:val="0"/>
              <w:snapToGrid w:val="0"/>
              <w:rPr>
                <w:rFonts w:ascii="Times New Roman" w:hAnsi="Times New Roman" w:eastAsia="仿宋_GB2312" w:cs="Times New Roman"/>
                <w:b/>
                <w:bCs/>
                <w:snapToGrid w:val="0"/>
                <w:color w:val="auto"/>
                <w:kern w:val="0"/>
                <w:sz w:val="24"/>
                <w:szCs w:val="24"/>
                <w:lang w:eastAsia="zh-Hans"/>
              </w:rPr>
            </w:pPr>
            <w:r>
              <w:rPr>
                <w:rFonts w:hint="eastAsia" w:ascii="Times New Roman" w:hAnsi="Times New Roman" w:eastAsia="仿宋_GB2312" w:cs="Times New Roman"/>
                <w:b/>
                <w:bCs/>
                <w:snapToGrid w:val="0"/>
                <w:color w:val="auto"/>
                <w:kern w:val="0"/>
                <w:sz w:val="24"/>
                <w:szCs w:val="24"/>
                <w:lang w:eastAsia="zh-Hans"/>
              </w:rPr>
              <w:t>第四部分适航批准</w:t>
            </w:r>
          </w:p>
          <w:p>
            <w:pPr>
              <w:widowControl/>
              <w:adjustRightInd w:val="0"/>
              <w:snapToGrid w:val="0"/>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Cs/>
                <w:snapToGrid w:val="0"/>
                <w:color w:val="auto"/>
                <w:kern w:val="0"/>
                <w:sz w:val="24"/>
                <w:szCs w:val="24"/>
                <w:lang w:eastAsia="zh-Hans"/>
              </w:rPr>
              <w:t>适用范围、民用无人驾驶航空器适航证件的分类、申请适航批准的一般要求、民用无人驾驶航空器适航证、民用无人驾驶航空器特许飞行证、民用无人驾驶航空器出口适航证</w:t>
            </w:r>
          </w:p>
          <w:p>
            <w:pPr>
              <w:widowControl/>
              <w:adjustRightInd w:val="0"/>
              <w:snapToGrid w:val="0"/>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Cs/>
                <w:snapToGrid w:val="0"/>
                <w:color w:val="auto"/>
                <w:kern w:val="0"/>
                <w:sz w:val="24"/>
                <w:szCs w:val="24"/>
                <w:lang w:eastAsia="zh-Hans"/>
              </w:rPr>
              <w:t>第五部分附则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416" w:type="dxa"/>
          </w:tcPr>
          <w:p>
            <w:pPr>
              <w:widowControl/>
              <w:adjustRightInd w:val="0"/>
              <w:snapToGrid w:val="0"/>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Cs/>
                <w:snapToGrid w:val="0"/>
                <w:color w:val="auto"/>
                <w:kern w:val="0"/>
                <w:sz w:val="24"/>
                <w:szCs w:val="24"/>
                <w:lang w:eastAsia="zh-Hans"/>
              </w:rPr>
              <w:t>2022-12-21</w:t>
            </w:r>
          </w:p>
        </w:tc>
        <w:tc>
          <w:tcPr>
            <w:tcW w:w="1316" w:type="dxa"/>
          </w:tcPr>
          <w:p>
            <w:pPr>
              <w:widowControl/>
              <w:adjustRightInd w:val="0"/>
              <w:snapToGrid w:val="0"/>
              <w:jc w:val="center"/>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Cs/>
                <w:snapToGrid w:val="0"/>
                <w:color w:val="auto"/>
                <w:kern w:val="0"/>
                <w:sz w:val="24"/>
                <w:szCs w:val="24"/>
                <w:lang w:eastAsia="zh-Hans"/>
              </w:rPr>
              <w:t>民航适发〔2022〕18号</w:t>
            </w:r>
          </w:p>
        </w:tc>
        <w:tc>
          <w:tcPr>
            <w:tcW w:w="1391" w:type="dxa"/>
          </w:tcPr>
          <w:p>
            <w:pPr>
              <w:widowControl/>
              <w:adjustRightInd w:val="0"/>
              <w:snapToGrid w:val="0"/>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Cs/>
                <w:snapToGrid w:val="0"/>
                <w:color w:val="auto"/>
                <w:kern w:val="0"/>
                <w:sz w:val="24"/>
                <w:szCs w:val="24"/>
                <w:lang w:eastAsia="zh-Hans"/>
              </w:rPr>
              <w:t>民用无人驾驶航空器系统适航审定分级分类和系统安全性分析指南</w:t>
            </w:r>
          </w:p>
        </w:tc>
        <w:tc>
          <w:tcPr>
            <w:tcW w:w="4791" w:type="dxa"/>
          </w:tcPr>
          <w:p>
            <w:pPr>
              <w:widowControl/>
              <w:adjustRightInd w:val="0"/>
              <w:snapToGrid w:val="0"/>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
                <w:bCs/>
                <w:snapToGrid w:val="0"/>
                <w:color w:val="auto"/>
                <w:kern w:val="0"/>
                <w:sz w:val="24"/>
                <w:szCs w:val="24"/>
                <w:lang w:eastAsia="zh-Hans"/>
              </w:rPr>
              <w:t>民用无人驾驶航空器系统的运行风险等级</w:t>
            </w:r>
            <w:r>
              <w:rPr>
                <w:rFonts w:hint="eastAsia" w:ascii="Times New Roman" w:hAnsi="Times New Roman" w:eastAsia="仿宋_GB2312" w:cs="Times New Roman"/>
                <w:bCs/>
                <w:snapToGrid w:val="0"/>
                <w:color w:val="auto"/>
                <w:kern w:val="0"/>
                <w:sz w:val="24"/>
                <w:szCs w:val="24"/>
                <w:lang w:eastAsia="zh-Hans"/>
              </w:rPr>
              <w:t>：危害的严重性、危害的可能性、运行风险等级</w:t>
            </w:r>
          </w:p>
          <w:p>
            <w:pPr>
              <w:widowControl/>
              <w:adjustRightInd w:val="0"/>
              <w:snapToGrid w:val="0"/>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
                <w:bCs/>
                <w:snapToGrid w:val="0"/>
                <w:color w:val="auto"/>
                <w:kern w:val="0"/>
                <w:sz w:val="24"/>
                <w:szCs w:val="24"/>
                <w:lang w:eastAsia="zh-Hans"/>
              </w:rPr>
              <w:t>民用无人驾驶航空器系统的安全性分析</w:t>
            </w:r>
            <w:r>
              <w:rPr>
                <w:rFonts w:hint="eastAsia" w:ascii="Times New Roman" w:hAnsi="Times New Roman" w:eastAsia="仿宋_GB2312" w:cs="Times New Roman"/>
                <w:bCs/>
                <w:snapToGrid w:val="0"/>
                <w:color w:val="auto"/>
                <w:kern w:val="0"/>
                <w:sz w:val="24"/>
                <w:szCs w:val="24"/>
                <w:lang w:eastAsia="zh-Hans"/>
              </w:rPr>
              <w:t>：失效状态分类、安全性目标、失效状态评估、失效概率计算、系统安全性分析的工作要点（FHA、PSSA、FMEA、FTA、CCA）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416" w:type="dxa"/>
          </w:tcPr>
          <w:p>
            <w:pPr>
              <w:widowControl/>
              <w:adjustRightInd w:val="0"/>
              <w:snapToGrid w:val="0"/>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Cs/>
                <w:snapToGrid w:val="0"/>
                <w:color w:val="auto"/>
                <w:kern w:val="0"/>
                <w:sz w:val="24"/>
                <w:szCs w:val="24"/>
                <w:lang w:eastAsia="zh-Hans"/>
              </w:rPr>
              <w:t>2024-02-05</w:t>
            </w:r>
          </w:p>
        </w:tc>
        <w:tc>
          <w:tcPr>
            <w:tcW w:w="1316" w:type="dxa"/>
          </w:tcPr>
          <w:p>
            <w:pPr>
              <w:widowControl/>
              <w:adjustRightInd w:val="0"/>
              <w:snapToGrid w:val="0"/>
              <w:jc w:val="center"/>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Cs/>
                <w:snapToGrid w:val="0"/>
                <w:color w:val="auto"/>
                <w:kern w:val="0"/>
                <w:sz w:val="24"/>
                <w:szCs w:val="24"/>
                <w:lang w:eastAsia="zh-Hans"/>
              </w:rPr>
              <w:t>民航适函〔2024〕5号</w:t>
            </w:r>
          </w:p>
        </w:tc>
        <w:tc>
          <w:tcPr>
            <w:tcW w:w="1391" w:type="dxa"/>
          </w:tcPr>
          <w:p>
            <w:pPr>
              <w:widowControl/>
              <w:adjustRightInd w:val="0"/>
              <w:snapToGrid w:val="0"/>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Cs/>
                <w:snapToGrid w:val="0"/>
                <w:color w:val="auto"/>
                <w:kern w:val="0"/>
                <w:sz w:val="24"/>
                <w:szCs w:val="24"/>
                <w:lang w:eastAsia="zh-Hans"/>
              </w:rPr>
              <w:t>民用无人驾驶航空器系统适航安全评定指南</w:t>
            </w:r>
          </w:p>
        </w:tc>
        <w:tc>
          <w:tcPr>
            <w:tcW w:w="4791" w:type="dxa"/>
          </w:tcPr>
          <w:p>
            <w:pPr>
              <w:widowControl/>
              <w:adjustRightInd w:val="0"/>
              <w:snapToGrid w:val="0"/>
              <w:rPr>
                <w:rFonts w:ascii="Times New Roman" w:hAnsi="Times New Roman" w:eastAsia="仿宋_GB2312" w:cs="Times New Roman"/>
                <w:b/>
                <w:bCs/>
                <w:snapToGrid w:val="0"/>
                <w:color w:val="auto"/>
                <w:kern w:val="0"/>
                <w:sz w:val="24"/>
                <w:szCs w:val="24"/>
                <w:lang w:eastAsia="zh-Hans"/>
              </w:rPr>
            </w:pPr>
            <w:r>
              <w:rPr>
                <w:rFonts w:hint="eastAsia" w:ascii="Times New Roman" w:hAnsi="Times New Roman" w:eastAsia="仿宋_GB2312" w:cs="Times New Roman"/>
                <w:b/>
                <w:bCs/>
                <w:snapToGrid w:val="0"/>
                <w:color w:val="auto"/>
                <w:kern w:val="0"/>
                <w:sz w:val="24"/>
                <w:szCs w:val="24"/>
                <w:lang w:eastAsia="zh-Hans"/>
              </w:rPr>
              <w:t>1.总则</w:t>
            </w:r>
          </w:p>
          <w:p>
            <w:pPr>
              <w:widowControl/>
              <w:adjustRightInd w:val="0"/>
              <w:snapToGrid w:val="0"/>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Cs/>
                <w:snapToGrid w:val="0"/>
                <w:color w:val="auto"/>
                <w:kern w:val="0"/>
                <w:sz w:val="24"/>
                <w:szCs w:val="24"/>
                <w:lang w:eastAsia="zh-Hans"/>
              </w:rPr>
              <w:t>目的、依据、相关文件、适用范围、背景说明</w:t>
            </w:r>
          </w:p>
          <w:p>
            <w:pPr>
              <w:widowControl/>
              <w:adjustRightInd w:val="0"/>
              <w:snapToGrid w:val="0"/>
              <w:rPr>
                <w:rFonts w:ascii="Times New Roman" w:hAnsi="Times New Roman" w:eastAsia="仿宋_GB2312" w:cs="Times New Roman"/>
                <w:b/>
                <w:bCs/>
                <w:snapToGrid w:val="0"/>
                <w:color w:val="auto"/>
                <w:kern w:val="0"/>
                <w:sz w:val="24"/>
                <w:szCs w:val="24"/>
                <w:lang w:eastAsia="zh-Hans"/>
              </w:rPr>
            </w:pPr>
            <w:r>
              <w:rPr>
                <w:rFonts w:hint="eastAsia" w:ascii="Times New Roman" w:hAnsi="Times New Roman" w:eastAsia="仿宋_GB2312" w:cs="Times New Roman"/>
                <w:b/>
                <w:bCs/>
                <w:snapToGrid w:val="0"/>
                <w:color w:val="auto"/>
                <w:kern w:val="0"/>
                <w:sz w:val="24"/>
                <w:szCs w:val="24"/>
                <w:lang w:eastAsia="zh-Hans"/>
              </w:rPr>
              <w:t>2.一般规定</w:t>
            </w:r>
          </w:p>
          <w:p>
            <w:pPr>
              <w:widowControl/>
              <w:adjustRightInd w:val="0"/>
              <w:snapToGrid w:val="0"/>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Cs/>
                <w:snapToGrid w:val="0"/>
                <w:color w:val="auto"/>
                <w:kern w:val="0"/>
                <w:sz w:val="24"/>
                <w:szCs w:val="24"/>
                <w:lang w:eastAsia="zh-Hans"/>
              </w:rPr>
              <w:t>基于风险的安全评定原则、局方职责、申请人的要求、按照安全评定要求取得特殊适航证的有效期</w:t>
            </w:r>
          </w:p>
          <w:p>
            <w:pPr>
              <w:widowControl/>
              <w:adjustRightInd w:val="0"/>
              <w:snapToGrid w:val="0"/>
              <w:rPr>
                <w:rFonts w:ascii="Times New Roman" w:hAnsi="Times New Roman" w:eastAsia="仿宋_GB2312" w:cs="Times New Roman"/>
                <w:b/>
                <w:bCs/>
                <w:snapToGrid w:val="0"/>
                <w:color w:val="auto"/>
                <w:kern w:val="0"/>
                <w:sz w:val="24"/>
                <w:szCs w:val="24"/>
                <w:lang w:eastAsia="zh-Hans"/>
              </w:rPr>
            </w:pPr>
            <w:r>
              <w:rPr>
                <w:rFonts w:hint="eastAsia" w:ascii="Times New Roman" w:hAnsi="Times New Roman" w:eastAsia="仿宋_GB2312" w:cs="Times New Roman"/>
                <w:b/>
                <w:bCs/>
                <w:snapToGrid w:val="0"/>
                <w:color w:val="auto"/>
                <w:kern w:val="0"/>
                <w:sz w:val="24"/>
                <w:szCs w:val="24"/>
                <w:lang w:eastAsia="zh-Hans"/>
              </w:rPr>
              <w:t>3.安全评定流程</w:t>
            </w:r>
          </w:p>
          <w:p>
            <w:pPr>
              <w:widowControl/>
              <w:adjustRightInd w:val="0"/>
              <w:snapToGrid w:val="0"/>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Cs/>
                <w:snapToGrid w:val="0"/>
                <w:color w:val="auto"/>
                <w:kern w:val="0"/>
                <w:sz w:val="24"/>
                <w:szCs w:val="24"/>
                <w:lang w:eastAsia="zh-Hans"/>
              </w:rPr>
              <w:t>设计定型的证明材料、安全评定要求、无人驾驶航空器系统安全评定报告、按照安全评定要求取得特殊适航证的使用限制</w:t>
            </w:r>
          </w:p>
          <w:p>
            <w:pPr>
              <w:widowControl/>
              <w:adjustRightInd w:val="0"/>
              <w:snapToGrid w:val="0"/>
              <w:rPr>
                <w:rFonts w:ascii="Times New Roman" w:hAnsi="Times New Roman" w:eastAsia="仿宋_GB2312" w:cs="Times New Roman"/>
                <w:b/>
                <w:bCs/>
                <w:snapToGrid w:val="0"/>
                <w:color w:val="auto"/>
                <w:kern w:val="0"/>
                <w:sz w:val="24"/>
                <w:szCs w:val="24"/>
                <w:lang w:eastAsia="zh-Hans"/>
              </w:rPr>
            </w:pPr>
            <w:r>
              <w:rPr>
                <w:rFonts w:hint="eastAsia" w:ascii="Times New Roman" w:hAnsi="Times New Roman" w:eastAsia="仿宋_GB2312" w:cs="Times New Roman"/>
                <w:b/>
                <w:bCs/>
                <w:snapToGrid w:val="0"/>
                <w:color w:val="auto"/>
                <w:kern w:val="0"/>
                <w:sz w:val="24"/>
                <w:szCs w:val="24"/>
                <w:lang w:eastAsia="zh-Hans"/>
              </w:rPr>
              <w:t>4.安全评定试验要求</w:t>
            </w:r>
          </w:p>
          <w:p>
            <w:pPr>
              <w:widowControl/>
              <w:adjustRightInd w:val="0"/>
              <w:snapToGrid w:val="0"/>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Cs/>
                <w:snapToGrid w:val="0"/>
                <w:color w:val="auto"/>
                <w:kern w:val="0"/>
                <w:sz w:val="24"/>
                <w:szCs w:val="24"/>
                <w:lang w:eastAsia="zh-Hans"/>
              </w:rPr>
              <w:t>环境要求、场地要求、操控员要求、试飞数据精度和设备要求、试飞大纲和试飞报告要求、试飞组织和安全管理</w:t>
            </w:r>
          </w:p>
          <w:p>
            <w:pPr>
              <w:widowControl/>
              <w:adjustRightInd w:val="0"/>
              <w:snapToGrid w:val="0"/>
              <w:rPr>
                <w:rFonts w:ascii="Times New Roman" w:hAnsi="Times New Roman" w:eastAsia="仿宋_GB2312" w:cs="Times New Roman"/>
                <w:b/>
                <w:bCs/>
                <w:snapToGrid w:val="0"/>
                <w:color w:val="auto"/>
                <w:kern w:val="0"/>
                <w:sz w:val="24"/>
                <w:szCs w:val="24"/>
                <w:lang w:eastAsia="zh-Hans"/>
              </w:rPr>
            </w:pPr>
            <w:r>
              <w:rPr>
                <w:rFonts w:hint="eastAsia" w:ascii="Times New Roman" w:hAnsi="Times New Roman" w:eastAsia="仿宋_GB2312" w:cs="Times New Roman"/>
                <w:b/>
                <w:bCs/>
                <w:snapToGrid w:val="0"/>
                <w:color w:val="auto"/>
                <w:kern w:val="0"/>
                <w:sz w:val="24"/>
                <w:szCs w:val="24"/>
                <w:lang w:eastAsia="zh-Hans"/>
              </w:rPr>
              <w:t>5.Ⅳ级无人驾驶航空器安全评定科目</w:t>
            </w:r>
          </w:p>
          <w:p>
            <w:pPr>
              <w:widowControl/>
              <w:adjustRightInd w:val="0"/>
              <w:snapToGrid w:val="0"/>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Cs/>
                <w:snapToGrid w:val="0"/>
                <w:color w:val="auto"/>
                <w:kern w:val="0"/>
                <w:sz w:val="24"/>
                <w:szCs w:val="24"/>
                <w:lang w:eastAsia="zh-Hans"/>
              </w:rPr>
              <w:t>基本试飞科目、耐久性飞行试验、特定飞行试验科目</w:t>
            </w:r>
          </w:p>
          <w:p>
            <w:pPr>
              <w:widowControl/>
              <w:adjustRightInd w:val="0"/>
              <w:snapToGrid w:val="0"/>
              <w:rPr>
                <w:rFonts w:ascii="Times New Roman" w:hAnsi="Times New Roman" w:eastAsia="仿宋_GB2312" w:cs="Times New Roman"/>
                <w:b/>
                <w:bCs/>
                <w:snapToGrid w:val="0"/>
                <w:color w:val="auto"/>
                <w:kern w:val="0"/>
                <w:sz w:val="24"/>
                <w:szCs w:val="24"/>
                <w:lang w:eastAsia="zh-Hans"/>
              </w:rPr>
            </w:pPr>
            <w:r>
              <w:rPr>
                <w:rFonts w:hint="eastAsia" w:ascii="Times New Roman" w:hAnsi="Times New Roman" w:eastAsia="仿宋_GB2312" w:cs="Times New Roman"/>
                <w:b/>
                <w:bCs/>
                <w:snapToGrid w:val="0"/>
                <w:color w:val="auto"/>
                <w:kern w:val="0"/>
                <w:sz w:val="24"/>
                <w:szCs w:val="24"/>
                <w:lang w:eastAsia="zh-Hans"/>
              </w:rPr>
              <w:t>6.Ⅰ至Ⅲ级旋翼航空器安全评定科目</w:t>
            </w:r>
          </w:p>
          <w:p>
            <w:pPr>
              <w:widowControl/>
              <w:adjustRightInd w:val="0"/>
              <w:snapToGrid w:val="0"/>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Cs/>
                <w:snapToGrid w:val="0"/>
                <w:color w:val="auto"/>
                <w:kern w:val="0"/>
                <w:sz w:val="24"/>
                <w:szCs w:val="24"/>
                <w:lang w:eastAsia="zh-Hans"/>
              </w:rPr>
              <w:t>基本试飞科目、耐久性飞行试验、特定飞行试验科目</w:t>
            </w:r>
          </w:p>
          <w:p>
            <w:pPr>
              <w:widowControl/>
              <w:adjustRightInd w:val="0"/>
              <w:snapToGrid w:val="0"/>
              <w:rPr>
                <w:rFonts w:ascii="Times New Roman" w:hAnsi="Times New Roman" w:eastAsia="仿宋_GB2312" w:cs="Times New Roman"/>
                <w:b/>
                <w:bCs/>
                <w:snapToGrid w:val="0"/>
                <w:color w:val="auto"/>
                <w:kern w:val="0"/>
                <w:sz w:val="24"/>
                <w:szCs w:val="24"/>
                <w:lang w:eastAsia="zh-Hans"/>
              </w:rPr>
            </w:pPr>
            <w:r>
              <w:rPr>
                <w:rFonts w:hint="eastAsia" w:ascii="Times New Roman" w:hAnsi="Times New Roman" w:eastAsia="仿宋_GB2312" w:cs="Times New Roman"/>
                <w:b/>
                <w:bCs/>
                <w:snapToGrid w:val="0"/>
                <w:color w:val="auto"/>
                <w:kern w:val="0"/>
                <w:sz w:val="24"/>
                <w:szCs w:val="24"/>
                <w:lang w:eastAsia="zh-Hans"/>
              </w:rPr>
              <w:t>7.Ⅰ至Ⅲ级固定翼航空器安全评定科目</w:t>
            </w:r>
          </w:p>
          <w:p>
            <w:pPr>
              <w:widowControl/>
              <w:adjustRightInd w:val="0"/>
              <w:snapToGrid w:val="0"/>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Cs/>
                <w:snapToGrid w:val="0"/>
                <w:color w:val="auto"/>
                <w:kern w:val="0"/>
                <w:sz w:val="24"/>
                <w:szCs w:val="24"/>
                <w:lang w:eastAsia="zh-Hans"/>
              </w:rPr>
              <w:t>基本试飞科目、耐久性飞行试验、特定飞行试验科目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416" w:type="dxa"/>
          </w:tcPr>
          <w:p>
            <w:pPr>
              <w:widowControl/>
              <w:adjustRightInd w:val="0"/>
              <w:snapToGrid w:val="0"/>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Cs/>
                <w:snapToGrid w:val="0"/>
                <w:color w:val="auto"/>
                <w:kern w:val="0"/>
                <w:sz w:val="24"/>
                <w:szCs w:val="24"/>
                <w:lang w:eastAsia="zh-Hans"/>
              </w:rPr>
              <w:t>2024-</w:t>
            </w:r>
            <w:r>
              <w:rPr>
                <w:rFonts w:hint="eastAsia" w:ascii="Times New Roman" w:hAnsi="Times New Roman" w:eastAsia="仿宋_GB2312" w:cs="Times New Roman"/>
                <w:bCs/>
                <w:snapToGrid w:val="0"/>
                <w:color w:val="auto"/>
                <w:kern w:val="0"/>
                <w:sz w:val="24"/>
                <w:szCs w:val="24"/>
              </w:rPr>
              <w:t>07</w:t>
            </w:r>
            <w:r>
              <w:rPr>
                <w:rFonts w:hint="eastAsia" w:ascii="Times New Roman" w:hAnsi="Times New Roman" w:eastAsia="仿宋_GB2312" w:cs="Times New Roman"/>
                <w:bCs/>
                <w:snapToGrid w:val="0"/>
                <w:color w:val="auto"/>
                <w:kern w:val="0"/>
                <w:sz w:val="24"/>
                <w:szCs w:val="24"/>
                <w:lang w:eastAsia="zh-Hans"/>
              </w:rPr>
              <w:t>-</w:t>
            </w:r>
            <w:r>
              <w:rPr>
                <w:rFonts w:hint="eastAsia" w:ascii="Times New Roman" w:hAnsi="Times New Roman" w:eastAsia="仿宋_GB2312" w:cs="Times New Roman"/>
                <w:bCs/>
                <w:snapToGrid w:val="0"/>
                <w:color w:val="auto"/>
                <w:kern w:val="0"/>
                <w:sz w:val="24"/>
                <w:szCs w:val="24"/>
              </w:rPr>
              <w:t>23</w:t>
            </w:r>
          </w:p>
        </w:tc>
        <w:tc>
          <w:tcPr>
            <w:tcW w:w="1316" w:type="dxa"/>
          </w:tcPr>
          <w:p>
            <w:pPr>
              <w:widowControl/>
              <w:adjustRightInd w:val="0"/>
              <w:snapToGrid w:val="0"/>
              <w:jc w:val="center"/>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Cs/>
                <w:snapToGrid w:val="0"/>
                <w:color w:val="auto"/>
                <w:kern w:val="0"/>
                <w:sz w:val="24"/>
                <w:szCs w:val="24"/>
                <w:lang w:eastAsia="zh-Hans"/>
              </w:rPr>
              <w:t>民航适函〔2024〕</w:t>
            </w:r>
            <w:r>
              <w:rPr>
                <w:rFonts w:hint="eastAsia" w:ascii="Times New Roman" w:hAnsi="Times New Roman" w:eastAsia="仿宋_GB2312" w:cs="Times New Roman"/>
                <w:bCs/>
                <w:snapToGrid w:val="0"/>
                <w:color w:val="auto"/>
                <w:kern w:val="0"/>
                <w:sz w:val="24"/>
                <w:szCs w:val="24"/>
              </w:rPr>
              <w:t>52</w:t>
            </w:r>
            <w:r>
              <w:rPr>
                <w:rFonts w:hint="eastAsia" w:ascii="Times New Roman" w:hAnsi="Times New Roman" w:eastAsia="仿宋_GB2312" w:cs="Times New Roman"/>
                <w:bCs/>
                <w:snapToGrid w:val="0"/>
                <w:color w:val="auto"/>
                <w:kern w:val="0"/>
                <w:sz w:val="24"/>
                <w:szCs w:val="24"/>
                <w:lang w:eastAsia="zh-Hans"/>
              </w:rPr>
              <w:t>号</w:t>
            </w:r>
          </w:p>
        </w:tc>
        <w:tc>
          <w:tcPr>
            <w:tcW w:w="1391" w:type="dxa"/>
          </w:tcPr>
          <w:p>
            <w:pPr>
              <w:widowControl/>
              <w:adjustRightInd w:val="0"/>
              <w:snapToGrid w:val="0"/>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Cs/>
                <w:snapToGrid w:val="0"/>
                <w:color w:val="auto"/>
                <w:kern w:val="0"/>
                <w:sz w:val="24"/>
                <w:szCs w:val="24"/>
                <w:lang w:eastAsia="zh-Hans"/>
              </w:rPr>
              <w:t>中型民用无人驾驶航空器系统适航标准及符合性指导材料（试行）</w:t>
            </w:r>
          </w:p>
        </w:tc>
        <w:tc>
          <w:tcPr>
            <w:tcW w:w="4791" w:type="dxa"/>
          </w:tcPr>
          <w:p>
            <w:pPr>
              <w:widowControl/>
              <w:adjustRightInd w:val="0"/>
              <w:snapToGrid w:val="0"/>
              <w:rPr>
                <w:rFonts w:ascii="Times New Roman" w:hAnsi="Times New Roman" w:eastAsia="仿宋_GB2312" w:cs="Times New Roman"/>
                <w:b/>
                <w:bCs/>
                <w:snapToGrid w:val="0"/>
                <w:color w:val="auto"/>
                <w:kern w:val="0"/>
                <w:sz w:val="24"/>
                <w:szCs w:val="24"/>
                <w:lang w:eastAsia="zh-Hans"/>
              </w:rPr>
            </w:pPr>
            <w:r>
              <w:rPr>
                <w:rFonts w:hint="eastAsia" w:ascii="Times New Roman" w:hAnsi="Times New Roman" w:eastAsia="仿宋_GB2312" w:cs="Times New Roman"/>
                <w:b/>
                <w:bCs/>
                <w:snapToGrid w:val="0"/>
                <w:color w:val="auto"/>
                <w:kern w:val="0"/>
                <w:sz w:val="24"/>
                <w:szCs w:val="24"/>
                <w:lang w:eastAsia="zh-Hans"/>
              </w:rPr>
              <w:t>1.总则</w:t>
            </w:r>
          </w:p>
          <w:p>
            <w:pPr>
              <w:widowControl/>
              <w:adjustRightInd w:val="0"/>
              <w:snapToGrid w:val="0"/>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Cs/>
                <w:snapToGrid w:val="0"/>
                <w:color w:val="auto"/>
                <w:kern w:val="0"/>
                <w:sz w:val="24"/>
                <w:szCs w:val="24"/>
                <w:lang w:eastAsia="zh-Hans"/>
              </w:rPr>
              <w:t>目的、依据文件、适用范围、相关文件</w:t>
            </w:r>
          </w:p>
          <w:p>
            <w:pPr>
              <w:widowControl/>
              <w:adjustRightInd w:val="0"/>
              <w:snapToGrid w:val="0"/>
              <w:rPr>
                <w:rFonts w:ascii="Times New Roman" w:hAnsi="Times New Roman" w:eastAsia="仿宋_GB2312" w:cs="Times New Roman"/>
                <w:b/>
                <w:bCs/>
                <w:snapToGrid w:val="0"/>
                <w:color w:val="auto"/>
                <w:kern w:val="0"/>
                <w:sz w:val="24"/>
                <w:szCs w:val="24"/>
                <w:lang w:eastAsia="zh-Hans"/>
              </w:rPr>
            </w:pPr>
            <w:r>
              <w:rPr>
                <w:rFonts w:hint="eastAsia" w:ascii="Times New Roman" w:hAnsi="Times New Roman" w:eastAsia="仿宋_GB2312" w:cs="Times New Roman"/>
                <w:b/>
                <w:bCs/>
                <w:snapToGrid w:val="0"/>
                <w:color w:val="auto"/>
                <w:kern w:val="0"/>
                <w:sz w:val="24"/>
                <w:szCs w:val="24"/>
                <w:lang w:eastAsia="zh-Hans"/>
              </w:rPr>
              <w:t>2.适航标准</w:t>
            </w:r>
          </w:p>
          <w:p>
            <w:pPr>
              <w:widowControl/>
              <w:adjustRightInd w:val="0"/>
              <w:snapToGrid w:val="0"/>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Cs/>
                <w:snapToGrid w:val="0"/>
                <w:color w:val="auto"/>
                <w:kern w:val="0"/>
                <w:sz w:val="24"/>
                <w:szCs w:val="24"/>
              </w:rPr>
              <w:t>设计特征和使用场景说明、整机要求、系统与设备要求、使用限制和资料</w:t>
            </w:r>
          </w:p>
          <w:p>
            <w:pPr>
              <w:widowControl/>
              <w:adjustRightInd w:val="0"/>
              <w:snapToGrid w:val="0"/>
              <w:rPr>
                <w:rFonts w:ascii="Times New Roman" w:hAnsi="Times New Roman" w:eastAsia="仿宋_GB2312" w:cs="Times New Roman"/>
                <w:b/>
                <w:bCs/>
                <w:snapToGrid w:val="0"/>
                <w:color w:val="auto"/>
                <w:kern w:val="0"/>
                <w:sz w:val="24"/>
                <w:szCs w:val="24"/>
                <w:lang w:eastAsia="zh-Hans"/>
              </w:rPr>
            </w:pPr>
            <w:r>
              <w:rPr>
                <w:rFonts w:hint="eastAsia" w:ascii="Times New Roman" w:hAnsi="Times New Roman" w:eastAsia="仿宋_GB2312" w:cs="Times New Roman"/>
                <w:b/>
                <w:bCs/>
                <w:snapToGrid w:val="0"/>
                <w:color w:val="auto"/>
                <w:kern w:val="0"/>
                <w:sz w:val="24"/>
                <w:szCs w:val="24"/>
                <w:lang w:eastAsia="zh-Hans"/>
              </w:rPr>
              <w:t>3.符合性指导材料</w:t>
            </w:r>
          </w:p>
          <w:p>
            <w:pPr>
              <w:widowControl/>
              <w:adjustRightInd w:val="0"/>
              <w:snapToGrid w:val="0"/>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Cs/>
                <w:snapToGrid w:val="0"/>
                <w:color w:val="auto"/>
                <w:kern w:val="0"/>
                <w:sz w:val="24"/>
                <w:szCs w:val="24"/>
                <w:lang w:eastAsia="zh-Hans"/>
              </w:rPr>
              <w:t>总则、无人驾驶航空器系统符合性检查清单、工程评估验证、实验室验证、飞行试验验证、可靠性和耐久性试验</w:t>
            </w:r>
          </w:p>
        </w:tc>
      </w:tr>
    </w:tbl>
    <w:p>
      <w:pPr>
        <w:widowControl/>
        <w:adjustRightInd w:val="0"/>
        <w:snapToGrid w:val="0"/>
        <w:rPr>
          <w:rFonts w:ascii="Times New Roman" w:hAnsi="Times New Roman" w:eastAsia="宋体" w:cs="Times New Roman"/>
          <w:bCs/>
          <w:snapToGrid w:val="0"/>
          <w:color w:val="auto"/>
          <w:kern w:val="0"/>
          <w:sz w:val="24"/>
          <w:szCs w:val="24"/>
          <w:lang w:eastAsia="zh-Hans" w:bidi="ar"/>
        </w:rPr>
      </w:pPr>
    </w:p>
    <w:p>
      <w:pPr>
        <w:widowControl/>
        <w:adjustRightInd w:val="0"/>
        <w:snapToGrid w:val="0"/>
        <w:spacing w:line="600" w:lineRule="exact"/>
        <w:ind w:firstLine="640" w:firstLineChars="200"/>
        <w:rPr>
          <w:rFonts w:ascii="Times New Roman" w:hAnsi="Times New Roman" w:eastAsia="黑体" w:cs="Times New Roman"/>
          <w:bCs/>
          <w:snapToGrid w:val="0"/>
          <w:color w:val="auto"/>
          <w:kern w:val="0"/>
          <w:sz w:val="32"/>
          <w:szCs w:val="32"/>
          <w:lang w:bidi="ar"/>
        </w:rPr>
      </w:pPr>
      <w:r>
        <w:rPr>
          <w:rFonts w:hint="eastAsia" w:ascii="Times New Roman" w:hAnsi="Times New Roman" w:eastAsia="黑体" w:cs="Times New Roman"/>
          <w:bCs/>
          <w:snapToGrid w:val="0"/>
          <w:color w:val="auto"/>
          <w:kern w:val="0"/>
          <w:sz w:val="32"/>
          <w:szCs w:val="32"/>
          <w:lang w:bidi="ar"/>
        </w:rPr>
        <w:t>四、现行适航标准及专用条件</w:t>
      </w:r>
    </w:p>
    <w:p>
      <w:pPr>
        <w:widowControl/>
        <w:adjustRightInd w:val="0"/>
        <w:snapToGrid w:val="0"/>
        <w:spacing w:line="600" w:lineRule="exact"/>
        <w:jc w:val="center"/>
        <w:rPr>
          <w:rFonts w:ascii="Times New Roman" w:hAnsi="Times New Roman" w:eastAsia="楷体_GB2312" w:cs="Times New Roman"/>
          <w:bCs/>
          <w:snapToGrid w:val="0"/>
          <w:color w:val="auto"/>
          <w:kern w:val="0"/>
          <w:sz w:val="24"/>
          <w:szCs w:val="24"/>
          <w:lang w:eastAsia="zh-Hans" w:bidi="ar"/>
        </w:rPr>
      </w:pPr>
      <w:r>
        <w:rPr>
          <w:rFonts w:hint="eastAsia" w:ascii="Times New Roman" w:hAnsi="Times New Roman" w:eastAsia="楷体_GB2312" w:cs="Times New Roman"/>
          <w:bCs/>
          <w:snapToGrid w:val="0"/>
          <w:color w:val="auto"/>
          <w:kern w:val="0"/>
          <w:sz w:val="24"/>
          <w:szCs w:val="24"/>
          <w:lang w:eastAsia="zh-Hans" w:bidi="ar"/>
        </w:rPr>
        <w:t>附表</w:t>
      </w:r>
      <w:r>
        <w:rPr>
          <w:rFonts w:hint="eastAsia" w:ascii="Times New Roman" w:hAnsi="Times New Roman" w:eastAsia="楷体_GB2312" w:cs="Times New Roman"/>
          <w:bCs/>
          <w:snapToGrid w:val="0"/>
          <w:color w:val="auto"/>
          <w:kern w:val="0"/>
          <w:sz w:val="24"/>
          <w:szCs w:val="24"/>
          <w:lang w:bidi="ar"/>
        </w:rPr>
        <w:t>6-3</w:t>
      </w:r>
      <w:r>
        <w:rPr>
          <w:rFonts w:hint="eastAsia" w:ascii="Times New Roman" w:hAnsi="Times New Roman" w:eastAsia="楷体_GB2312" w:cs="Times New Roman"/>
          <w:bCs/>
          <w:snapToGrid w:val="0"/>
          <w:color w:val="auto"/>
          <w:kern w:val="0"/>
          <w:sz w:val="24"/>
          <w:szCs w:val="24"/>
          <w:lang w:eastAsia="zh-Hans" w:bidi="ar"/>
        </w:rPr>
        <w:t xml:space="preserve">  已颁布无人机适航标准及专用条件</w:t>
      </w:r>
    </w:p>
    <w:tbl>
      <w:tblPr>
        <w:tblStyle w:val="40"/>
        <w:tblW w:w="904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
        <w:gridCol w:w="1191"/>
        <w:gridCol w:w="1247"/>
        <w:gridCol w:w="964"/>
        <w:gridCol w:w="1531"/>
        <w:gridCol w:w="26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417" w:type="dxa"/>
            <w:vAlign w:val="center"/>
          </w:tcPr>
          <w:p>
            <w:pPr>
              <w:widowControl/>
              <w:adjustRightInd w:val="0"/>
              <w:snapToGrid w:val="0"/>
              <w:jc w:val="center"/>
              <w:rPr>
                <w:rFonts w:ascii="Times New Roman" w:hAnsi="Times New Roman" w:eastAsia="黑体" w:cs="Times New Roman"/>
                <w:bCs/>
                <w:snapToGrid w:val="0"/>
                <w:color w:val="auto"/>
                <w:kern w:val="0"/>
                <w:sz w:val="24"/>
                <w:szCs w:val="24"/>
                <w:lang w:eastAsia="zh-Hans"/>
              </w:rPr>
            </w:pPr>
            <w:r>
              <w:rPr>
                <w:rFonts w:hint="eastAsia" w:ascii="Times New Roman" w:hAnsi="Times New Roman" w:eastAsia="黑体" w:cs="Times New Roman"/>
                <w:bCs/>
                <w:snapToGrid w:val="0"/>
                <w:color w:val="auto"/>
                <w:kern w:val="0"/>
                <w:sz w:val="24"/>
                <w:szCs w:val="24"/>
                <w:lang w:eastAsia="zh-Hans"/>
              </w:rPr>
              <w:t>颁布日期</w:t>
            </w:r>
          </w:p>
        </w:tc>
        <w:tc>
          <w:tcPr>
            <w:tcW w:w="1191" w:type="dxa"/>
            <w:vAlign w:val="center"/>
          </w:tcPr>
          <w:p>
            <w:pPr>
              <w:widowControl/>
              <w:adjustRightInd w:val="0"/>
              <w:snapToGrid w:val="0"/>
              <w:jc w:val="left"/>
              <w:rPr>
                <w:rFonts w:ascii="Times New Roman" w:hAnsi="Times New Roman" w:eastAsia="黑体" w:cs="Times New Roman"/>
                <w:bCs/>
                <w:snapToGrid w:val="0"/>
                <w:color w:val="auto"/>
                <w:w w:val="90"/>
                <w:kern w:val="0"/>
                <w:sz w:val="24"/>
                <w:szCs w:val="24"/>
              </w:rPr>
            </w:pPr>
            <w:r>
              <w:rPr>
                <w:rFonts w:hint="eastAsia" w:ascii="Times New Roman" w:hAnsi="Times New Roman" w:eastAsia="黑体" w:cs="Times New Roman"/>
                <w:bCs/>
                <w:snapToGrid w:val="0"/>
                <w:color w:val="auto"/>
                <w:w w:val="90"/>
                <w:kern w:val="0"/>
                <w:sz w:val="24"/>
                <w:szCs w:val="24"/>
                <w:lang w:eastAsia="zh-Hans"/>
              </w:rPr>
              <w:t>文号|</w:t>
            </w:r>
            <w:r>
              <w:rPr>
                <w:rFonts w:hint="eastAsia" w:ascii="Times New Roman" w:hAnsi="Times New Roman" w:eastAsia="黑体" w:cs="Times New Roman"/>
                <w:bCs/>
                <w:snapToGrid w:val="0"/>
                <w:color w:val="auto"/>
                <w:w w:val="90"/>
                <w:kern w:val="0"/>
                <w:sz w:val="24"/>
                <w:szCs w:val="24"/>
              </w:rPr>
              <w:t>编号</w:t>
            </w:r>
          </w:p>
        </w:tc>
        <w:tc>
          <w:tcPr>
            <w:tcW w:w="1247" w:type="dxa"/>
            <w:vAlign w:val="center"/>
          </w:tcPr>
          <w:p>
            <w:pPr>
              <w:widowControl/>
              <w:adjustRightInd w:val="0"/>
              <w:snapToGrid w:val="0"/>
              <w:jc w:val="left"/>
              <w:rPr>
                <w:rFonts w:ascii="Times New Roman" w:hAnsi="Times New Roman" w:eastAsia="黑体" w:cs="Times New Roman"/>
                <w:bCs/>
                <w:snapToGrid w:val="0"/>
                <w:color w:val="auto"/>
                <w:kern w:val="0"/>
                <w:sz w:val="24"/>
                <w:szCs w:val="24"/>
                <w:lang w:eastAsia="zh-Hans"/>
              </w:rPr>
            </w:pPr>
            <w:r>
              <w:rPr>
                <w:rFonts w:hint="eastAsia" w:ascii="Times New Roman" w:hAnsi="Times New Roman" w:eastAsia="黑体" w:cs="Times New Roman"/>
                <w:bCs/>
                <w:snapToGrid w:val="0"/>
                <w:color w:val="auto"/>
                <w:kern w:val="0"/>
                <w:sz w:val="24"/>
                <w:szCs w:val="24"/>
                <w:lang w:eastAsia="zh-Hans"/>
              </w:rPr>
              <w:t>文件名称</w:t>
            </w:r>
          </w:p>
        </w:tc>
        <w:tc>
          <w:tcPr>
            <w:tcW w:w="964" w:type="dxa"/>
            <w:vAlign w:val="center"/>
          </w:tcPr>
          <w:p>
            <w:pPr>
              <w:widowControl/>
              <w:adjustRightInd w:val="0"/>
              <w:snapToGrid w:val="0"/>
              <w:jc w:val="center"/>
              <w:rPr>
                <w:rFonts w:ascii="Times New Roman" w:hAnsi="Times New Roman" w:eastAsia="黑体" w:cs="Times New Roman"/>
                <w:bCs/>
                <w:snapToGrid w:val="0"/>
                <w:color w:val="auto"/>
                <w:kern w:val="0"/>
                <w:sz w:val="24"/>
                <w:szCs w:val="24"/>
                <w:lang w:eastAsia="zh-Hans"/>
              </w:rPr>
            </w:pPr>
            <w:r>
              <w:rPr>
                <w:rFonts w:hint="eastAsia" w:ascii="Times New Roman" w:hAnsi="Times New Roman" w:eastAsia="黑体" w:cs="Times New Roman"/>
                <w:bCs/>
                <w:snapToGrid w:val="0"/>
                <w:color w:val="auto"/>
                <w:kern w:val="0"/>
                <w:sz w:val="24"/>
                <w:szCs w:val="24"/>
                <w:lang w:eastAsia="zh-Hans"/>
              </w:rPr>
              <w:t>申请人</w:t>
            </w:r>
          </w:p>
        </w:tc>
        <w:tc>
          <w:tcPr>
            <w:tcW w:w="1531" w:type="dxa"/>
            <w:vAlign w:val="center"/>
          </w:tcPr>
          <w:p>
            <w:pPr>
              <w:widowControl/>
              <w:adjustRightInd w:val="0"/>
              <w:snapToGrid w:val="0"/>
              <w:jc w:val="center"/>
              <w:rPr>
                <w:rFonts w:ascii="Times New Roman" w:hAnsi="Times New Roman" w:eastAsia="黑体" w:cs="Times New Roman"/>
                <w:bCs/>
                <w:snapToGrid w:val="0"/>
                <w:color w:val="auto"/>
                <w:kern w:val="0"/>
                <w:sz w:val="24"/>
                <w:szCs w:val="24"/>
                <w:lang w:eastAsia="zh-Hans"/>
              </w:rPr>
            </w:pPr>
            <w:r>
              <w:rPr>
                <w:rFonts w:hint="eastAsia" w:ascii="Times New Roman" w:hAnsi="Times New Roman" w:eastAsia="黑体" w:cs="Times New Roman"/>
                <w:bCs/>
                <w:snapToGrid w:val="0"/>
                <w:color w:val="auto"/>
                <w:kern w:val="0"/>
                <w:sz w:val="24"/>
                <w:szCs w:val="24"/>
                <w:lang w:eastAsia="zh-Hans"/>
              </w:rPr>
              <w:t>适用机型</w:t>
            </w:r>
          </w:p>
        </w:tc>
        <w:tc>
          <w:tcPr>
            <w:tcW w:w="2693" w:type="dxa"/>
            <w:vAlign w:val="center"/>
          </w:tcPr>
          <w:p>
            <w:pPr>
              <w:widowControl/>
              <w:adjustRightInd w:val="0"/>
              <w:snapToGrid w:val="0"/>
              <w:jc w:val="center"/>
              <w:rPr>
                <w:rFonts w:ascii="Times New Roman" w:hAnsi="Times New Roman" w:eastAsia="黑体" w:cs="Times New Roman"/>
                <w:bCs/>
                <w:snapToGrid w:val="0"/>
                <w:color w:val="auto"/>
                <w:kern w:val="0"/>
                <w:sz w:val="24"/>
                <w:szCs w:val="24"/>
                <w:lang w:eastAsia="zh-Hans"/>
              </w:rPr>
            </w:pPr>
            <w:r>
              <w:rPr>
                <w:rFonts w:hint="eastAsia" w:ascii="Times New Roman" w:hAnsi="Times New Roman" w:eastAsia="黑体" w:cs="Times New Roman"/>
                <w:bCs/>
                <w:snapToGrid w:val="0"/>
                <w:color w:val="auto"/>
                <w:kern w:val="0"/>
                <w:sz w:val="24"/>
                <w:szCs w:val="24"/>
                <w:lang w:eastAsia="zh-Hans"/>
              </w:rPr>
              <w:t>主要内容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417" w:type="dxa"/>
          </w:tcPr>
          <w:p>
            <w:pPr>
              <w:widowControl/>
              <w:adjustRightInd w:val="0"/>
              <w:snapToGrid w:val="0"/>
              <w:jc w:val="center"/>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Cs/>
                <w:snapToGrid w:val="0"/>
                <w:color w:val="auto"/>
                <w:kern w:val="0"/>
                <w:sz w:val="24"/>
                <w:szCs w:val="24"/>
                <w:lang w:eastAsia="zh-Hans"/>
              </w:rPr>
              <w:t>2020-1-20</w:t>
            </w:r>
          </w:p>
        </w:tc>
        <w:tc>
          <w:tcPr>
            <w:tcW w:w="1191" w:type="dxa"/>
          </w:tcPr>
          <w:p>
            <w:pPr>
              <w:widowControl/>
              <w:adjustRightInd w:val="0"/>
              <w:snapToGrid w:val="0"/>
              <w:jc w:val="left"/>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Cs/>
                <w:snapToGrid w:val="0"/>
                <w:color w:val="auto"/>
                <w:kern w:val="0"/>
                <w:sz w:val="24"/>
                <w:szCs w:val="24"/>
                <w:lang w:eastAsia="zh-Hans"/>
              </w:rPr>
              <w:t>民航适发〔2020〕1号</w:t>
            </w:r>
          </w:p>
        </w:tc>
        <w:tc>
          <w:tcPr>
            <w:tcW w:w="1247" w:type="dxa"/>
          </w:tcPr>
          <w:p>
            <w:pPr>
              <w:widowControl/>
              <w:adjustRightInd w:val="0"/>
              <w:snapToGrid w:val="0"/>
              <w:jc w:val="left"/>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Cs/>
                <w:snapToGrid w:val="0"/>
                <w:color w:val="auto"/>
                <w:kern w:val="0"/>
                <w:sz w:val="24"/>
                <w:szCs w:val="24"/>
                <w:lang w:eastAsia="zh-Hans"/>
              </w:rPr>
              <w:t>高风险货运固定翼无人机系统适航标准（试行）</w:t>
            </w:r>
          </w:p>
        </w:tc>
        <w:tc>
          <w:tcPr>
            <w:tcW w:w="964" w:type="dxa"/>
          </w:tcPr>
          <w:p>
            <w:pPr>
              <w:widowControl/>
              <w:adjustRightInd w:val="0"/>
              <w:snapToGrid w:val="0"/>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Cs/>
                <w:snapToGrid w:val="0"/>
                <w:color w:val="auto"/>
                <w:kern w:val="0"/>
                <w:sz w:val="24"/>
                <w:szCs w:val="24"/>
                <w:lang w:eastAsia="zh-Hans"/>
              </w:rPr>
              <w:t>四川天域航通、航天飞鹏等</w:t>
            </w:r>
          </w:p>
        </w:tc>
        <w:tc>
          <w:tcPr>
            <w:tcW w:w="1531" w:type="dxa"/>
          </w:tcPr>
          <w:p>
            <w:pPr>
              <w:widowControl/>
              <w:adjustRightInd w:val="0"/>
              <w:snapToGrid w:val="0"/>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Cs/>
                <w:snapToGrid w:val="0"/>
                <w:color w:val="auto"/>
                <w:kern w:val="0"/>
                <w:sz w:val="24"/>
                <w:szCs w:val="24"/>
                <w:lang w:eastAsia="zh-Hans"/>
              </w:rPr>
              <w:t>适用于高风险运行条件下用于支线货运运输的固定翼无人机系统</w:t>
            </w:r>
          </w:p>
        </w:tc>
        <w:tc>
          <w:tcPr>
            <w:tcW w:w="2693" w:type="dxa"/>
          </w:tcPr>
          <w:p>
            <w:pPr>
              <w:widowControl/>
              <w:adjustRightInd w:val="0"/>
              <w:snapToGrid w:val="0"/>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Cs/>
                <w:snapToGrid w:val="0"/>
                <w:color w:val="auto"/>
                <w:kern w:val="0"/>
                <w:sz w:val="24"/>
                <w:szCs w:val="24"/>
                <w:lang w:eastAsia="zh-Hans"/>
              </w:rPr>
              <w:t>A章 总则</w:t>
            </w:r>
          </w:p>
          <w:p>
            <w:pPr>
              <w:widowControl/>
              <w:adjustRightInd w:val="0"/>
              <w:snapToGrid w:val="0"/>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Cs/>
                <w:snapToGrid w:val="0"/>
                <w:color w:val="auto"/>
                <w:kern w:val="0"/>
                <w:sz w:val="24"/>
                <w:szCs w:val="24"/>
                <w:lang w:eastAsia="zh-Hans"/>
              </w:rPr>
              <w:t>B章 无人机总体要求</w:t>
            </w:r>
          </w:p>
          <w:p>
            <w:pPr>
              <w:widowControl/>
              <w:adjustRightInd w:val="0"/>
              <w:snapToGrid w:val="0"/>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Cs/>
                <w:snapToGrid w:val="0"/>
                <w:color w:val="auto"/>
                <w:kern w:val="0"/>
                <w:sz w:val="24"/>
                <w:szCs w:val="24"/>
                <w:lang w:eastAsia="zh-Hans"/>
              </w:rPr>
              <w:t>C章 无人机结构</w:t>
            </w:r>
          </w:p>
          <w:p>
            <w:pPr>
              <w:widowControl/>
              <w:adjustRightInd w:val="0"/>
              <w:snapToGrid w:val="0"/>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Cs/>
                <w:snapToGrid w:val="0"/>
                <w:color w:val="auto"/>
                <w:kern w:val="0"/>
                <w:sz w:val="24"/>
                <w:szCs w:val="24"/>
                <w:lang w:eastAsia="zh-Hans"/>
              </w:rPr>
              <w:t>D章 无人机通用化设计</w:t>
            </w:r>
          </w:p>
          <w:p>
            <w:pPr>
              <w:widowControl/>
              <w:adjustRightInd w:val="0"/>
              <w:snapToGrid w:val="0"/>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Cs/>
                <w:snapToGrid w:val="0"/>
                <w:color w:val="auto"/>
                <w:kern w:val="0"/>
                <w:sz w:val="24"/>
                <w:szCs w:val="24"/>
                <w:lang w:eastAsia="zh-Hans"/>
              </w:rPr>
              <w:t xml:space="preserve">E章 无人机动力系统 </w:t>
            </w:r>
          </w:p>
          <w:p>
            <w:pPr>
              <w:widowControl/>
              <w:adjustRightInd w:val="0"/>
              <w:snapToGrid w:val="0"/>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Cs/>
                <w:snapToGrid w:val="0"/>
                <w:color w:val="auto"/>
                <w:kern w:val="0"/>
                <w:sz w:val="24"/>
                <w:szCs w:val="24"/>
                <w:lang w:eastAsia="zh-Hans"/>
              </w:rPr>
              <w:t xml:space="preserve">F章 无人机设备 </w:t>
            </w:r>
          </w:p>
          <w:p>
            <w:pPr>
              <w:widowControl/>
              <w:adjustRightInd w:val="0"/>
              <w:snapToGrid w:val="0"/>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Cs/>
                <w:snapToGrid w:val="0"/>
                <w:color w:val="auto"/>
                <w:kern w:val="0"/>
                <w:sz w:val="24"/>
                <w:szCs w:val="24"/>
                <w:lang w:eastAsia="zh-Hans"/>
              </w:rPr>
              <w:t xml:space="preserve">G章 使用限制和资料 </w:t>
            </w:r>
          </w:p>
          <w:p>
            <w:pPr>
              <w:widowControl/>
              <w:adjustRightInd w:val="0"/>
              <w:snapToGrid w:val="0"/>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Cs/>
                <w:snapToGrid w:val="0"/>
                <w:color w:val="auto"/>
                <w:kern w:val="0"/>
                <w:sz w:val="24"/>
                <w:szCs w:val="24"/>
                <w:lang w:eastAsia="zh-Hans"/>
              </w:rPr>
              <w:t xml:space="preserve">H章 无人机数据链路 </w:t>
            </w:r>
          </w:p>
          <w:p>
            <w:pPr>
              <w:widowControl/>
              <w:adjustRightInd w:val="0"/>
              <w:snapToGrid w:val="0"/>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Cs/>
                <w:snapToGrid w:val="0"/>
                <w:color w:val="auto"/>
                <w:kern w:val="0"/>
                <w:sz w:val="24"/>
                <w:szCs w:val="24"/>
                <w:lang w:eastAsia="zh-Hans"/>
              </w:rPr>
              <w:t>J章 无人机地面指挥与控制站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417" w:type="dxa"/>
          </w:tcPr>
          <w:p>
            <w:pPr>
              <w:widowControl/>
              <w:adjustRightInd w:val="0"/>
              <w:snapToGrid w:val="0"/>
              <w:jc w:val="center"/>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Cs/>
                <w:snapToGrid w:val="0"/>
                <w:color w:val="auto"/>
                <w:kern w:val="0"/>
                <w:sz w:val="24"/>
                <w:szCs w:val="24"/>
                <w:lang w:eastAsia="zh-Hans"/>
              </w:rPr>
              <w:t>2020-05-11</w:t>
            </w:r>
          </w:p>
        </w:tc>
        <w:tc>
          <w:tcPr>
            <w:tcW w:w="1191" w:type="dxa"/>
          </w:tcPr>
          <w:p>
            <w:pPr>
              <w:widowControl/>
              <w:adjustRightInd w:val="0"/>
              <w:snapToGrid w:val="0"/>
              <w:jc w:val="left"/>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Cs/>
                <w:snapToGrid w:val="0"/>
                <w:color w:val="auto"/>
                <w:kern w:val="0"/>
                <w:sz w:val="24"/>
                <w:szCs w:val="24"/>
                <w:lang w:eastAsia="zh-Hans"/>
              </w:rPr>
              <w:t>民航适发〔2020〕7号</w:t>
            </w:r>
          </w:p>
        </w:tc>
        <w:tc>
          <w:tcPr>
            <w:tcW w:w="1247" w:type="dxa"/>
          </w:tcPr>
          <w:p>
            <w:pPr>
              <w:widowControl/>
              <w:adjustRightInd w:val="0"/>
              <w:snapToGrid w:val="0"/>
              <w:jc w:val="left"/>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Cs/>
                <w:snapToGrid w:val="0"/>
                <w:color w:val="auto"/>
                <w:kern w:val="0"/>
                <w:sz w:val="24"/>
                <w:szCs w:val="24"/>
                <w:lang w:eastAsia="zh-Hans"/>
              </w:rPr>
              <w:t>中高风险无人直升机系统适航标准（试行）</w:t>
            </w:r>
          </w:p>
        </w:tc>
        <w:tc>
          <w:tcPr>
            <w:tcW w:w="964" w:type="dxa"/>
          </w:tcPr>
          <w:p>
            <w:pPr>
              <w:widowControl/>
              <w:adjustRightInd w:val="0"/>
              <w:snapToGrid w:val="0"/>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Cs/>
                <w:snapToGrid w:val="0"/>
                <w:color w:val="auto"/>
                <w:kern w:val="0"/>
                <w:sz w:val="24"/>
                <w:szCs w:val="24"/>
                <w:lang w:eastAsia="zh-Hans"/>
              </w:rPr>
              <w:t>江西直升机、河南三合、联合飞机等</w:t>
            </w:r>
          </w:p>
        </w:tc>
        <w:tc>
          <w:tcPr>
            <w:tcW w:w="1531" w:type="dxa"/>
          </w:tcPr>
          <w:p>
            <w:pPr>
              <w:widowControl/>
              <w:adjustRightInd w:val="0"/>
              <w:snapToGrid w:val="0"/>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Cs/>
                <w:snapToGrid w:val="0"/>
                <w:color w:val="auto"/>
                <w:kern w:val="0"/>
                <w:sz w:val="24"/>
                <w:szCs w:val="24"/>
                <w:lang w:eastAsia="zh-Hans"/>
              </w:rPr>
              <w:t>(a)标准适用于中、高风险无人直升机系统,未标注适用性的条款,两类风险通用。</w:t>
            </w:r>
          </w:p>
          <w:p>
            <w:pPr>
              <w:widowControl/>
              <w:adjustRightInd w:val="0"/>
              <w:snapToGrid w:val="0"/>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Cs/>
                <w:snapToGrid w:val="0"/>
                <w:color w:val="auto"/>
                <w:kern w:val="0"/>
                <w:sz w:val="24"/>
                <w:szCs w:val="24"/>
                <w:lang w:eastAsia="zh-Hans"/>
              </w:rPr>
              <w:t>(b)标准主要针对传统构型的无人直升机,包括单旋翼带尾桨、共轴双旋翼、纵列双旋翼、横列双旋翼</w:t>
            </w:r>
          </w:p>
          <w:p>
            <w:pPr>
              <w:widowControl/>
              <w:adjustRightInd w:val="0"/>
              <w:snapToGrid w:val="0"/>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Cs/>
                <w:snapToGrid w:val="0"/>
                <w:color w:val="auto"/>
                <w:kern w:val="0"/>
                <w:sz w:val="24"/>
                <w:szCs w:val="24"/>
                <w:lang w:eastAsia="zh-Hans"/>
              </w:rPr>
              <w:t>(c)在运行期间，本标准的适用范围包括视距内飞行和超视距飞行,不包括人员运送、结冰条件下飞行和特技表演。</w:t>
            </w:r>
          </w:p>
        </w:tc>
        <w:tc>
          <w:tcPr>
            <w:tcW w:w="2693" w:type="dxa"/>
          </w:tcPr>
          <w:p>
            <w:pPr>
              <w:widowControl/>
              <w:adjustRightInd w:val="0"/>
              <w:snapToGrid w:val="0"/>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Cs/>
                <w:snapToGrid w:val="0"/>
                <w:color w:val="auto"/>
                <w:kern w:val="0"/>
                <w:sz w:val="24"/>
                <w:szCs w:val="24"/>
                <w:lang w:eastAsia="zh-Hans"/>
              </w:rPr>
              <w:t>A章 总则</w:t>
            </w:r>
          </w:p>
          <w:p>
            <w:pPr>
              <w:widowControl/>
              <w:adjustRightInd w:val="0"/>
              <w:snapToGrid w:val="0"/>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Cs/>
                <w:snapToGrid w:val="0"/>
                <w:color w:val="auto"/>
                <w:kern w:val="0"/>
                <w:sz w:val="24"/>
                <w:szCs w:val="24"/>
                <w:lang w:eastAsia="zh-Hans"/>
              </w:rPr>
              <w:t>B章 飞行</w:t>
            </w:r>
          </w:p>
          <w:p>
            <w:pPr>
              <w:widowControl/>
              <w:adjustRightInd w:val="0"/>
              <w:snapToGrid w:val="0"/>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Cs/>
                <w:snapToGrid w:val="0"/>
                <w:color w:val="auto"/>
                <w:kern w:val="0"/>
                <w:sz w:val="24"/>
                <w:szCs w:val="24"/>
                <w:lang w:eastAsia="zh-Hans"/>
              </w:rPr>
              <w:t>C章 强度特性</w:t>
            </w:r>
          </w:p>
          <w:p>
            <w:pPr>
              <w:widowControl/>
              <w:adjustRightInd w:val="0"/>
              <w:snapToGrid w:val="0"/>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Cs/>
                <w:snapToGrid w:val="0"/>
                <w:color w:val="auto"/>
                <w:kern w:val="0"/>
                <w:sz w:val="24"/>
                <w:szCs w:val="24"/>
                <w:lang w:eastAsia="zh-Hans"/>
              </w:rPr>
              <w:t>D章 设计与构造</w:t>
            </w:r>
          </w:p>
          <w:p>
            <w:pPr>
              <w:widowControl/>
              <w:adjustRightInd w:val="0"/>
              <w:snapToGrid w:val="0"/>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Cs/>
                <w:snapToGrid w:val="0"/>
                <w:color w:val="auto"/>
                <w:kern w:val="0"/>
                <w:sz w:val="24"/>
                <w:szCs w:val="24"/>
                <w:lang w:eastAsia="zh-Hans"/>
              </w:rPr>
              <w:t>E章 动力装置</w:t>
            </w:r>
          </w:p>
          <w:p>
            <w:pPr>
              <w:widowControl/>
              <w:adjustRightInd w:val="0"/>
              <w:snapToGrid w:val="0"/>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Cs/>
                <w:snapToGrid w:val="0"/>
                <w:color w:val="auto"/>
                <w:kern w:val="0"/>
                <w:sz w:val="24"/>
                <w:szCs w:val="24"/>
                <w:lang w:eastAsia="zh-Hans"/>
              </w:rPr>
              <w:t>F章 设备</w:t>
            </w:r>
          </w:p>
          <w:p>
            <w:pPr>
              <w:widowControl/>
              <w:adjustRightInd w:val="0"/>
              <w:snapToGrid w:val="0"/>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Cs/>
                <w:snapToGrid w:val="0"/>
                <w:color w:val="auto"/>
                <w:kern w:val="0"/>
                <w:sz w:val="24"/>
                <w:szCs w:val="24"/>
                <w:lang w:eastAsia="zh-Hans"/>
              </w:rPr>
              <w:t xml:space="preserve">G章 使用限制和资料 </w:t>
            </w:r>
          </w:p>
          <w:p>
            <w:pPr>
              <w:widowControl/>
              <w:adjustRightInd w:val="0"/>
              <w:snapToGrid w:val="0"/>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Cs/>
                <w:snapToGrid w:val="0"/>
                <w:color w:val="auto"/>
                <w:kern w:val="0"/>
                <w:sz w:val="24"/>
                <w:szCs w:val="24"/>
                <w:lang w:eastAsia="zh-Hans"/>
              </w:rPr>
              <w:t xml:space="preserve">H章 指令与控制数据链路 </w:t>
            </w:r>
          </w:p>
          <w:p>
            <w:pPr>
              <w:widowControl/>
              <w:adjustRightInd w:val="0"/>
              <w:snapToGrid w:val="0"/>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Cs/>
                <w:snapToGrid w:val="0"/>
                <w:color w:val="auto"/>
                <w:kern w:val="0"/>
                <w:sz w:val="24"/>
                <w:szCs w:val="24"/>
                <w:lang w:eastAsia="zh-Hans"/>
              </w:rPr>
              <w:t xml:space="preserve">I章 控制站 </w:t>
            </w:r>
          </w:p>
          <w:p>
            <w:pPr>
              <w:widowControl/>
              <w:adjustRightInd w:val="0"/>
              <w:snapToGrid w:val="0"/>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Cs/>
                <w:snapToGrid w:val="0"/>
                <w:color w:val="auto"/>
                <w:kern w:val="0"/>
                <w:sz w:val="24"/>
                <w:szCs w:val="24"/>
                <w:lang w:eastAsia="zh-Hans"/>
              </w:rPr>
              <w:t xml:space="preserve">附录A 持续适航文件 </w:t>
            </w:r>
          </w:p>
          <w:p>
            <w:pPr>
              <w:widowControl/>
              <w:adjustRightInd w:val="0"/>
              <w:snapToGrid w:val="0"/>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Cs/>
                <w:snapToGrid w:val="0"/>
                <w:color w:val="auto"/>
                <w:kern w:val="0"/>
                <w:sz w:val="24"/>
                <w:szCs w:val="24"/>
                <w:lang w:eastAsia="zh-Hans"/>
              </w:rPr>
              <w:t xml:space="preserve">附录B 发动机 </w:t>
            </w:r>
          </w:p>
          <w:p>
            <w:pPr>
              <w:widowControl/>
              <w:adjustRightInd w:val="0"/>
              <w:snapToGrid w:val="0"/>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Cs/>
                <w:snapToGrid w:val="0"/>
                <w:color w:val="auto"/>
                <w:kern w:val="0"/>
                <w:sz w:val="24"/>
                <w:szCs w:val="24"/>
                <w:lang w:eastAsia="zh-Hans"/>
              </w:rPr>
              <w:t>附录C 系统和结构的相互作用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417" w:type="dxa"/>
          </w:tcPr>
          <w:p>
            <w:pPr>
              <w:widowControl/>
              <w:adjustRightInd w:val="0"/>
              <w:snapToGrid w:val="0"/>
              <w:jc w:val="center"/>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Cs/>
                <w:snapToGrid w:val="0"/>
                <w:color w:val="auto"/>
                <w:kern w:val="0"/>
                <w:sz w:val="24"/>
                <w:szCs w:val="24"/>
                <w:lang w:eastAsia="zh-Hans"/>
              </w:rPr>
              <w:t>2021-04-28</w:t>
            </w:r>
          </w:p>
        </w:tc>
        <w:tc>
          <w:tcPr>
            <w:tcW w:w="1191" w:type="dxa"/>
          </w:tcPr>
          <w:p>
            <w:pPr>
              <w:widowControl/>
              <w:adjustRightInd w:val="0"/>
              <w:snapToGrid w:val="0"/>
              <w:jc w:val="left"/>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Cs/>
                <w:snapToGrid w:val="0"/>
                <w:color w:val="auto"/>
                <w:kern w:val="0"/>
                <w:sz w:val="24"/>
                <w:szCs w:val="24"/>
                <w:lang w:eastAsia="zh-Hans"/>
              </w:rPr>
              <w:t>SC-92-001</w:t>
            </w:r>
          </w:p>
        </w:tc>
        <w:tc>
          <w:tcPr>
            <w:tcW w:w="1247" w:type="dxa"/>
          </w:tcPr>
          <w:p>
            <w:pPr>
              <w:widowControl/>
              <w:adjustRightInd w:val="0"/>
              <w:snapToGrid w:val="0"/>
              <w:jc w:val="left"/>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Cs/>
                <w:snapToGrid w:val="0"/>
                <w:color w:val="auto"/>
                <w:kern w:val="0"/>
                <w:sz w:val="24"/>
                <w:szCs w:val="24"/>
                <w:lang w:eastAsia="zh-Hans"/>
              </w:rPr>
              <w:t>多旋翼植保无人机系统适航要求</w:t>
            </w:r>
          </w:p>
        </w:tc>
        <w:tc>
          <w:tcPr>
            <w:tcW w:w="964" w:type="dxa"/>
          </w:tcPr>
          <w:p>
            <w:pPr>
              <w:widowControl/>
              <w:adjustRightInd w:val="0"/>
              <w:snapToGrid w:val="0"/>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Cs/>
                <w:snapToGrid w:val="0"/>
                <w:color w:val="auto"/>
                <w:kern w:val="0"/>
                <w:sz w:val="24"/>
                <w:szCs w:val="24"/>
                <w:lang w:eastAsia="zh-Hans"/>
              </w:rPr>
              <w:t>大疆创新</w:t>
            </w:r>
          </w:p>
        </w:tc>
        <w:tc>
          <w:tcPr>
            <w:tcW w:w="1531" w:type="dxa"/>
          </w:tcPr>
          <w:p>
            <w:pPr>
              <w:widowControl/>
              <w:adjustRightInd w:val="0"/>
              <w:snapToGrid w:val="0"/>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Cs/>
                <w:snapToGrid w:val="0"/>
                <w:color w:val="auto"/>
                <w:kern w:val="0"/>
                <w:sz w:val="24"/>
                <w:szCs w:val="24"/>
                <w:lang w:eastAsia="zh-Hans"/>
              </w:rPr>
              <w:t>T16/T20/T10/T30</w:t>
            </w:r>
          </w:p>
        </w:tc>
        <w:tc>
          <w:tcPr>
            <w:tcW w:w="2693" w:type="dxa"/>
          </w:tcPr>
          <w:p>
            <w:pPr>
              <w:widowControl/>
              <w:adjustRightInd w:val="0"/>
              <w:snapToGrid w:val="0"/>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Cs/>
                <w:snapToGrid w:val="0"/>
                <w:color w:val="auto"/>
                <w:kern w:val="0"/>
                <w:sz w:val="24"/>
                <w:szCs w:val="24"/>
                <w:lang w:eastAsia="zh-Hans"/>
              </w:rPr>
              <w:t>1 通用要求</w:t>
            </w:r>
          </w:p>
          <w:p>
            <w:pPr>
              <w:widowControl/>
              <w:adjustRightInd w:val="0"/>
              <w:snapToGrid w:val="0"/>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Cs/>
                <w:snapToGrid w:val="0"/>
                <w:color w:val="auto"/>
                <w:kern w:val="0"/>
                <w:sz w:val="24"/>
                <w:szCs w:val="24"/>
                <w:lang w:eastAsia="zh-Hans"/>
              </w:rPr>
              <w:t>2 动力系统</w:t>
            </w:r>
          </w:p>
          <w:p>
            <w:pPr>
              <w:widowControl/>
              <w:adjustRightInd w:val="0"/>
              <w:snapToGrid w:val="0"/>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Cs/>
                <w:snapToGrid w:val="0"/>
                <w:color w:val="auto"/>
                <w:kern w:val="0"/>
                <w:sz w:val="24"/>
                <w:szCs w:val="24"/>
                <w:lang w:eastAsia="zh-Hans"/>
              </w:rPr>
              <w:t>3 电气系统</w:t>
            </w:r>
          </w:p>
          <w:p>
            <w:pPr>
              <w:widowControl/>
              <w:adjustRightInd w:val="0"/>
              <w:snapToGrid w:val="0"/>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Cs/>
                <w:snapToGrid w:val="0"/>
                <w:color w:val="auto"/>
                <w:kern w:val="0"/>
                <w:sz w:val="24"/>
                <w:szCs w:val="24"/>
                <w:lang w:eastAsia="zh-Hans"/>
              </w:rPr>
              <w:t>4 飞行控制与导航系统</w:t>
            </w:r>
          </w:p>
          <w:p>
            <w:pPr>
              <w:widowControl/>
              <w:adjustRightInd w:val="0"/>
              <w:snapToGrid w:val="0"/>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Cs/>
                <w:snapToGrid w:val="0"/>
                <w:color w:val="auto"/>
                <w:kern w:val="0"/>
                <w:sz w:val="24"/>
                <w:szCs w:val="24"/>
                <w:lang w:eastAsia="zh-Hans"/>
              </w:rPr>
              <w:t>5 感知避障系统</w:t>
            </w:r>
          </w:p>
          <w:p>
            <w:pPr>
              <w:widowControl/>
              <w:adjustRightInd w:val="0"/>
              <w:snapToGrid w:val="0"/>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Cs/>
                <w:snapToGrid w:val="0"/>
                <w:color w:val="auto"/>
                <w:kern w:val="0"/>
                <w:sz w:val="24"/>
                <w:szCs w:val="24"/>
                <w:lang w:eastAsia="zh-Hans"/>
              </w:rPr>
              <w:t>6 无线通信系统</w:t>
            </w:r>
          </w:p>
          <w:p>
            <w:pPr>
              <w:widowControl/>
              <w:adjustRightInd w:val="0"/>
              <w:snapToGrid w:val="0"/>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Cs/>
                <w:snapToGrid w:val="0"/>
                <w:color w:val="auto"/>
                <w:kern w:val="0"/>
                <w:sz w:val="24"/>
                <w:szCs w:val="24"/>
                <w:lang w:eastAsia="zh-Hans"/>
              </w:rPr>
              <w:t>7 地面控制设备</w:t>
            </w:r>
          </w:p>
          <w:p>
            <w:pPr>
              <w:widowControl/>
              <w:adjustRightInd w:val="0"/>
              <w:snapToGrid w:val="0"/>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Cs/>
                <w:snapToGrid w:val="0"/>
                <w:color w:val="auto"/>
                <w:kern w:val="0"/>
                <w:sz w:val="24"/>
                <w:szCs w:val="24"/>
                <w:lang w:eastAsia="zh-Hans"/>
              </w:rPr>
              <w:t>8 任务载荷系统</w:t>
            </w:r>
          </w:p>
          <w:p>
            <w:pPr>
              <w:widowControl/>
              <w:adjustRightInd w:val="0"/>
              <w:snapToGrid w:val="0"/>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Cs/>
                <w:snapToGrid w:val="0"/>
                <w:color w:val="auto"/>
                <w:kern w:val="0"/>
                <w:sz w:val="24"/>
                <w:szCs w:val="24"/>
                <w:lang w:eastAsia="zh-Hans"/>
              </w:rPr>
              <w:t>9 外置灯光</w:t>
            </w:r>
          </w:p>
          <w:p>
            <w:pPr>
              <w:widowControl/>
              <w:adjustRightInd w:val="0"/>
              <w:snapToGrid w:val="0"/>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Cs/>
                <w:snapToGrid w:val="0"/>
                <w:color w:val="auto"/>
                <w:kern w:val="0"/>
                <w:sz w:val="24"/>
                <w:szCs w:val="24"/>
                <w:lang w:eastAsia="zh-Hans"/>
              </w:rPr>
              <w:t>10 环境适应性要求</w:t>
            </w:r>
          </w:p>
          <w:p>
            <w:pPr>
              <w:widowControl/>
              <w:adjustRightInd w:val="0"/>
              <w:snapToGrid w:val="0"/>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Cs/>
                <w:snapToGrid w:val="0"/>
                <w:color w:val="auto"/>
                <w:kern w:val="0"/>
                <w:sz w:val="24"/>
                <w:szCs w:val="24"/>
                <w:lang w:eastAsia="zh-Hans"/>
              </w:rPr>
              <w:t>11 特殊安全性要求</w:t>
            </w:r>
          </w:p>
          <w:p>
            <w:pPr>
              <w:widowControl/>
              <w:adjustRightInd w:val="0"/>
              <w:snapToGrid w:val="0"/>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Cs/>
                <w:snapToGrid w:val="0"/>
                <w:color w:val="auto"/>
                <w:kern w:val="0"/>
                <w:sz w:val="24"/>
                <w:szCs w:val="24"/>
                <w:lang w:eastAsia="zh-Hans"/>
              </w:rPr>
              <w:t>12 产品说明书要求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417" w:type="dxa"/>
          </w:tcPr>
          <w:p>
            <w:pPr>
              <w:widowControl/>
              <w:adjustRightInd w:val="0"/>
              <w:snapToGrid w:val="0"/>
              <w:jc w:val="center"/>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Cs/>
                <w:snapToGrid w:val="0"/>
                <w:color w:val="auto"/>
                <w:kern w:val="0"/>
                <w:sz w:val="24"/>
                <w:szCs w:val="24"/>
                <w:lang w:eastAsia="zh-Hans"/>
              </w:rPr>
              <w:t>2021-08-09</w:t>
            </w:r>
          </w:p>
        </w:tc>
        <w:tc>
          <w:tcPr>
            <w:tcW w:w="1191" w:type="dxa"/>
          </w:tcPr>
          <w:p>
            <w:pPr>
              <w:widowControl/>
              <w:adjustRightInd w:val="0"/>
              <w:snapToGrid w:val="0"/>
              <w:jc w:val="left"/>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Cs/>
                <w:snapToGrid w:val="0"/>
                <w:color w:val="auto"/>
                <w:kern w:val="0"/>
                <w:sz w:val="24"/>
                <w:szCs w:val="24"/>
                <w:lang w:eastAsia="zh-Hans"/>
              </w:rPr>
              <w:t>SC-92-002</w:t>
            </w:r>
          </w:p>
        </w:tc>
        <w:tc>
          <w:tcPr>
            <w:tcW w:w="1247" w:type="dxa"/>
          </w:tcPr>
          <w:p>
            <w:pPr>
              <w:widowControl/>
              <w:adjustRightInd w:val="0"/>
              <w:snapToGrid w:val="0"/>
              <w:jc w:val="left"/>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Cs/>
                <w:snapToGrid w:val="0"/>
                <w:color w:val="auto"/>
                <w:kern w:val="0"/>
                <w:sz w:val="24"/>
                <w:szCs w:val="24"/>
                <w:lang w:eastAsia="zh-Hans"/>
              </w:rPr>
              <w:t>CH-4B固定翼无人机系统大兴安岭运行场景适航要求</w:t>
            </w:r>
          </w:p>
        </w:tc>
        <w:tc>
          <w:tcPr>
            <w:tcW w:w="964" w:type="dxa"/>
          </w:tcPr>
          <w:p>
            <w:pPr>
              <w:widowControl/>
              <w:adjustRightInd w:val="0"/>
              <w:snapToGrid w:val="0"/>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Cs/>
                <w:snapToGrid w:val="0"/>
                <w:color w:val="auto"/>
                <w:kern w:val="0"/>
                <w:sz w:val="24"/>
                <w:szCs w:val="24"/>
                <w:lang w:eastAsia="zh-Hans"/>
              </w:rPr>
              <w:t>航天十一院</w:t>
            </w:r>
          </w:p>
        </w:tc>
        <w:tc>
          <w:tcPr>
            <w:tcW w:w="1531" w:type="dxa"/>
          </w:tcPr>
          <w:p>
            <w:pPr>
              <w:widowControl/>
              <w:adjustRightInd w:val="0"/>
              <w:snapToGrid w:val="0"/>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Cs/>
                <w:snapToGrid w:val="0"/>
                <w:color w:val="auto"/>
                <w:kern w:val="0"/>
                <w:sz w:val="24"/>
                <w:szCs w:val="24"/>
                <w:lang w:eastAsia="zh-Hans"/>
              </w:rPr>
              <w:t>CH-4</w:t>
            </w:r>
          </w:p>
        </w:tc>
        <w:tc>
          <w:tcPr>
            <w:tcW w:w="2693" w:type="dxa"/>
          </w:tcPr>
          <w:p>
            <w:pPr>
              <w:widowControl/>
              <w:adjustRightInd w:val="0"/>
              <w:snapToGrid w:val="0"/>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Cs/>
                <w:snapToGrid w:val="0"/>
                <w:color w:val="auto"/>
                <w:kern w:val="0"/>
                <w:sz w:val="24"/>
                <w:szCs w:val="24"/>
                <w:lang w:eastAsia="zh-Hans"/>
              </w:rPr>
              <w:t>1.概述</w:t>
            </w:r>
          </w:p>
          <w:p>
            <w:pPr>
              <w:widowControl/>
              <w:adjustRightInd w:val="0"/>
              <w:snapToGrid w:val="0"/>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Cs/>
                <w:snapToGrid w:val="0"/>
                <w:color w:val="auto"/>
                <w:kern w:val="0"/>
                <w:sz w:val="24"/>
                <w:szCs w:val="24"/>
                <w:lang w:eastAsia="zh-Hans"/>
              </w:rPr>
              <w:t>2.背景</w:t>
            </w:r>
          </w:p>
          <w:p>
            <w:pPr>
              <w:widowControl/>
              <w:adjustRightInd w:val="0"/>
              <w:snapToGrid w:val="0"/>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Cs/>
                <w:snapToGrid w:val="0"/>
                <w:color w:val="auto"/>
                <w:kern w:val="0"/>
                <w:sz w:val="24"/>
                <w:szCs w:val="24"/>
                <w:lang w:eastAsia="zh-Hans"/>
              </w:rPr>
              <w:t>3.适用范围</w:t>
            </w:r>
          </w:p>
          <w:p>
            <w:pPr>
              <w:widowControl/>
              <w:adjustRightInd w:val="0"/>
              <w:snapToGrid w:val="0"/>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Cs/>
                <w:snapToGrid w:val="0"/>
                <w:color w:val="auto"/>
                <w:kern w:val="0"/>
                <w:sz w:val="24"/>
                <w:szCs w:val="24"/>
                <w:lang w:eastAsia="zh-Hans"/>
              </w:rPr>
              <w:t>4.专用条件草案</w:t>
            </w:r>
          </w:p>
          <w:p>
            <w:pPr>
              <w:widowControl/>
              <w:adjustRightInd w:val="0"/>
              <w:snapToGrid w:val="0"/>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Cs/>
                <w:snapToGrid w:val="0"/>
                <w:color w:val="auto"/>
                <w:kern w:val="0"/>
                <w:sz w:val="24"/>
                <w:szCs w:val="24"/>
                <w:lang w:eastAsia="zh-Hans"/>
              </w:rPr>
              <w:t>（1）无人机性能</w:t>
            </w:r>
          </w:p>
          <w:p>
            <w:pPr>
              <w:widowControl/>
              <w:adjustRightInd w:val="0"/>
              <w:snapToGrid w:val="0"/>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Cs/>
                <w:snapToGrid w:val="0"/>
                <w:color w:val="auto"/>
                <w:kern w:val="0"/>
                <w:sz w:val="24"/>
                <w:szCs w:val="24"/>
                <w:lang w:eastAsia="zh-Hans"/>
              </w:rPr>
              <w:t>（2）无人机结构</w:t>
            </w:r>
          </w:p>
          <w:p>
            <w:pPr>
              <w:widowControl/>
              <w:adjustRightInd w:val="0"/>
              <w:snapToGrid w:val="0"/>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Cs/>
                <w:snapToGrid w:val="0"/>
                <w:color w:val="auto"/>
                <w:kern w:val="0"/>
                <w:sz w:val="24"/>
                <w:szCs w:val="24"/>
                <w:lang w:eastAsia="zh-Hans"/>
              </w:rPr>
              <w:t>（3）设计与构造</w:t>
            </w:r>
          </w:p>
          <w:p>
            <w:pPr>
              <w:widowControl/>
              <w:adjustRightInd w:val="0"/>
              <w:snapToGrid w:val="0"/>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Cs/>
                <w:snapToGrid w:val="0"/>
                <w:color w:val="auto"/>
                <w:kern w:val="0"/>
                <w:sz w:val="24"/>
                <w:szCs w:val="24"/>
                <w:lang w:eastAsia="zh-Hans"/>
              </w:rPr>
              <w:t>（4）无人机动力系统</w:t>
            </w:r>
          </w:p>
          <w:p>
            <w:pPr>
              <w:widowControl/>
              <w:adjustRightInd w:val="0"/>
              <w:snapToGrid w:val="0"/>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Cs/>
                <w:snapToGrid w:val="0"/>
                <w:color w:val="auto"/>
                <w:kern w:val="0"/>
                <w:sz w:val="24"/>
                <w:szCs w:val="24"/>
                <w:lang w:eastAsia="zh-Hans"/>
              </w:rPr>
              <w:t>（5）系统和设备</w:t>
            </w:r>
          </w:p>
          <w:p>
            <w:pPr>
              <w:widowControl/>
              <w:adjustRightInd w:val="0"/>
              <w:snapToGrid w:val="0"/>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Cs/>
                <w:snapToGrid w:val="0"/>
                <w:color w:val="auto"/>
                <w:kern w:val="0"/>
                <w:sz w:val="24"/>
                <w:szCs w:val="24"/>
                <w:lang w:eastAsia="zh-Hans"/>
              </w:rPr>
              <w:t>（6）使用限制和资料</w:t>
            </w:r>
          </w:p>
          <w:p>
            <w:pPr>
              <w:widowControl/>
              <w:adjustRightInd w:val="0"/>
              <w:snapToGrid w:val="0"/>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Cs/>
                <w:snapToGrid w:val="0"/>
                <w:color w:val="auto"/>
                <w:kern w:val="0"/>
                <w:sz w:val="24"/>
                <w:szCs w:val="24"/>
                <w:lang w:eastAsia="zh-Hans"/>
              </w:rPr>
              <w:t>（7）无人机链路</w:t>
            </w:r>
          </w:p>
          <w:p>
            <w:pPr>
              <w:widowControl/>
              <w:adjustRightInd w:val="0"/>
              <w:snapToGrid w:val="0"/>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Cs/>
                <w:snapToGrid w:val="0"/>
                <w:color w:val="auto"/>
                <w:kern w:val="0"/>
                <w:sz w:val="24"/>
                <w:szCs w:val="24"/>
                <w:lang w:eastAsia="zh-Hans"/>
              </w:rPr>
              <w:t>（8）无人机地面站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417" w:type="dxa"/>
          </w:tcPr>
          <w:p>
            <w:pPr>
              <w:widowControl/>
              <w:adjustRightInd w:val="0"/>
              <w:snapToGrid w:val="0"/>
              <w:jc w:val="center"/>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Cs/>
                <w:snapToGrid w:val="0"/>
                <w:color w:val="auto"/>
                <w:kern w:val="0"/>
                <w:sz w:val="24"/>
                <w:szCs w:val="24"/>
                <w:lang w:eastAsia="zh-Hans"/>
              </w:rPr>
              <w:t>2022-02-09</w:t>
            </w:r>
          </w:p>
        </w:tc>
        <w:tc>
          <w:tcPr>
            <w:tcW w:w="1191" w:type="dxa"/>
          </w:tcPr>
          <w:p>
            <w:pPr>
              <w:widowControl/>
              <w:adjustRightInd w:val="0"/>
              <w:snapToGrid w:val="0"/>
              <w:jc w:val="left"/>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Cs/>
                <w:snapToGrid w:val="0"/>
                <w:color w:val="auto"/>
                <w:kern w:val="0"/>
                <w:sz w:val="24"/>
                <w:szCs w:val="24"/>
                <w:lang w:eastAsia="zh-Hans"/>
              </w:rPr>
              <w:t>SC-21-002</w:t>
            </w:r>
          </w:p>
        </w:tc>
        <w:tc>
          <w:tcPr>
            <w:tcW w:w="1247" w:type="dxa"/>
          </w:tcPr>
          <w:p>
            <w:pPr>
              <w:widowControl/>
              <w:adjustRightInd w:val="0"/>
              <w:snapToGrid w:val="0"/>
              <w:jc w:val="left"/>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Cs/>
                <w:snapToGrid w:val="0"/>
                <w:color w:val="auto"/>
                <w:kern w:val="0"/>
                <w:sz w:val="24"/>
                <w:szCs w:val="24"/>
                <w:lang w:eastAsia="zh-Hans"/>
              </w:rPr>
              <w:t>亿航EH216-S型无人驾驶航空器系统专用条件</w:t>
            </w:r>
          </w:p>
        </w:tc>
        <w:tc>
          <w:tcPr>
            <w:tcW w:w="964" w:type="dxa"/>
          </w:tcPr>
          <w:p>
            <w:pPr>
              <w:widowControl/>
              <w:adjustRightInd w:val="0"/>
              <w:snapToGrid w:val="0"/>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Cs/>
                <w:snapToGrid w:val="0"/>
                <w:color w:val="auto"/>
                <w:kern w:val="0"/>
                <w:sz w:val="24"/>
                <w:szCs w:val="24"/>
                <w:lang w:eastAsia="zh-Hans"/>
              </w:rPr>
              <w:t>亿航智能</w:t>
            </w:r>
          </w:p>
        </w:tc>
        <w:tc>
          <w:tcPr>
            <w:tcW w:w="1531" w:type="dxa"/>
          </w:tcPr>
          <w:p>
            <w:pPr>
              <w:widowControl/>
              <w:adjustRightInd w:val="0"/>
              <w:snapToGrid w:val="0"/>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Cs/>
                <w:snapToGrid w:val="0"/>
                <w:color w:val="auto"/>
                <w:kern w:val="0"/>
                <w:sz w:val="24"/>
                <w:szCs w:val="24"/>
                <w:lang w:eastAsia="zh-Hans"/>
              </w:rPr>
              <w:t>EH216-S</w:t>
            </w:r>
          </w:p>
        </w:tc>
        <w:tc>
          <w:tcPr>
            <w:tcW w:w="2693" w:type="dxa"/>
          </w:tcPr>
          <w:p>
            <w:pPr>
              <w:widowControl/>
              <w:adjustRightInd w:val="0"/>
              <w:snapToGrid w:val="0"/>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Cs/>
                <w:snapToGrid w:val="0"/>
                <w:color w:val="auto"/>
                <w:kern w:val="0"/>
                <w:sz w:val="24"/>
                <w:szCs w:val="24"/>
                <w:lang w:eastAsia="zh-Hans"/>
              </w:rPr>
              <w:t>A章 总则</w:t>
            </w:r>
          </w:p>
          <w:p>
            <w:pPr>
              <w:widowControl/>
              <w:adjustRightInd w:val="0"/>
              <w:snapToGrid w:val="0"/>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Cs/>
                <w:snapToGrid w:val="0"/>
                <w:color w:val="auto"/>
                <w:kern w:val="0"/>
                <w:sz w:val="24"/>
                <w:szCs w:val="24"/>
                <w:lang w:eastAsia="zh-Hans"/>
              </w:rPr>
              <w:t>B章 飞行及性能</w:t>
            </w:r>
          </w:p>
          <w:p>
            <w:pPr>
              <w:widowControl/>
              <w:adjustRightInd w:val="0"/>
              <w:snapToGrid w:val="0"/>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Cs/>
                <w:snapToGrid w:val="0"/>
                <w:color w:val="auto"/>
                <w:kern w:val="0"/>
                <w:sz w:val="24"/>
                <w:szCs w:val="24"/>
                <w:lang w:eastAsia="zh-Hans"/>
              </w:rPr>
              <w:t>C章 结构</w:t>
            </w:r>
          </w:p>
          <w:p>
            <w:pPr>
              <w:widowControl/>
              <w:adjustRightInd w:val="0"/>
              <w:snapToGrid w:val="0"/>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Cs/>
                <w:snapToGrid w:val="0"/>
                <w:color w:val="auto"/>
                <w:kern w:val="0"/>
                <w:sz w:val="24"/>
                <w:szCs w:val="24"/>
                <w:lang w:eastAsia="zh-Hans"/>
              </w:rPr>
              <w:t>D章 设计和构造</w:t>
            </w:r>
          </w:p>
          <w:p>
            <w:pPr>
              <w:widowControl/>
              <w:adjustRightInd w:val="0"/>
              <w:snapToGrid w:val="0"/>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Cs/>
                <w:snapToGrid w:val="0"/>
                <w:color w:val="auto"/>
                <w:kern w:val="0"/>
                <w:sz w:val="24"/>
                <w:szCs w:val="24"/>
                <w:lang w:eastAsia="zh-Hans"/>
              </w:rPr>
              <w:t xml:space="preserve">E章 动力装置 </w:t>
            </w:r>
          </w:p>
          <w:p>
            <w:pPr>
              <w:widowControl/>
              <w:adjustRightInd w:val="0"/>
              <w:snapToGrid w:val="0"/>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Cs/>
                <w:snapToGrid w:val="0"/>
                <w:color w:val="auto"/>
                <w:kern w:val="0"/>
                <w:sz w:val="24"/>
                <w:szCs w:val="24"/>
                <w:lang w:eastAsia="zh-Hans"/>
              </w:rPr>
              <w:t xml:space="preserve">F章 系统和设备 </w:t>
            </w:r>
          </w:p>
          <w:p>
            <w:pPr>
              <w:widowControl/>
              <w:adjustRightInd w:val="0"/>
              <w:snapToGrid w:val="0"/>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Cs/>
                <w:snapToGrid w:val="0"/>
                <w:color w:val="auto"/>
                <w:kern w:val="0"/>
                <w:sz w:val="24"/>
                <w:szCs w:val="24"/>
                <w:lang w:eastAsia="zh-Hans"/>
              </w:rPr>
              <w:t xml:space="preserve">G章 远程机组界面和其它信息 </w:t>
            </w:r>
          </w:p>
          <w:p>
            <w:pPr>
              <w:widowControl/>
              <w:adjustRightInd w:val="0"/>
              <w:snapToGrid w:val="0"/>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Cs/>
                <w:snapToGrid w:val="0"/>
                <w:color w:val="auto"/>
                <w:kern w:val="0"/>
                <w:sz w:val="24"/>
                <w:szCs w:val="24"/>
                <w:lang w:eastAsia="zh-Hans"/>
              </w:rPr>
              <w:t>H章 数据链路</w:t>
            </w:r>
          </w:p>
          <w:p>
            <w:pPr>
              <w:widowControl/>
              <w:adjustRightInd w:val="0"/>
              <w:snapToGrid w:val="0"/>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Cs/>
                <w:snapToGrid w:val="0"/>
                <w:color w:val="auto"/>
                <w:kern w:val="0"/>
                <w:sz w:val="24"/>
                <w:szCs w:val="24"/>
                <w:lang w:eastAsia="zh-Hans"/>
              </w:rPr>
              <w:t>J章 地面控制站</w:t>
            </w:r>
          </w:p>
          <w:p>
            <w:pPr>
              <w:widowControl/>
              <w:adjustRightInd w:val="0"/>
              <w:snapToGrid w:val="0"/>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Cs/>
                <w:snapToGrid w:val="0"/>
                <w:color w:val="auto"/>
                <w:kern w:val="0"/>
                <w:sz w:val="24"/>
                <w:szCs w:val="24"/>
                <w:lang w:eastAsia="zh-Hans"/>
              </w:rPr>
              <w:t>附录A 持续适航文件编制要求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417" w:type="dxa"/>
          </w:tcPr>
          <w:p>
            <w:pPr>
              <w:widowControl/>
              <w:adjustRightInd w:val="0"/>
              <w:snapToGrid w:val="0"/>
              <w:jc w:val="center"/>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Cs/>
                <w:snapToGrid w:val="0"/>
                <w:color w:val="auto"/>
                <w:kern w:val="0"/>
                <w:sz w:val="24"/>
                <w:szCs w:val="24"/>
                <w:lang w:eastAsia="zh-Hans"/>
              </w:rPr>
              <w:t>2023-11-10</w:t>
            </w:r>
          </w:p>
        </w:tc>
        <w:tc>
          <w:tcPr>
            <w:tcW w:w="1191" w:type="dxa"/>
          </w:tcPr>
          <w:p>
            <w:pPr>
              <w:widowControl/>
              <w:adjustRightInd w:val="0"/>
              <w:snapToGrid w:val="0"/>
              <w:jc w:val="left"/>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Cs/>
                <w:snapToGrid w:val="0"/>
                <w:color w:val="auto"/>
                <w:kern w:val="0"/>
                <w:sz w:val="24"/>
                <w:szCs w:val="24"/>
                <w:lang w:eastAsia="zh-Hans"/>
              </w:rPr>
              <w:t>SC-21-005</w:t>
            </w:r>
          </w:p>
        </w:tc>
        <w:tc>
          <w:tcPr>
            <w:tcW w:w="1247" w:type="dxa"/>
          </w:tcPr>
          <w:p>
            <w:pPr>
              <w:widowControl/>
              <w:adjustRightInd w:val="0"/>
              <w:snapToGrid w:val="0"/>
              <w:jc w:val="left"/>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Cs/>
                <w:snapToGrid w:val="0"/>
                <w:color w:val="auto"/>
                <w:kern w:val="0"/>
                <w:sz w:val="24"/>
                <w:szCs w:val="24"/>
                <w:lang w:eastAsia="zh-Hans"/>
              </w:rPr>
              <w:t>翼龙-2气象型（WL-2QX）无人驾驶航空器系统专用条件</w:t>
            </w:r>
          </w:p>
        </w:tc>
        <w:tc>
          <w:tcPr>
            <w:tcW w:w="964" w:type="dxa"/>
          </w:tcPr>
          <w:p>
            <w:pPr>
              <w:widowControl/>
              <w:adjustRightInd w:val="0"/>
              <w:snapToGrid w:val="0"/>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Cs/>
                <w:snapToGrid w:val="0"/>
                <w:color w:val="auto"/>
                <w:kern w:val="0"/>
                <w:sz w:val="24"/>
                <w:szCs w:val="24"/>
                <w:lang w:eastAsia="zh-Hans"/>
              </w:rPr>
              <w:t>中航无人机</w:t>
            </w:r>
          </w:p>
        </w:tc>
        <w:tc>
          <w:tcPr>
            <w:tcW w:w="1531" w:type="dxa"/>
          </w:tcPr>
          <w:p>
            <w:pPr>
              <w:widowControl/>
              <w:adjustRightInd w:val="0"/>
              <w:snapToGrid w:val="0"/>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Cs/>
                <w:snapToGrid w:val="0"/>
                <w:color w:val="auto"/>
                <w:kern w:val="0"/>
                <w:sz w:val="24"/>
                <w:szCs w:val="24"/>
                <w:lang w:eastAsia="zh-Hans"/>
              </w:rPr>
              <w:t>WL-2QX</w:t>
            </w:r>
          </w:p>
        </w:tc>
        <w:tc>
          <w:tcPr>
            <w:tcW w:w="2693" w:type="dxa"/>
          </w:tcPr>
          <w:p>
            <w:pPr>
              <w:widowControl/>
              <w:adjustRightInd w:val="0"/>
              <w:snapToGrid w:val="0"/>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Cs/>
                <w:snapToGrid w:val="0"/>
                <w:color w:val="auto"/>
                <w:kern w:val="0"/>
                <w:sz w:val="24"/>
                <w:szCs w:val="24"/>
                <w:lang w:eastAsia="zh-Hans"/>
              </w:rPr>
              <w:t>A章总则</w:t>
            </w:r>
          </w:p>
          <w:p>
            <w:pPr>
              <w:widowControl/>
              <w:adjustRightInd w:val="0"/>
              <w:snapToGrid w:val="0"/>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Cs/>
                <w:snapToGrid w:val="0"/>
                <w:color w:val="auto"/>
                <w:kern w:val="0"/>
                <w:sz w:val="24"/>
                <w:szCs w:val="24"/>
                <w:lang w:eastAsia="zh-Hans"/>
              </w:rPr>
              <w:t>B章 无人机总体要求</w:t>
            </w:r>
          </w:p>
          <w:p>
            <w:pPr>
              <w:widowControl/>
              <w:adjustRightInd w:val="0"/>
              <w:snapToGrid w:val="0"/>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Cs/>
                <w:snapToGrid w:val="0"/>
                <w:color w:val="auto"/>
                <w:kern w:val="0"/>
                <w:sz w:val="24"/>
                <w:szCs w:val="24"/>
                <w:lang w:eastAsia="zh-Hans"/>
              </w:rPr>
              <w:t>C章无人机结构</w:t>
            </w:r>
          </w:p>
          <w:p>
            <w:pPr>
              <w:widowControl/>
              <w:adjustRightInd w:val="0"/>
              <w:snapToGrid w:val="0"/>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Cs/>
                <w:snapToGrid w:val="0"/>
                <w:color w:val="auto"/>
                <w:kern w:val="0"/>
                <w:sz w:val="24"/>
                <w:szCs w:val="24"/>
                <w:lang w:eastAsia="zh-Hans"/>
              </w:rPr>
              <w:t xml:space="preserve">D章 无人机设计与构造 </w:t>
            </w:r>
          </w:p>
          <w:p>
            <w:pPr>
              <w:widowControl/>
              <w:adjustRightInd w:val="0"/>
              <w:snapToGrid w:val="0"/>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Cs/>
                <w:snapToGrid w:val="0"/>
                <w:color w:val="auto"/>
                <w:kern w:val="0"/>
                <w:sz w:val="24"/>
                <w:szCs w:val="24"/>
                <w:lang w:eastAsia="zh-Hans"/>
              </w:rPr>
              <w:t xml:space="preserve">E章 无人机动力系统 </w:t>
            </w:r>
          </w:p>
          <w:p>
            <w:pPr>
              <w:widowControl/>
              <w:adjustRightInd w:val="0"/>
              <w:snapToGrid w:val="0"/>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Cs/>
                <w:snapToGrid w:val="0"/>
                <w:color w:val="auto"/>
                <w:kern w:val="0"/>
                <w:sz w:val="24"/>
                <w:szCs w:val="24"/>
                <w:lang w:eastAsia="zh-Hans"/>
              </w:rPr>
              <w:t xml:space="preserve">F章 无人机设备 </w:t>
            </w:r>
          </w:p>
          <w:p>
            <w:pPr>
              <w:widowControl/>
              <w:adjustRightInd w:val="0"/>
              <w:snapToGrid w:val="0"/>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Cs/>
                <w:snapToGrid w:val="0"/>
                <w:color w:val="auto"/>
                <w:kern w:val="0"/>
                <w:sz w:val="24"/>
                <w:szCs w:val="24"/>
                <w:lang w:eastAsia="zh-Hans"/>
              </w:rPr>
              <w:t xml:space="preserve">G章 使用限制和资料 </w:t>
            </w:r>
          </w:p>
          <w:p>
            <w:pPr>
              <w:widowControl/>
              <w:adjustRightInd w:val="0"/>
              <w:snapToGrid w:val="0"/>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Cs/>
                <w:snapToGrid w:val="0"/>
                <w:color w:val="auto"/>
                <w:kern w:val="0"/>
                <w:sz w:val="24"/>
                <w:szCs w:val="24"/>
                <w:lang w:eastAsia="zh-Hans"/>
              </w:rPr>
              <w:t xml:space="preserve">H章 无人机数据链路 </w:t>
            </w:r>
          </w:p>
          <w:p>
            <w:pPr>
              <w:widowControl/>
              <w:adjustRightInd w:val="0"/>
              <w:snapToGrid w:val="0"/>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Cs/>
                <w:snapToGrid w:val="0"/>
                <w:color w:val="auto"/>
                <w:kern w:val="0"/>
                <w:sz w:val="24"/>
                <w:szCs w:val="24"/>
                <w:lang w:eastAsia="zh-Hans"/>
              </w:rPr>
              <w:t>I章 无人机地面站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417" w:type="dxa"/>
          </w:tcPr>
          <w:p>
            <w:pPr>
              <w:widowControl/>
              <w:adjustRightInd w:val="0"/>
              <w:snapToGrid w:val="0"/>
              <w:jc w:val="center"/>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Cs/>
                <w:snapToGrid w:val="0"/>
                <w:color w:val="auto"/>
                <w:kern w:val="0"/>
                <w:sz w:val="24"/>
                <w:szCs w:val="24"/>
                <w:lang w:eastAsia="zh-Hans"/>
              </w:rPr>
              <w:t>2023-11-12</w:t>
            </w:r>
          </w:p>
        </w:tc>
        <w:tc>
          <w:tcPr>
            <w:tcW w:w="1191" w:type="dxa"/>
          </w:tcPr>
          <w:p>
            <w:pPr>
              <w:widowControl/>
              <w:adjustRightInd w:val="0"/>
              <w:snapToGrid w:val="0"/>
              <w:jc w:val="left"/>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Cs/>
                <w:snapToGrid w:val="0"/>
                <w:color w:val="auto"/>
                <w:kern w:val="0"/>
                <w:sz w:val="24"/>
                <w:szCs w:val="24"/>
                <w:lang w:eastAsia="zh-Hans"/>
              </w:rPr>
              <w:t>SC-21-003</w:t>
            </w:r>
          </w:p>
        </w:tc>
        <w:tc>
          <w:tcPr>
            <w:tcW w:w="1247" w:type="dxa"/>
          </w:tcPr>
          <w:p>
            <w:pPr>
              <w:widowControl/>
              <w:adjustRightInd w:val="0"/>
              <w:snapToGrid w:val="0"/>
              <w:jc w:val="left"/>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Cs/>
                <w:snapToGrid w:val="0"/>
                <w:color w:val="auto"/>
                <w:kern w:val="0"/>
                <w:sz w:val="24"/>
                <w:szCs w:val="24"/>
                <w:lang w:eastAsia="zh-Hans"/>
              </w:rPr>
              <w:t>TP500型无人驾驶航空器系统专用条件</w:t>
            </w:r>
          </w:p>
        </w:tc>
        <w:tc>
          <w:tcPr>
            <w:tcW w:w="964" w:type="dxa"/>
          </w:tcPr>
          <w:p>
            <w:pPr>
              <w:widowControl/>
              <w:adjustRightInd w:val="0"/>
              <w:snapToGrid w:val="0"/>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Cs/>
                <w:snapToGrid w:val="0"/>
                <w:color w:val="auto"/>
                <w:kern w:val="0"/>
                <w:sz w:val="24"/>
                <w:szCs w:val="24"/>
                <w:lang w:eastAsia="zh-Hans"/>
              </w:rPr>
              <w:t>航空工业西飞</w:t>
            </w:r>
          </w:p>
        </w:tc>
        <w:tc>
          <w:tcPr>
            <w:tcW w:w="1531" w:type="dxa"/>
          </w:tcPr>
          <w:p>
            <w:pPr>
              <w:widowControl/>
              <w:adjustRightInd w:val="0"/>
              <w:snapToGrid w:val="0"/>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Cs/>
                <w:snapToGrid w:val="0"/>
                <w:color w:val="auto"/>
                <w:kern w:val="0"/>
                <w:sz w:val="24"/>
                <w:szCs w:val="24"/>
                <w:lang w:eastAsia="zh-Hans"/>
              </w:rPr>
              <w:t>TP500</w:t>
            </w:r>
          </w:p>
        </w:tc>
        <w:tc>
          <w:tcPr>
            <w:tcW w:w="2693" w:type="dxa"/>
          </w:tcPr>
          <w:p>
            <w:pPr>
              <w:widowControl/>
              <w:adjustRightInd w:val="0"/>
              <w:snapToGrid w:val="0"/>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Cs/>
                <w:snapToGrid w:val="0"/>
                <w:color w:val="auto"/>
                <w:kern w:val="0"/>
                <w:sz w:val="24"/>
                <w:szCs w:val="24"/>
                <w:lang w:eastAsia="zh-Hans"/>
              </w:rPr>
              <w:t>A章总则</w:t>
            </w:r>
          </w:p>
          <w:p>
            <w:pPr>
              <w:widowControl/>
              <w:adjustRightInd w:val="0"/>
              <w:snapToGrid w:val="0"/>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Cs/>
                <w:snapToGrid w:val="0"/>
                <w:color w:val="auto"/>
                <w:kern w:val="0"/>
                <w:sz w:val="24"/>
                <w:szCs w:val="24"/>
                <w:lang w:eastAsia="zh-Hans"/>
              </w:rPr>
              <w:t>B章 飞行</w:t>
            </w:r>
          </w:p>
          <w:p>
            <w:pPr>
              <w:widowControl/>
              <w:adjustRightInd w:val="0"/>
              <w:snapToGrid w:val="0"/>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Cs/>
                <w:snapToGrid w:val="0"/>
                <w:color w:val="auto"/>
                <w:kern w:val="0"/>
                <w:sz w:val="24"/>
                <w:szCs w:val="24"/>
                <w:lang w:eastAsia="zh-Hans"/>
              </w:rPr>
              <w:t>C章 结构</w:t>
            </w:r>
          </w:p>
          <w:p>
            <w:pPr>
              <w:widowControl/>
              <w:adjustRightInd w:val="0"/>
              <w:snapToGrid w:val="0"/>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Cs/>
                <w:snapToGrid w:val="0"/>
                <w:color w:val="auto"/>
                <w:kern w:val="0"/>
                <w:sz w:val="24"/>
                <w:szCs w:val="24"/>
                <w:lang w:eastAsia="zh-Hans"/>
              </w:rPr>
              <w:t>D章 设计与构造</w:t>
            </w:r>
          </w:p>
          <w:p>
            <w:pPr>
              <w:widowControl/>
              <w:adjustRightInd w:val="0"/>
              <w:snapToGrid w:val="0"/>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Cs/>
                <w:snapToGrid w:val="0"/>
                <w:color w:val="auto"/>
                <w:kern w:val="0"/>
                <w:sz w:val="24"/>
                <w:szCs w:val="24"/>
                <w:lang w:eastAsia="zh-Hans"/>
              </w:rPr>
              <w:t xml:space="preserve">E章 动力装置 </w:t>
            </w:r>
          </w:p>
          <w:p>
            <w:pPr>
              <w:widowControl/>
              <w:adjustRightInd w:val="0"/>
              <w:snapToGrid w:val="0"/>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Cs/>
                <w:snapToGrid w:val="0"/>
                <w:color w:val="auto"/>
                <w:kern w:val="0"/>
                <w:sz w:val="24"/>
                <w:szCs w:val="24"/>
                <w:lang w:eastAsia="zh-Hans"/>
              </w:rPr>
              <w:t xml:space="preserve">F章 系统和设备 </w:t>
            </w:r>
          </w:p>
          <w:p>
            <w:pPr>
              <w:widowControl/>
              <w:adjustRightInd w:val="0"/>
              <w:snapToGrid w:val="0"/>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Cs/>
                <w:snapToGrid w:val="0"/>
                <w:color w:val="auto"/>
                <w:kern w:val="0"/>
                <w:sz w:val="24"/>
                <w:szCs w:val="24"/>
                <w:lang w:eastAsia="zh-Hans"/>
              </w:rPr>
              <w:t>G章 数据链路</w:t>
            </w:r>
          </w:p>
          <w:p>
            <w:pPr>
              <w:widowControl/>
              <w:adjustRightInd w:val="0"/>
              <w:snapToGrid w:val="0"/>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Cs/>
                <w:snapToGrid w:val="0"/>
                <w:color w:val="auto"/>
                <w:kern w:val="0"/>
                <w:sz w:val="24"/>
                <w:szCs w:val="24"/>
                <w:lang w:eastAsia="zh-Hans"/>
              </w:rPr>
              <w:t xml:space="preserve">H章 使用限制和资料 </w:t>
            </w:r>
          </w:p>
          <w:p>
            <w:pPr>
              <w:widowControl/>
              <w:adjustRightInd w:val="0"/>
              <w:snapToGrid w:val="0"/>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Cs/>
                <w:snapToGrid w:val="0"/>
                <w:color w:val="auto"/>
                <w:kern w:val="0"/>
                <w:sz w:val="24"/>
                <w:szCs w:val="24"/>
                <w:lang w:eastAsia="zh-Hans"/>
              </w:rPr>
              <w:t>附录A 持续适航文件编制要求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417" w:type="dxa"/>
          </w:tcPr>
          <w:p>
            <w:pPr>
              <w:widowControl/>
              <w:adjustRightInd w:val="0"/>
              <w:snapToGrid w:val="0"/>
              <w:jc w:val="center"/>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Cs/>
                <w:snapToGrid w:val="0"/>
                <w:color w:val="auto"/>
                <w:kern w:val="0"/>
                <w:sz w:val="24"/>
                <w:szCs w:val="24"/>
                <w:lang w:eastAsia="zh-Hans"/>
              </w:rPr>
              <w:t>2023-11-12</w:t>
            </w:r>
          </w:p>
        </w:tc>
        <w:tc>
          <w:tcPr>
            <w:tcW w:w="1191" w:type="dxa"/>
          </w:tcPr>
          <w:p>
            <w:pPr>
              <w:widowControl/>
              <w:adjustRightInd w:val="0"/>
              <w:snapToGrid w:val="0"/>
              <w:jc w:val="left"/>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Cs/>
                <w:snapToGrid w:val="0"/>
                <w:color w:val="auto"/>
                <w:kern w:val="0"/>
                <w:sz w:val="24"/>
                <w:szCs w:val="24"/>
                <w:lang w:eastAsia="zh-Hans"/>
              </w:rPr>
              <w:t>SC-21-004</w:t>
            </w:r>
          </w:p>
        </w:tc>
        <w:tc>
          <w:tcPr>
            <w:tcW w:w="1247" w:type="dxa"/>
          </w:tcPr>
          <w:p>
            <w:pPr>
              <w:widowControl/>
              <w:adjustRightInd w:val="0"/>
              <w:snapToGrid w:val="0"/>
              <w:jc w:val="left"/>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Cs/>
                <w:snapToGrid w:val="0"/>
                <w:color w:val="auto"/>
                <w:kern w:val="0"/>
                <w:sz w:val="24"/>
                <w:szCs w:val="24"/>
                <w:lang w:eastAsia="zh-Hans"/>
              </w:rPr>
              <w:t>V2000CG型无人驾驶航空器系统专用条件</w:t>
            </w:r>
          </w:p>
        </w:tc>
        <w:tc>
          <w:tcPr>
            <w:tcW w:w="964" w:type="dxa"/>
          </w:tcPr>
          <w:p>
            <w:pPr>
              <w:widowControl/>
              <w:adjustRightInd w:val="0"/>
              <w:snapToGrid w:val="0"/>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Cs/>
                <w:snapToGrid w:val="0"/>
                <w:color w:val="auto"/>
                <w:kern w:val="0"/>
                <w:sz w:val="24"/>
                <w:szCs w:val="24"/>
                <w:lang w:eastAsia="zh-Hans"/>
              </w:rPr>
              <w:t>峰飞科技</w:t>
            </w:r>
          </w:p>
        </w:tc>
        <w:tc>
          <w:tcPr>
            <w:tcW w:w="1531" w:type="dxa"/>
          </w:tcPr>
          <w:p>
            <w:pPr>
              <w:widowControl/>
              <w:adjustRightInd w:val="0"/>
              <w:snapToGrid w:val="0"/>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Cs/>
                <w:snapToGrid w:val="0"/>
                <w:color w:val="auto"/>
                <w:kern w:val="0"/>
                <w:sz w:val="24"/>
                <w:szCs w:val="24"/>
                <w:lang w:eastAsia="zh-Hans"/>
              </w:rPr>
              <w:t>V2000CG</w:t>
            </w:r>
          </w:p>
        </w:tc>
        <w:tc>
          <w:tcPr>
            <w:tcW w:w="2693" w:type="dxa"/>
          </w:tcPr>
          <w:p>
            <w:pPr>
              <w:widowControl/>
              <w:adjustRightInd w:val="0"/>
              <w:snapToGrid w:val="0"/>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Cs/>
                <w:snapToGrid w:val="0"/>
                <w:color w:val="auto"/>
                <w:kern w:val="0"/>
                <w:sz w:val="24"/>
                <w:szCs w:val="24"/>
                <w:lang w:eastAsia="zh-Hans"/>
              </w:rPr>
              <w:t>A章总则</w:t>
            </w:r>
          </w:p>
          <w:p>
            <w:pPr>
              <w:widowControl/>
              <w:adjustRightInd w:val="0"/>
              <w:snapToGrid w:val="0"/>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Cs/>
                <w:snapToGrid w:val="0"/>
                <w:color w:val="auto"/>
                <w:kern w:val="0"/>
                <w:sz w:val="24"/>
                <w:szCs w:val="24"/>
                <w:lang w:eastAsia="zh-Hans"/>
              </w:rPr>
              <w:t>B章 飞行及性能</w:t>
            </w:r>
          </w:p>
          <w:p>
            <w:pPr>
              <w:widowControl/>
              <w:adjustRightInd w:val="0"/>
              <w:snapToGrid w:val="0"/>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Cs/>
                <w:snapToGrid w:val="0"/>
                <w:color w:val="auto"/>
                <w:kern w:val="0"/>
                <w:sz w:val="24"/>
                <w:szCs w:val="24"/>
                <w:lang w:eastAsia="zh-Hans"/>
              </w:rPr>
              <w:t>C章 结构</w:t>
            </w:r>
          </w:p>
          <w:p>
            <w:pPr>
              <w:widowControl/>
              <w:adjustRightInd w:val="0"/>
              <w:snapToGrid w:val="0"/>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Cs/>
                <w:snapToGrid w:val="0"/>
                <w:color w:val="auto"/>
                <w:kern w:val="0"/>
                <w:sz w:val="24"/>
                <w:szCs w:val="24"/>
                <w:lang w:eastAsia="zh-Hans"/>
              </w:rPr>
              <w:t>D章 设计和构造</w:t>
            </w:r>
          </w:p>
          <w:p>
            <w:pPr>
              <w:widowControl/>
              <w:adjustRightInd w:val="0"/>
              <w:snapToGrid w:val="0"/>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Cs/>
                <w:snapToGrid w:val="0"/>
                <w:color w:val="auto"/>
                <w:kern w:val="0"/>
                <w:sz w:val="24"/>
                <w:szCs w:val="24"/>
                <w:lang w:eastAsia="zh-Hans"/>
              </w:rPr>
              <w:t xml:space="preserve">E章 动力装置 </w:t>
            </w:r>
          </w:p>
          <w:p>
            <w:pPr>
              <w:widowControl/>
              <w:adjustRightInd w:val="0"/>
              <w:snapToGrid w:val="0"/>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Cs/>
                <w:snapToGrid w:val="0"/>
                <w:color w:val="auto"/>
                <w:kern w:val="0"/>
                <w:sz w:val="24"/>
                <w:szCs w:val="24"/>
                <w:lang w:eastAsia="zh-Hans"/>
              </w:rPr>
              <w:t xml:space="preserve">F章 系统和设备 </w:t>
            </w:r>
          </w:p>
          <w:p>
            <w:pPr>
              <w:widowControl/>
              <w:adjustRightInd w:val="0"/>
              <w:snapToGrid w:val="0"/>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Cs/>
                <w:snapToGrid w:val="0"/>
                <w:color w:val="auto"/>
                <w:kern w:val="0"/>
                <w:sz w:val="24"/>
                <w:szCs w:val="24"/>
                <w:lang w:eastAsia="zh-Hans"/>
              </w:rPr>
              <w:t xml:space="preserve">G章 使用限制和资料 </w:t>
            </w:r>
          </w:p>
          <w:p>
            <w:pPr>
              <w:widowControl/>
              <w:adjustRightInd w:val="0"/>
              <w:snapToGrid w:val="0"/>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Cs/>
                <w:snapToGrid w:val="0"/>
                <w:color w:val="auto"/>
                <w:kern w:val="0"/>
                <w:sz w:val="24"/>
                <w:szCs w:val="24"/>
                <w:lang w:eastAsia="zh-Hans"/>
              </w:rPr>
              <w:t>H章 数据链路</w:t>
            </w:r>
          </w:p>
          <w:p>
            <w:pPr>
              <w:widowControl/>
              <w:adjustRightInd w:val="0"/>
              <w:snapToGrid w:val="0"/>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Cs/>
                <w:snapToGrid w:val="0"/>
                <w:color w:val="auto"/>
                <w:kern w:val="0"/>
                <w:sz w:val="24"/>
                <w:szCs w:val="24"/>
                <w:lang w:eastAsia="zh-Hans"/>
              </w:rPr>
              <w:t>I章 地面控制站</w:t>
            </w:r>
          </w:p>
          <w:p>
            <w:pPr>
              <w:widowControl/>
              <w:adjustRightInd w:val="0"/>
              <w:snapToGrid w:val="0"/>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Cs/>
                <w:snapToGrid w:val="0"/>
                <w:color w:val="auto"/>
                <w:kern w:val="0"/>
                <w:sz w:val="24"/>
                <w:szCs w:val="24"/>
                <w:lang w:eastAsia="zh-Hans"/>
              </w:rPr>
              <w:t>附录A 持续适航文件编制要求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417" w:type="dxa"/>
          </w:tcPr>
          <w:p>
            <w:pPr>
              <w:widowControl/>
              <w:adjustRightInd w:val="0"/>
              <w:snapToGrid w:val="0"/>
              <w:jc w:val="center"/>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Cs/>
                <w:snapToGrid w:val="0"/>
                <w:color w:val="auto"/>
                <w:kern w:val="0"/>
                <w:sz w:val="24"/>
                <w:szCs w:val="24"/>
                <w:lang w:eastAsia="zh-Hans"/>
              </w:rPr>
              <w:t>2023-12-01</w:t>
            </w:r>
          </w:p>
        </w:tc>
        <w:tc>
          <w:tcPr>
            <w:tcW w:w="1191" w:type="dxa"/>
          </w:tcPr>
          <w:p>
            <w:pPr>
              <w:widowControl/>
              <w:adjustRightInd w:val="0"/>
              <w:snapToGrid w:val="0"/>
              <w:jc w:val="left"/>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Cs/>
                <w:snapToGrid w:val="0"/>
                <w:color w:val="auto"/>
                <w:kern w:val="0"/>
                <w:sz w:val="24"/>
                <w:szCs w:val="24"/>
                <w:lang w:eastAsia="zh-Hans"/>
              </w:rPr>
              <w:t>SC-21-006</w:t>
            </w:r>
          </w:p>
        </w:tc>
        <w:tc>
          <w:tcPr>
            <w:tcW w:w="1247" w:type="dxa"/>
          </w:tcPr>
          <w:p>
            <w:pPr>
              <w:widowControl/>
              <w:adjustRightInd w:val="0"/>
              <w:snapToGrid w:val="0"/>
              <w:jc w:val="left"/>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Cs/>
                <w:snapToGrid w:val="0"/>
                <w:color w:val="auto"/>
                <w:kern w:val="0"/>
                <w:sz w:val="24"/>
                <w:szCs w:val="24"/>
                <w:lang w:eastAsia="zh-Hans"/>
              </w:rPr>
              <w:t>沃飞AE200-100型电动垂直起降航空器专用条件</w:t>
            </w:r>
          </w:p>
        </w:tc>
        <w:tc>
          <w:tcPr>
            <w:tcW w:w="964" w:type="dxa"/>
          </w:tcPr>
          <w:p>
            <w:pPr>
              <w:widowControl/>
              <w:adjustRightInd w:val="0"/>
              <w:snapToGrid w:val="0"/>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Cs/>
                <w:snapToGrid w:val="0"/>
                <w:color w:val="auto"/>
                <w:kern w:val="0"/>
                <w:sz w:val="24"/>
                <w:szCs w:val="24"/>
                <w:lang w:eastAsia="zh-Hans"/>
              </w:rPr>
              <w:t>沃飞长空</w:t>
            </w:r>
          </w:p>
        </w:tc>
        <w:tc>
          <w:tcPr>
            <w:tcW w:w="1531" w:type="dxa"/>
          </w:tcPr>
          <w:p>
            <w:pPr>
              <w:widowControl/>
              <w:adjustRightInd w:val="0"/>
              <w:snapToGrid w:val="0"/>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Cs/>
                <w:snapToGrid w:val="0"/>
                <w:color w:val="auto"/>
                <w:kern w:val="0"/>
                <w:sz w:val="24"/>
                <w:szCs w:val="24"/>
                <w:lang w:eastAsia="zh-Hans"/>
              </w:rPr>
              <w:t xml:space="preserve">AE200-100 </w:t>
            </w:r>
          </w:p>
        </w:tc>
        <w:tc>
          <w:tcPr>
            <w:tcW w:w="2693" w:type="dxa"/>
          </w:tcPr>
          <w:p>
            <w:pPr>
              <w:widowControl/>
              <w:adjustRightInd w:val="0"/>
              <w:snapToGrid w:val="0"/>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Cs/>
                <w:snapToGrid w:val="0"/>
                <w:color w:val="auto"/>
                <w:kern w:val="0"/>
                <w:sz w:val="24"/>
                <w:szCs w:val="24"/>
                <w:lang w:eastAsia="zh-Hans"/>
              </w:rPr>
              <w:t>A章 总则</w:t>
            </w:r>
          </w:p>
          <w:p>
            <w:pPr>
              <w:widowControl/>
              <w:adjustRightInd w:val="0"/>
              <w:snapToGrid w:val="0"/>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Cs/>
                <w:snapToGrid w:val="0"/>
                <w:color w:val="auto"/>
                <w:kern w:val="0"/>
                <w:sz w:val="24"/>
                <w:szCs w:val="24"/>
                <w:lang w:eastAsia="zh-Hans"/>
              </w:rPr>
              <w:t>B章 飞行</w:t>
            </w:r>
          </w:p>
          <w:p>
            <w:pPr>
              <w:widowControl/>
              <w:adjustRightInd w:val="0"/>
              <w:snapToGrid w:val="0"/>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Cs/>
                <w:snapToGrid w:val="0"/>
                <w:color w:val="auto"/>
                <w:kern w:val="0"/>
                <w:sz w:val="24"/>
                <w:szCs w:val="24"/>
                <w:lang w:eastAsia="zh-Hans"/>
              </w:rPr>
              <w:t>C章 结构和强度</w:t>
            </w:r>
          </w:p>
          <w:p>
            <w:pPr>
              <w:widowControl/>
              <w:adjustRightInd w:val="0"/>
              <w:snapToGrid w:val="0"/>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Cs/>
                <w:snapToGrid w:val="0"/>
                <w:color w:val="auto"/>
                <w:kern w:val="0"/>
                <w:sz w:val="24"/>
                <w:szCs w:val="24"/>
                <w:lang w:eastAsia="zh-Hans"/>
              </w:rPr>
              <w:t>D章 设计和构造</w:t>
            </w:r>
          </w:p>
          <w:p>
            <w:pPr>
              <w:widowControl/>
              <w:adjustRightInd w:val="0"/>
              <w:snapToGrid w:val="0"/>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Cs/>
                <w:snapToGrid w:val="0"/>
                <w:color w:val="auto"/>
                <w:kern w:val="0"/>
                <w:sz w:val="24"/>
                <w:szCs w:val="24"/>
                <w:lang w:eastAsia="zh-Hans"/>
              </w:rPr>
              <w:t>E章 电推进系统</w:t>
            </w:r>
          </w:p>
          <w:p>
            <w:pPr>
              <w:widowControl/>
              <w:adjustRightInd w:val="0"/>
              <w:snapToGrid w:val="0"/>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Cs/>
                <w:snapToGrid w:val="0"/>
                <w:color w:val="auto"/>
                <w:kern w:val="0"/>
                <w:sz w:val="24"/>
                <w:szCs w:val="24"/>
                <w:lang w:eastAsia="zh-Hans"/>
              </w:rPr>
              <w:t>F章 系统和设备</w:t>
            </w:r>
          </w:p>
          <w:p>
            <w:pPr>
              <w:widowControl/>
              <w:adjustRightInd w:val="0"/>
              <w:snapToGrid w:val="0"/>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Cs/>
                <w:snapToGrid w:val="0"/>
                <w:color w:val="auto"/>
                <w:kern w:val="0"/>
                <w:sz w:val="24"/>
                <w:szCs w:val="24"/>
                <w:lang w:eastAsia="zh-Hans"/>
              </w:rPr>
              <w:t>G章 飞行机组界面和其他资料</w:t>
            </w:r>
          </w:p>
          <w:p>
            <w:pPr>
              <w:widowControl/>
              <w:adjustRightInd w:val="0"/>
              <w:snapToGrid w:val="0"/>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Cs/>
                <w:snapToGrid w:val="0"/>
                <w:color w:val="auto"/>
                <w:kern w:val="0"/>
                <w:sz w:val="24"/>
                <w:szCs w:val="24"/>
                <w:lang w:eastAsia="zh-Hans"/>
              </w:rPr>
              <w:t>H章 电推进装置适航要求</w:t>
            </w:r>
          </w:p>
          <w:p>
            <w:pPr>
              <w:widowControl/>
              <w:adjustRightInd w:val="0"/>
              <w:snapToGrid w:val="0"/>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Cs/>
                <w:snapToGrid w:val="0"/>
                <w:color w:val="auto"/>
                <w:kern w:val="0"/>
                <w:sz w:val="24"/>
                <w:szCs w:val="24"/>
                <w:lang w:eastAsia="zh-Hans"/>
              </w:rPr>
              <w:t>附录A 持续适航文件</w:t>
            </w:r>
          </w:p>
        </w:tc>
      </w:tr>
    </w:tbl>
    <w:p>
      <w:pPr>
        <w:widowControl/>
        <w:adjustRightInd w:val="0"/>
        <w:snapToGrid w:val="0"/>
        <w:spacing w:line="560" w:lineRule="exact"/>
        <w:ind w:firstLine="640" w:firstLineChars="200"/>
        <w:rPr>
          <w:rFonts w:ascii="Times New Roman" w:hAnsi="Times New Roman" w:eastAsia="黑体" w:cs="Times New Roman"/>
          <w:bCs/>
          <w:snapToGrid w:val="0"/>
          <w:color w:val="auto"/>
          <w:kern w:val="0"/>
          <w:sz w:val="32"/>
          <w:szCs w:val="32"/>
          <w:lang w:bidi="ar"/>
        </w:rPr>
      </w:pPr>
      <w:r>
        <w:rPr>
          <w:rFonts w:hint="eastAsia" w:ascii="Times New Roman" w:hAnsi="Times New Roman" w:eastAsia="黑体" w:cs="Times New Roman"/>
          <w:bCs/>
          <w:snapToGrid w:val="0"/>
          <w:color w:val="auto"/>
          <w:kern w:val="0"/>
          <w:sz w:val="32"/>
          <w:szCs w:val="32"/>
          <w:lang w:bidi="ar"/>
        </w:rPr>
        <w:t>五、民用无人驾驶航空法规标准化建设</w:t>
      </w:r>
    </w:p>
    <w:p>
      <w:pPr>
        <w:widowControl/>
        <w:adjustRightInd w:val="0"/>
        <w:snapToGrid w:val="0"/>
        <w:spacing w:line="560" w:lineRule="exact"/>
        <w:ind w:firstLine="640" w:firstLineChars="200"/>
        <w:rPr>
          <w:rFonts w:ascii="Times New Roman" w:hAnsi="Times New Roman" w:eastAsia="仿宋_GB2312" w:cs="Times New Roman"/>
          <w:bCs/>
          <w:snapToGrid w:val="0"/>
          <w:color w:val="auto"/>
          <w:kern w:val="0"/>
          <w:sz w:val="32"/>
          <w:szCs w:val="32"/>
          <w:lang w:bidi="ar"/>
        </w:rPr>
      </w:pPr>
      <w:r>
        <w:rPr>
          <w:rFonts w:hint="eastAsia" w:ascii="Times New Roman" w:hAnsi="Times New Roman" w:eastAsia="仿宋_GB2312" w:cs="Times New Roman"/>
          <w:bCs/>
          <w:snapToGrid w:val="0"/>
          <w:color w:val="auto"/>
          <w:kern w:val="0"/>
          <w:sz w:val="32"/>
          <w:szCs w:val="32"/>
          <w:lang w:bidi="ar"/>
        </w:rPr>
        <w:t>构建标准体系是运用系统论指导标准化工作的一种方法，构建在一定领域范围内包含现有、应有和预计制定标准的蓝图，指导民用无人机领域标准化工作的开展，为民用无人机标准的规划、计划和管理工作提供科学依据，有助于促进该领域范围内的标准组成达到科学合理化。</w:t>
      </w:r>
    </w:p>
    <w:p>
      <w:pPr>
        <w:widowControl/>
        <w:adjustRightInd w:val="0"/>
        <w:snapToGrid w:val="0"/>
        <w:spacing w:line="560" w:lineRule="exact"/>
        <w:ind w:firstLine="640" w:firstLineChars="200"/>
        <w:rPr>
          <w:rFonts w:ascii="Times New Roman" w:hAnsi="Times New Roman" w:eastAsia="仿宋_GB2312" w:cs="Times New Roman"/>
          <w:bCs/>
          <w:snapToGrid w:val="0"/>
          <w:color w:val="auto"/>
          <w:kern w:val="0"/>
          <w:sz w:val="32"/>
          <w:szCs w:val="32"/>
          <w:lang w:bidi="ar"/>
        </w:rPr>
      </w:pPr>
      <w:r>
        <w:rPr>
          <w:rFonts w:hint="eastAsia" w:ascii="Times New Roman" w:hAnsi="Times New Roman" w:eastAsia="仿宋_GB2312" w:cs="Times New Roman"/>
          <w:bCs/>
          <w:snapToGrid w:val="0"/>
          <w:color w:val="auto"/>
          <w:kern w:val="0"/>
          <w:sz w:val="32"/>
          <w:szCs w:val="32"/>
          <w:lang w:bidi="ar"/>
        </w:rPr>
        <w:t>在《中华人民共和国民用航空法》的统领下，依据无人驾驶航空器管理有关法规，按照民航局对民用无人驾驶航空法规标准体系构建的总体思路，采用“1+N+X”的管理模式。即1部规章，N份规范性文件及政策文件，X份技术标准。体系划分与民用无人驾驶航空活动管理链条及系统风险类别相匹配。</w:t>
      </w:r>
    </w:p>
    <w:p>
      <w:pPr>
        <w:widowControl/>
        <w:adjustRightInd w:val="0"/>
        <w:snapToGrid w:val="0"/>
        <w:spacing w:line="560" w:lineRule="exact"/>
        <w:ind w:firstLine="642" w:firstLineChars="200"/>
        <w:rPr>
          <w:rFonts w:ascii="Times New Roman" w:hAnsi="Times New Roman" w:eastAsia="仿宋_GB2312" w:cs="Times New Roman"/>
          <w:bCs/>
          <w:snapToGrid w:val="0"/>
          <w:color w:val="auto"/>
          <w:kern w:val="0"/>
          <w:sz w:val="32"/>
          <w:szCs w:val="32"/>
          <w:lang w:bidi="ar"/>
        </w:rPr>
      </w:pPr>
      <w:r>
        <w:rPr>
          <w:rFonts w:hint="eastAsia" w:ascii="Times New Roman" w:hAnsi="Times New Roman" w:eastAsia="仿宋_GB2312" w:cs="Times New Roman"/>
          <w:b/>
          <w:bCs/>
          <w:snapToGrid w:val="0"/>
          <w:color w:val="auto"/>
          <w:kern w:val="0"/>
          <w:sz w:val="32"/>
          <w:szCs w:val="32"/>
          <w:lang w:bidi="ar"/>
        </w:rPr>
        <w:t>分块构建</w:t>
      </w:r>
      <w:r>
        <w:rPr>
          <w:rFonts w:hint="eastAsia" w:ascii="Times New Roman" w:hAnsi="Times New Roman" w:eastAsia="仿宋_GB2312" w:cs="Times New Roman"/>
          <w:bCs/>
          <w:snapToGrid w:val="0"/>
          <w:color w:val="auto"/>
          <w:kern w:val="0"/>
          <w:sz w:val="32"/>
          <w:szCs w:val="32"/>
          <w:lang w:bidi="ar"/>
        </w:rPr>
        <w:t>：民用无人机全寿命周期包括研发、制造、适航审定、运行等一系列相互联系的价值创造活动组成的链式集合。通过“初始适航”“运行”和“经营”三个方面分块结构，与民航现有管理体系相适应。</w:t>
      </w:r>
    </w:p>
    <w:p>
      <w:pPr>
        <w:widowControl/>
        <w:adjustRightInd w:val="0"/>
        <w:snapToGrid w:val="0"/>
        <w:spacing w:before="156" w:beforeLines="50" w:after="156" w:afterLines="50"/>
        <w:ind w:firstLine="198"/>
        <w:jc w:val="center"/>
        <w:rPr>
          <w:rFonts w:ascii="Times New Roman" w:hAnsi="Times New Roman" w:eastAsia="仿宋_GB2312" w:cs="Times New Roman"/>
          <w:bCs/>
          <w:snapToGrid w:val="0"/>
          <w:color w:val="auto"/>
          <w:kern w:val="0"/>
          <w:sz w:val="32"/>
          <w:szCs w:val="32"/>
          <w:lang w:bidi="ar"/>
        </w:rPr>
      </w:pPr>
      <w:r>
        <w:rPr>
          <w:rFonts w:hint="eastAsia" w:ascii="Times New Roman" w:hAnsi="Times New Roman" w:eastAsia="仿宋_GB2312" w:cs="Times New Roman"/>
          <w:bCs/>
          <w:snapToGrid w:val="0"/>
          <w:color w:val="auto"/>
          <w:kern w:val="0"/>
          <w:sz w:val="32"/>
          <w:szCs w:val="32"/>
        </w:rPr>
        <w:drawing>
          <wp:inline distT="0" distB="0" distL="0" distR="0">
            <wp:extent cx="4745355" cy="1520190"/>
            <wp:effectExtent l="0" t="0" r="4445" b="1905"/>
            <wp:docPr id="7" name="图片 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true" noChangeArrowheads="true"/>
                    </pic:cNvPicPr>
                  </pic:nvPicPr>
                  <pic:blipFill>
                    <a:blip r:embed="rId8" cstate="print">
                      <a:extLst>
                        <a:ext uri="{28A0092B-C50C-407E-A947-70E740481C1C}">
                          <a14:useLocalDpi xmlns:a14="http://schemas.microsoft.com/office/drawing/2010/main" val="false"/>
                        </a:ext>
                      </a:extLst>
                    </a:blip>
                    <a:srcRect/>
                    <a:stretch>
                      <a:fillRect/>
                    </a:stretch>
                  </pic:blipFill>
                  <pic:spPr>
                    <a:xfrm>
                      <a:off x="0" y="0"/>
                      <a:ext cx="4743969" cy="1519943"/>
                    </a:xfrm>
                    <a:prstGeom prst="rect">
                      <a:avLst/>
                    </a:prstGeom>
                    <a:noFill/>
                    <a:ln>
                      <a:noFill/>
                    </a:ln>
                  </pic:spPr>
                </pic:pic>
              </a:graphicData>
            </a:graphic>
          </wp:inline>
        </w:drawing>
      </w:r>
    </w:p>
    <w:p>
      <w:pPr>
        <w:widowControl/>
        <w:adjustRightInd w:val="0"/>
        <w:snapToGrid w:val="0"/>
        <w:spacing w:line="560" w:lineRule="exact"/>
        <w:ind w:firstLine="642" w:firstLineChars="200"/>
        <w:rPr>
          <w:rFonts w:ascii="Times New Roman" w:hAnsi="Times New Roman" w:eastAsia="仿宋_GB2312" w:cs="Times New Roman"/>
          <w:b/>
          <w:bCs/>
          <w:snapToGrid w:val="0"/>
          <w:color w:val="auto"/>
          <w:kern w:val="0"/>
          <w:sz w:val="32"/>
          <w:szCs w:val="32"/>
          <w:lang w:bidi="ar"/>
        </w:rPr>
      </w:pPr>
      <w:r>
        <w:rPr>
          <w:rFonts w:hint="eastAsia" w:ascii="Times New Roman" w:hAnsi="Times New Roman" w:eastAsia="仿宋_GB2312" w:cs="Times New Roman"/>
          <w:b/>
          <w:bCs/>
          <w:snapToGrid w:val="0"/>
          <w:color w:val="auto"/>
          <w:kern w:val="0"/>
          <w:sz w:val="32"/>
          <w:szCs w:val="32"/>
          <w:lang w:bidi="ar"/>
        </w:rPr>
        <w:t>分层构建：</w:t>
      </w:r>
      <w:r>
        <w:rPr>
          <w:rFonts w:hint="eastAsia" w:ascii="Times New Roman" w:hAnsi="Times New Roman" w:eastAsia="仿宋_GB2312" w:cs="Times New Roman"/>
          <w:bCs/>
          <w:snapToGrid w:val="0"/>
          <w:color w:val="auto"/>
          <w:kern w:val="0"/>
          <w:sz w:val="32"/>
          <w:szCs w:val="32"/>
          <w:lang w:bidi="ar"/>
        </w:rPr>
        <w:t>包括管理要素、风险类别和体例形式三个维度。</w:t>
      </w:r>
    </w:p>
    <w:p>
      <w:pPr>
        <w:widowControl/>
        <w:adjustRightInd w:val="0"/>
        <w:snapToGrid w:val="0"/>
        <w:spacing w:before="156" w:beforeLines="50" w:after="156" w:afterLines="50"/>
        <w:ind w:firstLine="198"/>
        <w:jc w:val="center"/>
        <w:rPr>
          <w:rFonts w:ascii="Times New Roman" w:hAnsi="Times New Roman" w:eastAsia="仿宋_GB2312" w:cs="Times New Roman"/>
          <w:bCs/>
          <w:snapToGrid w:val="0"/>
          <w:color w:val="auto"/>
          <w:kern w:val="0"/>
          <w:sz w:val="32"/>
          <w:szCs w:val="32"/>
        </w:rPr>
      </w:pPr>
      <w:r>
        <w:rPr>
          <w:rFonts w:hint="eastAsia" w:ascii="Times New Roman" w:hAnsi="Times New Roman" w:eastAsia="仿宋_GB2312" w:cs="Times New Roman"/>
          <w:bCs/>
          <w:snapToGrid w:val="0"/>
          <w:color w:val="auto"/>
          <w:kern w:val="0"/>
          <w:sz w:val="32"/>
          <w:szCs w:val="32"/>
        </w:rPr>
        <w:drawing>
          <wp:inline distT="0" distB="0" distL="0" distR="0">
            <wp:extent cx="4687570" cy="3025775"/>
            <wp:effectExtent l="0" t="0" r="8255" b="7620"/>
            <wp:docPr id="266762932" name="图片 26676293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66762932" name="图片 266762932"/>
                    <pic:cNvPicPr>
                      <a:picLocks noChangeAspect="true" noChangeArrowheads="true"/>
                    </pic:cNvPicPr>
                  </pic:nvPicPr>
                  <pic:blipFill>
                    <a:blip r:embed="rId9" cstate="print">
                      <a:extLst>
                        <a:ext uri="{28A0092B-C50C-407E-A947-70E740481C1C}">
                          <a14:useLocalDpi xmlns:a14="http://schemas.microsoft.com/office/drawing/2010/main" val="false"/>
                        </a:ext>
                      </a:extLst>
                    </a:blip>
                    <a:srcRect/>
                    <a:stretch>
                      <a:fillRect/>
                    </a:stretch>
                  </pic:blipFill>
                  <pic:spPr>
                    <a:xfrm>
                      <a:off x="0" y="0"/>
                      <a:ext cx="4690014" cy="3027695"/>
                    </a:xfrm>
                    <a:prstGeom prst="rect">
                      <a:avLst/>
                    </a:prstGeom>
                    <a:noFill/>
                    <a:ln>
                      <a:noFill/>
                    </a:ln>
                  </pic:spPr>
                </pic:pic>
              </a:graphicData>
            </a:graphic>
          </wp:inline>
        </w:drawing>
      </w:r>
    </w:p>
    <w:p>
      <w:pPr>
        <w:widowControl/>
        <w:adjustRightInd w:val="0"/>
        <w:snapToGrid w:val="0"/>
        <w:spacing w:line="560" w:lineRule="exact"/>
        <w:ind w:firstLine="640" w:firstLineChars="200"/>
        <w:rPr>
          <w:rFonts w:ascii="Times New Roman" w:hAnsi="Times New Roman" w:eastAsia="仿宋_GB2312" w:cs="Times New Roman"/>
          <w:bCs/>
          <w:snapToGrid w:val="0"/>
          <w:color w:val="auto"/>
          <w:kern w:val="0"/>
          <w:sz w:val="32"/>
          <w:szCs w:val="32"/>
          <w:lang w:bidi="ar"/>
        </w:rPr>
      </w:pPr>
      <w:r>
        <w:rPr>
          <w:rFonts w:hint="eastAsia" w:ascii="Times New Roman" w:hAnsi="Times New Roman" w:eastAsia="仿宋_GB2312" w:cs="Times New Roman"/>
          <w:bCs/>
          <w:snapToGrid w:val="0"/>
          <w:color w:val="auto"/>
          <w:kern w:val="0"/>
          <w:sz w:val="32"/>
          <w:szCs w:val="32"/>
          <w:lang w:bidi="ar"/>
        </w:rPr>
        <w:t>截至目前，已发布UAS相关国家标准共35项，其中强制性国标1项，推荐性国标34项。</w:t>
      </w:r>
    </w:p>
    <w:p>
      <w:pPr>
        <w:widowControl/>
        <w:adjustRightInd w:val="0"/>
        <w:snapToGrid w:val="0"/>
        <w:spacing w:line="560" w:lineRule="exact"/>
        <w:jc w:val="center"/>
        <w:rPr>
          <w:rFonts w:ascii="Times New Roman" w:hAnsi="Times New Roman" w:eastAsia="楷体_GB2312" w:cs="Times New Roman"/>
          <w:bCs/>
          <w:snapToGrid w:val="0"/>
          <w:color w:val="auto"/>
          <w:kern w:val="0"/>
          <w:sz w:val="24"/>
          <w:szCs w:val="24"/>
          <w:lang w:eastAsia="zh-Hans" w:bidi="ar"/>
        </w:rPr>
      </w:pPr>
      <w:r>
        <w:rPr>
          <w:rFonts w:hint="eastAsia" w:ascii="Times New Roman" w:hAnsi="Times New Roman" w:eastAsia="楷体_GB2312" w:cs="Times New Roman"/>
          <w:bCs/>
          <w:snapToGrid w:val="0"/>
          <w:color w:val="auto"/>
          <w:kern w:val="0"/>
          <w:sz w:val="24"/>
          <w:szCs w:val="24"/>
          <w:lang w:eastAsia="zh-Hans" w:bidi="ar"/>
        </w:rPr>
        <w:t>附表</w:t>
      </w:r>
      <w:r>
        <w:rPr>
          <w:rFonts w:hint="eastAsia" w:ascii="Times New Roman" w:hAnsi="Times New Roman" w:eastAsia="楷体_GB2312" w:cs="Times New Roman"/>
          <w:bCs/>
          <w:snapToGrid w:val="0"/>
          <w:color w:val="auto"/>
          <w:kern w:val="0"/>
          <w:sz w:val="24"/>
          <w:szCs w:val="24"/>
          <w:lang w:bidi="ar"/>
        </w:rPr>
        <w:t>6-4</w:t>
      </w:r>
      <w:r>
        <w:rPr>
          <w:rFonts w:hint="eastAsia" w:ascii="Times New Roman" w:hAnsi="Times New Roman" w:eastAsia="楷体_GB2312" w:cs="Times New Roman"/>
          <w:bCs/>
          <w:snapToGrid w:val="0"/>
          <w:color w:val="auto"/>
          <w:kern w:val="0"/>
          <w:sz w:val="24"/>
          <w:szCs w:val="24"/>
          <w:lang w:eastAsia="zh-Hans" w:bidi="ar"/>
        </w:rPr>
        <w:t xml:space="preserve">  无人机国家标准</w:t>
      </w:r>
    </w:p>
    <w:tbl>
      <w:tblPr>
        <w:tblStyle w:val="40"/>
        <w:tblW w:w="91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24"/>
        <w:gridCol w:w="68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2324" w:type="dxa"/>
            <w:vAlign w:val="center"/>
          </w:tcPr>
          <w:p>
            <w:pPr>
              <w:widowControl/>
              <w:adjustRightInd w:val="0"/>
              <w:snapToGrid w:val="0"/>
              <w:jc w:val="center"/>
              <w:rPr>
                <w:rFonts w:ascii="Times New Roman" w:hAnsi="Times New Roman" w:eastAsia="黑体" w:cs="Times New Roman"/>
                <w:bCs/>
                <w:snapToGrid w:val="0"/>
                <w:color w:val="auto"/>
                <w:kern w:val="0"/>
                <w:sz w:val="24"/>
                <w:szCs w:val="24"/>
                <w:lang w:eastAsia="zh-Hans"/>
              </w:rPr>
            </w:pPr>
            <w:r>
              <w:rPr>
                <w:rFonts w:hint="eastAsia" w:ascii="Times New Roman" w:hAnsi="Times New Roman" w:eastAsia="黑体" w:cs="Times New Roman"/>
                <w:bCs/>
                <w:snapToGrid w:val="0"/>
                <w:color w:val="auto"/>
                <w:kern w:val="0"/>
                <w:sz w:val="24"/>
                <w:szCs w:val="24"/>
                <w:lang w:eastAsia="zh-Hans"/>
              </w:rPr>
              <w:t>标准编号</w:t>
            </w:r>
          </w:p>
        </w:tc>
        <w:tc>
          <w:tcPr>
            <w:tcW w:w="6860" w:type="dxa"/>
            <w:vAlign w:val="center"/>
          </w:tcPr>
          <w:p>
            <w:pPr>
              <w:widowControl/>
              <w:adjustRightInd w:val="0"/>
              <w:snapToGrid w:val="0"/>
              <w:jc w:val="center"/>
              <w:rPr>
                <w:rFonts w:ascii="Times New Roman" w:hAnsi="Times New Roman" w:eastAsia="黑体" w:cs="Times New Roman"/>
                <w:bCs/>
                <w:snapToGrid w:val="0"/>
                <w:color w:val="auto"/>
                <w:kern w:val="0"/>
                <w:sz w:val="24"/>
                <w:szCs w:val="24"/>
                <w:lang w:eastAsia="zh-Hans"/>
              </w:rPr>
            </w:pPr>
            <w:r>
              <w:rPr>
                <w:rFonts w:hint="eastAsia" w:ascii="Times New Roman" w:hAnsi="Times New Roman" w:eastAsia="黑体" w:cs="Times New Roman"/>
                <w:bCs/>
                <w:snapToGrid w:val="0"/>
                <w:color w:val="auto"/>
                <w:kern w:val="0"/>
                <w:sz w:val="24"/>
                <w:szCs w:val="24"/>
                <w:lang w:eastAsia="zh-Hans"/>
              </w:rPr>
              <w:t>标准名称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24" w:type="dxa"/>
            <w:vAlign w:val="center"/>
          </w:tcPr>
          <w:p>
            <w:pPr>
              <w:widowControl/>
              <w:adjustRightInd w:val="0"/>
              <w:snapToGrid w:val="0"/>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Cs/>
                <w:snapToGrid w:val="0"/>
                <w:color w:val="auto"/>
                <w:kern w:val="0"/>
                <w:sz w:val="24"/>
                <w:szCs w:val="24"/>
                <w:lang w:eastAsia="zh-Hans"/>
              </w:rPr>
              <w:t>GB 42590-2023</w:t>
            </w:r>
          </w:p>
        </w:tc>
        <w:tc>
          <w:tcPr>
            <w:tcW w:w="6860" w:type="dxa"/>
            <w:vAlign w:val="center"/>
          </w:tcPr>
          <w:p>
            <w:pPr>
              <w:widowControl/>
              <w:adjustRightInd w:val="0"/>
              <w:snapToGrid w:val="0"/>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Cs/>
                <w:snapToGrid w:val="0"/>
                <w:color w:val="auto"/>
                <w:kern w:val="0"/>
                <w:sz w:val="24"/>
                <w:szCs w:val="24"/>
                <w:lang w:eastAsia="zh-Hans"/>
              </w:rPr>
              <w:t>民用无人驾驶航空器系统安全要求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24" w:type="dxa"/>
            <w:vAlign w:val="center"/>
          </w:tcPr>
          <w:p>
            <w:pPr>
              <w:widowControl/>
              <w:adjustRightInd w:val="0"/>
              <w:snapToGrid w:val="0"/>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Cs/>
                <w:snapToGrid w:val="0"/>
                <w:color w:val="auto"/>
                <w:kern w:val="0"/>
                <w:sz w:val="24"/>
                <w:szCs w:val="24"/>
                <w:lang w:eastAsia="zh-Hans"/>
              </w:rPr>
              <w:t>GB/T 35018-2018</w:t>
            </w:r>
          </w:p>
        </w:tc>
        <w:tc>
          <w:tcPr>
            <w:tcW w:w="6860" w:type="dxa"/>
            <w:vAlign w:val="center"/>
          </w:tcPr>
          <w:p>
            <w:pPr>
              <w:widowControl/>
              <w:adjustRightInd w:val="0"/>
              <w:snapToGrid w:val="0"/>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Cs/>
                <w:snapToGrid w:val="0"/>
                <w:color w:val="auto"/>
                <w:kern w:val="0"/>
                <w:sz w:val="24"/>
                <w:szCs w:val="24"/>
                <w:lang w:eastAsia="zh-Hans"/>
              </w:rPr>
              <w:t>民用无人驾驶航空器系统分类及分级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2324" w:type="dxa"/>
            <w:vAlign w:val="center"/>
          </w:tcPr>
          <w:p>
            <w:pPr>
              <w:widowControl/>
              <w:adjustRightInd w:val="0"/>
              <w:snapToGrid w:val="0"/>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Cs/>
                <w:snapToGrid w:val="0"/>
                <w:color w:val="auto"/>
                <w:kern w:val="0"/>
                <w:sz w:val="24"/>
                <w:szCs w:val="24"/>
                <w:lang w:eastAsia="zh-Hans"/>
              </w:rPr>
              <w:t>GB/T 38058-2019</w:t>
            </w:r>
          </w:p>
        </w:tc>
        <w:tc>
          <w:tcPr>
            <w:tcW w:w="6860" w:type="dxa"/>
            <w:vAlign w:val="center"/>
          </w:tcPr>
          <w:p>
            <w:pPr>
              <w:widowControl/>
              <w:adjustRightInd w:val="0"/>
              <w:snapToGrid w:val="0"/>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Cs/>
                <w:snapToGrid w:val="0"/>
                <w:color w:val="auto"/>
                <w:kern w:val="0"/>
                <w:sz w:val="24"/>
                <w:szCs w:val="24"/>
                <w:lang w:eastAsia="zh-Hans"/>
              </w:rPr>
              <w:t>民用多旋翼无人机系统试验方法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24" w:type="dxa"/>
            <w:vAlign w:val="center"/>
          </w:tcPr>
          <w:p>
            <w:pPr>
              <w:widowControl/>
              <w:adjustRightInd w:val="0"/>
              <w:snapToGrid w:val="0"/>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Cs/>
                <w:snapToGrid w:val="0"/>
                <w:color w:val="auto"/>
                <w:kern w:val="0"/>
                <w:sz w:val="24"/>
                <w:szCs w:val="24"/>
                <w:lang w:eastAsia="zh-Hans"/>
              </w:rPr>
              <w:t>GB/T 38152-2019</w:t>
            </w:r>
          </w:p>
        </w:tc>
        <w:tc>
          <w:tcPr>
            <w:tcW w:w="6860" w:type="dxa"/>
            <w:vAlign w:val="center"/>
          </w:tcPr>
          <w:p>
            <w:pPr>
              <w:widowControl/>
              <w:adjustRightInd w:val="0"/>
              <w:snapToGrid w:val="0"/>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Cs/>
                <w:snapToGrid w:val="0"/>
                <w:color w:val="auto"/>
                <w:kern w:val="0"/>
                <w:sz w:val="24"/>
                <w:szCs w:val="24"/>
                <w:lang w:eastAsia="zh-Hans"/>
              </w:rPr>
              <w:t>无人驾驶航空器系统术语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24" w:type="dxa"/>
            <w:vAlign w:val="center"/>
          </w:tcPr>
          <w:p>
            <w:pPr>
              <w:widowControl/>
              <w:adjustRightInd w:val="0"/>
              <w:snapToGrid w:val="0"/>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Cs/>
                <w:snapToGrid w:val="0"/>
                <w:color w:val="auto"/>
                <w:kern w:val="0"/>
                <w:sz w:val="24"/>
                <w:szCs w:val="24"/>
                <w:lang w:eastAsia="zh-Hans"/>
              </w:rPr>
              <w:t>GB/T 38905-2020</w:t>
            </w:r>
          </w:p>
        </w:tc>
        <w:tc>
          <w:tcPr>
            <w:tcW w:w="6860" w:type="dxa"/>
            <w:vAlign w:val="center"/>
          </w:tcPr>
          <w:p>
            <w:pPr>
              <w:widowControl/>
              <w:adjustRightInd w:val="0"/>
              <w:snapToGrid w:val="0"/>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Cs/>
                <w:snapToGrid w:val="0"/>
                <w:color w:val="auto"/>
                <w:kern w:val="0"/>
                <w:sz w:val="24"/>
                <w:szCs w:val="24"/>
                <w:lang w:eastAsia="zh-Hans"/>
              </w:rPr>
              <w:t>民用无人机系统型号命名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24" w:type="dxa"/>
            <w:vAlign w:val="center"/>
          </w:tcPr>
          <w:p>
            <w:pPr>
              <w:widowControl/>
              <w:adjustRightInd w:val="0"/>
              <w:snapToGrid w:val="0"/>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Cs/>
                <w:snapToGrid w:val="0"/>
                <w:color w:val="auto"/>
                <w:kern w:val="0"/>
                <w:sz w:val="24"/>
                <w:szCs w:val="24"/>
                <w:lang w:eastAsia="zh-Hans"/>
              </w:rPr>
              <w:t>GB/T 38909-2020</w:t>
            </w:r>
          </w:p>
        </w:tc>
        <w:tc>
          <w:tcPr>
            <w:tcW w:w="6860" w:type="dxa"/>
            <w:vAlign w:val="center"/>
          </w:tcPr>
          <w:p>
            <w:pPr>
              <w:widowControl/>
              <w:adjustRightInd w:val="0"/>
              <w:snapToGrid w:val="0"/>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Cs/>
                <w:snapToGrid w:val="0"/>
                <w:color w:val="auto"/>
                <w:kern w:val="0"/>
                <w:sz w:val="24"/>
                <w:szCs w:val="24"/>
                <w:lang w:eastAsia="zh-Hans"/>
              </w:rPr>
              <w:t>民用轻小型无人机系统电磁兼容性要求与试验方法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2324" w:type="dxa"/>
            <w:vAlign w:val="center"/>
          </w:tcPr>
          <w:p>
            <w:pPr>
              <w:widowControl/>
              <w:adjustRightInd w:val="0"/>
              <w:snapToGrid w:val="0"/>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Cs/>
                <w:snapToGrid w:val="0"/>
                <w:color w:val="auto"/>
                <w:kern w:val="0"/>
                <w:sz w:val="24"/>
                <w:szCs w:val="24"/>
                <w:lang w:eastAsia="zh-Hans"/>
              </w:rPr>
              <w:t>GB/T 38911-2020</w:t>
            </w:r>
          </w:p>
        </w:tc>
        <w:tc>
          <w:tcPr>
            <w:tcW w:w="6860" w:type="dxa"/>
            <w:vAlign w:val="center"/>
          </w:tcPr>
          <w:p>
            <w:pPr>
              <w:widowControl/>
              <w:adjustRightInd w:val="0"/>
              <w:snapToGrid w:val="0"/>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Cs/>
                <w:snapToGrid w:val="0"/>
                <w:color w:val="auto"/>
                <w:kern w:val="0"/>
                <w:sz w:val="24"/>
                <w:szCs w:val="24"/>
                <w:lang w:eastAsia="zh-Hans"/>
              </w:rPr>
              <w:t>民用轻小型无人直升机飞行控制系统通用要求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24" w:type="dxa"/>
            <w:vAlign w:val="center"/>
          </w:tcPr>
          <w:p>
            <w:pPr>
              <w:widowControl/>
              <w:adjustRightInd w:val="0"/>
              <w:snapToGrid w:val="0"/>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Cs/>
                <w:snapToGrid w:val="0"/>
                <w:color w:val="auto"/>
                <w:kern w:val="0"/>
                <w:sz w:val="24"/>
                <w:szCs w:val="24"/>
                <w:lang w:eastAsia="zh-Hans"/>
              </w:rPr>
              <w:t>GB/T 38924.1-2020</w:t>
            </w:r>
          </w:p>
        </w:tc>
        <w:tc>
          <w:tcPr>
            <w:tcW w:w="6860" w:type="dxa"/>
            <w:vAlign w:val="center"/>
          </w:tcPr>
          <w:p>
            <w:pPr>
              <w:widowControl/>
              <w:adjustRightInd w:val="0"/>
              <w:snapToGrid w:val="0"/>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Cs/>
                <w:snapToGrid w:val="0"/>
                <w:color w:val="auto"/>
                <w:kern w:val="0"/>
                <w:sz w:val="24"/>
                <w:szCs w:val="24"/>
                <w:lang w:eastAsia="zh-Hans"/>
              </w:rPr>
              <w:t>民用轻小型无人机系统环境试验方法第1部分：总则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24" w:type="dxa"/>
            <w:vAlign w:val="center"/>
          </w:tcPr>
          <w:p>
            <w:pPr>
              <w:widowControl/>
              <w:adjustRightInd w:val="0"/>
              <w:snapToGrid w:val="0"/>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Cs/>
                <w:snapToGrid w:val="0"/>
                <w:color w:val="auto"/>
                <w:kern w:val="0"/>
                <w:sz w:val="24"/>
                <w:szCs w:val="24"/>
                <w:lang w:eastAsia="zh-Hans"/>
              </w:rPr>
              <w:t>GB/T 38924.2-2020</w:t>
            </w:r>
          </w:p>
        </w:tc>
        <w:tc>
          <w:tcPr>
            <w:tcW w:w="6860" w:type="dxa"/>
            <w:vAlign w:val="center"/>
          </w:tcPr>
          <w:p>
            <w:pPr>
              <w:widowControl/>
              <w:adjustRightInd w:val="0"/>
              <w:snapToGrid w:val="0"/>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Cs/>
                <w:snapToGrid w:val="0"/>
                <w:color w:val="auto"/>
                <w:kern w:val="0"/>
                <w:sz w:val="24"/>
                <w:szCs w:val="24"/>
                <w:lang w:eastAsia="zh-Hans"/>
              </w:rPr>
              <w:t>民用轻小型无人机系统环境试验方法第2部分：低温试验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24" w:type="dxa"/>
            <w:vAlign w:val="center"/>
          </w:tcPr>
          <w:p>
            <w:pPr>
              <w:widowControl/>
              <w:adjustRightInd w:val="0"/>
              <w:snapToGrid w:val="0"/>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Cs/>
                <w:snapToGrid w:val="0"/>
                <w:color w:val="auto"/>
                <w:kern w:val="0"/>
                <w:sz w:val="24"/>
                <w:szCs w:val="24"/>
                <w:lang w:eastAsia="zh-Hans"/>
              </w:rPr>
              <w:t>GB/T 38924.3-2020</w:t>
            </w:r>
          </w:p>
        </w:tc>
        <w:tc>
          <w:tcPr>
            <w:tcW w:w="6860" w:type="dxa"/>
            <w:vAlign w:val="center"/>
          </w:tcPr>
          <w:p>
            <w:pPr>
              <w:widowControl/>
              <w:adjustRightInd w:val="0"/>
              <w:snapToGrid w:val="0"/>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Cs/>
                <w:snapToGrid w:val="0"/>
                <w:color w:val="auto"/>
                <w:kern w:val="0"/>
                <w:sz w:val="24"/>
                <w:szCs w:val="24"/>
                <w:lang w:eastAsia="zh-Hans"/>
              </w:rPr>
              <w:t>民用轻小型无人机系统环境试验方法第3部分：高温试验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2324" w:type="dxa"/>
            <w:vAlign w:val="center"/>
          </w:tcPr>
          <w:p>
            <w:pPr>
              <w:widowControl/>
              <w:adjustRightInd w:val="0"/>
              <w:snapToGrid w:val="0"/>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Cs/>
                <w:snapToGrid w:val="0"/>
                <w:color w:val="auto"/>
                <w:kern w:val="0"/>
                <w:sz w:val="24"/>
                <w:szCs w:val="24"/>
                <w:lang w:eastAsia="zh-Hans"/>
              </w:rPr>
              <w:t>GB/T 38924.4-2020</w:t>
            </w:r>
          </w:p>
        </w:tc>
        <w:tc>
          <w:tcPr>
            <w:tcW w:w="6860" w:type="dxa"/>
            <w:vAlign w:val="center"/>
          </w:tcPr>
          <w:p>
            <w:pPr>
              <w:widowControl/>
              <w:adjustRightInd w:val="0"/>
              <w:snapToGrid w:val="0"/>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Cs/>
                <w:snapToGrid w:val="0"/>
                <w:color w:val="auto"/>
                <w:kern w:val="0"/>
                <w:sz w:val="24"/>
                <w:szCs w:val="24"/>
                <w:lang w:eastAsia="zh-Hans"/>
              </w:rPr>
              <w:t>民用轻小型无人机系统环境试验方法第4部分：温度和高度试验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24" w:type="dxa"/>
            <w:vAlign w:val="center"/>
          </w:tcPr>
          <w:p>
            <w:pPr>
              <w:widowControl/>
              <w:adjustRightInd w:val="0"/>
              <w:snapToGrid w:val="0"/>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Cs/>
                <w:snapToGrid w:val="0"/>
                <w:color w:val="auto"/>
                <w:kern w:val="0"/>
                <w:sz w:val="24"/>
                <w:szCs w:val="24"/>
                <w:lang w:eastAsia="zh-Hans"/>
              </w:rPr>
              <w:t>GB/T 38924.5-2020</w:t>
            </w:r>
          </w:p>
        </w:tc>
        <w:tc>
          <w:tcPr>
            <w:tcW w:w="6860" w:type="dxa"/>
            <w:vAlign w:val="center"/>
          </w:tcPr>
          <w:p>
            <w:pPr>
              <w:widowControl/>
              <w:adjustRightInd w:val="0"/>
              <w:snapToGrid w:val="0"/>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Cs/>
                <w:snapToGrid w:val="0"/>
                <w:color w:val="auto"/>
                <w:kern w:val="0"/>
                <w:sz w:val="24"/>
                <w:szCs w:val="24"/>
                <w:lang w:eastAsia="zh-Hans"/>
              </w:rPr>
              <w:t>民用轻小型无人机系统环境试验方法第5部分：冲击试验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24" w:type="dxa"/>
            <w:vAlign w:val="center"/>
          </w:tcPr>
          <w:p>
            <w:pPr>
              <w:widowControl/>
              <w:adjustRightInd w:val="0"/>
              <w:snapToGrid w:val="0"/>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Cs/>
                <w:snapToGrid w:val="0"/>
                <w:color w:val="auto"/>
                <w:kern w:val="0"/>
                <w:sz w:val="24"/>
                <w:szCs w:val="24"/>
                <w:lang w:eastAsia="zh-Hans"/>
              </w:rPr>
              <w:t>GB/T 38924.6-2020</w:t>
            </w:r>
          </w:p>
        </w:tc>
        <w:tc>
          <w:tcPr>
            <w:tcW w:w="6860" w:type="dxa"/>
            <w:vAlign w:val="center"/>
          </w:tcPr>
          <w:p>
            <w:pPr>
              <w:widowControl/>
              <w:adjustRightInd w:val="0"/>
              <w:snapToGrid w:val="0"/>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Cs/>
                <w:snapToGrid w:val="0"/>
                <w:color w:val="auto"/>
                <w:kern w:val="0"/>
                <w:sz w:val="24"/>
                <w:szCs w:val="24"/>
                <w:lang w:eastAsia="zh-Hans"/>
              </w:rPr>
              <w:t>民用轻小型无人机系统环境试验方法第6部分：振动试验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24" w:type="dxa"/>
            <w:vAlign w:val="center"/>
          </w:tcPr>
          <w:p>
            <w:pPr>
              <w:widowControl/>
              <w:adjustRightInd w:val="0"/>
              <w:snapToGrid w:val="0"/>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Cs/>
                <w:snapToGrid w:val="0"/>
                <w:color w:val="auto"/>
                <w:kern w:val="0"/>
                <w:sz w:val="24"/>
                <w:szCs w:val="24"/>
                <w:lang w:eastAsia="zh-Hans"/>
              </w:rPr>
              <w:t>GB/T 38924.7-2020</w:t>
            </w:r>
          </w:p>
        </w:tc>
        <w:tc>
          <w:tcPr>
            <w:tcW w:w="6860" w:type="dxa"/>
            <w:vAlign w:val="center"/>
          </w:tcPr>
          <w:p>
            <w:pPr>
              <w:widowControl/>
              <w:adjustRightInd w:val="0"/>
              <w:snapToGrid w:val="0"/>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Cs/>
                <w:snapToGrid w:val="0"/>
                <w:color w:val="auto"/>
                <w:kern w:val="0"/>
                <w:sz w:val="24"/>
                <w:szCs w:val="24"/>
                <w:lang w:eastAsia="zh-Hans"/>
              </w:rPr>
              <w:t>民用轻小型无人机系统环境试验方法第7部分：湿热试验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2324" w:type="dxa"/>
            <w:vAlign w:val="center"/>
          </w:tcPr>
          <w:p>
            <w:pPr>
              <w:widowControl/>
              <w:adjustRightInd w:val="0"/>
              <w:snapToGrid w:val="0"/>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Cs/>
                <w:snapToGrid w:val="0"/>
                <w:color w:val="auto"/>
                <w:kern w:val="0"/>
                <w:sz w:val="24"/>
                <w:szCs w:val="24"/>
                <w:lang w:eastAsia="zh-Hans"/>
              </w:rPr>
              <w:t>GB/T 38924.8-2020</w:t>
            </w:r>
          </w:p>
        </w:tc>
        <w:tc>
          <w:tcPr>
            <w:tcW w:w="6860" w:type="dxa"/>
            <w:vAlign w:val="center"/>
          </w:tcPr>
          <w:p>
            <w:pPr>
              <w:widowControl/>
              <w:adjustRightInd w:val="0"/>
              <w:snapToGrid w:val="0"/>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Cs/>
                <w:snapToGrid w:val="0"/>
                <w:color w:val="auto"/>
                <w:kern w:val="0"/>
                <w:sz w:val="24"/>
                <w:szCs w:val="24"/>
                <w:lang w:eastAsia="zh-Hans"/>
              </w:rPr>
              <w:t>民用轻小型无人机系统环境试验方法第8部分：盐雾试验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24" w:type="dxa"/>
            <w:vAlign w:val="center"/>
          </w:tcPr>
          <w:p>
            <w:pPr>
              <w:widowControl/>
              <w:adjustRightInd w:val="0"/>
              <w:snapToGrid w:val="0"/>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Cs/>
                <w:snapToGrid w:val="0"/>
                <w:color w:val="auto"/>
                <w:kern w:val="0"/>
                <w:sz w:val="24"/>
                <w:szCs w:val="24"/>
                <w:lang w:eastAsia="zh-Hans"/>
              </w:rPr>
              <w:t>GB/T 38924.9-2020</w:t>
            </w:r>
          </w:p>
        </w:tc>
        <w:tc>
          <w:tcPr>
            <w:tcW w:w="6860" w:type="dxa"/>
            <w:vAlign w:val="center"/>
          </w:tcPr>
          <w:p>
            <w:pPr>
              <w:widowControl/>
              <w:adjustRightInd w:val="0"/>
              <w:snapToGrid w:val="0"/>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Cs/>
                <w:snapToGrid w:val="0"/>
                <w:color w:val="auto"/>
                <w:kern w:val="0"/>
                <w:sz w:val="24"/>
                <w:szCs w:val="24"/>
                <w:lang w:eastAsia="zh-Hans"/>
              </w:rPr>
              <w:t>民用轻小型无人机系统环境试验方法第9部分：防水性试验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24" w:type="dxa"/>
            <w:vAlign w:val="center"/>
          </w:tcPr>
          <w:p>
            <w:pPr>
              <w:widowControl/>
              <w:adjustRightInd w:val="0"/>
              <w:snapToGrid w:val="0"/>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Cs/>
                <w:snapToGrid w:val="0"/>
                <w:color w:val="auto"/>
                <w:kern w:val="0"/>
                <w:sz w:val="24"/>
                <w:szCs w:val="24"/>
                <w:lang w:eastAsia="zh-Hans"/>
              </w:rPr>
              <w:t>GB/T 38924.10-2020</w:t>
            </w:r>
          </w:p>
        </w:tc>
        <w:tc>
          <w:tcPr>
            <w:tcW w:w="6860" w:type="dxa"/>
            <w:vAlign w:val="center"/>
          </w:tcPr>
          <w:p>
            <w:pPr>
              <w:widowControl/>
              <w:adjustRightInd w:val="0"/>
              <w:snapToGrid w:val="0"/>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Cs/>
                <w:snapToGrid w:val="0"/>
                <w:color w:val="auto"/>
                <w:kern w:val="0"/>
                <w:sz w:val="24"/>
                <w:szCs w:val="24"/>
                <w:lang w:eastAsia="zh-Hans"/>
              </w:rPr>
              <w:t>民用轻小型无人机系统环境试验方法第10部分：砂尘试验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24" w:type="dxa"/>
            <w:vAlign w:val="center"/>
          </w:tcPr>
          <w:p>
            <w:pPr>
              <w:widowControl/>
              <w:adjustRightInd w:val="0"/>
              <w:snapToGrid w:val="0"/>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Cs/>
                <w:snapToGrid w:val="0"/>
                <w:color w:val="auto"/>
                <w:kern w:val="0"/>
                <w:sz w:val="24"/>
                <w:szCs w:val="24"/>
                <w:lang w:eastAsia="zh-Hans"/>
              </w:rPr>
              <w:t>GB/T 38924.11-2023</w:t>
            </w:r>
          </w:p>
        </w:tc>
        <w:tc>
          <w:tcPr>
            <w:tcW w:w="6860" w:type="dxa"/>
            <w:vAlign w:val="center"/>
          </w:tcPr>
          <w:p>
            <w:pPr>
              <w:widowControl/>
              <w:adjustRightInd w:val="0"/>
              <w:snapToGrid w:val="0"/>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Cs/>
                <w:snapToGrid w:val="0"/>
                <w:color w:val="auto"/>
                <w:kern w:val="0"/>
                <w:sz w:val="24"/>
                <w:szCs w:val="24"/>
                <w:lang w:eastAsia="zh-Hans"/>
              </w:rPr>
              <w:t>民用轻小型无人机系统环境试验方法第11部分：霉菌试验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2324" w:type="dxa"/>
            <w:vAlign w:val="center"/>
          </w:tcPr>
          <w:p>
            <w:pPr>
              <w:widowControl/>
              <w:adjustRightInd w:val="0"/>
              <w:snapToGrid w:val="0"/>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Cs/>
                <w:snapToGrid w:val="0"/>
                <w:color w:val="auto"/>
                <w:kern w:val="0"/>
                <w:sz w:val="24"/>
                <w:szCs w:val="24"/>
                <w:lang w:eastAsia="zh-Hans"/>
              </w:rPr>
              <w:t>GB/T 38930-2020</w:t>
            </w:r>
          </w:p>
        </w:tc>
        <w:tc>
          <w:tcPr>
            <w:tcW w:w="6860" w:type="dxa"/>
            <w:vAlign w:val="center"/>
          </w:tcPr>
          <w:p>
            <w:pPr>
              <w:widowControl/>
              <w:adjustRightInd w:val="0"/>
              <w:snapToGrid w:val="0"/>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Cs/>
                <w:snapToGrid w:val="0"/>
                <w:color w:val="auto"/>
                <w:kern w:val="0"/>
                <w:sz w:val="24"/>
                <w:szCs w:val="24"/>
                <w:lang w:eastAsia="zh-Hans"/>
              </w:rPr>
              <w:t>民用轻小型无人机系统抗风性要求及试验方法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24" w:type="dxa"/>
            <w:vAlign w:val="center"/>
          </w:tcPr>
          <w:p>
            <w:pPr>
              <w:widowControl/>
              <w:adjustRightInd w:val="0"/>
              <w:snapToGrid w:val="0"/>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Cs/>
                <w:snapToGrid w:val="0"/>
                <w:color w:val="auto"/>
                <w:kern w:val="0"/>
                <w:sz w:val="24"/>
                <w:szCs w:val="24"/>
                <w:lang w:eastAsia="zh-Hans"/>
              </w:rPr>
              <w:t>GB/T 38931-2020</w:t>
            </w:r>
          </w:p>
        </w:tc>
        <w:tc>
          <w:tcPr>
            <w:tcW w:w="6860" w:type="dxa"/>
            <w:vAlign w:val="center"/>
          </w:tcPr>
          <w:p>
            <w:pPr>
              <w:widowControl/>
              <w:adjustRightInd w:val="0"/>
              <w:snapToGrid w:val="0"/>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Cs/>
                <w:snapToGrid w:val="0"/>
                <w:color w:val="auto"/>
                <w:kern w:val="0"/>
                <w:sz w:val="24"/>
                <w:szCs w:val="24"/>
                <w:lang w:eastAsia="zh-Hans"/>
              </w:rPr>
              <w:t>民用轻小型无人机系统安全性通用要求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24" w:type="dxa"/>
            <w:vAlign w:val="center"/>
          </w:tcPr>
          <w:p>
            <w:pPr>
              <w:widowControl/>
              <w:adjustRightInd w:val="0"/>
              <w:snapToGrid w:val="0"/>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Cs/>
                <w:snapToGrid w:val="0"/>
                <w:color w:val="auto"/>
                <w:kern w:val="0"/>
                <w:sz w:val="24"/>
                <w:szCs w:val="24"/>
                <w:lang w:eastAsia="zh-Hans"/>
              </w:rPr>
              <w:t>GB/T 38954-2020</w:t>
            </w:r>
          </w:p>
        </w:tc>
        <w:tc>
          <w:tcPr>
            <w:tcW w:w="6860" w:type="dxa"/>
            <w:vAlign w:val="center"/>
          </w:tcPr>
          <w:p>
            <w:pPr>
              <w:widowControl/>
              <w:adjustRightInd w:val="0"/>
              <w:snapToGrid w:val="0"/>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Cs/>
                <w:snapToGrid w:val="0"/>
                <w:color w:val="auto"/>
                <w:kern w:val="0"/>
                <w:sz w:val="24"/>
                <w:szCs w:val="24"/>
                <w:lang w:eastAsia="zh-Hans"/>
              </w:rPr>
              <w:t>无人机用氢燃料电池发电系统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24" w:type="dxa"/>
            <w:vAlign w:val="center"/>
          </w:tcPr>
          <w:p>
            <w:pPr>
              <w:widowControl/>
              <w:adjustRightInd w:val="0"/>
              <w:snapToGrid w:val="0"/>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Cs/>
                <w:snapToGrid w:val="0"/>
                <w:color w:val="auto"/>
                <w:kern w:val="0"/>
                <w:sz w:val="24"/>
                <w:szCs w:val="24"/>
                <w:lang w:eastAsia="zh-Hans"/>
              </w:rPr>
              <w:t>GB/T 38996-2020</w:t>
            </w:r>
          </w:p>
        </w:tc>
        <w:tc>
          <w:tcPr>
            <w:tcW w:w="6860" w:type="dxa"/>
            <w:vAlign w:val="center"/>
          </w:tcPr>
          <w:p>
            <w:pPr>
              <w:widowControl/>
              <w:adjustRightInd w:val="0"/>
              <w:snapToGrid w:val="0"/>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Cs/>
                <w:snapToGrid w:val="0"/>
                <w:color w:val="auto"/>
                <w:kern w:val="0"/>
                <w:sz w:val="24"/>
                <w:szCs w:val="24"/>
                <w:lang w:eastAsia="zh-Hans"/>
              </w:rPr>
              <w:t>民用轻小型固定翼无人机飞行控制系统通用要求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2324" w:type="dxa"/>
            <w:vAlign w:val="center"/>
          </w:tcPr>
          <w:p>
            <w:pPr>
              <w:widowControl/>
              <w:adjustRightInd w:val="0"/>
              <w:snapToGrid w:val="0"/>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Cs/>
                <w:snapToGrid w:val="0"/>
                <w:color w:val="auto"/>
                <w:kern w:val="0"/>
                <w:sz w:val="24"/>
                <w:szCs w:val="24"/>
                <w:lang w:eastAsia="zh-Hans"/>
              </w:rPr>
              <w:t>GB/T 38997-2020</w:t>
            </w:r>
          </w:p>
        </w:tc>
        <w:tc>
          <w:tcPr>
            <w:tcW w:w="6860" w:type="dxa"/>
            <w:vAlign w:val="center"/>
          </w:tcPr>
          <w:p>
            <w:pPr>
              <w:widowControl/>
              <w:adjustRightInd w:val="0"/>
              <w:snapToGrid w:val="0"/>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Cs/>
                <w:snapToGrid w:val="0"/>
                <w:color w:val="auto"/>
                <w:kern w:val="0"/>
                <w:sz w:val="24"/>
                <w:szCs w:val="24"/>
                <w:lang w:eastAsia="zh-Hans"/>
              </w:rPr>
              <w:t>轻小型多旋翼无人机飞行控制与导航系统通用要求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24" w:type="dxa"/>
            <w:vAlign w:val="center"/>
          </w:tcPr>
          <w:p>
            <w:pPr>
              <w:widowControl/>
              <w:adjustRightInd w:val="0"/>
              <w:snapToGrid w:val="0"/>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Cs/>
                <w:snapToGrid w:val="0"/>
                <w:color w:val="auto"/>
                <w:kern w:val="0"/>
                <w:sz w:val="24"/>
                <w:szCs w:val="24"/>
                <w:lang w:eastAsia="zh-Hans"/>
              </w:rPr>
              <w:t>GB/T 39567-2020</w:t>
            </w:r>
          </w:p>
        </w:tc>
        <w:tc>
          <w:tcPr>
            <w:tcW w:w="6860" w:type="dxa"/>
            <w:vAlign w:val="center"/>
          </w:tcPr>
          <w:p>
            <w:pPr>
              <w:widowControl/>
              <w:adjustRightInd w:val="0"/>
              <w:snapToGrid w:val="0"/>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Cs/>
                <w:snapToGrid w:val="0"/>
                <w:color w:val="auto"/>
                <w:kern w:val="0"/>
                <w:sz w:val="24"/>
                <w:szCs w:val="24"/>
                <w:lang w:eastAsia="zh-Hans"/>
              </w:rPr>
              <w:t>多旋翼无人机用无刷伺服电动机系统通用规范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24" w:type="dxa"/>
            <w:vAlign w:val="center"/>
          </w:tcPr>
          <w:p>
            <w:pPr>
              <w:widowControl/>
              <w:adjustRightInd w:val="0"/>
              <w:snapToGrid w:val="0"/>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Cs/>
                <w:snapToGrid w:val="0"/>
                <w:color w:val="auto"/>
                <w:kern w:val="0"/>
                <w:sz w:val="24"/>
                <w:szCs w:val="24"/>
                <w:lang w:eastAsia="zh-Hans"/>
              </w:rPr>
              <w:t>GB/T 41300-2022</w:t>
            </w:r>
          </w:p>
        </w:tc>
        <w:tc>
          <w:tcPr>
            <w:tcW w:w="6860" w:type="dxa"/>
            <w:vAlign w:val="center"/>
          </w:tcPr>
          <w:p>
            <w:pPr>
              <w:widowControl/>
              <w:adjustRightInd w:val="0"/>
              <w:snapToGrid w:val="0"/>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Cs/>
                <w:snapToGrid w:val="0"/>
                <w:color w:val="auto"/>
                <w:kern w:val="0"/>
                <w:sz w:val="24"/>
                <w:szCs w:val="24"/>
                <w:lang w:eastAsia="zh-Hans"/>
              </w:rPr>
              <w:t>民用无人机唯一产品识别码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24" w:type="dxa"/>
            <w:vAlign w:val="center"/>
          </w:tcPr>
          <w:p>
            <w:pPr>
              <w:widowControl/>
              <w:adjustRightInd w:val="0"/>
              <w:snapToGrid w:val="0"/>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Cs/>
                <w:snapToGrid w:val="0"/>
                <w:color w:val="auto"/>
                <w:kern w:val="0"/>
                <w:sz w:val="24"/>
                <w:szCs w:val="24"/>
                <w:lang w:eastAsia="zh-Hans"/>
              </w:rPr>
              <w:t>GB/T 41450-2022</w:t>
            </w:r>
          </w:p>
        </w:tc>
        <w:tc>
          <w:tcPr>
            <w:tcW w:w="6860" w:type="dxa"/>
            <w:vAlign w:val="center"/>
          </w:tcPr>
          <w:p>
            <w:pPr>
              <w:widowControl/>
              <w:adjustRightInd w:val="0"/>
              <w:snapToGrid w:val="0"/>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Cs/>
                <w:snapToGrid w:val="0"/>
                <w:color w:val="auto"/>
                <w:kern w:val="0"/>
                <w:sz w:val="24"/>
                <w:szCs w:val="24"/>
                <w:lang w:eastAsia="zh-Hans"/>
              </w:rPr>
              <w:t>无人机低空遥感监测的多传感器一致性检测技术规范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2324" w:type="dxa"/>
            <w:vAlign w:val="center"/>
          </w:tcPr>
          <w:p>
            <w:pPr>
              <w:widowControl/>
              <w:adjustRightInd w:val="0"/>
              <w:snapToGrid w:val="0"/>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Cs/>
                <w:snapToGrid w:val="0"/>
                <w:color w:val="auto"/>
                <w:kern w:val="0"/>
                <w:sz w:val="24"/>
                <w:szCs w:val="24"/>
                <w:lang w:eastAsia="zh-Hans"/>
              </w:rPr>
              <w:t>GB/T 42856-2023</w:t>
            </w:r>
          </w:p>
        </w:tc>
        <w:tc>
          <w:tcPr>
            <w:tcW w:w="6860" w:type="dxa"/>
            <w:vAlign w:val="center"/>
          </w:tcPr>
          <w:p>
            <w:pPr>
              <w:widowControl/>
              <w:adjustRightInd w:val="0"/>
              <w:snapToGrid w:val="0"/>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Cs/>
                <w:snapToGrid w:val="0"/>
                <w:color w:val="auto"/>
                <w:kern w:val="0"/>
                <w:sz w:val="24"/>
                <w:szCs w:val="24"/>
                <w:lang w:eastAsia="zh-Hans"/>
              </w:rPr>
              <w:t>民用大中型无人直升机系统飞行性能飞行试验要求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24" w:type="dxa"/>
            <w:vAlign w:val="center"/>
          </w:tcPr>
          <w:p>
            <w:pPr>
              <w:widowControl/>
              <w:adjustRightInd w:val="0"/>
              <w:snapToGrid w:val="0"/>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Cs/>
                <w:snapToGrid w:val="0"/>
                <w:color w:val="auto"/>
                <w:kern w:val="0"/>
                <w:sz w:val="24"/>
                <w:szCs w:val="24"/>
                <w:lang w:eastAsia="zh-Hans"/>
              </w:rPr>
              <w:t>GB/T 42862-2023</w:t>
            </w:r>
          </w:p>
        </w:tc>
        <w:tc>
          <w:tcPr>
            <w:tcW w:w="6860" w:type="dxa"/>
            <w:vAlign w:val="center"/>
          </w:tcPr>
          <w:p>
            <w:pPr>
              <w:widowControl/>
              <w:adjustRightInd w:val="0"/>
              <w:snapToGrid w:val="0"/>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Cs/>
                <w:snapToGrid w:val="0"/>
                <w:color w:val="auto"/>
                <w:kern w:val="0"/>
                <w:sz w:val="24"/>
                <w:szCs w:val="24"/>
                <w:lang w:eastAsia="zh-Hans"/>
              </w:rPr>
              <w:t>民用大中型无人直升机飞行控制系统通用要求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24" w:type="dxa"/>
            <w:vAlign w:val="center"/>
          </w:tcPr>
          <w:p>
            <w:pPr>
              <w:widowControl/>
              <w:adjustRightInd w:val="0"/>
              <w:snapToGrid w:val="0"/>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Cs/>
                <w:snapToGrid w:val="0"/>
                <w:color w:val="auto"/>
                <w:kern w:val="0"/>
                <w:sz w:val="24"/>
                <w:szCs w:val="24"/>
                <w:lang w:eastAsia="zh-Hans"/>
              </w:rPr>
              <w:t>GB/T 43071-2023</w:t>
            </w:r>
          </w:p>
        </w:tc>
        <w:tc>
          <w:tcPr>
            <w:tcW w:w="6860" w:type="dxa"/>
            <w:vAlign w:val="center"/>
          </w:tcPr>
          <w:p>
            <w:pPr>
              <w:widowControl/>
              <w:adjustRightInd w:val="0"/>
              <w:snapToGrid w:val="0"/>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Cs/>
                <w:snapToGrid w:val="0"/>
                <w:color w:val="auto"/>
                <w:kern w:val="0"/>
                <w:sz w:val="24"/>
                <w:szCs w:val="24"/>
                <w:lang w:eastAsia="zh-Hans"/>
              </w:rPr>
              <w:t>植保无人飞机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24" w:type="dxa"/>
            <w:vAlign w:val="center"/>
          </w:tcPr>
          <w:p>
            <w:pPr>
              <w:widowControl/>
              <w:adjustRightInd w:val="0"/>
              <w:snapToGrid w:val="0"/>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Cs/>
                <w:snapToGrid w:val="0"/>
                <w:color w:val="auto"/>
                <w:kern w:val="0"/>
                <w:sz w:val="24"/>
                <w:szCs w:val="24"/>
                <w:lang w:eastAsia="zh-Hans"/>
              </w:rPr>
              <w:t>GB/T 43367-2023</w:t>
            </w:r>
          </w:p>
        </w:tc>
        <w:tc>
          <w:tcPr>
            <w:tcW w:w="6860" w:type="dxa"/>
            <w:vAlign w:val="center"/>
          </w:tcPr>
          <w:p>
            <w:pPr>
              <w:widowControl/>
              <w:adjustRightInd w:val="0"/>
              <w:snapToGrid w:val="0"/>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Cs/>
                <w:snapToGrid w:val="0"/>
                <w:color w:val="auto"/>
                <w:kern w:val="0"/>
                <w:sz w:val="24"/>
                <w:szCs w:val="24"/>
                <w:lang w:eastAsia="zh-Hans"/>
              </w:rPr>
              <w:t>民用大中型无人直升机系统通用要求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2324" w:type="dxa"/>
            <w:vAlign w:val="center"/>
          </w:tcPr>
          <w:p>
            <w:pPr>
              <w:widowControl/>
              <w:adjustRightInd w:val="0"/>
              <w:snapToGrid w:val="0"/>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Cs/>
                <w:snapToGrid w:val="0"/>
                <w:color w:val="auto"/>
                <w:kern w:val="0"/>
                <w:sz w:val="24"/>
                <w:szCs w:val="24"/>
                <w:lang w:eastAsia="zh-Hans"/>
              </w:rPr>
              <w:t>GB/T 43369-2023</w:t>
            </w:r>
          </w:p>
        </w:tc>
        <w:tc>
          <w:tcPr>
            <w:tcW w:w="6860" w:type="dxa"/>
            <w:vAlign w:val="center"/>
          </w:tcPr>
          <w:p>
            <w:pPr>
              <w:widowControl/>
              <w:adjustRightInd w:val="0"/>
              <w:snapToGrid w:val="0"/>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Cs/>
                <w:snapToGrid w:val="0"/>
                <w:color w:val="auto"/>
                <w:kern w:val="0"/>
                <w:sz w:val="24"/>
                <w:szCs w:val="24"/>
                <w:lang w:eastAsia="zh-Hans"/>
              </w:rPr>
              <w:t>民用大中型无人机光电任务载荷设备接口要求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24" w:type="dxa"/>
            <w:vAlign w:val="center"/>
          </w:tcPr>
          <w:p>
            <w:pPr>
              <w:widowControl/>
              <w:adjustRightInd w:val="0"/>
              <w:snapToGrid w:val="0"/>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Cs/>
                <w:snapToGrid w:val="0"/>
                <w:color w:val="auto"/>
                <w:kern w:val="0"/>
                <w:sz w:val="24"/>
                <w:szCs w:val="24"/>
                <w:lang w:eastAsia="zh-Hans"/>
              </w:rPr>
              <w:t>GB/T 43370-2023</w:t>
            </w:r>
          </w:p>
        </w:tc>
        <w:tc>
          <w:tcPr>
            <w:tcW w:w="6860" w:type="dxa"/>
            <w:vAlign w:val="center"/>
          </w:tcPr>
          <w:p>
            <w:pPr>
              <w:widowControl/>
              <w:adjustRightInd w:val="0"/>
              <w:snapToGrid w:val="0"/>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Cs/>
                <w:snapToGrid w:val="0"/>
                <w:color w:val="auto"/>
                <w:kern w:val="0"/>
                <w:sz w:val="24"/>
                <w:szCs w:val="24"/>
                <w:lang w:eastAsia="zh-Hans"/>
              </w:rPr>
              <w:t>民用无人机地理围栏数据技术规范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24" w:type="dxa"/>
            <w:vAlign w:val="center"/>
          </w:tcPr>
          <w:p>
            <w:pPr>
              <w:widowControl/>
              <w:adjustRightInd w:val="0"/>
              <w:snapToGrid w:val="0"/>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Cs/>
                <w:snapToGrid w:val="0"/>
                <w:color w:val="auto"/>
                <w:kern w:val="0"/>
                <w:sz w:val="24"/>
                <w:szCs w:val="24"/>
                <w:lang w:eastAsia="zh-Hans"/>
              </w:rPr>
              <w:t>GB/T 43504-2023</w:t>
            </w:r>
          </w:p>
        </w:tc>
        <w:tc>
          <w:tcPr>
            <w:tcW w:w="6860" w:type="dxa"/>
            <w:vAlign w:val="center"/>
          </w:tcPr>
          <w:p>
            <w:pPr>
              <w:widowControl/>
              <w:adjustRightInd w:val="0"/>
              <w:snapToGrid w:val="0"/>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Cs/>
                <w:snapToGrid w:val="0"/>
                <w:color w:val="auto"/>
                <w:kern w:val="0"/>
                <w:sz w:val="24"/>
                <w:szCs w:val="24"/>
                <w:lang w:eastAsia="zh-Hans"/>
              </w:rPr>
              <w:t>民用大中型固定翼无人机飞行性能飞行试验要求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24" w:type="dxa"/>
            <w:vAlign w:val="center"/>
          </w:tcPr>
          <w:p>
            <w:pPr>
              <w:widowControl/>
              <w:adjustRightInd w:val="0"/>
              <w:snapToGrid w:val="0"/>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Cs/>
                <w:snapToGrid w:val="0"/>
                <w:color w:val="auto"/>
                <w:kern w:val="0"/>
                <w:sz w:val="24"/>
                <w:szCs w:val="24"/>
                <w:lang w:eastAsia="zh-Hans"/>
              </w:rPr>
              <w:t>GB/T 43551-2023</w:t>
            </w:r>
          </w:p>
        </w:tc>
        <w:tc>
          <w:tcPr>
            <w:tcW w:w="6860" w:type="dxa"/>
            <w:vAlign w:val="center"/>
          </w:tcPr>
          <w:p>
            <w:pPr>
              <w:widowControl/>
              <w:adjustRightInd w:val="0"/>
              <w:snapToGrid w:val="0"/>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Cs/>
                <w:snapToGrid w:val="0"/>
                <w:color w:val="auto"/>
                <w:kern w:val="0"/>
                <w:sz w:val="24"/>
                <w:szCs w:val="24"/>
                <w:lang w:eastAsia="zh-Hans"/>
              </w:rPr>
              <w:t>民用无人驾驶航空器系统身份识别</w:t>
            </w:r>
            <w:r>
              <w:rPr>
                <w:rFonts w:hint="eastAsia" w:ascii="Times New Roman" w:hAnsi="Times New Roman" w:eastAsia="仿宋_GB2312" w:cs="Times New Roman"/>
                <w:bCs/>
                <w:snapToGrid w:val="0"/>
                <w:color w:val="auto"/>
                <w:kern w:val="0"/>
                <w:sz w:val="24"/>
                <w:szCs w:val="24"/>
              </w:rPr>
              <w:t>三维空间</w:t>
            </w:r>
            <w:r>
              <w:rPr>
                <w:rFonts w:hint="eastAsia" w:ascii="Times New Roman" w:hAnsi="Times New Roman" w:eastAsia="仿宋_GB2312" w:cs="Times New Roman"/>
                <w:bCs/>
                <w:snapToGrid w:val="0"/>
                <w:color w:val="auto"/>
                <w:kern w:val="0"/>
                <w:sz w:val="24"/>
                <w:szCs w:val="24"/>
                <w:lang w:eastAsia="zh-Hans"/>
              </w:rPr>
              <w:t>位置标识编码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2324" w:type="dxa"/>
            <w:vAlign w:val="center"/>
          </w:tcPr>
          <w:p>
            <w:pPr>
              <w:widowControl/>
              <w:adjustRightInd w:val="0"/>
              <w:snapToGrid w:val="0"/>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Cs/>
                <w:snapToGrid w:val="0"/>
                <w:color w:val="auto"/>
                <w:kern w:val="0"/>
                <w:sz w:val="24"/>
                <w:szCs w:val="24"/>
                <w:lang w:eastAsia="zh-Hans"/>
              </w:rPr>
              <w:t>GB/T 43570-2023</w:t>
            </w:r>
          </w:p>
        </w:tc>
        <w:tc>
          <w:tcPr>
            <w:tcW w:w="6860" w:type="dxa"/>
            <w:vAlign w:val="center"/>
          </w:tcPr>
          <w:p>
            <w:pPr>
              <w:widowControl/>
              <w:adjustRightInd w:val="0"/>
              <w:snapToGrid w:val="0"/>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Cs/>
                <w:snapToGrid w:val="0"/>
                <w:color w:val="auto"/>
                <w:kern w:val="0"/>
                <w:sz w:val="24"/>
                <w:szCs w:val="24"/>
                <w:lang w:eastAsia="zh-Hans"/>
              </w:rPr>
              <w:t>民用无人驾驶航空器系统身份识别总体要求</w:t>
            </w:r>
          </w:p>
        </w:tc>
      </w:tr>
    </w:tbl>
    <w:p>
      <w:pPr>
        <w:widowControl/>
        <w:adjustRightInd w:val="0"/>
        <w:snapToGrid w:val="0"/>
        <w:spacing w:line="560" w:lineRule="exact"/>
        <w:ind w:firstLine="640" w:firstLineChars="200"/>
        <w:rPr>
          <w:rFonts w:ascii="Times New Roman" w:hAnsi="Times New Roman" w:eastAsia="仿宋_GB2312" w:cs="Times New Roman"/>
          <w:bCs/>
          <w:snapToGrid w:val="0"/>
          <w:color w:val="auto"/>
          <w:kern w:val="0"/>
          <w:sz w:val="32"/>
          <w:szCs w:val="32"/>
          <w:lang w:bidi="ar"/>
        </w:rPr>
      </w:pPr>
      <w:r>
        <w:rPr>
          <w:rFonts w:hint="eastAsia" w:ascii="Times New Roman" w:hAnsi="Times New Roman" w:eastAsia="仿宋_GB2312" w:cs="Times New Roman"/>
          <w:bCs/>
          <w:snapToGrid w:val="0"/>
          <w:color w:val="auto"/>
          <w:kern w:val="0"/>
          <w:sz w:val="32"/>
          <w:szCs w:val="32"/>
          <w:lang w:bidi="ar"/>
        </w:rPr>
        <w:t>截至目前，已发布11项行业标准，在编8项。</w:t>
      </w:r>
    </w:p>
    <w:p>
      <w:pPr>
        <w:widowControl/>
        <w:adjustRightInd w:val="0"/>
        <w:snapToGrid w:val="0"/>
        <w:spacing w:line="560" w:lineRule="exact"/>
        <w:jc w:val="center"/>
        <w:rPr>
          <w:rFonts w:ascii="Times New Roman" w:hAnsi="Times New Roman" w:eastAsia="楷体_GB2312" w:cs="Times New Roman"/>
          <w:bCs/>
          <w:snapToGrid w:val="0"/>
          <w:color w:val="auto"/>
          <w:kern w:val="0"/>
          <w:sz w:val="24"/>
          <w:szCs w:val="24"/>
          <w:lang w:eastAsia="zh-Hans" w:bidi="ar"/>
        </w:rPr>
      </w:pPr>
      <w:r>
        <w:rPr>
          <w:rFonts w:hint="eastAsia" w:ascii="Times New Roman" w:hAnsi="Times New Roman" w:eastAsia="楷体_GB2312" w:cs="Times New Roman"/>
          <w:bCs/>
          <w:snapToGrid w:val="0"/>
          <w:color w:val="auto"/>
          <w:kern w:val="0"/>
          <w:sz w:val="24"/>
          <w:szCs w:val="24"/>
          <w:lang w:eastAsia="zh-Hans" w:bidi="ar"/>
        </w:rPr>
        <w:t>附表</w:t>
      </w:r>
      <w:r>
        <w:rPr>
          <w:rFonts w:hint="eastAsia" w:ascii="Times New Roman" w:hAnsi="Times New Roman" w:eastAsia="楷体_GB2312" w:cs="Times New Roman"/>
          <w:bCs/>
          <w:snapToGrid w:val="0"/>
          <w:color w:val="auto"/>
          <w:kern w:val="0"/>
          <w:sz w:val="24"/>
          <w:szCs w:val="24"/>
          <w:lang w:bidi="ar"/>
        </w:rPr>
        <w:t>6-5</w:t>
      </w:r>
      <w:r>
        <w:rPr>
          <w:rFonts w:hint="eastAsia" w:ascii="Times New Roman" w:hAnsi="Times New Roman" w:eastAsia="楷体_GB2312" w:cs="Times New Roman"/>
          <w:bCs/>
          <w:snapToGrid w:val="0"/>
          <w:color w:val="auto"/>
          <w:kern w:val="0"/>
          <w:sz w:val="24"/>
          <w:szCs w:val="24"/>
          <w:lang w:eastAsia="zh-Hans" w:bidi="ar"/>
        </w:rPr>
        <w:t xml:space="preserve">  无人机行业标准</w:t>
      </w:r>
    </w:p>
    <w:tbl>
      <w:tblPr>
        <w:tblStyle w:val="40"/>
        <w:tblW w:w="89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28"/>
        <w:gridCol w:w="69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1928" w:type="dxa"/>
            <w:vAlign w:val="center"/>
          </w:tcPr>
          <w:p>
            <w:pPr>
              <w:widowControl/>
              <w:adjustRightInd w:val="0"/>
              <w:snapToGrid w:val="0"/>
              <w:jc w:val="center"/>
              <w:rPr>
                <w:rFonts w:ascii="Times New Roman" w:hAnsi="Times New Roman" w:eastAsia="黑体" w:cs="Times New Roman"/>
                <w:bCs/>
                <w:snapToGrid w:val="0"/>
                <w:color w:val="auto"/>
                <w:kern w:val="0"/>
                <w:sz w:val="24"/>
                <w:szCs w:val="24"/>
                <w:lang w:eastAsia="zh-Hans"/>
              </w:rPr>
            </w:pPr>
            <w:r>
              <w:rPr>
                <w:rFonts w:hint="eastAsia" w:ascii="Times New Roman" w:hAnsi="Times New Roman" w:eastAsia="黑体" w:cs="Times New Roman"/>
                <w:bCs/>
                <w:snapToGrid w:val="0"/>
                <w:color w:val="auto"/>
                <w:kern w:val="0"/>
                <w:sz w:val="24"/>
                <w:szCs w:val="24"/>
                <w:lang w:eastAsia="zh-Hans"/>
              </w:rPr>
              <w:t>标准编号</w:t>
            </w:r>
          </w:p>
        </w:tc>
        <w:tc>
          <w:tcPr>
            <w:tcW w:w="6973" w:type="dxa"/>
            <w:vAlign w:val="center"/>
          </w:tcPr>
          <w:p>
            <w:pPr>
              <w:widowControl/>
              <w:adjustRightInd w:val="0"/>
              <w:snapToGrid w:val="0"/>
              <w:jc w:val="center"/>
              <w:rPr>
                <w:rFonts w:ascii="Times New Roman" w:hAnsi="Times New Roman" w:eastAsia="黑体" w:cs="Times New Roman"/>
                <w:bCs/>
                <w:snapToGrid w:val="0"/>
                <w:color w:val="auto"/>
                <w:kern w:val="0"/>
                <w:sz w:val="24"/>
                <w:szCs w:val="24"/>
                <w:lang w:eastAsia="zh-Hans"/>
              </w:rPr>
            </w:pPr>
            <w:r>
              <w:rPr>
                <w:rFonts w:hint="eastAsia" w:ascii="Times New Roman" w:hAnsi="Times New Roman" w:eastAsia="黑体" w:cs="Times New Roman"/>
                <w:bCs/>
                <w:snapToGrid w:val="0"/>
                <w:color w:val="auto"/>
                <w:kern w:val="0"/>
                <w:sz w:val="24"/>
                <w:szCs w:val="24"/>
                <w:lang w:eastAsia="zh-Hans"/>
              </w:rPr>
              <w:t>标准名称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28" w:type="dxa"/>
            <w:vAlign w:val="center"/>
          </w:tcPr>
          <w:p>
            <w:pPr>
              <w:widowControl/>
              <w:adjustRightInd w:val="0"/>
              <w:snapToGrid w:val="0"/>
              <w:jc w:val="center"/>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Cs/>
                <w:snapToGrid w:val="0"/>
                <w:color w:val="auto"/>
                <w:kern w:val="0"/>
                <w:sz w:val="24"/>
                <w:szCs w:val="24"/>
                <w:lang w:eastAsia="zh-Hans"/>
              </w:rPr>
              <w:t>MH/T 2014-2023</w:t>
            </w:r>
          </w:p>
        </w:tc>
        <w:tc>
          <w:tcPr>
            <w:tcW w:w="6973" w:type="dxa"/>
            <w:vAlign w:val="center"/>
          </w:tcPr>
          <w:p>
            <w:pPr>
              <w:widowControl/>
              <w:adjustRightInd w:val="0"/>
              <w:snapToGrid w:val="0"/>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Cs/>
                <w:snapToGrid w:val="0"/>
                <w:color w:val="auto"/>
                <w:kern w:val="0"/>
                <w:sz w:val="24"/>
                <w:szCs w:val="24"/>
                <w:lang w:eastAsia="zh-Hans"/>
              </w:rPr>
              <w:t>物流无人驾驶航空器运行通用要求 第一部分:海岛场景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28" w:type="dxa"/>
            <w:vAlign w:val="center"/>
          </w:tcPr>
          <w:p>
            <w:pPr>
              <w:widowControl/>
              <w:adjustRightInd w:val="0"/>
              <w:snapToGrid w:val="0"/>
              <w:jc w:val="center"/>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Cs/>
                <w:snapToGrid w:val="0"/>
                <w:color w:val="auto"/>
                <w:kern w:val="0"/>
                <w:sz w:val="24"/>
                <w:szCs w:val="24"/>
                <w:lang w:eastAsia="zh-Hans"/>
              </w:rPr>
              <w:t>MH/T 2013-2022</w:t>
            </w:r>
          </w:p>
        </w:tc>
        <w:tc>
          <w:tcPr>
            <w:tcW w:w="6973" w:type="dxa"/>
            <w:vAlign w:val="center"/>
          </w:tcPr>
          <w:p>
            <w:pPr>
              <w:widowControl/>
              <w:adjustRightInd w:val="0"/>
              <w:snapToGrid w:val="0"/>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Cs/>
                <w:snapToGrid w:val="0"/>
                <w:color w:val="auto"/>
                <w:kern w:val="0"/>
                <w:sz w:val="24"/>
                <w:szCs w:val="24"/>
                <w:lang w:eastAsia="zh-Hans"/>
              </w:rPr>
              <w:t>民用无人驾驶航空器系统分布式操作运行等级划分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28" w:type="dxa"/>
            <w:vAlign w:val="center"/>
          </w:tcPr>
          <w:p>
            <w:pPr>
              <w:widowControl/>
              <w:adjustRightInd w:val="0"/>
              <w:snapToGrid w:val="0"/>
              <w:jc w:val="center"/>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Cs/>
                <w:snapToGrid w:val="0"/>
                <w:color w:val="auto"/>
                <w:kern w:val="0"/>
                <w:sz w:val="24"/>
                <w:szCs w:val="24"/>
                <w:lang w:eastAsia="zh-Hans"/>
              </w:rPr>
              <w:t>MH/T 3030-2023</w:t>
            </w:r>
          </w:p>
        </w:tc>
        <w:tc>
          <w:tcPr>
            <w:tcW w:w="6973" w:type="dxa"/>
            <w:vAlign w:val="center"/>
          </w:tcPr>
          <w:p>
            <w:pPr>
              <w:widowControl/>
              <w:adjustRightInd w:val="0"/>
              <w:snapToGrid w:val="0"/>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Cs/>
                <w:snapToGrid w:val="0"/>
                <w:color w:val="auto"/>
                <w:kern w:val="0"/>
                <w:sz w:val="24"/>
                <w:szCs w:val="24"/>
                <w:lang w:eastAsia="zh-Hans"/>
              </w:rPr>
              <w:t>民用无人驾驶航空器实名登记数据接口交换规范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28" w:type="dxa"/>
            <w:vAlign w:val="center"/>
          </w:tcPr>
          <w:p>
            <w:pPr>
              <w:widowControl/>
              <w:adjustRightInd w:val="0"/>
              <w:snapToGrid w:val="0"/>
              <w:jc w:val="center"/>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Cs/>
                <w:snapToGrid w:val="0"/>
                <w:color w:val="auto"/>
                <w:kern w:val="0"/>
                <w:sz w:val="24"/>
                <w:szCs w:val="24"/>
                <w:lang w:eastAsia="zh-Hans"/>
              </w:rPr>
              <w:t>MH/T 2015-2024</w:t>
            </w:r>
          </w:p>
        </w:tc>
        <w:tc>
          <w:tcPr>
            <w:tcW w:w="6973" w:type="dxa"/>
            <w:vAlign w:val="center"/>
          </w:tcPr>
          <w:p>
            <w:pPr>
              <w:widowControl/>
              <w:adjustRightInd w:val="0"/>
              <w:snapToGrid w:val="0"/>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Cs/>
                <w:snapToGrid w:val="0"/>
                <w:color w:val="auto"/>
                <w:kern w:val="0"/>
                <w:sz w:val="24"/>
                <w:szCs w:val="24"/>
                <w:lang w:eastAsia="zh-Hans"/>
              </w:rPr>
              <w:t>基于区块链的民用无人驾驶航空器飞行数据存证技术标准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28" w:type="dxa"/>
            <w:vAlign w:val="center"/>
          </w:tcPr>
          <w:p>
            <w:pPr>
              <w:widowControl/>
              <w:adjustRightInd w:val="0"/>
              <w:snapToGrid w:val="0"/>
              <w:jc w:val="center"/>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Cs/>
                <w:snapToGrid w:val="0"/>
                <w:color w:val="auto"/>
                <w:kern w:val="0"/>
                <w:sz w:val="24"/>
                <w:szCs w:val="24"/>
                <w:lang w:eastAsia="zh-Hans"/>
              </w:rPr>
              <w:t>MH/T 6126-2022</w:t>
            </w:r>
          </w:p>
        </w:tc>
        <w:tc>
          <w:tcPr>
            <w:tcW w:w="6973" w:type="dxa"/>
            <w:vAlign w:val="center"/>
          </w:tcPr>
          <w:p>
            <w:pPr>
              <w:widowControl/>
              <w:adjustRightInd w:val="0"/>
              <w:snapToGrid w:val="0"/>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Cs/>
                <w:snapToGrid w:val="0"/>
                <w:color w:val="auto"/>
                <w:kern w:val="0"/>
                <w:sz w:val="24"/>
                <w:szCs w:val="24"/>
                <w:lang w:eastAsia="zh-Hans"/>
              </w:rPr>
              <w:t>城市场景物流电动多旋翼无人驾驶航空器(轻小型)系统技术要求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28" w:type="dxa"/>
            <w:vAlign w:val="center"/>
          </w:tcPr>
          <w:p>
            <w:pPr>
              <w:widowControl/>
              <w:adjustRightInd w:val="0"/>
              <w:snapToGrid w:val="0"/>
              <w:jc w:val="center"/>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Cs/>
                <w:snapToGrid w:val="0"/>
                <w:color w:val="auto"/>
                <w:kern w:val="0"/>
                <w:sz w:val="24"/>
                <w:szCs w:val="24"/>
                <w:lang w:eastAsia="zh-Hans"/>
              </w:rPr>
              <w:t>MH/T 1069-2018</w:t>
            </w:r>
          </w:p>
        </w:tc>
        <w:tc>
          <w:tcPr>
            <w:tcW w:w="6973" w:type="dxa"/>
            <w:vAlign w:val="center"/>
          </w:tcPr>
          <w:p>
            <w:pPr>
              <w:widowControl/>
              <w:adjustRightInd w:val="0"/>
              <w:snapToGrid w:val="0"/>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Cs/>
                <w:snapToGrid w:val="0"/>
                <w:color w:val="auto"/>
                <w:kern w:val="0"/>
                <w:sz w:val="24"/>
                <w:szCs w:val="24"/>
                <w:lang w:eastAsia="zh-Hans"/>
              </w:rPr>
              <w:t>无人驾驶航空器系统作业飞行技术规范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28" w:type="dxa"/>
            <w:vAlign w:val="center"/>
          </w:tcPr>
          <w:p>
            <w:pPr>
              <w:widowControl/>
              <w:adjustRightInd w:val="0"/>
              <w:snapToGrid w:val="0"/>
              <w:jc w:val="center"/>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Cs/>
                <w:snapToGrid w:val="0"/>
                <w:color w:val="auto"/>
                <w:kern w:val="0"/>
                <w:sz w:val="24"/>
                <w:szCs w:val="24"/>
                <w:lang w:eastAsia="zh-Hans"/>
              </w:rPr>
              <w:t>MH/T 2008-2017</w:t>
            </w:r>
          </w:p>
        </w:tc>
        <w:tc>
          <w:tcPr>
            <w:tcW w:w="6973" w:type="dxa"/>
            <w:vAlign w:val="center"/>
          </w:tcPr>
          <w:p>
            <w:pPr>
              <w:widowControl/>
              <w:adjustRightInd w:val="0"/>
              <w:snapToGrid w:val="0"/>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Cs/>
                <w:snapToGrid w:val="0"/>
                <w:color w:val="auto"/>
                <w:kern w:val="0"/>
                <w:sz w:val="24"/>
                <w:szCs w:val="24"/>
                <w:lang w:eastAsia="zh-Hans"/>
              </w:rPr>
              <w:t>无人机围栏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28" w:type="dxa"/>
            <w:vAlign w:val="center"/>
          </w:tcPr>
          <w:p>
            <w:pPr>
              <w:widowControl/>
              <w:adjustRightInd w:val="0"/>
              <w:snapToGrid w:val="0"/>
              <w:jc w:val="center"/>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Cs/>
                <w:snapToGrid w:val="0"/>
                <w:color w:val="auto"/>
                <w:kern w:val="0"/>
                <w:sz w:val="24"/>
                <w:szCs w:val="24"/>
                <w:lang w:eastAsia="zh-Hans"/>
              </w:rPr>
              <w:t>MH/T 4053-2022</w:t>
            </w:r>
          </w:p>
        </w:tc>
        <w:tc>
          <w:tcPr>
            <w:tcW w:w="6973" w:type="dxa"/>
            <w:vAlign w:val="center"/>
          </w:tcPr>
          <w:p>
            <w:pPr>
              <w:widowControl/>
              <w:adjustRightInd w:val="0"/>
              <w:snapToGrid w:val="0"/>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Cs/>
                <w:snapToGrid w:val="0"/>
                <w:color w:val="auto"/>
                <w:kern w:val="0"/>
                <w:sz w:val="24"/>
                <w:szCs w:val="24"/>
                <w:lang w:eastAsia="zh-Hans"/>
              </w:rPr>
              <w:t>民用无人驾驶航空器空中交通管理信息服务系统数据接口规范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28" w:type="dxa"/>
            <w:vAlign w:val="center"/>
          </w:tcPr>
          <w:p>
            <w:pPr>
              <w:widowControl/>
              <w:adjustRightInd w:val="0"/>
              <w:snapToGrid w:val="0"/>
              <w:jc w:val="center"/>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Cs/>
                <w:snapToGrid w:val="0"/>
                <w:color w:val="auto"/>
                <w:kern w:val="0"/>
                <w:sz w:val="24"/>
                <w:szCs w:val="24"/>
                <w:lang w:eastAsia="zh-Hans"/>
              </w:rPr>
              <w:t>MH/T 4054-2022</w:t>
            </w:r>
          </w:p>
        </w:tc>
        <w:tc>
          <w:tcPr>
            <w:tcW w:w="6973" w:type="dxa"/>
            <w:vAlign w:val="center"/>
          </w:tcPr>
          <w:p>
            <w:pPr>
              <w:widowControl/>
              <w:adjustRightInd w:val="0"/>
              <w:snapToGrid w:val="0"/>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Cs/>
                <w:snapToGrid w:val="0"/>
                <w:color w:val="auto"/>
                <w:kern w:val="0"/>
                <w:sz w:val="24"/>
                <w:szCs w:val="24"/>
                <w:lang w:eastAsia="zh-Hans"/>
              </w:rPr>
              <w:t>城市场景轻小型无人驾驶航空器物流航线划设规范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28" w:type="dxa"/>
            <w:vAlign w:val="center"/>
          </w:tcPr>
          <w:p>
            <w:pPr>
              <w:widowControl/>
              <w:adjustRightInd w:val="0"/>
              <w:snapToGrid w:val="0"/>
              <w:jc w:val="center"/>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Cs/>
                <w:snapToGrid w:val="0"/>
                <w:color w:val="auto"/>
                <w:kern w:val="0"/>
                <w:sz w:val="24"/>
                <w:szCs w:val="24"/>
                <w:lang w:eastAsia="zh-Hans"/>
              </w:rPr>
              <w:t>MH/T 2009-2017</w:t>
            </w:r>
          </w:p>
        </w:tc>
        <w:tc>
          <w:tcPr>
            <w:tcW w:w="6973" w:type="dxa"/>
            <w:vAlign w:val="center"/>
          </w:tcPr>
          <w:p>
            <w:pPr>
              <w:widowControl/>
              <w:adjustRightInd w:val="0"/>
              <w:snapToGrid w:val="0"/>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Cs/>
                <w:snapToGrid w:val="0"/>
                <w:color w:val="auto"/>
                <w:kern w:val="0"/>
                <w:sz w:val="24"/>
                <w:szCs w:val="24"/>
                <w:lang w:eastAsia="zh-Hans"/>
              </w:rPr>
              <w:t>无人机云系统接口数据规范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28" w:type="dxa"/>
            <w:vAlign w:val="center"/>
          </w:tcPr>
          <w:p>
            <w:pPr>
              <w:widowControl/>
              <w:adjustRightInd w:val="0"/>
              <w:snapToGrid w:val="0"/>
              <w:jc w:val="center"/>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Cs/>
                <w:snapToGrid w:val="0"/>
                <w:color w:val="auto"/>
                <w:kern w:val="0"/>
                <w:sz w:val="24"/>
                <w:szCs w:val="24"/>
                <w:lang w:eastAsia="zh-Hans"/>
              </w:rPr>
              <w:t>MH/T 2011-2019</w:t>
            </w:r>
          </w:p>
        </w:tc>
        <w:tc>
          <w:tcPr>
            <w:tcW w:w="6973" w:type="dxa"/>
            <w:vAlign w:val="center"/>
          </w:tcPr>
          <w:p>
            <w:pPr>
              <w:widowControl/>
              <w:adjustRightInd w:val="0"/>
              <w:snapToGrid w:val="0"/>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Cs/>
                <w:snapToGrid w:val="0"/>
                <w:color w:val="auto"/>
                <w:kern w:val="0"/>
                <w:sz w:val="24"/>
                <w:szCs w:val="24"/>
                <w:lang w:eastAsia="zh-Hans"/>
              </w:rPr>
              <w:t>无人机云系统数据规范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28" w:type="dxa"/>
            <w:vAlign w:val="center"/>
          </w:tcPr>
          <w:p>
            <w:pPr>
              <w:widowControl/>
              <w:adjustRightInd w:val="0"/>
              <w:snapToGrid w:val="0"/>
              <w:jc w:val="center"/>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Cs/>
                <w:snapToGrid w:val="0"/>
                <w:color w:val="auto"/>
                <w:kern w:val="0"/>
                <w:sz w:val="24"/>
                <w:szCs w:val="24"/>
                <w:lang w:eastAsia="zh-Hans"/>
              </w:rPr>
              <w:t>在编</w:t>
            </w:r>
          </w:p>
        </w:tc>
        <w:tc>
          <w:tcPr>
            <w:tcW w:w="6973" w:type="dxa"/>
            <w:vAlign w:val="center"/>
          </w:tcPr>
          <w:p>
            <w:pPr>
              <w:widowControl/>
              <w:adjustRightInd w:val="0"/>
              <w:snapToGrid w:val="0"/>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Cs/>
                <w:snapToGrid w:val="0"/>
                <w:color w:val="auto"/>
                <w:kern w:val="0"/>
                <w:sz w:val="24"/>
                <w:szCs w:val="24"/>
                <w:lang w:eastAsia="zh-Hans"/>
              </w:rPr>
              <w:t>民用无人驾驶航空器分布式操作运行等级仿真测试技术规范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28" w:type="dxa"/>
            <w:vAlign w:val="center"/>
          </w:tcPr>
          <w:p>
            <w:pPr>
              <w:widowControl/>
              <w:adjustRightInd w:val="0"/>
              <w:snapToGrid w:val="0"/>
              <w:jc w:val="center"/>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Cs/>
                <w:snapToGrid w:val="0"/>
                <w:color w:val="auto"/>
                <w:kern w:val="0"/>
                <w:sz w:val="24"/>
                <w:szCs w:val="24"/>
                <w:lang w:eastAsia="zh-Hans"/>
              </w:rPr>
              <w:t>在编</w:t>
            </w:r>
          </w:p>
        </w:tc>
        <w:tc>
          <w:tcPr>
            <w:tcW w:w="6973" w:type="dxa"/>
            <w:vAlign w:val="center"/>
          </w:tcPr>
          <w:p>
            <w:pPr>
              <w:widowControl/>
              <w:adjustRightInd w:val="0"/>
              <w:snapToGrid w:val="0"/>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Cs/>
                <w:snapToGrid w:val="0"/>
                <w:color w:val="auto"/>
                <w:kern w:val="0"/>
                <w:sz w:val="24"/>
                <w:szCs w:val="24"/>
                <w:lang w:eastAsia="zh-Hans"/>
              </w:rPr>
              <w:t>民用无人驾驶航空器空中交通服务要求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28" w:type="dxa"/>
            <w:vAlign w:val="center"/>
          </w:tcPr>
          <w:p>
            <w:pPr>
              <w:widowControl/>
              <w:adjustRightInd w:val="0"/>
              <w:snapToGrid w:val="0"/>
              <w:jc w:val="center"/>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Cs/>
                <w:snapToGrid w:val="0"/>
                <w:color w:val="auto"/>
                <w:kern w:val="0"/>
                <w:sz w:val="24"/>
                <w:szCs w:val="24"/>
                <w:lang w:eastAsia="zh-Hans"/>
              </w:rPr>
              <w:t>在编</w:t>
            </w:r>
          </w:p>
        </w:tc>
        <w:tc>
          <w:tcPr>
            <w:tcW w:w="6973" w:type="dxa"/>
            <w:vAlign w:val="center"/>
          </w:tcPr>
          <w:p>
            <w:pPr>
              <w:widowControl/>
              <w:adjustRightInd w:val="0"/>
              <w:snapToGrid w:val="0"/>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Cs/>
                <w:snapToGrid w:val="0"/>
                <w:color w:val="auto"/>
                <w:kern w:val="0"/>
                <w:sz w:val="24"/>
                <w:szCs w:val="24"/>
                <w:lang w:eastAsia="zh-Hans"/>
              </w:rPr>
              <w:t>民用机场无人驾驶航空器管制区域划设技术要求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28" w:type="dxa"/>
            <w:vAlign w:val="center"/>
          </w:tcPr>
          <w:p>
            <w:pPr>
              <w:widowControl/>
              <w:adjustRightInd w:val="0"/>
              <w:snapToGrid w:val="0"/>
              <w:jc w:val="center"/>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Cs/>
                <w:snapToGrid w:val="0"/>
                <w:color w:val="auto"/>
                <w:kern w:val="0"/>
                <w:sz w:val="24"/>
                <w:szCs w:val="24"/>
                <w:lang w:eastAsia="zh-Hans"/>
              </w:rPr>
              <w:t>在编</w:t>
            </w:r>
          </w:p>
        </w:tc>
        <w:tc>
          <w:tcPr>
            <w:tcW w:w="6973" w:type="dxa"/>
            <w:vAlign w:val="center"/>
          </w:tcPr>
          <w:p>
            <w:pPr>
              <w:widowControl/>
              <w:adjustRightInd w:val="0"/>
              <w:snapToGrid w:val="0"/>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Cs/>
                <w:snapToGrid w:val="0"/>
                <w:color w:val="auto"/>
                <w:kern w:val="0"/>
                <w:sz w:val="24"/>
                <w:szCs w:val="24"/>
                <w:lang w:eastAsia="zh-Hans"/>
              </w:rPr>
              <w:t>支线物流场景无人驾驶航空器航线设计规范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28" w:type="dxa"/>
            <w:vAlign w:val="center"/>
          </w:tcPr>
          <w:p>
            <w:pPr>
              <w:widowControl/>
              <w:adjustRightInd w:val="0"/>
              <w:snapToGrid w:val="0"/>
              <w:jc w:val="center"/>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Cs/>
                <w:snapToGrid w:val="0"/>
                <w:color w:val="auto"/>
                <w:kern w:val="0"/>
                <w:sz w:val="24"/>
                <w:szCs w:val="24"/>
                <w:lang w:eastAsia="zh-Hans"/>
              </w:rPr>
              <w:t>在编</w:t>
            </w:r>
          </w:p>
        </w:tc>
        <w:tc>
          <w:tcPr>
            <w:tcW w:w="6973" w:type="dxa"/>
            <w:vAlign w:val="center"/>
          </w:tcPr>
          <w:p>
            <w:pPr>
              <w:widowControl/>
              <w:adjustRightInd w:val="0"/>
              <w:snapToGrid w:val="0"/>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Cs/>
                <w:snapToGrid w:val="0"/>
                <w:color w:val="auto"/>
                <w:kern w:val="0"/>
                <w:sz w:val="24"/>
                <w:szCs w:val="24"/>
                <w:lang w:eastAsia="zh-Hans"/>
              </w:rPr>
              <w:t>民用无人驾驶航空器进离场飞行及排序程序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28" w:type="dxa"/>
            <w:vAlign w:val="center"/>
          </w:tcPr>
          <w:p>
            <w:pPr>
              <w:widowControl/>
              <w:adjustRightInd w:val="0"/>
              <w:snapToGrid w:val="0"/>
              <w:jc w:val="center"/>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Cs/>
                <w:snapToGrid w:val="0"/>
                <w:color w:val="auto"/>
                <w:kern w:val="0"/>
                <w:sz w:val="24"/>
                <w:szCs w:val="24"/>
                <w:lang w:eastAsia="zh-Hans"/>
              </w:rPr>
              <w:t>在编</w:t>
            </w:r>
          </w:p>
        </w:tc>
        <w:tc>
          <w:tcPr>
            <w:tcW w:w="6973" w:type="dxa"/>
            <w:vAlign w:val="center"/>
          </w:tcPr>
          <w:p>
            <w:pPr>
              <w:widowControl/>
              <w:adjustRightInd w:val="0"/>
              <w:snapToGrid w:val="0"/>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Cs/>
                <w:snapToGrid w:val="0"/>
                <w:color w:val="auto"/>
                <w:kern w:val="0"/>
                <w:sz w:val="24"/>
                <w:szCs w:val="24"/>
                <w:lang w:eastAsia="zh-Hans"/>
              </w:rPr>
              <w:t>民用无人驾驶航空器空域信息数字化规范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28" w:type="dxa"/>
            <w:vAlign w:val="center"/>
          </w:tcPr>
          <w:p>
            <w:pPr>
              <w:widowControl/>
              <w:adjustRightInd w:val="0"/>
              <w:snapToGrid w:val="0"/>
              <w:jc w:val="center"/>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Cs/>
                <w:snapToGrid w:val="0"/>
                <w:color w:val="auto"/>
                <w:kern w:val="0"/>
                <w:sz w:val="24"/>
                <w:szCs w:val="24"/>
                <w:lang w:eastAsia="zh-Hans"/>
              </w:rPr>
              <w:t>在编</w:t>
            </w:r>
          </w:p>
        </w:tc>
        <w:tc>
          <w:tcPr>
            <w:tcW w:w="6973" w:type="dxa"/>
            <w:vAlign w:val="center"/>
          </w:tcPr>
          <w:p>
            <w:pPr>
              <w:widowControl/>
              <w:adjustRightInd w:val="0"/>
              <w:snapToGrid w:val="0"/>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Cs/>
                <w:snapToGrid w:val="0"/>
                <w:color w:val="auto"/>
                <w:kern w:val="0"/>
                <w:sz w:val="24"/>
                <w:szCs w:val="24"/>
                <w:lang w:eastAsia="zh-Hans"/>
              </w:rPr>
              <w:t>民用无人驾驶航空器垂直起降(场)管理技术规范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28" w:type="dxa"/>
            <w:vAlign w:val="center"/>
          </w:tcPr>
          <w:p>
            <w:pPr>
              <w:widowControl/>
              <w:adjustRightInd w:val="0"/>
              <w:snapToGrid w:val="0"/>
              <w:jc w:val="center"/>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Cs/>
                <w:snapToGrid w:val="0"/>
                <w:color w:val="auto"/>
                <w:kern w:val="0"/>
                <w:sz w:val="24"/>
                <w:szCs w:val="24"/>
                <w:lang w:eastAsia="zh-Hans"/>
              </w:rPr>
              <w:t>在编</w:t>
            </w:r>
          </w:p>
        </w:tc>
        <w:tc>
          <w:tcPr>
            <w:tcW w:w="6973" w:type="dxa"/>
            <w:vAlign w:val="center"/>
          </w:tcPr>
          <w:p>
            <w:pPr>
              <w:widowControl/>
              <w:adjustRightInd w:val="0"/>
              <w:snapToGrid w:val="0"/>
              <w:rPr>
                <w:rFonts w:ascii="Times New Roman" w:hAnsi="Times New Roman" w:eastAsia="仿宋_GB2312" w:cs="Times New Roman"/>
                <w:bCs/>
                <w:snapToGrid w:val="0"/>
                <w:color w:val="auto"/>
                <w:kern w:val="0"/>
                <w:sz w:val="24"/>
                <w:szCs w:val="24"/>
                <w:lang w:eastAsia="zh-Hans"/>
              </w:rPr>
            </w:pPr>
            <w:r>
              <w:rPr>
                <w:rFonts w:hint="eastAsia" w:ascii="Times New Roman" w:hAnsi="Times New Roman" w:eastAsia="仿宋_GB2312" w:cs="Times New Roman"/>
                <w:bCs/>
                <w:snapToGrid w:val="0"/>
                <w:color w:val="auto"/>
                <w:kern w:val="0"/>
                <w:sz w:val="24"/>
                <w:szCs w:val="24"/>
                <w:lang w:eastAsia="zh-Hans"/>
              </w:rPr>
              <w:t>民用无人驾驶航空器市场运营与经济监管数据报送规范</w:t>
            </w:r>
          </w:p>
        </w:tc>
      </w:tr>
    </w:tbl>
    <w:p>
      <w:pPr>
        <w:rPr>
          <w:rFonts w:ascii="Times New Roman" w:hAnsi="Times New Roman" w:cs="Times New Roman"/>
          <w:color w:val="auto"/>
        </w:rPr>
      </w:pPr>
    </w:p>
    <w:p>
      <w:pPr>
        <w:rPr>
          <w:rFonts w:ascii="Times New Roman" w:hAnsi="Times New Roman" w:eastAsia="宋体" w:cs="Times New Roman"/>
          <w:color w:val="auto"/>
          <w:sz w:val="32"/>
          <w:szCs w:val="32"/>
          <w:shd w:val="clear" w:color="auto" w:fill="FFFFFF"/>
        </w:rPr>
        <w:sectPr>
          <w:pgSz w:w="11906" w:h="16838"/>
          <w:pgMar w:top="2098" w:right="1474" w:bottom="1984" w:left="1587" w:header="851" w:footer="992" w:gutter="0"/>
          <w:cols w:space="425" w:num="1"/>
          <w:docGrid w:type="lines" w:linePitch="312" w:charSpace="0"/>
        </w:sectPr>
      </w:pPr>
    </w:p>
    <w:p>
      <w:pPr>
        <w:widowControl/>
        <w:spacing w:line="600" w:lineRule="exact"/>
        <w:jc w:val="left"/>
        <w:outlineLvl w:val="0"/>
        <w:rPr>
          <w:rFonts w:ascii="Times New Roman" w:hAnsi="Times New Roman" w:eastAsia="黑体" w:cs="Times New Roman"/>
          <w:color w:val="auto"/>
          <w:sz w:val="32"/>
          <w:szCs w:val="32"/>
          <w:shd w:val="clear" w:color="auto" w:fill="FFFFFF"/>
        </w:rPr>
      </w:pPr>
      <w:bookmarkStart w:id="244" w:name="_Toc220270496"/>
      <w:bookmarkStart w:id="245" w:name="_Toc23685"/>
      <w:r>
        <w:rPr>
          <w:rFonts w:hint="eastAsia" w:ascii="Times New Roman" w:hAnsi="Times New Roman" w:eastAsia="黑体" w:cs="Times New Roman"/>
          <w:color w:val="auto"/>
          <w:sz w:val="32"/>
          <w:szCs w:val="32"/>
          <w:shd w:val="clear" w:color="auto" w:fill="FFFFFF"/>
        </w:rPr>
        <w:t>附件7：低空经济产业图谱</w:t>
      </w:r>
      <w:bookmarkEnd w:id="244"/>
      <w:r>
        <w:rPr>
          <w:rFonts w:hint="eastAsia" w:ascii="Times New Roman" w:hAnsi="Times New Roman" w:eastAsia="黑体" w:cs="Times New Roman"/>
          <w:color w:val="auto"/>
          <w:sz w:val="32"/>
          <w:szCs w:val="32"/>
          <w:shd w:val="clear" w:color="auto" w:fill="FFFFFF"/>
        </w:rPr>
        <w:t>及招商图谱（拟）</w:t>
      </w:r>
      <w:bookmarkEnd w:id="245"/>
    </w:p>
    <w:p>
      <w:pPr>
        <w:spacing w:before="187" w:beforeLines="60"/>
        <w:jc w:val="center"/>
        <w:rPr>
          <w:color w:val="auto"/>
        </w:rPr>
      </w:pPr>
      <w:bookmarkStart w:id="246" w:name="_Toc196760049"/>
      <w:bookmarkStart w:id="247" w:name="_Toc191998623"/>
      <w:bookmarkStart w:id="248" w:name="_Toc192950384"/>
      <w:bookmarkStart w:id="249" w:name="_Toc192950324"/>
      <w:bookmarkStart w:id="250" w:name="_Toc192950422"/>
      <w:bookmarkStart w:id="251" w:name="_Toc192950362"/>
      <w:bookmarkStart w:id="252" w:name="_Toc191998658"/>
      <w:r>
        <w:rPr>
          <w:rFonts w:hint="eastAsia" w:ascii="黑体" w:hAnsi="黑体" w:eastAsia="黑体" w:cs="Segoe UI"/>
          <w:bCs/>
          <w:color w:val="auto"/>
          <w:kern w:val="0"/>
          <w:sz w:val="32"/>
          <w:szCs w:val="32"/>
        </w:rPr>
        <w:drawing>
          <wp:inline distT="0" distB="0" distL="0" distR="0">
            <wp:extent cx="8463280" cy="4533265"/>
            <wp:effectExtent l="0" t="0" r="0" b="635"/>
            <wp:docPr id="2023860710"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023860710" name="图片 1"/>
                    <pic:cNvPicPr>
                      <a:picLocks noChangeAspect="true" noChangeArrowheads="true"/>
                    </pic:cNvPicPr>
                  </pic:nvPicPr>
                  <pic:blipFill>
                    <a:blip r:embed="rId10">
                      <a:extLst>
                        <a:ext uri="{28A0092B-C50C-407E-A947-70E740481C1C}">
                          <a14:useLocalDpi xmlns:a14="http://schemas.microsoft.com/office/drawing/2010/main" val="false"/>
                        </a:ext>
                      </a:extLst>
                    </a:blip>
                    <a:srcRect/>
                    <a:stretch>
                      <a:fillRect/>
                    </a:stretch>
                  </pic:blipFill>
                  <pic:spPr>
                    <a:xfrm>
                      <a:off x="0" y="0"/>
                      <a:ext cx="8482016" cy="4543283"/>
                    </a:xfrm>
                    <a:prstGeom prst="rect">
                      <a:avLst/>
                    </a:prstGeom>
                    <a:noFill/>
                  </pic:spPr>
                </pic:pic>
              </a:graphicData>
            </a:graphic>
          </wp:inline>
        </w:drawing>
      </w:r>
    </w:p>
    <w:p>
      <w:pPr>
        <w:widowControl/>
        <w:jc w:val="center"/>
        <w:rPr>
          <w:rFonts w:hint="eastAsia" w:ascii="黑体" w:hAnsi="黑体" w:eastAsia="黑体"/>
          <w:color w:val="auto"/>
          <w:sz w:val="20"/>
        </w:rPr>
      </w:pPr>
      <w:r>
        <w:rPr>
          <w:rFonts w:hint="eastAsia" w:ascii="黑体" w:hAnsi="黑体" w:eastAsia="黑体"/>
          <w:color w:val="auto"/>
          <w:sz w:val="28"/>
        </w:rPr>
        <w:t>图  低空经济全景</w:t>
      </w:r>
      <w:r>
        <w:rPr>
          <w:rFonts w:ascii="黑体" w:hAnsi="黑体" w:eastAsia="黑体"/>
          <w:color w:val="auto"/>
          <w:sz w:val="20"/>
        </w:rPr>
        <w:br w:type="page"/>
      </w:r>
    </w:p>
    <w:p>
      <w:pPr>
        <w:widowControl/>
        <w:adjustRightInd w:val="0"/>
        <w:snapToGrid w:val="0"/>
        <w:spacing w:line="560" w:lineRule="exact"/>
        <w:ind w:firstLine="641"/>
        <w:outlineLvl w:val="1"/>
        <w:rPr>
          <w:rFonts w:hint="eastAsia" w:ascii="黑体" w:hAnsi="黑体" w:eastAsia="黑体" w:cs="Segoe UI"/>
          <w:bCs/>
          <w:color w:val="auto"/>
          <w:kern w:val="0"/>
          <w:sz w:val="32"/>
          <w:szCs w:val="32"/>
        </w:rPr>
      </w:pPr>
      <w:bookmarkStart w:id="253" w:name="_Toc220270497"/>
      <w:bookmarkStart w:id="254" w:name="_Toc24628"/>
      <w:r>
        <w:rPr>
          <w:rFonts w:hint="eastAsia" w:ascii="黑体" w:hAnsi="黑体" w:eastAsia="黑体" w:cs="Segoe UI"/>
          <w:bCs/>
          <w:color w:val="auto"/>
          <w:kern w:val="0"/>
          <w:sz w:val="32"/>
          <w:szCs w:val="32"/>
        </w:rPr>
        <w:t>一、</w:t>
      </w:r>
      <w:bookmarkEnd w:id="246"/>
      <w:r>
        <w:rPr>
          <w:rFonts w:hint="eastAsia" w:ascii="黑体" w:hAnsi="黑体" w:eastAsia="黑体" w:cs="Segoe UI"/>
          <w:bCs/>
          <w:color w:val="auto"/>
          <w:kern w:val="0"/>
          <w:sz w:val="32"/>
          <w:szCs w:val="32"/>
        </w:rPr>
        <w:t>低空制造业招商信息表</w:t>
      </w:r>
      <w:bookmarkEnd w:id="253"/>
      <w:r>
        <w:rPr>
          <w:rFonts w:hint="eastAsia" w:ascii="黑体" w:hAnsi="黑体" w:eastAsia="黑体" w:cs="Segoe UI"/>
          <w:bCs/>
          <w:color w:val="auto"/>
          <w:kern w:val="0"/>
          <w:sz w:val="32"/>
          <w:szCs w:val="32"/>
        </w:rPr>
        <w:t>（拟）</w:t>
      </w:r>
      <w:bookmarkEnd w:id="254"/>
    </w:p>
    <w:p>
      <w:pPr>
        <w:spacing w:before="312" w:beforeLines="100" w:after="156" w:afterLines="50"/>
        <w:jc w:val="center"/>
        <w:outlineLvl w:val="2"/>
        <w:rPr>
          <w:rFonts w:hint="eastAsia" w:ascii="黑体" w:hAnsi="黑体" w:eastAsia="黑体"/>
          <w:color w:val="auto"/>
          <w:sz w:val="24"/>
        </w:rPr>
      </w:pPr>
      <w:bookmarkStart w:id="255" w:name="_Toc192950330"/>
      <w:bookmarkStart w:id="256" w:name="_Toc192950390"/>
      <w:bookmarkStart w:id="257" w:name="_Toc191998629"/>
      <w:bookmarkStart w:id="258" w:name="_Toc196760056"/>
      <w:bookmarkStart w:id="259" w:name="_Toc4055"/>
      <w:bookmarkStart w:id="260" w:name="_Toc220270498"/>
      <w:bookmarkStart w:id="261" w:name="_Toc196760050"/>
      <w:r>
        <w:rPr>
          <w:rFonts w:hint="eastAsia" w:ascii="黑体" w:hAnsi="黑体" w:eastAsia="黑体"/>
          <w:color w:val="auto"/>
          <w:sz w:val="24"/>
        </w:rPr>
        <w:t xml:space="preserve">表1-1 </w:t>
      </w:r>
      <w:r>
        <w:rPr>
          <w:rFonts w:ascii="黑体" w:hAnsi="黑体" w:eastAsia="黑体"/>
          <w:color w:val="auto"/>
          <w:sz w:val="24"/>
        </w:rPr>
        <w:t xml:space="preserve"> </w:t>
      </w:r>
      <w:r>
        <w:rPr>
          <w:rFonts w:hint="eastAsia" w:ascii="黑体" w:hAnsi="黑体" w:eastAsia="黑体"/>
          <w:color w:val="auto"/>
          <w:sz w:val="24"/>
        </w:rPr>
        <w:t>无人机</w:t>
      </w:r>
      <w:bookmarkEnd w:id="255"/>
      <w:bookmarkEnd w:id="256"/>
      <w:bookmarkEnd w:id="257"/>
      <w:bookmarkEnd w:id="258"/>
      <w:r>
        <w:rPr>
          <w:rFonts w:hint="eastAsia" w:ascii="黑体" w:hAnsi="黑体" w:eastAsia="黑体"/>
          <w:color w:val="auto"/>
          <w:sz w:val="24"/>
        </w:rPr>
        <w:t>整机</w:t>
      </w:r>
      <w:bookmarkEnd w:id="259"/>
      <w:bookmarkEnd w:id="260"/>
    </w:p>
    <w:tbl>
      <w:tblPr>
        <w:tblStyle w:val="23"/>
        <w:tblW w:w="139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6"/>
        <w:gridCol w:w="1440"/>
        <w:gridCol w:w="3549"/>
        <w:gridCol w:w="1560"/>
        <w:gridCol w:w="67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676"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黑体" w:hAnsi="黑体" w:eastAsia="黑体" w:cs="宋体"/>
                <w:bCs/>
                <w:color w:val="auto"/>
                <w:kern w:val="0"/>
                <w:sz w:val="22"/>
              </w:rPr>
            </w:pPr>
            <w:r>
              <w:rPr>
                <w:rFonts w:hint="eastAsia" w:ascii="黑体" w:hAnsi="黑体" w:eastAsia="黑体" w:cs="宋体"/>
                <w:bCs/>
                <w:color w:val="auto"/>
                <w:kern w:val="0"/>
                <w:sz w:val="22"/>
              </w:rPr>
              <w:t>序号</w:t>
            </w:r>
          </w:p>
        </w:tc>
        <w:tc>
          <w:tcPr>
            <w:tcW w:w="144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黑体" w:hAnsi="黑体" w:eastAsia="黑体" w:cs="宋体"/>
                <w:bCs/>
                <w:color w:val="auto"/>
                <w:kern w:val="0"/>
                <w:sz w:val="22"/>
              </w:rPr>
            </w:pPr>
            <w:r>
              <w:rPr>
                <w:rFonts w:hint="eastAsia" w:ascii="黑体" w:hAnsi="黑体" w:eastAsia="黑体" w:cs="宋体"/>
                <w:bCs/>
                <w:color w:val="auto"/>
                <w:kern w:val="0"/>
                <w:sz w:val="22"/>
              </w:rPr>
              <w:t>主要领域</w:t>
            </w:r>
          </w:p>
        </w:tc>
        <w:tc>
          <w:tcPr>
            <w:tcW w:w="3549"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黑体" w:hAnsi="黑体" w:eastAsia="黑体" w:cs="宋体"/>
                <w:bCs/>
                <w:color w:val="auto"/>
                <w:kern w:val="0"/>
                <w:sz w:val="22"/>
              </w:rPr>
            </w:pPr>
            <w:r>
              <w:rPr>
                <w:rFonts w:hint="eastAsia" w:ascii="黑体" w:hAnsi="黑体" w:eastAsia="黑体" w:cs="宋体"/>
                <w:bCs/>
                <w:color w:val="auto"/>
                <w:kern w:val="0"/>
                <w:sz w:val="22"/>
              </w:rPr>
              <w:t>企业名称</w:t>
            </w:r>
          </w:p>
        </w:tc>
        <w:tc>
          <w:tcPr>
            <w:tcW w:w="156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黑体" w:hAnsi="黑体" w:eastAsia="黑体" w:cs="宋体"/>
                <w:bCs/>
                <w:color w:val="auto"/>
                <w:kern w:val="0"/>
                <w:sz w:val="22"/>
              </w:rPr>
            </w:pPr>
            <w:r>
              <w:rPr>
                <w:rFonts w:hint="eastAsia" w:ascii="黑体" w:hAnsi="黑体" w:eastAsia="黑体" w:cs="宋体"/>
                <w:bCs/>
                <w:color w:val="auto"/>
                <w:kern w:val="0"/>
                <w:sz w:val="22"/>
              </w:rPr>
              <w:t>总部所在地</w:t>
            </w:r>
          </w:p>
        </w:tc>
        <w:tc>
          <w:tcPr>
            <w:tcW w:w="6754"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黑体" w:hAnsi="黑体" w:eastAsia="黑体" w:cs="宋体"/>
                <w:bCs/>
                <w:color w:val="auto"/>
                <w:kern w:val="0"/>
                <w:sz w:val="22"/>
              </w:rPr>
            </w:pPr>
            <w:r>
              <w:rPr>
                <w:rFonts w:hint="eastAsia" w:ascii="黑体" w:hAnsi="黑体" w:eastAsia="黑体" w:cs="宋体"/>
                <w:bCs/>
                <w:color w:val="auto"/>
                <w:kern w:val="0"/>
                <w:sz w:val="22"/>
              </w:rPr>
              <w:t>企业简介/主营方向/产品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6" w:type="dxa"/>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1</w:t>
            </w:r>
          </w:p>
        </w:tc>
        <w:tc>
          <w:tcPr>
            <w:tcW w:w="1440" w:type="dxa"/>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无人机整机</w:t>
            </w:r>
          </w:p>
        </w:tc>
        <w:tc>
          <w:tcPr>
            <w:tcW w:w="3549"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北方天途航空技术发展（北京）有限公司</w:t>
            </w:r>
          </w:p>
        </w:tc>
        <w:tc>
          <w:tcPr>
            <w:tcW w:w="156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北京</w:t>
            </w:r>
          </w:p>
        </w:tc>
        <w:tc>
          <w:tcPr>
            <w:tcW w:w="6754" w:type="dxa"/>
            <w:tcBorders>
              <w:top w:val="single" w:color="auto" w:sz="4" w:space="0"/>
              <w:left w:val="single" w:color="auto" w:sz="4" w:space="0"/>
              <w:bottom w:val="single" w:color="auto" w:sz="4" w:space="0"/>
              <w:right w:val="single" w:color="auto" w:sz="4" w:space="0"/>
            </w:tcBorders>
            <w:noWrap/>
            <w:vAlign w:val="center"/>
          </w:tcPr>
          <w:p>
            <w:pPr>
              <w:widowControl/>
              <w:rPr>
                <w:rFonts w:hint="eastAsia" w:ascii="宋体" w:hAnsi="宋体" w:eastAsia="宋体" w:cs="宋体"/>
                <w:color w:val="auto"/>
                <w:kern w:val="0"/>
                <w:sz w:val="22"/>
              </w:rPr>
            </w:pPr>
            <w:r>
              <w:rPr>
                <w:rFonts w:hint="eastAsia" w:ascii="宋体" w:hAnsi="宋体" w:eastAsia="宋体" w:cs="宋体"/>
                <w:color w:val="auto"/>
                <w:kern w:val="0"/>
                <w:sz w:val="22"/>
              </w:rPr>
              <w:t>是具有在北京空中禁区内飞行经历并受企事业委托从事通用航空飞行经历的民营企业。主营国际领先的无人直升机、多旋翼无人机、固定翼无人机、载人旋翼机等航空飞行器，为国内外政府、企业客户及私人用户提供飞行器租赁销售、无人机定制、飞机维修、飞行培训等。目前无人机产品涉及海域监控、空中监控、航空摄影、电视转播、线路巡检、地貌航测、城市安防、空中护林、紧急救援、飞行俱乐部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6"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1</w:t>
            </w:r>
          </w:p>
        </w:tc>
        <w:tc>
          <w:tcPr>
            <w:tcW w:w="144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无人机整机</w:t>
            </w:r>
          </w:p>
        </w:tc>
        <w:tc>
          <w:tcPr>
            <w:tcW w:w="3549"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bookmarkStart w:id="262" w:name="_Hlk172030912"/>
            <w:r>
              <w:rPr>
                <w:rFonts w:hint="eastAsia" w:ascii="宋体" w:hAnsi="宋体" w:eastAsia="宋体" w:cs="宋体"/>
                <w:color w:val="auto"/>
                <w:kern w:val="0"/>
                <w:sz w:val="22"/>
              </w:rPr>
              <w:t>北京博瑞空间科技发展有限公司</w:t>
            </w:r>
            <w:bookmarkEnd w:id="262"/>
          </w:p>
        </w:tc>
        <w:tc>
          <w:tcPr>
            <w:tcW w:w="156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北京</w:t>
            </w:r>
          </w:p>
        </w:tc>
        <w:tc>
          <w:tcPr>
            <w:tcW w:w="6754" w:type="dxa"/>
            <w:tcBorders>
              <w:top w:val="single" w:color="auto" w:sz="4" w:space="0"/>
              <w:left w:val="single" w:color="auto" w:sz="4" w:space="0"/>
              <w:bottom w:val="single" w:color="auto" w:sz="4" w:space="0"/>
              <w:right w:val="single" w:color="auto" w:sz="4" w:space="0"/>
            </w:tcBorders>
            <w:noWrap/>
            <w:vAlign w:val="center"/>
          </w:tcPr>
          <w:p>
            <w:pPr>
              <w:widowControl/>
              <w:rPr>
                <w:rFonts w:hint="eastAsia" w:ascii="宋体" w:hAnsi="宋体" w:eastAsia="宋体" w:cs="宋体"/>
                <w:color w:val="auto"/>
                <w:kern w:val="0"/>
                <w:sz w:val="22"/>
              </w:rPr>
            </w:pPr>
            <w:r>
              <w:rPr>
                <w:rFonts w:hint="eastAsia" w:ascii="宋体" w:hAnsi="宋体" w:eastAsia="宋体" w:cs="宋体"/>
                <w:color w:val="auto"/>
                <w:kern w:val="0"/>
                <w:sz w:val="22"/>
              </w:rPr>
              <w:t>工业级、军工级、消费级多旋翼无人机系统与任务载荷的研发、制造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6"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3</w:t>
            </w:r>
          </w:p>
        </w:tc>
        <w:tc>
          <w:tcPr>
            <w:tcW w:w="144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无人机整机</w:t>
            </w:r>
          </w:p>
        </w:tc>
        <w:tc>
          <w:tcPr>
            <w:tcW w:w="3549"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北京臻迪科技股份有限公司</w:t>
            </w:r>
          </w:p>
        </w:tc>
        <w:tc>
          <w:tcPr>
            <w:tcW w:w="156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北京</w:t>
            </w:r>
          </w:p>
        </w:tc>
        <w:tc>
          <w:tcPr>
            <w:tcW w:w="6754" w:type="dxa"/>
            <w:tcBorders>
              <w:top w:val="single" w:color="auto" w:sz="4" w:space="0"/>
              <w:left w:val="single" w:color="auto" w:sz="4" w:space="0"/>
              <w:bottom w:val="single" w:color="auto" w:sz="4" w:space="0"/>
              <w:right w:val="single" w:color="auto" w:sz="4" w:space="0"/>
            </w:tcBorders>
            <w:noWrap/>
            <w:vAlign w:val="center"/>
          </w:tcPr>
          <w:p>
            <w:pPr>
              <w:widowControl/>
              <w:rPr>
                <w:rFonts w:hint="eastAsia" w:ascii="宋体" w:hAnsi="宋体" w:eastAsia="宋体" w:cs="宋体"/>
                <w:color w:val="auto"/>
                <w:kern w:val="0"/>
                <w:sz w:val="22"/>
              </w:rPr>
            </w:pPr>
            <w:r>
              <w:rPr>
                <w:rFonts w:hint="eastAsia" w:ascii="宋体" w:hAnsi="宋体" w:eastAsia="宋体" w:cs="宋体"/>
                <w:color w:val="auto"/>
                <w:kern w:val="0"/>
                <w:sz w:val="22"/>
              </w:rPr>
              <w:t>智能无人机整机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6"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4</w:t>
            </w:r>
          </w:p>
        </w:tc>
        <w:tc>
          <w:tcPr>
            <w:tcW w:w="144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无人机整机</w:t>
            </w:r>
          </w:p>
        </w:tc>
        <w:tc>
          <w:tcPr>
            <w:tcW w:w="3549"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北清通航科技（北京）有限公司</w:t>
            </w:r>
          </w:p>
        </w:tc>
        <w:tc>
          <w:tcPr>
            <w:tcW w:w="156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北京</w:t>
            </w:r>
          </w:p>
        </w:tc>
        <w:tc>
          <w:tcPr>
            <w:tcW w:w="6754" w:type="dxa"/>
            <w:tcBorders>
              <w:top w:val="single" w:color="auto" w:sz="4" w:space="0"/>
              <w:left w:val="single" w:color="auto" w:sz="4" w:space="0"/>
              <w:bottom w:val="single" w:color="auto" w:sz="4" w:space="0"/>
              <w:right w:val="single" w:color="auto" w:sz="4" w:space="0"/>
            </w:tcBorders>
            <w:noWrap/>
            <w:vAlign w:val="center"/>
          </w:tcPr>
          <w:p>
            <w:pPr>
              <w:widowControl/>
              <w:rPr>
                <w:rFonts w:hint="eastAsia" w:ascii="宋体" w:hAnsi="宋体" w:eastAsia="宋体" w:cs="宋体"/>
                <w:color w:val="auto"/>
                <w:kern w:val="0"/>
                <w:sz w:val="22"/>
              </w:rPr>
            </w:pPr>
            <w:r>
              <w:rPr>
                <w:rFonts w:hint="eastAsia" w:ascii="宋体" w:hAnsi="宋体" w:eastAsia="宋体" w:cs="宋体"/>
                <w:color w:val="auto"/>
                <w:kern w:val="0"/>
                <w:sz w:val="22"/>
              </w:rPr>
              <w:t>围绕行业级无人机的设计、研发、生产、应用、培训和数据服务，在海事智能监管、电力巡检、应急救援、农业智能、水务管理、边防巡逻等方面积极研发新技术、新产品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6"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5</w:t>
            </w:r>
          </w:p>
        </w:tc>
        <w:tc>
          <w:tcPr>
            <w:tcW w:w="144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无人机整机</w:t>
            </w:r>
          </w:p>
        </w:tc>
        <w:tc>
          <w:tcPr>
            <w:tcW w:w="3549"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鹰眼电子科技有限公司</w:t>
            </w:r>
          </w:p>
        </w:tc>
        <w:tc>
          <w:tcPr>
            <w:tcW w:w="156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北京</w:t>
            </w:r>
          </w:p>
        </w:tc>
        <w:tc>
          <w:tcPr>
            <w:tcW w:w="6754" w:type="dxa"/>
            <w:tcBorders>
              <w:top w:val="single" w:color="auto" w:sz="4" w:space="0"/>
              <w:left w:val="single" w:color="auto" w:sz="4" w:space="0"/>
              <w:bottom w:val="single" w:color="auto" w:sz="4" w:space="0"/>
              <w:right w:val="single" w:color="auto" w:sz="4" w:space="0"/>
            </w:tcBorders>
            <w:noWrap/>
            <w:vAlign w:val="center"/>
          </w:tcPr>
          <w:p>
            <w:pPr>
              <w:widowControl/>
              <w:rPr>
                <w:rFonts w:hint="eastAsia" w:ascii="宋体" w:hAnsi="宋体" w:eastAsia="宋体" w:cs="宋体"/>
                <w:color w:val="auto"/>
                <w:kern w:val="0"/>
                <w:sz w:val="22"/>
              </w:rPr>
            </w:pPr>
            <w:r>
              <w:rPr>
                <w:rFonts w:hint="eastAsia" w:ascii="宋体" w:hAnsi="宋体" w:eastAsia="宋体" w:cs="宋体"/>
                <w:color w:val="auto"/>
                <w:kern w:val="0"/>
                <w:sz w:val="22"/>
              </w:rPr>
              <w:t>提供一体化警用无人机系统、农业、环保、电力等行业的专用型行业级无人机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6"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6</w:t>
            </w:r>
          </w:p>
        </w:tc>
        <w:tc>
          <w:tcPr>
            <w:tcW w:w="144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无人机整机</w:t>
            </w:r>
          </w:p>
        </w:tc>
        <w:tc>
          <w:tcPr>
            <w:tcW w:w="3549"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广东莱盛隆电子股份有限公司</w:t>
            </w:r>
          </w:p>
        </w:tc>
        <w:tc>
          <w:tcPr>
            <w:tcW w:w="156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广东东莞</w:t>
            </w:r>
          </w:p>
        </w:tc>
        <w:tc>
          <w:tcPr>
            <w:tcW w:w="6754" w:type="dxa"/>
            <w:tcBorders>
              <w:top w:val="single" w:color="auto" w:sz="4" w:space="0"/>
              <w:left w:val="single" w:color="auto" w:sz="4" w:space="0"/>
              <w:bottom w:val="single" w:color="auto" w:sz="4" w:space="0"/>
              <w:right w:val="single" w:color="auto" w:sz="4" w:space="0"/>
            </w:tcBorders>
            <w:noWrap/>
            <w:vAlign w:val="center"/>
          </w:tcPr>
          <w:p>
            <w:pPr>
              <w:widowControl/>
              <w:rPr>
                <w:rFonts w:hint="eastAsia" w:ascii="宋体" w:hAnsi="宋体" w:eastAsia="宋体" w:cs="宋体"/>
                <w:color w:val="auto"/>
                <w:kern w:val="0"/>
                <w:sz w:val="22"/>
              </w:rPr>
            </w:pPr>
            <w:r>
              <w:rPr>
                <w:rFonts w:hint="eastAsia" w:ascii="宋体" w:hAnsi="宋体" w:eastAsia="宋体" w:cs="宋体"/>
                <w:color w:val="auto"/>
                <w:kern w:val="0"/>
                <w:sz w:val="22"/>
              </w:rPr>
              <w:t>遥控飞机、植保农用飞机、无人机、电子元件、电子器件、电子产品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6"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7</w:t>
            </w:r>
          </w:p>
        </w:tc>
        <w:tc>
          <w:tcPr>
            <w:tcW w:w="144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无人机整机</w:t>
            </w:r>
          </w:p>
        </w:tc>
        <w:tc>
          <w:tcPr>
            <w:tcW w:w="3549"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广州市华科尔科技股份有限公司</w:t>
            </w:r>
          </w:p>
        </w:tc>
        <w:tc>
          <w:tcPr>
            <w:tcW w:w="156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广东广州</w:t>
            </w:r>
          </w:p>
        </w:tc>
        <w:tc>
          <w:tcPr>
            <w:tcW w:w="6754" w:type="dxa"/>
            <w:tcBorders>
              <w:top w:val="single" w:color="auto" w:sz="4" w:space="0"/>
              <w:left w:val="single" w:color="auto" w:sz="4" w:space="0"/>
              <w:bottom w:val="single" w:color="auto" w:sz="4" w:space="0"/>
              <w:right w:val="single" w:color="auto" w:sz="4" w:space="0"/>
            </w:tcBorders>
            <w:noWrap/>
            <w:vAlign w:val="center"/>
          </w:tcPr>
          <w:p>
            <w:pPr>
              <w:widowControl/>
              <w:rPr>
                <w:rFonts w:hint="eastAsia" w:ascii="宋体" w:hAnsi="宋体" w:eastAsia="宋体" w:cs="宋体"/>
                <w:color w:val="auto"/>
                <w:kern w:val="0"/>
                <w:sz w:val="22"/>
              </w:rPr>
            </w:pPr>
            <w:r>
              <w:rPr>
                <w:rFonts w:hint="eastAsia" w:ascii="宋体" w:hAnsi="宋体" w:eastAsia="宋体" w:cs="宋体"/>
                <w:color w:val="auto"/>
                <w:kern w:val="0"/>
                <w:sz w:val="22"/>
              </w:rPr>
              <w:t>华科尔成立于2001年，系集研发、生产、销售服务于一体的无人机专业制造商。机型R500 RTK、R1000 RTK、V1000 Pro、QL1600、QL1800、WK1500、WK1800、WK1900。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6"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8</w:t>
            </w:r>
          </w:p>
        </w:tc>
        <w:tc>
          <w:tcPr>
            <w:tcW w:w="144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无人机整机</w:t>
            </w:r>
          </w:p>
        </w:tc>
        <w:tc>
          <w:tcPr>
            <w:tcW w:w="3549"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广东中科瑞泰智能科技有限公司</w:t>
            </w:r>
          </w:p>
        </w:tc>
        <w:tc>
          <w:tcPr>
            <w:tcW w:w="156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广东广州</w:t>
            </w:r>
          </w:p>
        </w:tc>
        <w:tc>
          <w:tcPr>
            <w:tcW w:w="6754" w:type="dxa"/>
            <w:tcBorders>
              <w:top w:val="single" w:color="auto" w:sz="4" w:space="0"/>
              <w:left w:val="single" w:color="auto" w:sz="4" w:space="0"/>
              <w:bottom w:val="single" w:color="auto" w:sz="4" w:space="0"/>
              <w:right w:val="single" w:color="auto" w:sz="4" w:space="0"/>
            </w:tcBorders>
            <w:noWrap/>
            <w:vAlign w:val="center"/>
          </w:tcPr>
          <w:p>
            <w:pPr>
              <w:widowControl/>
              <w:rPr>
                <w:rFonts w:hint="eastAsia" w:ascii="宋体" w:hAnsi="宋体" w:eastAsia="宋体" w:cs="宋体"/>
                <w:color w:val="auto"/>
                <w:kern w:val="0"/>
                <w:sz w:val="22"/>
              </w:rPr>
            </w:pPr>
            <w:r>
              <w:rPr>
                <w:rFonts w:hint="eastAsia" w:ascii="宋体" w:hAnsi="宋体" w:eastAsia="宋体" w:cs="宋体"/>
                <w:color w:val="auto"/>
                <w:kern w:val="0"/>
                <w:sz w:val="22"/>
              </w:rPr>
              <w:t>无人机的销售；无人机软硬件的技术开发、应用；软件批发；软件开发；技术进出口；机器人的技术研究、技术开发；计算机技术开发、技术服务；机器人销售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6"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9</w:t>
            </w:r>
          </w:p>
        </w:tc>
        <w:tc>
          <w:tcPr>
            <w:tcW w:w="144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无人机整机</w:t>
            </w:r>
          </w:p>
        </w:tc>
        <w:tc>
          <w:tcPr>
            <w:tcW w:w="3549"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广州刀锋智能科技股份有限公司</w:t>
            </w:r>
          </w:p>
        </w:tc>
        <w:tc>
          <w:tcPr>
            <w:tcW w:w="156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广东广州</w:t>
            </w:r>
          </w:p>
        </w:tc>
        <w:tc>
          <w:tcPr>
            <w:tcW w:w="6754" w:type="dxa"/>
            <w:tcBorders>
              <w:top w:val="single" w:color="auto" w:sz="4" w:space="0"/>
              <w:left w:val="single" w:color="auto" w:sz="4" w:space="0"/>
              <w:bottom w:val="single" w:color="auto" w:sz="4" w:space="0"/>
              <w:right w:val="single" w:color="auto" w:sz="4" w:space="0"/>
            </w:tcBorders>
            <w:noWrap/>
            <w:vAlign w:val="center"/>
          </w:tcPr>
          <w:p>
            <w:pPr>
              <w:widowControl/>
              <w:rPr>
                <w:rFonts w:hint="eastAsia" w:ascii="宋体" w:hAnsi="宋体" w:eastAsia="宋体" w:cs="宋体"/>
                <w:color w:val="auto"/>
                <w:kern w:val="0"/>
                <w:sz w:val="22"/>
              </w:rPr>
            </w:pPr>
            <w:r>
              <w:rPr>
                <w:rFonts w:hint="eastAsia" w:ascii="宋体" w:hAnsi="宋体" w:eastAsia="宋体" w:cs="宋体"/>
                <w:color w:val="auto"/>
                <w:kern w:val="0"/>
                <w:sz w:val="22"/>
              </w:rPr>
              <w:t>从事无人机研发、生产、销售机无人机应用整体解决方案提供商，研发生产的无人机主要面向农业植保为先，测量测绘、管线巡查、空中广告、海事监察、抗震救灾、应急抢险、反恐防暴等领域的应用需求。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6"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10</w:t>
            </w:r>
          </w:p>
        </w:tc>
        <w:tc>
          <w:tcPr>
            <w:tcW w:w="144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无人机整机</w:t>
            </w:r>
          </w:p>
        </w:tc>
        <w:tc>
          <w:tcPr>
            <w:tcW w:w="3549"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广东世季科技有限公司</w:t>
            </w:r>
          </w:p>
        </w:tc>
        <w:tc>
          <w:tcPr>
            <w:tcW w:w="156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广东汕头</w:t>
            </w:r>
          </w:p>
        </w:tc>
        <w:tc>
          <w:tcPr>
            <w:tcW w:w="6754" w:type="dxa"/>
            <w:tcBorders>
              <w:top w:val="single" w:color="auto" w:sz="4" w:space="0"/>
              <w:left w:val="single" w:color="auto" w:sz="4" w:space="0"/>
              <w:bottom w:val="single" w:color="auto" w:sz="4" w:space="0"/>
              <w:right w:val="single" w:color="auto" w:sz="4" w:space="0"/>
            </w:tcBorders>
            <w:noWrap/>
            <w:vAlign w:val="center"/>
          </w:tcPr>
          <w:p>
            <w:pPr>
              <w:widowControl/>
              <w:rPr>
                <w:rFonts w:hint="eastAsia" w:ascii="宋体" w:hAnsi="宋体" w:eastAsia="宋体" w:cs="宋体"/>
                <w:color w:val="auto"/>
                <w:kern w:val="0"/>
                <w:sz w:val="22"/>
              </w:rPr>
            </w:pPr>
            <w:r>
              <w:rPr>
                <w:rFonts w:hint="eastAsia" w:ascii="宋体" w:hAnsi="宋体" w:eastAsia="宋体" w:cs="宋体"/>
                <w:color w:val="auto"/>
                <w:kern w:val="0"/>
                <w:sz w:val="22"/>
              </w:rPr>
              <w:t>无人驾驶航空器（不含民用航空器）、航天电子设备、无线电数据传输系统、机器人、电子原配件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6"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11</w:t>
            </w:r>
          </w:p>
        </w:tc>
        <w:tc>
          <w:tcPr>
            <w:tcW w:w="144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无人机整机</w:t>
            </w:r>
          </w:p>
        </w:tc>
        <w:tc>
          <w:tcPr>
            <w:tcW w:w="3549"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深圳飞马机器人股份有限公司</w:t>
            </w:r>
          </w:p>
        </w:tc>
        <w:tc>
          <w:tcPr>
            <w:tcW w:w="156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广东深圳</w:t>
            </w:r>
          </w:p>
        </w:tc>
        <w:tc>
          <w:tcPr>
            <w:tcW w:w="6754" w:type="dxa"/>
            <w:tcBorders>
              <w:top w:val="single" w:color="auto" w:sz="4" w:space="0"/>
              <w:left w:val="single" w:color="auto" w:sz="4" w:space="0"/>
              <w:bottom w:val="single" w:color="auto" w:sz="4" w:space="0"/>
              <w:right w:val="single" w:color="auto" w:sz="4" w:space="0"/>
            </w:tcBorders>
            <w:noWrap/>
            <w:vAlign w:val="center"/>
          </w:tcPr>
          <w:p>
            <w:pPr>
              <w:widowControl/>
              <w:rPr>
                <w:rFonts w:hint="eastAsia" w:ascii="宋体" w:hAnsi="宋体" w:eastAsia="宋体" w:cs="宋体"/>
                <w:color w:val="auto"/>
                <w:kern w:val="0"/>
                <w:sz w:val="22"/>
              </w:rPr>
            </w:pPr>
            <w:r>
              <w:rPr>
                <w:rFonts w:hint="eastAsia" w:ascii="宋体" w:hAnsi="宋体" w:eastAsia="宋体" w:cs="宋体"/>
                <w:color w:val="auto"/>
                <w:kern w:val="0"/>
                <w:sz w:val="22"/>
              </w:rPr>
              <w:t>飞马机器人成立于2015年，公司在深圳、北京、天津设有研发中心，拥有逾200人的研发团队，已获得各项知识产权240余项，荣获国家高新技术企业认证和国家级专精特新“小巨人”企业称号。历经二十年的无人机行业技术和市场经验的积累，结合IT领域产品设计、工业化制造经验，致力于为客户提供一站式空间数据解决方案。机型P300、F1000、D2000S、D500、D20、V500、V10、V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6"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12</w:t>
            </w:r>
          </w:p>
        </w:tc>
        <w:tc>
          <w:tcPr>
            <w:tcW w:w="144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无人机整机</w:t>
            </w:r>
          </w:p>
        </w:tc>
        <w:tc>
          <w:tcPr>
            <w:tcW w:w="3549"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深圳一电航空技术有限公司</w:t>
            </w:r>
          </w:p>
        </w:tc>
        <w:tc>
          <w:tcPr>
            <w:tcW w:w="156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广东深圳</w:t>
            </w:r>
          </w:p>
        </w:tc>
        <w:tc>
          <w:tcPr>
            <w:tcW w:w="6754" w:type="dxa"/>
            <w:tcBorders>
              <w:top w:val="single" w:color="auto" w:sz="4" w:space="0"/>
              <w:left w:val="single" w:color="auto" w:sz="4" w:space="0"/>
              <w:bottom w:val="single" w:color="auto" w:sz="4" w:space="0"/>
              <w:right w:val="single" w:color="auto" w:sz="4" w:space="0"/>
            </w:tcBorders>
            <w:noWrap/>
            <w:vAlign w:val="center"/>
          </w:tcPr>
          <w:p>
            <w:pPr>
              <w:widowControl/>
              <w:rPr>
                <w:rFonts w:hint="eastAsia" w:ascii="宋体" w:hAnsi="宋体" w:eastAsia="宋体" w:cs="宋体"/>
                <w:color w:val="auto"/>
                <w:kern w:val="0"/>
                <w:sz w:val="22"/>
              </w:rPr>
            </w:pPr>
            <w:r>
              <w:rPr>
                <w:rFonts w:hint="eastAsia" w:ascii="宋体" w:hAnsi="宋体" w:eastAsia="宋体" w:cs="宋体"/>
                <w:color w:val="auto"/>
                <w:kern w:val="0"/>
                <w:sz w:val="22"/>
              </w:rPr>
              <w:t>成立于2012年，是一电科技旗下控股子公司，总部位于中国深圳福田区，专注于飞行器系统、无人机系统、高端智能光电系统产品，产品广泛应用于军用、警用、行业、民用领域。目前已在四川布局子公司，成都分公司位于武侯区西部智谷。机型MACH4、MACH6、G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6"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13</w:t>
            </w:r>
          </w:p>
        </w:tc>
        <w:tc>
          <w:tcPr>
            <w:tcW w:w="144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无人机整机</w:t>
            </w:r>
          </w:p>
        </w:tc>
        <w:tc>
          <w:tcPr>
            <w:tcW w:w="3549"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深圳高科新农技术有限公司</w:t>
            </w:r>
          </w:p>
        </w:tc>
        <w:tc>
          <w:tcPr>
            <w:tcW w:w="156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广东深圳</w:t>
            </w:r>
          </w:p>
        </w:tc>
        <w:tc>
          <w:tcPr>
            <w:tcW w:w="6754" w:type="dxa"/>
            <w:tcBorders>
              <w:top w:val="single" w:color="auto" w:sz="4" w:space="0"/>
              <w:left w:val="single" w:color="auto" w:sz="4" w:space="0"/>
              <w:bottom w:val="single" w:color="auto" w:sz="4" w:space="0"/>
              <w:right w:val="single" w:color="auto" w:sz="4" w:space="0"/>
            </w:tcBorders>
            <w:noWrap/>
            <w:vAlign w:val="center"/>
          </w:tcPr>
          <w:p>
            <w:pPr>
              <w:widowControl/>
              <w:rPr>
                <w:rFonts w:hint="eastAsia" w:ascii="宋体" w:hAnsi="宋体" w:eastAsia="宋体" w:cs="宋体"/>
                <w:color w:val="auto"/>
                <w:kern w:val="0"/>
                <w:sz w:val="22"/>
              </w:rPr>
            </w:pPr>
            <w:r>
              <w:rPr>
                <w:rFonts w:hint="eastAsia" w:ascii="宋体" w:hAnsi="宋体" w:eastAsia="宋体" w:cs="宋体"/>
                <w:color w:val="auto"/>
                <w:kern w:val="0"/>
                <w:sz w:val="22"/>
              </w:rPr>
              <w:t>民用无人驾驶飞机的技术开发、技术咨询；农用无人飞机系统相关产品及配件的销售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6"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14</w:t>
            </w:r>
          </w:p>
        </w:tc>
        <w:tc>
          <w:tcPr>
            <w:tcW w:w="144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无人机整机</w:t>
            </w:r>
          </w:p>
        </w:tc>
        <w:tc>
          <w:tcPr>
            <w:tcW w:w="3549"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深圳九星智能航空科技有限公司</w:t>
            </w:r>
          </w:p>
        </w:tc>
        <w:tc>
          <w:tcPr>
            <w:tcW w:w="156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广东深圳</w:t>
            </w:r>
          </w:p>
        </w:tc>
        <w:tc>
          <w:tcPr>
            <w:tcW w:w="6754" w:type="dxa"/>
            <w:tcBorders>
              <w:top w:val="single" w:color="auto" w:sz="4" w:space="0"/>
              <w:left w:val="single" w:color="auto" w:sz="4" w:space="0"/>
              <w:bottom w:val="single" w:color="auto" w:sz="4" w:space="0"/>
              <w:right w:val="single" w:color="auto" w:sz="4" w:space="0"/>
            </w:tcBorders>
            <w:noWrap/>
            <w:vAlign w:val="center"/>
          </w:tcPr>
          <w:p>
            <w:pPr>
              <w:widowControl/>
              <w:rPr>
                <w:rFonts w:hint="eastAsia" w:ascii="宋体" w:hAnsi="宋体" w:eastAsia="宋体" w:cs="宋体"/>
                <w:color w:val="auto"/>
                <w:kern w:val="0"/>
                <w:sz w:val="22"/>
              </w:rPr>
            </w:pPr>
            <w:r>
              <w:rPr>
                <w:rFonts w:hint="eastAsia" w:ascii="宋体" w:hAnsi="宋体" w:eastAsia="宋体" w:cs="宋体"/>
                <w:color w:val="auto"/>
                <w:kern w:val="0"/>
                <w:sz w:val="22"/>
              </w:rPr>
              <w:t>无人机研发和技术服务；信息系统集成及服务；计算机设备、电子产品、电子设备安装、监控系统安装服务；通信设备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6"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15</w:t>
            </w:r>
          </w:p>
        </w:tc>
        <w:tc>
          <w:tcPr>
            <w:tcW w:w="144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无人机整机</w:t>
            </w:r>
          </w:p>
        </w:tc>
        <w:tc>
          <w:tcPr>
            <w:tcW w:w="3549"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深圳曼塔智能科技有限公司</w:t>
            </w:r>
          </w:p>
        </w:tc>
        <w:tc>
          <w:tcPr>
            <w:tcW w:w="156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广东深圳</w:t>
            </w:r>
          </w:p>
        </w:tc>
        <w:tc>
          <w:tcPr>
            <w:tcW w:w="6754" w:type="dxa"/>
            <w:tcBorders>
              <w:top w:val="single" w:color="auto" w:sz="4" w:space="0"/>
              <w:left w:val="single" w:color="auto" w:sz="4" w:space="0"/>
              <w:bottom w:val="single" w:color="auto" w:sz="4" w:space="0"/>
              <w:right w:val="single" w:color="auto" w:sz="4" w:space="0"/>
            </w:tcBorders>
            <w:noWrap/>
            <w:vAlign w:val="center"/>
          </w:tcPr>
          <w:p>
            <w:pPr>
              <w:widowControl/>
              <w:rPr>
                <w:rFonts w:hint="eastAsia" w:ascii="宋体" w:hAnsi="宋体" w:eastAsia="宋体" w:cs="宋体"/>
                <w:color w:val="auto"/>
                <w:kern w:val="0"/>
                <w:sz w:val="22"/>
              </w:rPr>
            </w:pPr>
            <w:r>
              <w:rPr>
                <w:rFonts w:hint="eastAsia" w:ascii="宋体" w:hAnsi="宋体" w:eastAsia="宋体" w:cs="宋体"/>
                <w:color w:val="auto"/>
                <w:kern w:val="0"/>
                <w:sz w:val="22"/>
              </w:rPr>
              <w:t>航空电子设备、自动控制设备、无人驾驶航空器、无线电数据传输系统产品、智能玩具、摄影摄像器材的销售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6"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15</w:t>
            </w:r>
          </w:p>
        </w:tc>
        <w:tc>
          <w:tcPr>
            <w:tcW w:w="144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无人机整机</w:t>
            </w:r>
          </w:p>
        </w:tc>
        <w:tc>
          <w:tcPr>
            <w:tcW w:w="3549"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深圳市阿拉丁无人机有限公司</w:t>
            </w:r>
          </w:p>
        </w:tc>
        <w:tc>
          <w:tcPr>
            <w:tcW w:w="156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广东深圳</w:t>
            </w:r>
          </w:p>
        </w:tc>
        <w:tc>
          <w:tcPr>
            <w:tcW w:w="6754" w:type="dxa"/>
            <w:tcBorders>
              <w:top w:val="single" w:color="auto" w:sz="4" w:space="0"/>
              <w:left w:val="single" w:color="auto" w:sz="4" w:space="0"/>
              <w:bottom w:val="single" w:color="auto" w:sz="4" w:space="0"/>
              <w:right w:val="single" w:color="auto" w:sz="4" w:space="0"/>
            </w:tcBorders>
            <w:noWrap/>
            <w:vAlign w:val="center"/>
          </w:tcPr>
          <w:p>
            <w:pPr>
              <w:widowControl/>
              <w:rPr>
                <w:rFonts w:hint="eastAsia" w:ascii="宋体" w:hAnsi="宋体" w:eastAsia="宋体" w:cs="宋体"/>
                <w:color w:val="auto"/>
                <w:kern w:val="0"/>
                <w:sz w:val="22"/>
              </w:rPr>
            </w:pPr>
            <w:r>
              <w:rPr>
                <w:rFonts w:hint="eastAsia" w:ascii="宋体" w:hAnsi="宋体" w:eastAsia="宋体" w:cs="宋体"/>
                <w:color w:val="auto"/>
                <w:kern w:val="0"/>
                <w:sz w:val="22"/>
              </w:rPr>
              <w:t>低空无人机、无人船、无人航母、无人潜艇、地下机器人等家族的研发和生产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6"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16</w:t>
            </w:r>
          </w:p>
        </w:tc>
        <w:tc>
          <w:tcPr>
            <w:tcW w:w="144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无人机整机</w:t>
            </w:r>
          </w:p>
        </w:tc>
        <w:tc>
          <w:tcPr>
            <w:tcW w:w="3549"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深圳市飞客无人机科技有限公司</w:t>
            </w:r>
          </w:p>
        </w:tc>
        <w:tc>
          <w:tcPr>
            <w:tcW w:w="156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广东深圳</w:t>
            </w:r>
          </w:p>
        </w:tc>
        <w:tc>
          <w:tcPr>
            <w:tcW w:w="6754" w:type="dxa"/>
            <w:tcBorders>
              <w:top w:val="single" w:color="auto" w:sz="4" w:space="0"/>
              <w:left w:val="single" w:color="auto" w:sz="4" w:space="0"/>
              <w:bottom w:val="single" w:color="auto" w:sz="4" w:space="0"/>
              <w:right w:val="single" w:color="auto" w:sz="4" w:space="0"/>
            </w:tcBorders>
            <w:noWrap/>
            <w:vAlign w:val="center"/>
          </w:tcPr>
          <w:p>
            <w:pPr>
              <w:widowControl/>
              <w:rPr>
                <w:rFonts w:hint="eastAsia" w:ascii="宋体" w:hAnsi="宋体" w:eastAsia="宋体" w:cs="宋体"/>
                <w:color w:val="auto"/>
                <w:kern w:val="0"/>
                <w:sz w:val="22"/>
              </w:rPr>
            </w:pPr>
            <w:r>
              <w:rPr>
                <w:rFonts w:hint="eastAsia" w:ascii="宋体" w:hAnsi="宋体" w:eastAsia="宋体" w:cs="宋体"/>
                <w:color w:val="auto"/>
                <w:kern w:val="0"/>
                <w:sz w:val="22"/>
              </w:rPr>
              <w:t>从事农业无人机研发、销售，专业无人机驾驶员培训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6"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17</w:t>
            </w:r>
          </w:p>
        </w:tc>
        <w:tc>
          <w:tcPr>
            <w:tcW w:w="144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无人机整机</w:t>
            </w:r>
          </w:p>
        </w:tc>
        <w:tc>
          <w:tcPr>
            <w:tcW w:w="3549"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深圳市翔农创新科技有限公司</w:t>
            </w:r>
          </w:p>
        </w:tc>
        <w:tc>
          <w:tcPr>
            <w:tcW w:w="156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广东深圳</w:t>
            </w:r>
          </w:p>
        </w:tc>
        <w:tc>
          <w:tcPr>
            <w:tcW w:w="6754" w:type="dxa"/>
            <w:tcBorders>
              <w:top w:val="single" w:color="auto" w:sz="4" w:space="0"/>
              <w:left w:val="single" w:color="auto" w:sz="4" w:space="0"/>
              <w:bottom w:val="single" w:color="auto" w:sz="4" w:space="0"/>
              <w:right w:val="single" w:color="auto" w:sz="4" w:space="0"/>
            </w:tcBorders>
            <w:noWrap/>
            <w:vAlign w:val="center"/>
          </w:tcPr>
          <w:p>
            <w:pPr>
              <w:widowControl/>
              <w:rPr>
                <w:rFonts w:hint="eastAsia" w:ascii="宋体" w:hAnsi="宋体" w:eastAsia="宋体" w:cs="宋体"/>
                <w:color w:val="auto"/>
                <w:kern w:val="0"/>
                <w:sz w:val="22"/>
              </w:rPr>
            </w:pPr>
            <w:r>
              <w:rPr>
                <w:rFonts w:hint="eastAsia" w:ascii="宋体" w:hAnsi="宋体" w:eastAsia="宋体" w:cs="宋体"/>
                <w:color w:val="auto"/>
                <w:kern w:val="0"/>
                <w:sz w:val="22"/>
              </w:rPr>
              <w:t>无人机软硬件的技术开发、应急救援无人机、民用无人机、植保无人机、航测无人机、机器人系统、智能机器系统的研发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6"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18</w:t>
            </w:r>
          </w:p>
        </w:tc>
        <w:tc>
          <w:tcPr>
            <w:tcW w:w="144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无人机整机</w:t>
            </w:r>
          </w:p>
        </w:tc>
        <w:tc>
          <w:tcPr>
            <w:tcW w:w="3549"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深圳微孚智能信息科技有限公司</w:t>
            </w:r>
          </w:p>
        </w:tc>
        <w:tc>
          <w:tcPr>
            <w:tcW w:w="156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广东深圳</w:t>
            </w:r>
          </w:p>
        </w:tc>
        <w:tc>
          <w:tcPr>
            <w:tcW w:w="6754" w:type="dxa"/>
            <w:tcBorders>
              <w:top w:val="single" w:color="auto" w:sz="4" w:space="0"/>
              <w:left w:val="single" w:color="auto" w:sz="4" w:space="0"/>
              <w:bottom w:val="single" w:color="auto" w:sz="4" w:space="0"/>
              <w:right w:val="single" w:color="auto" w:sz="4" w:space="0"/>
            </w:tcBorders>
            <w:noWrap/>
            <w:vAlign w:val="center"/>
          </w:tcPr>
          <w:p>
            <w:pPr>
              <w:widowControl/>
              <w:rPr>
                <w:rFonts w:hint="eastAsia" w:ascii="宋体" w:hAnsi="宋体" w:eastAsia="宋体" w:cs="宋体"/>
                <w:color w:val="auto"/>
                <w:kern w:val="0"/>
                <w:sz w:val="22"/>
              </w:rPr>
            </w:pPr>
            <w:r>
              <w:rPr>
                <w:rFonts w:hint="eastAsia" w:ascii="宋体" w:hAnsi="宋体" w:eastAsia="宋体" w:cs="宋体"/>
                <w:color w:val="auto"/>
                <w:kern w:val="0"/>
                <w:sz w:val="22"/>
              </w:rPr>
              <w:t>小型航拍无人飞行器产品、小型农业植保飞行器产品的研发、销售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6"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19</w:t>
            </w:r>
          </w:p>
        </w:tc>
        <w:tc>
          <w:tcPr>
            <w:tcW w:w="144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无人机整机</w:t>
            </w:r>
          </w:p>
        </w:tc>
        <w:tc>
          <w:tcPr>
            <w:tcW w:w="3549"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深圳亿天航科技有限公司</w:t>
            </w:r>
          </w:p>
        </w:tc>
        <w:tc>
          <w:tcPr>
            <w:tcW w:w="156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广东深圳</w:t>
            </w:r>
          </w:p>
        </w:tc>
        <w:tc>
          <w:tcPr>
            <w:tcW w:w="6754" w:type="dxa"/>
            <w:tcBorders>
              <w:top w:val="single" w:color="auto" w:sz="4" w:space="0"/>
              <w:left w:val="single" w:color="auto" w:sz="4" w:space="0"/>
              <w:bottom w:val="single" w:color="auto" w:sz="4" w:space="0"/>
              <w:right w:val="single" w:color="auto" w:sz="4" w:space="0"/>
            </w:tcBorders>
            <w:noWrap/>
            <w:vAlign w:val="center"/>
          </w:tcPr>
          <w:p>
            <w:pPr>
              <w:widowControl/>
              <w:rPr>
                <w:rFonts w:hint="eastAsia" w:ascii="宋体" w:hAnsi="宋体" w:eastAsia="宋体" w:cs="宋体"/>
                <w:color w:val="auto"/>
                <w:kern w:val="0"/>
                <w:sz w:val="22"/>
              </w:rPr>
            </w:pPr>
            <w:r>
              <w:rPr>
                <w:rFonts w:hint="eastAsia" w:ascii="宋体" w:hAnsi="宋体" w:eastAsia="宋体" w:cs="宋体"/>
                <w:color w:val="auto"/>
                <w:kern w:val="0"/>
                <w:sz w:val="22"/>
              </w:rPr>
              <w:t>无人机的研发、销售；无人机配件的销售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6"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20</w:t>
            </w:r>
          </w:p>
        </w:tc>
        <w:tc>
          <w:tcPr>
            <w:tcW w:w="144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无人机整机</w:t>
            </w:r>
          </w:p>
        </w:tc>
        <w:tc>
          <w:tcPr>
            <w:tcW w:w="3549"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湖北易瓦特科技有限公司</w:t>
            </w:r>
          </w:p>
        </w:tc>
        <w:tc>
          <w:tcPr>
            <w:tcW w:w="156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湖北武汉</w:t>
            </w:r>
          </w:p>
        </w:tc>
        <w:tc>
          <w:tcPr>
            <w:tcW w:w="6754" w:type="dxa"/>
            <w:tcBorders>
              <w:top w:val="single" w:color="auto" w:sz="4" w:space="0"/>
              <w:left w:val="single" w:color="auto" w:sz="4" w:space="0"/>
              <w:bottom w:val="single" w:color="auto" w:sz="4" w:space="0"/>
              <w:right w:val="single" w:color="auto" w:sz="4" w:space="0"/>
            </w:tcBorders>
            <w:noWrap/>
            <w:vAlign w:val="center"/>
          </w:tcPr>
          <w:p>
            <w:pPr>
              <w:widowControl/>
              <w:rPr>
                <w:rFonts w:hint="eastAsia" w:ascii="宋体" w:hAnsi="宋体" w:eastAsia="宋体" w:cs="宋体"/>
                <w:color w:val="auto"/>
                <w:kern w:val="0"/>
                <w:sz w:val="22"/>
              </w:rPr>
            </w:pPr>
            <w:r>
              <w:rPr>
                <w:rFonts w:hint="eastAsia" w:ascii="宋体" w:hAnsi="宋体" w:eastAsia="宋体" w:cs="宋体"/>
                <w:color w:val="auto"/>
                <w:kern w:val="0"/>
                <w:sz w:val="22"/>
              </w:rPr>
              <w:t>创立于2010年，是全球领先的民用无人机系统制造商，业务涵盖全系列工业无人机的设计、研发、生产、销售与服务等多个环节，公司总部位于武汉，并在欧洲设有研发中心，在北京、西安设有分公司及分支机构，国内设有2</w:t>
            </w:r>
            <w:r>
              <w:rPr>
                <w:rFonts w:ascii="宋体" w:hAnsi="宋体" w:eastAsia="宋体" w:cs="宋体"/>
                <w:color w:val="auto"/>
                <w:kern w:val="0"/>
                <w:sz w:val="22"/>
              </w:rPr>
              <w:t>0</w:t>
            </w:r>
            <w:r>
              <w:rPr>
                <w:rFonts w:hint="eastAsia" w:ascii="宋体" w:hAnsi="宋体" w:eastAsia="宋体" w:cs="宋体"/>
                <w:color w:val="auto"/>
                <w:kern w:val="0"/>
                <w:sz w:val="22"/>
              </w:rPr>
              <w:t>余个办事处。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6"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21</w:t>
            </w:r>
          </w:p>
        </w:tc>
        <w:tc>
          <w:tcPr>
            <w:tcW w:w="144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无人机整机</w:t>
            </w:r>
          </w:p>
        </w:tc>
        <w:tc>
          <w:tcPr>
            <w:tcW w:w="3549"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湖南省库塔科技有限公司</w:t>
            </w:r>
          </w:p>
        </w:tc>
        <w:tc>
          <w:tcPr>
            <w:tcW w:w="156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湖南长沙</w:t>
            </w:r>
          </w:p>
        </w:tc>
        <w:tc>
          <w:tcPr>
            <w:tcW w:w="6754" w:type="dxa"/>
            <w:tcBorders>
              <w:top w:val="single" w:color="auto" w:sz="4" w:space="0"/>
              <w:left w:val="single" w:color="auto" w:sz="4" w:space="0"/>
              <w:bottom w:val="single" w:color="auto" w:sz="4" w:space="0"/>
              <w:right w:val="single" w:color="auto" w:sz="4" w:space="0"/>
            </w:tcBorders>
            <w:noWrap/>
            <w:vAlign w:val="center"/>
          </w:tcPr>
          <w:p>
            <w:pPr>
              <w:widowControl/>
              <w:rPr>
                <w:rFonts w:hint="eastAsia" w:ascii="宋体" w:hAnsi="宋体" w:eastAsia="宋体" w:cs="宋体"/>
                <w:color w:val="auto"/>
                <w:kern w:val="0"/>
                <w:sz w:val="22"/>
              </w:rPr>
            </w:pPr>
            <w:r>
              <w:rPr>
                <w:rFonts w:hint="eastAsia" w:ascii="宋体" w:hAnsi="宋体" w:eastAsia="宋体" w:cs="宋体"/>
                <w:color w:val="auto"/>
                <w:kern w:val="0"/>
                <w:sz w:val="22"/>
              </w:rPr>
              <w:t>共轴无人直升机、固定翼无人机、多旋翼无人机、航模等航空飞行器的研发、生产、销售及服务。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6"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22</w:t>
            </w:r>
          </w:p>
        </w:tc>
        <w:tc>
          <w:tcPr>
            <w:tcW w:w="144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无人机整机</w:t>
            </w:r>
          </w:p>
        </w:tc>
        <w:tc>
          <w:tcPr>
            <w:tcW w:w="3549"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亿嘉和科技股份有限公司</w:t>
            </w:r>
          </w:p>
        </w:tc>
        <w:tc>
          <w:tcPr>
            <w:tcW w:w="156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江苏南京</w:t>
            </w:r>
          </w:p>
        </w:tc>
        <w:tc>
          <w:tcPr>
            <w:tcW w:w="6754" w:type="dxa"/>
            <w:tcBorders>
              <w:top w:val="single" w:color="auto" w:sz="4" w:space="0"/>
              <w:left w:val="single" w:color="auto" w:sz="4" w:space="0"/>
              <w:bottom w:val="single" w:color="auto" w:sz="4" w:space="0"/>
              <w:right w:val="single" w:color="auto" w:sz="4" w:space="0"/>
            </w:tcBorders>
            <w:noWrap/>
            <w:vAlign w:val="center"/>
          </w:tcPr>
          <w:p>
            <w:pPr>
              <w:widowControl/>
              <w:rPr>
                <w:rFonts w:hint="eastAsia" w:ascii="宋体" w:hAnsi="宋体" w:eastAsia="宋体" w:cs="宋体"/>
                <w:color w:val="auto"/>
                <w:kern w:val="0"/>
                <w:sz w:val="22"/>
              </w:rPr>
            </w:pPr>
            <w:r>
              <w:rPr>
                <w:rFonts w:hint="eastAsia" w:ascii="宋体" w:hAnsi="宋体" w:eastAsia="宋体" w:cs="宋体"/>
                <w:color w:val="auto"/>
                <w:kern w:val="0"/>
                <w:sz w:val="22"/>
              </w:rPr>
              <w:t>智能无人飞行器制造；智能无人飞行器销售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6"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23</w:t>
            </w:r>
          </w:p>
        </w:tc>
        <w:tc>
          <w:tcPr>
            <w:tcW w:w="144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无人机整机</w:t>
            </w:r>
          </w:p>
        </w:tc>
        <w:tc>
          <w:tcPr>
            <w:tcW w:w="3549"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昊翔电能运动科技(昆山)有限公司</w:t>
            </w:r>
          </w:p>
        </w:tc>
        <w:tc>
          <w:tcPr>
            <w:tcW w:w="156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江苏苏州</w:t>
            </w:r>
          </w:p>
        </w:tc>
        <w:tc>
          <w:tcPr>
            <w:tcW w:w="6754" w:type="dxa"/>
            <w:tcBorders>
              <w:top w:val="single" w:color="auto" w:sz="4" w:space="0"/>
              <w:left w:val="single" w:color="auto" w:sz="4" w:space="0"/>
              <w:bottom w:val="single" w:color="auto" w:sz="4" w:space="0"/>
              <w:right w:val="single" w:color="auto" w:sz="4" w:space="0"/>
            </w:tcBorders>
            <w:noWrap/>
            <w:vAlign w:val="center"/>
          </w:tcPr>
          <w:p>
            <w:pPr>
              <w:widowControl/>
              <w:rPr>
                <w:rFonts w:hint="eastAsia" w:ascii="宋体" w:hAnsi="宋体" w:eastAsia="宋体" w:cs="宋体"/>
                <w:color w:val="auto"/>
                <w:kern w:val="0"/>
                <w:sz w:val="22"/>
              </w:rPr>
            </w:pPr>
            <w:r>
              <w:rPr>
                <w:rFonts w:hint="eastAsia" w:ascii="宋体" w:hAnsi="宋体" w:eastAsia="宋体" w:cs="宋体"/>
                <w:color w:val="auto"/>
                <w:kern w:val="0"/>
                <w:sz w:val="22"/>
              </w:rPr>
              <w:t>商用无人机研发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6"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24</w:t>
            </w:r>
          </w:p>
        </w:tc>
        <w:tc>
          <w:tcPr>
            <w:tcW w:w="144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无人机整机</w:t>
            </w:r>
          </w:p>
        </w:tc>
        <w:tc>
          <w:tcPr>
            <w:tcW w:w="3549"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江苏锦程航空科技有限公司</w:t>
            </w:r>
          </w:p>
        </w:tc>
        <w:tc>
          <w:tcPr>
            <w:tcW w:w="156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江苏泰兴</w:t>
            </w:r>
          </w:p>
        </w:tc>
        <w:tc>
          <w:tcPr>
            <w:tcW w:w="6754" w:type="dxa"/>
            <w:tcBorders>
              <w:top w:val="single" w:color="auto" w:sz="4" w:space="0"/>
              <w:left w:val="single" w:color="auto" w:sz="4" w:space="0"/>
              <w:bottom w:val="single" w:color="auto" w:sz="4" w:space="0"/>
              <w:right w:val="single" w:color="auto" w:sz="4" w:space="0"/>
            </w:tcBorders>
            <w:noWrap/>
            <w:vAlign w:val="center"/>
          </w:tcPr>
          <w:p>
            <w:pPr>
              <w:widowControl/>
              <w:rPr>
                <w:rFonts w:hint="eastAsia" w:ascii="宋体" w:hAnsi="宋体" w:eastAsia="宋体" w:cs="宋体"/>
                <w:color w:val="auto"/>
                <w:kern w:val="0"/>
                <w:sz w:val="22"/>
              </w:rPr>
            </w:pPr>
            <w:r>
              <w:rPr>
                <w:rFonts w:hint="eastAsia" w:ascii="宋体" w:hAnsi="宋体" w:eastAsia="宋体" w:cs="宋体"/>
                <w:color w:val="auto"/>
                <w:kern w:val="0"/>
                <w:sz w:val="22"/>
              </w:rPr>
              <w:t>航空技术及复合材料技术开发、无人机、无人船、机器人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6"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25</w:t>
            </w:r>
          </w:p>
        </w:tc>
        <w:tc>
          <w:tcPr>
            <w:tcW w:w="144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无人机整机</w:t>
            </w:r>
          </w:p>
        </w:tc>
        <w:tc>
          <w:tcPr>
            <w:tcW w:w="3549"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成都前沿动力科技有限公司</w:t>
            </w:r>
          </w:p>
        </w:tc>
        <w:tc>
          <w:tcPr>
            <w:tcW w:w="156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四川成都</w:t>
            </w:r>
          </w:p>
        </w:tc>
        <w:tc>
          <w:tcPr>
            <w:tcW w:w="6754" w:type="dxa"/>
            <w:tcBorders>
              <w:top w:val="single" w:color="auto" w:sz="4" w:space="0"/>
              <w:left w:val="single" w:color="auto" w:sz="4" w:space="0"/>
              <w:bottom w:val="single" w:color="auto" w:sz="4" w:space="0"/>
              <w:right w:val="single" w:color="auto" w:sz="4" w:space="0"/>
            </w:tcBorders>
            <w:noWrap/>
            <w:vAlign w:val="center"/>
          </w:tcPr>
          <w:p>
            <w:pPr>
              <w:widowControl/>
              <w:rPr>
                <w:rFonts w:hint="eastAsia" w:ascii="宋体" w:hAnsi="宋体" w:eastAsia="宋体" w:cs="宋体"/>
                <w:color w:val="auto"/>
                <w:kern w:val="0"/>
                <w:sz w:val="22"/>
              </w:rPr>
            </w:pPr>
            <w:r>
              <w:rPr>
                <w:rFonts w:hint="eastAsia" w:ascii="宋体" w:hAnsi="宋体" w:eastAsia="宋体" w:cs="宋体"/>
                <w:color w:val="auto"/>
                <w:kern w:val="0"/>
                <w:sz w:val="22"/>
              </w:rPr>
              <w:t>猎影S-50猎影S-100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6"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26</w:t>
            </w:r>
          </w:p>
        </w:tc>
        <w:tc>
          <w:tcPr>
            <w:tcW w:w="144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无人机整机</w:t>
            </w:r>
          </w:p>
        </w:tc>
        <w:tc>
          <w:tcPr>
            <w:tcW w:w="3549"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成都睿宥智能科技有限公司</w:t>
            </w:r>
          </w:p>
        </w:tc>
        <w:tc>
          <w:tcPr>
            <w:tcW w:w="156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四川成都</w:t>
            </w:r>
          </w:p>
        </w:tc>
        <w:tc>
          <w:tcPr>
            <w:tcW w:w="6754" w:type="dxa"/>
            <w:tcBorders>
              <w:top w:val="single" w:color="auto" w:sz="4" w:space="0"/>
              <w:left w:val="single" w:color="auto" w:sz="4" w:space="0"/>
              <w:bottom w:val="single" w:color="auto" w:sz="4" w:space="0"/>
              <w:right w:val="single" w:color="auto" w:sz="4" w:space="0"/>
            </w:tcBorders>
            <w:noWrap/>
            <w:vAlign w:val="center"/>
          </w:tcPr>
          <w:p>
            <w:pPr>
              <w:widowControl/>
              <w:rPr>
                <w:rFonts w:hint="eastAsia" w:ascii="宋体" w:hAnsi="宋体" w:eastAsia="宋体" w:cs="宋体"/>
                <w:color w:val="auto"/>
                <w:kern w:val="0"/>
                <w:sz w:val="22"/>
              </w:rPr>
            </w:pPr>
            <w:r>
              <w:rPr>
                <w:rFonts w:hint="eastAsia" w:ascii="宋体" w:hAnsi="宋体" w:eastAsia="宋体" w:cs="宋体"/>
                <w:color w:val="auto"/>
                <w:kern w:val="0"/>
                <w:sz w:val="22"/>
              </w:rPr>
              <w:t>GZ双旋翼系列无人机、PF（抛飞）系列、SP（手抛）系列、CQ系列垂直起降无人机等，主要应用于跟踪飞行、昼夜侦察、抢险救援、电力巡检、山区测绘、边防侦察、农业植保等场景。公司设有两个大型自有无人机基地，分别是为位于绵阳市的中大型无人机生产基地和位于成都市高新西区的集测试、生产和研发一体的无人机基地，基地年出货量已达10万台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6"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27</w:t>
            </w:r>
          </w:p>
        </w:tc>
        <w:tc>
          <w:tcPr>
            <w:tcW w:w="144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无人机整机</w:t>
            </w:r>
          </w:p>
        </w:tc>
        <w:tc>
          <w:tcPr>
            <w:tcW w:w="3549"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成都天麒科技有限公司</w:t>
            </w:r>
          </w:p>
        </w:tc>
        <w:tc>
          <w:tcPr>
            <w:tcW w:w="156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四川成都</w:t>
            </w:r>
          </w:p>
        </w:tc>
        <w:tc>
          <w:tcPr>
            <w:tcW w:w="6754" w:type="dxa"/>
            <w:tcBorders>
              <w:top w:val="single" w:color="auto" w:sz="4" w:space="0"/>
              <w:left w:val="single" w:color="auto" w:sz="4" w:space="0"/>
              <w:bottom w:val="single" w:color="auto" w:sz="4" w:space="0"/>
              <w:right w:val="single" w:color="auto" w:sz="4" w:space="0"/>
            </w:tcBorders>
            <w:noWrap/>
            <w:vAlign w:val="center"/>
          </w:tcPr>
          <w:p>
            <w:pPr>
              <w:widowControl/>
              <w:rPr>
                <w:rFonts w:hint="eastAsia" w:ascii="宋体" w:hAnsi="宋体" w:eastAsia="宋体" w:cs="宋体"/>
                <w:color w:val="auto"/>
                <w:kern w:val="0"/>
                <w:sz w:val="22"/>
              </w:rPr>
            </w:pPr>
            <w:r>
              <w:rPr>
                <w:rFonts w:hint="eastAsia" w:ascii="宋体" w:hAnsi="宋体" w:eastAsia="宋体" w:cs="宋体"/>
                <w:color w:val="auto"/>
                <w:kern w:val="0"/>
                <w:sz w:val="22"/>
              </w:rPr>
              <w:t>天麒V02S全自主植保无人机、天麒SKYLIN-V02植保无人机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6"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28</w:t>
            </w:r>
          </w:p>
        </w:tc>
        <w:tc>
          <w:tcPr>
            <w:tcW w:w="144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无人机整机</w:t>
            </w:r>
          </w:p>
        </w:tc>
        <w:tc>
          <w:tcPr>
            <w:tcW w:w="3549"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成都翼高九天科技有限公司</w:t>
            </w:r>
          </w:p>
        </w:tc>
        <w:tc>
          <w:tcPr>
            <w:tcW w:w="156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四川成都</w:t>
            </w:r>
          </w:p>
        </w:tc>
        <w:tc>
          <w:tcPr>
            <w:tcW w:w="6754" w:type="dxa"/>
            <w:tcBorders>
              <w:top w:val="single" w:color="auto" w:sz="4" w:space="0"/>
              <w:left w:val="single" w:color="auto" w:sz="4" w:space="0"/>
              <w:bottom w:val="single" w:color="auto" w:sz="4" w:space="0"/>
              <w:right w:val="single" w:color="auto" w:sz="4" w:space="0"/>
            </w:tcBorders>
            <w:noWrap/>
            <w:vAlign w:val="center"/>
          </w:tcPr>
          <w:p>
            <w:pPr>
              <w:widowControl/>
              <w:rPr>
                <w:rFonts w:hint="eastAsia" w:ascii="宋体" w:hAnsi="宋体" w:eastAsia="宋体" w:cs="宋体"/>
                <w:color w:val="auto"/>
                <w:kern w:val="0"/>
                <w:sz w:val="22"/>
              </w:rPr>
            </w:pPr>
            <w:r>
              <w:rPr>
                <w:rFonts w:hint="eastAsia" w:ascii="宋体" w:hAnsi="宋体" w:eastAsia="宋体" w:cs="宋体"/>
                <w:color w:val="auto"/>
                <w:kern w:val="0"/>
                <w:sz w:val="22"/>
              </w:rPr>
              <w:t>翼高九天ME800、VE-300无人直升机等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6"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29</w:t>
            </w:r>
          </w:p>
        </w:tc>
        <w:tc>
          <w:tcPr>
            <w:tcW w:w="144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无人机整机</w:t>
            </w:r>
          </w:p>
        </w:tc>
        <w:tc>
          <w:tcPr>
            <w:tcW w:w="3549"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成都优艾维智能科技有限公司</w:t>
            </w:r>
          </w:p>
        </w:tc>
        <w:tc>
          <w:tcPr>
            <w:tcW w:w="156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四川成都</w:t>
            </w:r>
          </w:p>
        </w:tc>
        <w:tc>
          <w:tcPr>
            <w:tcW w:w="6754" w:type="dxa"/>
            <w:tcBorders>
              <w:top w:val="single" w:color="auto" w:sz="4" w:space="0"/>
              <w:left w:val="single" w:color="auto" w:sz="4" w:space="0"/>
              <w:bottom w:val="single" w:color="auto" w:sz="4" w:space="0"/>
              <w:right w:val="single" w:color="auto" w:sz="4" w:space="0"/>
            </w:tcBorders>
            <w:noWrap/>
            <w:vAlign w:val="center"/>
          </w:tcPr>
          <w:p>
            <w:pPr>
              <w:widowControl/>
              <w:rPr>
                <w:rFonts w:hint="eastAsia" w:ascii="宋体" w:hAnsi="宋体" w:eastAsia="宋体" w:cs="宋体"/>
                <w:color w:val="auto"/>
                <w:kern w:val="0"/>
                <w:sz w:val="22"/>
              </w:rPr>
            </w:pPr>
            <w:r>
              <w:rPr>
                <w:rFonts w:hint="eastAsia" w:ascii="宋体" w:hAnsi="宋体" w:eastAsia="宋体" w:cs="宋体"/>
                <w:color w:val="auto"/>
                <w:kern w:val="0"/>
                <w:sz w:val="22"/>
              </w:rPr>
              <w:t>UX800八旋翼无人机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6"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30</w:t>
            </w:r>
          </w:p>
        </w:tc>
        <w:tc>
          <w:tcPr>
            <w:tcW w:w="144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无人机整机</w:t>
            </w:r>
          </w:p>
        </w:tc>
        <w:tc>
          <w:tcPr>
            <w:tcW w:w="3549"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bookmarkStart w:id="263" w:name="_Hlk172037289"/>
            <w:r>
              <w:rPr>
                <w:rFonts w:hint="eastAsia" w:ascii="宋体" w:hAnsi="宋体" w:eastAsia="宋体" w:cs="宋体"/>
                <w:color w:val="auto"/>
                <w:kern w:val="0"/>
                <w:sz w:val="22"/>
              </w:rPr>
              <w:t>成都震风航空技术有限公司</w:t>
            </w:r>
            <w:bookmarkEnd w:id="263"/>
          </w:p>
        </w:tc>
        <w:tc>
          <w:tcPr>
            <w:tcW w:w="156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四川成都</w:t>
            </w:r>
          </w:p>
        </w:tc>
        <w:tc>
          <w:tcPr>
            <w:tcW w:w="6754" w:type="dxa"/>
            <w:tcBorders>
              <w:top w:val="single" w:color="auto" w:sz="4" w:space="0"/>
              <w:left w:val="single" w:color="auto" w:sz="4" w:space="0"/>
              <w:bottom w:val="single" w:color="auto" w:sz="4" w:space="0"/>
              <w:right w:val="single" w:color="auto" w:sz="4" w:space="0"/>
            </w:tcBorders>
            <w:noWrap/>
            <w:vAlign w:val="center"/>
          </w:tcPr>
          <w:p>
            <w:pPr>
              <w:widowControl/>
              <w:rPr>
                <w:rFonts w:hint="eastAsia" w:ascii="宋体" w:hAnsi="宋体" w:eastAsia="宋体" w:cs="宋体"/>
                <w:color w:val="auto"/>
                <w:kern w:val="0"/>
                <w:sz w:val="22"/>
              </w:rPr>
            </w:pPr>
            <w:r>
              <w:rPr>
                <w:rFonts w:hint="eastAsia" w:ascii="宋体" w:hAnsi="宋体" w:eastAsia="宋体" w:cs="宋体"/>
                <w:color w:val="auto"/>
                <w:kern w:val="0"/>
                <w:sz w:val="22"/>
              </w:rPr>
              <w:t>DC-10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6"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31</w:t>
            </w:r>
          </w:p>
        </w:tc>
        <w:tc>
          <w:tcPr>
            <w:tcW w:w="144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无人机整机</w:t>
            </w:r>
          </w:p>
        </w:tc>
        <w:tc>
          <w:tcPr>
            <w:tcW w:w="3549"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四川溉亚智能科技有限公司</w:t>
            </w:r>
          </w:p>
        </w:tc>
        <w:tc>
          <w:tcPr>
            <w:tcW w:w="156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四川成都</w:t>
            </w:r>
          </w:p>
        </w:tc>
        <w:tc>
          <w:tcPr>
            <w:tcW w:w="6754" w:type="dxa"/>
            <w:tcBorders>
              <w:top w:val="single" w:color="auto" w:sz="4" w:space="0"/>
              <w:left w:val="single" w:color="auto" w:sz="4" w:space="0"/>
              <w:bottom w:val="single" w:color="auto" w:sz="4" w:space="0"/>
              <w:right w:val="single" w:color="auto" w:sz="4" w:space="0"/>
            </w:tcBorders>
            <w:noWrap/>
            <w:vAlign w:val="center"/>
          </w:tcPr>
          <w:p>
            <w:pPr>
              <w:widowControl/>
              <w:rPr>
                <w:rFonts w:hint="eastAsia" w:ascii="宋体" w:hAnsi="宋体" w:eastAsia="宋体" w:cs="宋体"/>
                <w:color w:val="auto"/>
                <w:kern w:val="0"/>
                <w:sz w:val="22"/>
              </w:rPr>
            </w:pPr>
            <w:r>
              <w:rPr>
                <w:rFonts w:hint="eastAsia" w:ascii="宋体" w:hAnsi="宋体" w:eastAsia="宋体" w:cs="宋体"/>
                <w:color w:val="auto"/>
                <w:kern w:val="0"/>
                <w:sz w:val="22"/>
              </w:rPr>
              <w:t>农业植保无人机品牌大蜂兄弟（Big Bee Brother）、自主研发的单旋翼锂电池无人直升机；“互联网”+农业服务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6"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32</w:t>
            </w:r>
          </w:p>
        </w:tc>
        <w:tc>
          <w:tcPr>
            <w:tcW w:w="144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无人机整机</w:t>
            </w:r>
          </w:p>
        </w:tc>
        <w:tc>
          <w:tcPr>
            <w:tcW w:w="3549"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四川极云智飞科技有限公司</w:t>
            </w:r>
          </w:p>
        </w:tc>
        <w:tc>
          <w:tcPr>
            <w:tcW w:w="156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四川成都</w:t>
            </w:r>
          </w:p>
        </w:tc>
        <w:tc>
          <w:tcPr>
            <w:tcW w:w="6754" w:type="dxa"/>
            <w:tcBorders>
              <w:top w:val="single" w:color="auto" w:sz="4" w:space="0"/>
              <w:left w:val="single" w:color="auto" w:sz="4" w:space="0"/>
              <w:bottom w:val="single" w:color="auto" w:sz="4" w:space="0"/>
              <w:right w:val="single" w:color="auto" w:sz="4" w:space="0"/>
            </w:tcBorders>
            <w:noWrap/>
            <w:vAlign w:val="center"/>
          </w:tcPr>
          <w:p>
            <w:pPr>
              <w:widowControl/>
              <w:rPr>
                <w:rFonts w:hint="eastAsia" w:ascii="宋体" w:hAnsi="宋体" w:eastAsia="宋体" w:cs="宋体"/>
                <w:color w:val="auto"/>
                <w:kern w:val="0"/>
                <w:sz w:val="22"/>
              </w:rPr>
            </w:pPr>
            <w:r>
              <w:rPr>
                <w:rFonts w:hint="eastAsia" w:ascii="宋体" w:hAnsi="宋体" w:eastAsia="宋体" w:cs="宋体"/>
                <w:color w:val="auto"/>
                <w:kern w:val="0"/>
                <w:sz w:val="22"/>
              </w:rPr>
              <w:t>无人机、无人车等智能农机、智慧城市系统、无人机遥感测绘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6"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33</w:t>
            </w:r>
          </w:p>
        </w:tc>
        <w:tc>
          <w:tcPr>
            <w:tcW w:w="144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无人机整机</w:t>
            </w:r>
          </w:p>
        </w:tc>
        <w:tc>
          <w:tcPr>
            <w:tcW w:w="3549"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成都时代星光科技有限公司</w:t>
            </w:r>
          </w:p>
        </w:tc>
        <w:tc>
          <w:tcPr>
            <w:tcW w:w="156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四川成都</w:t>
            </w:r>
          </w:p>
        </w:tc>
        <w:tc>
          <w:tcPr>
            <w:tcW w:w="6754" w:type="dxa"/>
            <w:tcBorders>
              <w:top w:val="single" w:color="auto" w:sz="4" w:space="0"/>
              <w:left w:val="single" w:color="auto" w:sz="4" w:space="0"/>
              <w:bottom w:val="single" w:color="auto" w:sz="4" w:space="0"/>
              <w:right w:val="single" w:color="auto" w:sz="4" w:space="0"/>
            </w:tcBorders>
            <w:noWrap/>
            <w:vAlign w:val="center"/>
          </w:tcPr>
          <w:p>
            <w:pPr>
              <w:widowControl/>
              <w:rPr>
                <w:rFonts w:hint="eastAsia" w:ascii="宋体" w:hAnsi="宋体" w:eastAsia="宋体" w:cs="宋体"/>
                <w:color w:val="auto"/>
                <w:kern w:val="0"/>
                <w:sz w:val="22"/>
              </w:rPr>
            </w:pPr>
            <w:r>
              <w:rPr>
                <w:rFonts w:hint="eastAsia" w:ascii="宋体" w:hAnsi="宋体" w:eastAsia="宋体" w:cs="宋体"/>
                <w:color w:val="auto"/>
                <w:kern w:val="0"/>
                <w:sz w:val="22"/>
              </w:rPr>
              <w:t>时代星光是一家国家高新技术企业和民营军工企业，主营无人机系统、通信指挥车、无线图传、新材料制造等业务。公司凭借“车载无人机、无线通信、人工智能、飞控算法、空气动力、材料科学”等方面的技术优势，于2020年成功研制了首套“空天地一体化AI指控系统”，并填补了“车载智能无人机”的技术空白。机型战狼W20、战狼X80、战狼X120C、战狼W230、战狼D1S、战狼D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6"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34</w:t>
            </w:r>
          </w:p>
        </w:tc>
        <w:tc>
          <w:tcPr>
            <w:tcW w:w="144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无人机整机</w:t>
            </w:r>
          </w:p>
        </w:tc>
        <w:tc>
          <w:tcPr>
            <w:tcW w:w="3549"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飞虎驼峰通用航空有限公司</w:t>
            </w:r>
          </w:p>
        </w:tc>
        <w:tc>
          <w:tcPr>
            <w:tcW w:w="156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云南昆明</w:t>
            </w:r>
          </w:p>
        </w:tc>
        <w:tc>
          <w:tcPr>
            <w:tcW w:w="6754" w:type="dxa"/>
            <w:tcBorders>
              <w:top w:val="single" w:color="auto" w:sz="4" w:space="0"/>
              <w:left w:val="single" w:color="auto" w:sz="4" w:space="0"/>
              <w:bottom w:val="single" w:color="auto" w:sz="4" w:space="0"/>
              <w:right w:val="single" w:color="auto" w:sz="4" w:space="0"/>
            </w:tcBorders>
            <w:noWrap/>
            <w:vAlign w:val="center"/>
          </w:tcPr>
          <w:p>
            <w:pPr>
              <w:widowControl/>
              <w:rPr>
                <w:rFonts w:hint="eastAsia" w:ascii="宋体" w:hAnsi="宋体" w:eastAsia="宋体" w:cs="宋体"/>
                <w:color w:val="auto"/>
                <w:kern w:val="0"/>
                <w:sz w:val="22"/>
              </w:rPr>
            </w:pPr>
            <w:r>
              <w:rPr>
                <w:rFonts w:hint="eastAsia" w:ascii="宋体" w:hAnsi="宋体" w:eastAsia="宋体" w:cs="宋体"/>
                <w:color w:val="auto"/>
                <w:kern w:val="0"/>
                <w:sz w:val="22"/>
              </w:rPr>
              <w:t>无人机及多功能飞行器研发、生产、组装、销售及售后服务；无人机的培训、系统开发；无人机相关设备与配件的销售及租赁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6"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35</w:t>
            </w:r>
          </w:p>
        </w:tc>
        <w:tc>
          <w:tcPr>
            <w:tcW w:w="144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无人机整机</w:t>
            </w:r>
          </w:p>
        </w:tc>
        <w:tc>
          <w:tcPr>
            <w:tcW w:w="3549"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浙江华飞智能科技有限公司</w:t>
            </w:r>
          </w:p>
        </w:tc>
        <w:tc>
          <w:tcPr>
            <w:tcW w:w="156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浙江杭州</w:t>
            </w:r>
          </w:p>
        </w:tc>
        <w:tc>
          <w:tcPr>
            <w:tcW w:w="6754" w:type="dxa"/>
            <w:tcBorders>
              <w:top w:val="single" w:color="auto" w:sz="4" w:space="0"/>
              <w:left w:val="single" w:color="auto" w:sz="4" w:space="0"/>
              <w:bottom w:val="single" w:color="auto" w:sz="4" w:space="0"/>
              <w:right w:val="single" w:color="auto" w:sz="4" w:space="0"/>
            </w:tcBorders>
            <w:noWrap/>
            <w:vAlign w:val="center"/>
          </w:tcPr>
          <w:p>
            <w:pPr>
              <w:widowControl/>
              <w:rPr>
                <w:rFonts w:hint="eastAsia" w:ascii="宋体" w:hAnsi="宋体" w:eastAsia="宋体" w:cs="宋体"/>
                <w:color w:val="auto"/>
                <w:kern w:val="0"/>
                <w:sz w:val="22"/>
              </w:rPr>
            </w:pPr>
            <w:r>
              <w:rPr>
                <w:rFonts w:hint="eastAsia" w:ascii="宋体" w:hAnsi="宋体" w:eastAsia="宋体" w:cs="宋体"/>
                <w:color w:val="auto"/>
                <w:kern w:val="0"/>
                <w:sz w:val="22"/>
              </w:rPr>
              <w:t>一直专注于公共安全领域，公司自主研发的产品种类丰富，包含了智能四旋翼无人机、六旋翼无人机及具有热成像、可见光等功能的多款挂载系统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6"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36</w:t>
            </w:r>
          </w:p>
        </w:tc>
        <w:tc>
          <w:tcPr>
            <w:tcW w:w="144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无人机整机</w:t>
            </w:r>
          </w:p>
        </w:tc>
        <w:tc>
          <w:tcPr>
            <w:tcW w:w="3549"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浙江科比特创新科技有限公司</w:t>
            </w:r>
          </w:p>
        </w:tc>
        <w:tc>
          <w:tcPr>
            <w:tcW w:w="156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浙江嘉兴</w:t>
            </w:r>
          </w:p>
        </w:tc>
        <w:tc>
          <w:tcPr>
            <w:tcW w:w="6754" w:type="dxa"/>
            <w:tcBorders>
              <w:top w:val="single" w:color="auto" w:sz="4" w:space="0"/>
              <w:left w:val="single" w:color="auto" w:sz="4" w:space="0"/>
              <w:bottom w:val="single" w:color="auto" w:sz="4" w:space="0"/>
              <w:right w:val="single" w:color="auto" w:sz="4" w:space="0"/>
            </w:tcBorders>
            <w:noWrap/>
            <w:vAlign w:val="center"/>
          </w:tcPr>
          <w:p>
            <w:pPr>
              <w:widowControl/>
              <w:rPr>
                <w:rFonts w:hint="eastAsia" w:ascii="宋体" w:hAnsi="宋体" w:eastAsia="宋体" w:cs="宋体"/>
                <w:color w:val="auto"/>
                <w:kern w:val="0"/>
                <w:sz w:val="22"/>
              </w:rPr>
            </w:pPr>
            <w:r>
              <w:rPr>
                <w:rFonts w:hint="eastAsia" w:ascii="宋体" w:hAnsi="宋体" w:eastAsia="宋体" w:cs="宋体"/>
                <w:color w:val="auto"/>
                <w:kern w:val="0"/>
                <w:sz w:val="22"/>
              </w:rPr>
              <w:t>浙江科比特创新科技有限公司（原名：深圳市科比特航空科技有限公司）专业从事多旋翼无人机系统的研发、生产、销售和服务，在北美、深圳、哈工大设立三大研发中心。科比特航空多旋翼无人机广泛应用于电力巡线、电力架线、公安警用、空中侦查、森林防火、应急救援、石化应用、测绘勘探、国土监察、城市规划、农业植保、影视航拍等领域。机型入云龙2、入云龙M6、入云龙1550、小旋风X85、插翅虎M8 Pro、插翅虎M9。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6"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37</w:t>
            </w:r>
          </w:p>
        </w:tc>
        <w:tc>
          <w:tcPr>
            <w:tcW w:w="144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无人机整机</w:t>
            </w:r>
          </w:p>
        </w:tc>
        <w:tc>
          <w:tcPr>
            <w:tcW w:w="3549"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重庆驼航科技有限公司</w:t>
            </w:r>
          </w:p>
        </w:tc>
        <w:tc>
          <w:tcPr>
            <w:tcW w:w="156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重庆</w:t>
            </w:r>
          </w:p>
        </w:tc>
        <w:tc>
          <w:tcPr>
            <w:tcW w:w="6754" w:type="dxa"/>
            <w:tcBorders>
              <w:top w:val="single" w:color="auto" w:sz="4" w:space="0"/>
              <w:left w:val="single" w:color="auto" w:sz="4" w:space="0"/>
              <w:bottom w:val="single" w:color="auto" w:sz="4" w:space="0"/>
              <w:right w:val="single" w:color="auto" w:sz="4" w:space="0"/>
            </w:tcBorders>
            <w:noWrap/>
            <w:vAlign w:val="center"/>
          </w:tcPr>
          <w:p>
            <w:pPr>
              <w:widowControl/>
              <w:rPr>
                <w:rFonts w:hint="eastAsia" w:ascii="宋体" w:hAnsi="宋体" w:eastAsia="宋体" w:cs="宋体"/>
                <w:color w:val="auto"/>
                <w:kern w:val="0"/>
                <w:sz w:val="22"/>
              </w:rPr>
            </w:pPr>
            <w:r>
              <w:rPr>
                <w:rFonts w:hint="eastAsia" w:ascii="宋体" w:hAnsi="宋体" w:eastAsia="宋体" w:cs="宋体"/>
                <w:color w:val="auto"/>
                <w:kern w:val="0"/>
                <w:sz w:val="22"/>
              </w:rPr>
              <w:t>成立于2019年7月，致力于“驼峰”系列纵列式重载无人直升机研发、生产及特种航空运投方案实施，核心团队来自于北航、航空工业各大厂所及无人机领域头部民企。产品已广泛应用于应急消防/救援领域、国土资源勘测领域、高原/岛礁等军民运输领域与科研挂飞服务领域等，在各行业运投比测中多次获得第一。机型驼峰500、驼峰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6"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38</w:t>
            </w:r>
          </w:p>
        </w:tc>
        <w:tc>
          <w:tcPr>
            <w:tcW w:w="144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无人机整机</w:t>
            </w:r>
          </w:p>
        </w:tc>
        <w:tc>
          <w:tcPr>
            <w:tcW w:w="3549"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珠海紫燕无人飞行器有限公司</w:t>
            </w:r>
          </w:p>
        </w:tc>
        <w:tc>
          <w:tcPr>
            <w:tcW w:w="156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广东珠海</w:t>
            </w:r>
          </w:p>
        </w:tc>
        <w:tc>
          <w:tcPr>
            <w:tcW w:w="6754" w:type="dxa"/>
            <w:tcBorders>
              <w:top w:val="single" w:color="auto" w:sz="4" w:space="0"/>
              <w:left w:val="single" w:color="auto" w:sz="4" w:space="0"/>
              <w:bottom w:val="single" w:color="auto" w:sz="4" w:space="0"/>
              <w:right w:val="single" w:color="auto" w:sz="4" w:space="0"/>
            </w:tcBorders>
            <w:noWrap/>
            <w:vAlign w:val="center"/>
          </w:tcPr>
          <w:p>
            <w:pPr>
              <w:widowControl/>
              <w:rPr>
                <w:rFonts w:hint="eastAsia" w:ascii="宋体" w:hAnsi="宋体" w:eastAsia="宋体" w:cs="宋体"/>
                <w:color w:val="auto"/>
                <w:kern w:val="0"/>
                <w:sz w:val="22"/>
              </w:rPr>
            </w:pPr>
            <w:r>
              <w:rPr>
                <w:rFonts w:hint="eastAsia" w:ascii="宋体" w:hAnsi="宋体" w:eastAsia="宋体" w:cs="宋体"/>
                <w:color w:val="auto"/>
                <w:kern w:val="0"/>
                <w:sz w:val="22"/>
              </w:rPr>
              <w:t>主要经营无人直升机研发及制造。其中的高原版本与海洋版无人直升机，应用于复杂环境飞行状态需求下的常态化运用。业务覆盖工业市场中的应急救援、森林巡防、海事巡查、物资运输、国土测绘、管道巡检、电力巡线等市场。机型穿越者P2X、隼-10、河豚A2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6"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39</w:t>
            </w:r>
          </w:p>
        </w:tc>
        <w:tc>
          <w:tcPr>
            <w:tcW w:w="144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无人机整机</w:t>
            </w:r>
          </w:p>
        </w:tc>
        <w:tc>
          <w:tcPr>
            <w:tcW w:w="3549"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bookmarkStart w:id="264" w:name="_Hlk171961054"/>
            <w:r>
              <w:rPr>
                <w:rFonts w:hint="eastAsia" w:ascii="宋体" w:hAnsi="宋体" w:eastAsia="宋体" w:cs="宋体"/>
                <w:color w:val="auto"/>
                <w:kern w:val="0"/>
                <w:sz w:val="22"/>
              </w:rPr>
              <w:t>羽人无人机（珠海）有限公司</w:t>
            </w:r>
            <w:bookmarkEnd w:id="264"/>
          </w:p>
        </w:tc>
        <w:tc>
          <w:tcPr>
            <w:tcW w:w="156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广东珠海</w:t>
            </w:r>
          </w:p>
        </w:tc>
        <w:tc>
          <w:tcPr>
            <w:tcW w:w="6754" w:type="dxa"/>
            <w:tcBorders>
              <w:top w:val="single" w:color="auto" w:sz="4" w:space="0"/>
              <w:left w:val="single" w:color="auto" w:sz="4" w:space="0"/>
              <w:bottom w:val="single" w:color="auto" w:sz="4" w:space="0"/>
              <w:right w:val="single" w:color="auto" w:sz="4" w:space="0"/>
            </w:tcBorders>
            <w:noWrap/>
            <w:vAlign w:val="center"/>
          </w:tcPr>
          <w:p>
            <w:pPr>
              <w:widowControl/>
              <w:rPr>
                <w:rFonts w:hint="eastAsia" w:ascii="宋体" w:hAnsi="宋体" w:eastAsia="宋体" w:cs="宋体"/>
                <w:color w:val="auto"/>
                <w:kern w:val="0"/>
                <w:sz w:val="22"/>
              </w:rPr>
            </w:pPr>
            <w:r>
              <w:rPr>
                <w:rFonts w:hint="eastAsia" w:ascii="宋体" w:hAnsi="宋体" w:eastAsia="宋体" w:cs="宋体"/>
                <w:color w:val="auto"/>
                <w:kern w:val="0"/>
                <w:sz w:val="22"/>
              </w:rPr>
              <w:t>航空飞行器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6"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40</w:t>
            </w:r>
          </w:p>
        </w:tc>
        <w:tc>
          <w:tcPr>
            <w:tcW w:w="144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无人机整机</w:t>
            </w:r>
          </w:p>
        </w:tc>
        <w:tc>
          <w:tcPr>
            <w:tcW w:w="3549"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bookmarkStart w:id="265" w:name="_Hlk172039991"/>
            <w:r>
              <w:rPr>
                <w:rFonts w:hint="eastAsia" w:ascii="宋体" w:hAnsi="宋体" w:eastAsia="宋体" w:cs="宋体"/>
                <w:color w:val="auto"/>
                <w:kern w:val="0"/>
                <w:sz w:val="22"/>
              </w:rPr>
              <w:t>炼石航空科技股份有限公司</w:t>
            </w:r>
            <w:bookmarkEnd w:id="265"/>
          </w:p>
        </w:tc>
        <w:tc>
          <w:tcPr>
            <w:tcW w:w="156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四川成都</w:t>
            </w:r>
          </w:p>
        </w:tc>
        <w:tc>
          <w:tcPr>
            <w:tcW w:w="6754" w:type="dxa"/>
            <w:tcBorders>
              <w:top w:val="single" w:color="auto" w:sz="4" w:space="0"/>
              <w:left w:val="single" w:color="auto" w:sz="4" w:space="0"/>
              <w:bottom w:val="single" w:color="auto" w:sz="4" w:space="0"/>
              <w:right w:val="single" w:color="auto" w:sz="4" w:space="0"/>
            </w:tcBorders>
            <w:noWrap/>
            <w:vAlign w:val="center"/>
          </w:tcPr>
          <w:p>
            <w:pPr>
              <w:widowControl/>
              <w:rPr>
                <w:rFonts w:hint="eastAsia" w:ascii="宋体" w:hAnsi="宋体" w:eastAsia="宋体" w:cs="宋体"/>
                <w:color w:val="auto"/>
                <w:kern w:val="0"/>
                <w:sz w:val="22"/>
              </w:rPr>
            </w:pPr>
            <w:r>
              <w:rPr>
                <w:rFonts w:hint="eastAsia" w:ascii="宋体" w:hAnsi="宋体" w:eastAsia="宋体" w:cs="宋体"/>
                <w:color w:val="auto"/>
                <w:kern w:val="0"/>
                <w:sz w:val="22"/>
              </w:rPr>
              <w:t>大型跨国航空类制造企业，深交所主板上市公司。近年大力发展航空制造业务板块，旗下拥有的子公司陕西炼石矿业有限公司、成都航宇超合金技术有限公司、加德纳航空（英国）有限公司、成都中科航空发动机有限公司及朗星无人机系统有限公司等，构建了“铼元素→超高温合金→单晶涡轮叶片→航空零部件→小型航空发动机整机→大型无人机整机”的完整产业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6"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41</w:t>
            </w:r>
          </w:p>
        </w:tc>
        <w:tc>
          <w:tcPr>
            <w:tcW w:w="144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无人机整机</w:t>
            </w:r>
          </w:p>
        </w:tc>
        <w:tc>
          <w:tcPr>
            <w:tcW w:w="3549"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深圳市赛为智能股份有限公司</w:t>
            </w:r>
          </w:p>
        </w:tc>
        <w:tc>
          <w:tcPr>
            <w:tcW w:w="156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广东深圳</w:t>
            </w:r>
          </w:p>
        </w:tc>
        <w:tc>
          <w:tcPr>
            <w:tcW w:w="6754" w:type="dxa"/>
            <w:tcBorders>
              <w:top w:val="single" w:color="auto" w:sz="4" w:space="0"/>
              <w:left w:val="single" w:color="auto" w:sz="4" w:space="0"/>
              <w:bottom w:val="single" w:color="auto" w:sz="4" w:space="0"/>
              <w:right w:val="single" w:color="auto" w:sz="4" w:space="0"/>
            </w:tcBorders>
            <w:noWrap/>
            <w:vAlign w:val="center"/>
          </w:tcPr>
          <w:p>
            <w:pPr>
              <w:widowControl/>
              <w:rPr>
                <w:rFonts w:hint="eastAsia" w:ascii="宋体" w:hAnsi="宋体" w:eastAsia="宋体" w:cs="宋体"/>
                <w:color w:val="auto"/>
                <w:kern w:val="0"/>
                <w:sz w:val="22"/>
              </w:rPr>
            </w:pPr>
            <w:r>
              <w:rPr>
                <w:rFonts w:hint="eastAsia" w:ascii="宋体" w:hAnsi="宋体" w:eastAsia="宋体" w:cs="宋体"/>
                <w:color w:val="auto"/>
                <w:kern w:val="0"/>
                <w:sz w:val="22"/>
              </w:rPr>
              <w:t>“赛鹰”SY450H大载荷无人直升机、“赛鹰”4000T系留旋翼无人机、“赛鹰”121H无人直升机、“赛鹰”130QR高性能农业植保无人机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6"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42</w:t>
            </w:r>
          </w:p>
        </w:tc>
        <w:tc>
          <w:tcPr>
            <w:tcW w:w="144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无人机整机</w:t>
            </w:r>
          </w:p>
        </w:tc>
        <w:tc>
          <w:tcPr>
            <w:tcW w:w="3549"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深圳市艾特航空科技股份有限公司</w:t>
            </w:r>
          </w:p>
        </w:tc>
        <w:tc>
          <w:tcPr>
            <w:tcW w:w="156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广东深圳</w:t>
            </w:r>
          </w:p>
        </w:tc>
        <w:tc>
          <w:tcPr>
            <w:tcW w:w="6754" w:type="dxa"/>
            <w:tcBorders>
              <w:top w:val="single" w:color="auto" w:sz="4" w:space="0"/>
              <w:left w:val="single" w:color="auto" w:sz="4" w:space="0"/>
              <w:bottom w:val="single" w:color="auto" w:sz="4" w:space="0"/>
              <w:right w:val="single" w:color="auto" w:sz="4" w:space="0"/>
            </w:tcBorders>
            <w:noWrap/>
            <w:vAlign w:val="center"/>
          </w:tcPr>
          <w:p>
            <w:pPr>
              <w:widowControl/>
              <w:rPr>
                <w:rFonts w:hint="eastAsia" w:ascii="宋体" w:hAnsi="宋体" w:eastAsia="宋体" w:cs="宋体"/>
                <w:color w:val="auto"/>
                <w:kern w:val="0"/>
                <w:sz w:val="22"/>
              </w:rPr>
            </w:pPr>
            <w:r>
              <w:rPr>
                <w:rFonts w:hint="eastAsia" w:ascii="宋体" w:hAnsi="宋体" w:eastAsia="宋体" w:cs="宋体"/>
                <w:color w:val="auto"/>
                <w:kern w:val="0"/>
                <w:sz w:val="22"/>
              </w:rPr>
              <w:t>智能装备技术开发、技术咨询、技术转让、技术服务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6"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43</w:t>
            </w:r>
          </w:p>
        </w:tc>
        <w:tc>
          <w:tcPr>
            <w:tcW w:w="144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无人机整机</w:t>
            </w:r>
          </w:p>
        </w:tc>
        <w:tc>
          <w:tcPr>
            <w:tcW w:w="3549"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深圳市吉影科技有限公司</w:t>
            </w:r>
          </w:p>
        </w:tc>
        <w:tc>
          <w:tcPr>
            <w:tcW w:w="156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广东深圳</w:t>
            </w:r>
          </w:p>
        </w:tc>
        <w:tc>
          <w:tcPr>
            <w:tcW w:w="6754" w:type="dxa"/>
            <w:tcBorders>
              <w:top w:val="single" w:color="auto" w:sz="4" w:space="0"/>
              <w:left w:val="single" w:color="auto" w:sz="4" w:space="0"/>
              <w:bottom w:val="single" w:color="auto" w:sz="4" w:space="0"/>
              <w:right w:val="single" w:color="auto" w:sz="4" w:space="0"/>
            </w:tcBorders>
            <w:noWrap/>
            <w:vAlign w:val="center"/>
          </w:tcPr>
          <w:p>
            <w:pPr>
              <w:widowControl/>
              <w:rPr>
                <w:rFonts w:hint="eastAsia" w:ascii="宋体" w:hAnsi="宋体" w:eastAsia="宋体" w:cs="宋体"/>
                <w:color w:val="auto"/>
                <w:kern w:val="0"/>
                <w:sz w:val="22"/>
              </w:rPr>
            </w:pPr>
            <w:r>
              <w:rPr>
                <w:rFonts w:hint="eastAsia" w:ascii="宋体" w:hAnsi="宋体" w:eastAsia="宋体" w:cs="宋体"/>
                <w:color w:val="auto"/>
                <w:kern w:val="0"/>
                <w:sz w:val="22"/>
              </w:rPr>
              <w:t>人工智能和水下机器人研发、平台软件开发运用及产品销售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6"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44</w:t>
            </w:r>
          </w:p>
        </w:tc>
        <w:tc>
          <w:tcPr>
            <w:tcW w:w="144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无人机整机</w:t>
            </w:r>
          </w:p>
        </w:tc>
        <w:tc>
          <w:tcPr>
            <w:tcW w:w="3549"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昆山合朗航空科技有限公司</w:t>
            </w:r>
          </w:p>
        </w:tc>
        <w:tc>
          <w:tcPr>
            <w:tcW w:w="156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江苏昆山</w:t>
            </w:r>
          </w:p>
        </w:tc>
        <w:tc>
          <w:tcPr>
            <w:tcW w:w="6754" w:type="dxa"/>
            <w:tcBorders>
              <w:top w:val="single" w:color="auto" w:sz="4" w:space="0"/>
              <w:left w:val="single" w:color="auto" w:sz="4" w:space="0"/>
              <w:bottom w:val="single" w:color="auto" w:sz="4" w:space="0"/>
              <w:right w:val="single" w:color="auto" w:sz="4" w:space="0"/>
            </w:tcBorders>
            <w:noWrap/>
            <w:vAlign w:val="center"/>
          </w:tcPr>
          <w:p>
            <w:pPr>
              <w:widowControl/>
              <w:rPr>
                <w:rFonts w:hint="eastAsia" w:ascii="宋体" w:hAnsi="宋体" w:eastAsia="宋体" w:cs="宋体"/>
                <w:color w:val="auto"/>
                <w:kern w:val="0"/>
                <w:sz w:val="22"/>
              </w:rPr>
            </w:pPr>
            <w:r>
              <w:rPr>
                <w:rFonts w:hint="eastAsia" w:ascii="宋体" w:hAnsi="宋体" w:eastAsia="宋体" w:cs="宋体"/>
                <w:color w:val="auto"/>
                <w:kern w:val="0"/>
                <w:sz w:val="22"/>
              </w:rPr>
              <w:t>民用小型无人机以及航空模型产品。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6"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45</w:t>
            </w:r>
          </w:p>
        </w:tc>
        <w:tc>
          <w:tcPr>
            <w:tcW w:w="144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无人机整机</w:t>
            </w:r>
          </w:p>
        </w:tc>
        <w:tc>
          <w:tcPr>
            <w:tcW w:w="3549"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苏州极目机器人科技有限公司</w:t>
            </w:r>
          </w:p>
        </w:tc>
        <w:tc>
          <w:tcPr>
            <w:tcW w:w="156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江苏苏州</w:t>
            </w:r>
          </w:p>
        </w:tc>
        <w:tc>
          <w:tcPr>
            <w:tcW w:w="6754" w:type="dxa"/>
            <w:tcBorders>
              <w:top w:val="single" w:color="auto" w:sz="4" w:space="0"/>
              <w:left w:val="single" w:color="auto" w:sz="4" w:space="0"/>
              <w:bottom w:val="single" w:color="auto" w:sz="4" w:space="0"/>
              <w:right w:val="single" w:color="auto" w:sz="4" w:space="0"/>
            </w:tcBorders>
            <w:noWrap/>
            <w:vAlign w:val="center"/>
          </w:tcPr>
          <w:p>
            <w:pPr>
              <w:widowControl/>
              <w:rPr>
                <w:rFonts w:hint="eastAsia" w:ascii="宋体" w:hAnsi="宋体" w:eastAsia="宋体" w:cs="宋体"/>
                <w:color w:val="auto"/>
                <w:kern w:val="0"/>
                <w:sz w:val="22"/>
              </w:rPr>
            </w:pPr>
            <w:r>
              <w:rPr>
                <w:rFonts w:hint="eastAsia" w:ascii="宋体" w:hAnsi="宋体" w:eastAsia="宋体" w:cs="宋体"/>
                <w:color w:val="auto"/>
                <w:kern w:val="0"/>
                <w:sz w:val="22"/>
              </w:rPr>
              <w:t>农业植保专用工业级无人机。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6"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46</w:t>
            </w:r>
          </w:p>
        </w:tc>
        <w:tc>
          <w:tcPr>
            <w:tcW w:w="144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无人机整机</w:t>
            </w:r>
          </w:p>
        </w:tc>
        <w:tc>
          <w:tcPr>
            <w:tcW w:w="3549"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浙江华奕航空科技有限公司</w:t>
            </w:r>
          </w:p>
        </w:tc>
        <w:tc>
          <w:tcPr>
            <w:tcW w:w="156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浙江杭州</w:t>
            </w:r>
          </w:p>
        </w:tc>
        <w:tc>
          <w:tcPr>
            <w:tcW w:w="6754" w:type="dxa"/>
            <w:tcBorders>
              <w:top w:val="single" w:color="auto" w:sz="4" w:space="0"/>
              <w:left w:val="single" w:color="auto" w:sz="4" w:space="0"/>
              <w:bottom w:val="single" w:color="auto" w:sz="4" w:space="0"/>
              <w:right w:val="single" w:color="auto" w:sz="4" w:space="0"/>
            </w:tcBorders>
            <w:noWrap/>
            <w:vAlign w:val="center"/>
          </w:tcPr>
          <w:p>
            <w:pPr>
              <w:widowControl/>
              <w:rPr>
                <w:rFonts w:hint="eastAsia" w:ascii="宋体" w:hAnsi="宋体" w:eastAsia="宋体" w:cs="宋体"/>
                <w:color w:val="auto"/>
                <w:kern w:val="0"/>
                <w:sz w:val="22"/>
              </w:rPr>
            </w:pPr>
            <w:r>
              <w:rPr>
                <w:rFonts w:hint="eastAsia" w:ascii="宋体" w:hAnsi="宋体" w:eastAsia="宋体" w:cs="宋体"/>
                <w:color w:val="auto"/>
                <w:kern w:val="0"/>
                <w:sz w:val="22"/>
              </w:rPr>
              <w:t>HY600无人直升机、环保无人机、气象无人机、F21导航飞控一体机、F20导航飞控一体机、F10无人机飞控、F20GCS无人机地面站、F20DL数传电台、F20PCU发动机控制管理单元、F20AM空速计、F10GM定位定向模块、F10PWM舵机控制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6"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47</w:t>
            </w:r>
          </w:p>
        </w:tc>
        <w:tc>
          <w:tcPr>
            <w:tcW w:w="144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无人机整机</w:t>
            </w:r>
          </w:p>
        </w:tc>
        <w:tc>
          <w:tcPr>
            <w:tcW w:w="3549"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宁波翼新智能科技有限公司</w:t>
            </w:r>
          </w:p>
        </w:tc>
        <w:tc>
          <w:tcPr>
            <w:tcW w:w="156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浙江宁波</w:t>
            </w:r>
          </w:p>
        </w:tc>
        <w:tc>
          <w:tcPr>
            <w:tcW w:w="6754" w:type="dxa"/>
            <w:tcBorders>
              <w:top w:val="single" w:color="auto" w:sz="4" w:space="0"/>
              <w:left w:val="single" w:color="auto" w:sz="4" w:space="0"/>
              <w:bottom w:val="single" w:color="auto" w:sz="4" w:space="0"/>
              <w:right w:val="single" w:color="auto" w:sz="4" w:space="0"/>
            </w:tcBorders>
            <w:noWrap/>
            <w:vAlign w:val="center"/>
          </w:tcPr>
          <w:p>
            <w:pPr>
              <w:widowControl/>
              <w:rPr>
                <w:rFonts w:hint="eastAsia" w:ascii="宋体" w:hAnsi="宋体" w:eastAsia="宋体" w:cs="宋体"/>
                <w:color w:val="auto"/>
                <w:kern w:val="0"/>
                <w:sz w:val="22"/>
              </w:rPr>
            </w:pPr>
            <w:r>
              <w:rPr>
                <w:rFonts w:hint="eastAsia" w:ascii="宋体" w:hAnsi="宋体" w:eastAsia="宋体" w:cs="宋体"/>
                <w:color w:val="auto"/>
                <w:kern w:val="0"/>
                <w:sz w:val="22"/>
              </w:rPr>
              <w:t>RA3无人机。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6"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48</w:t>
            </w:r>
          </w:p>
        </w:tc>
        <w:tc>
          <w:tcPr>
            <w:tcW w:w="144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无人机整机</w:t>
            </w:r>
          </w:p>
        </w:tc>
        <w:tc>
          <w:tcPr>
            <w:tcW w:w="3549"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浙江大年科技有限公司</w:t>
            </w:r>
          </w:p>
        </w:tc>
        <w:tc>
          <w:tcPr>
            <w:tcW w:w="156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浙江余姚</w:t>
            </w:r>
          </w:p>
        </w:tc>
        <w:tc>
          <w:tcPr>
            <w:tcW w:w="6754" w:type="dxa"/>
            <w:tcBorders>
              <w:top w:val="single" w:color="auto" w:sz="4" w:space="0"/>
              <w:left w:val="single" w:color="auto" w:sz="4" w:space="0"/>
              <w:bottom w:val="single" w:color="auto" w:sz="4" w:space="0"/>
              <w:right w:val="single" w:color="auto" w:sz="4" w:space="0"/>
            </w:tcBorders>
            <w:noWrap/>
            <w:vAlign w:val="center"/>
          </w:tcPr>
          <w:p>
            <w:pPr>
              <w:widowControl/>
              <w:rPr>
                <w:rFonts w:hint="eastAsia" w:ascii="宋体" w:hAnsi="宋体" w:eastAsia="宋体" w:cs="宋体"/>
                <w:color w:val="auto"/>
                <w:kern w:val="0"/>
                <w:sz w:val="22"/>
              </w:rPr>
            </w:pPr>
            <w:r>
              <w:rPr>
                <w:rFonts w:hint="eastAsia" w:ascii="宋体" w:hAnsi="宋体" w:eastAsia="宋体" w:cs="宋体"/>
                <w:color w:val="auto"/>
                <w:kern w:val="0"/>
                <w:sz w:val="22"/>
              </w:rPr>
              <w:t>旋翼无人机、垂直起降固定翼无人机。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6"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49</w:t>
            </w:r>
          </w:p>
        </w:tc>
        <w:tc>
          <w:tcPr>
            <w:tcW w:w="144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无人机整机</w:t>
            </w:r>
          </w:p>
        </w:tc>
        <w:tc>
          <w:tcPr>
            <w:tcW w:w="3549"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氢鹏科技(浙江)有限公司</w:t>
            </w:r>
          </w:p>
        </w:tc>
        <w:tc>
          <w:tcPr>
            <w:tcW w:w="156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浙江绍兴</w:t>
            </w:r>
          </w:p>
        </w:tc>
        <w:tc>
          <w:tcPr>
            <w:tcW w:w="6754" w:type="dxa"/>
            <w:tcBorders>
              <w:top w:val="single" w:color="auto" w:sz="4" w:space="0"/>
              <w:left w:val="single" w:color="auto" w:sz="4" w:space="0"/>
              <w:bottom w:val="single" w:color="auto" w:sz="4" w:space="0"/>
              <w:right w:val="single" w:color="auto" w:sz="4" w:space="0"/>
            </w:tcBorders>
            <w:noWrap/>
            <w:vAlign w:val="center"/>
          </w:tcPr>
          <w:p>
            <w:pPr>
              <w:widowControl/>
              <w:rPr>
                <w:rFonts w:hint="eastAsia" w:ascii="宋体" w:hAnsi="宋体" w:eastAsia="宋体" w:cs="宋体"/>
                <w:color w:val="auto"/>
                <w:kern w:val="0"/>
                <w:sz w:val="22"/>
              </w:rPr>
            </w:pPr>
            <w:r>
              <w:rPr>
                <w:rFonts w:hint="eastAsia" w:ascii="宋体" w:hAnsi="宋体" w:eastAsia="宋体" w:cs="宋体"/>
                <w:color w:val="auto"/>
                <w:kern w:val="0"/>
                <w:sz w:val="22"/>
              </w:rPr>
              <w:t>XCD16旋翼氢动力长航时工业无人机、XC026旋翼氢动力长航时工业无人机。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6"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50</w:t>
            </w:r>
          </w:p>
        </w:tc>
        <w:tc>
          <w:tcPr>
            <w:tcW w:w="144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无人机整机</w:t>
            </w:r>
          </w:p>
        </w:tc>
        <w:tc>
          <w:tcPr>
            <w:tcW w:w="3549"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浙江兴岩电气设备有限公司</w:t>
            </w:r>
          </w:p>
        </w:tc>
        <w:tc>
          <w:tcPr>
            <w:tcW w:w="156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浙江金华</w:t>
            </w:r>
          </w:p>
        </w:tc>
        <w:tc>
          <w:tcPr>
            <w:tcW w:w="6754" w:type="dxa"/>
            <w:tcBorders>
              <w:top w:val="single" w:color="auto" w:sz="4" w:space="0"/>
              <w:left w:val="single" w:color="auto" w:sz="4" w:space="0"/>
              <w:bottom w:val="single" w:color="auto" w:sz="4" w:space="0"/>
              <w:right w:val="single" w:color="auto" w:sz="4" w:space="0"/>
            </w:tcBorders>
            <w:noWrap/>
            <w:vAlign w:val="center"/>
          </w:tcPr>
          <w:p>
            <w:pPr>
              <w:widowControl/>
              <w:rPr>
                <w:rFonts w:hint="eastAsia" w:ascii="宋体" w:hAnsi="宋体" w:eastAsia="宋体" w:cs="宋体"/>
                <w:color w:val="auto"/>
                <w:kern w:val="0"/>
                <w:sz w:val="22"/>
              </w:rPr>
            </w:pPr>
            <w:r>
              <w:rPr>
                <w:rFonts w:hint="eastAsia" w:ascii="宋体" w:hAnsi="宋体" w:eastAsia="宋体" w:cs="宋体"/>
                <w:color w:val="auto"/>
                <w:kern w:val="0"/>
                <w:sz w:val="22"/>
              </w:rPr>
              <w:t>系留应急照明无人机、电力巡航无人机。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6"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51</w:t>
            </w:r>
          </w:p>
        </w:tc>
        <w:tc>
          <w:tcPr>
            <w:tcW w:w="144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无人机整机</w:t>
            </w:r>
          </w:p>
        </w:tc>
        <w:tc>
          <w:tcPr>
            <w:tcW w:w="3549"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合肥赛为智能有限公司</w:t>
            </w:r>
          </w:p>
        </w:tc>
        <w:tc>
          <w:tcPr>
            <w:tcW w:w="156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安徽合肥</w:t>
            </w:r>
          </w:p>
        </w:tc>
        <w:tc>
          <w:tcPr>
            <w:tcW w:w="6754" w:type="dxa"/>
            <w:tcBorders>
              <w:top w:val="single" w:color="auto" w:sz="4" w:space="0"/>
              <w:left w:val="single" w:color="auto" w:sz="4" w:space="0"/>
              <w:bottom w:val="single" w:color="auto" w:sz="4" w:space="0"/>
              <w:right w:val="single" w:color="auto" w:sz="4" w:space="0"/>
            </w:tcBorders>
            <w:noWrap/>
            <w:vAlign w:val="center"/>
          </w:tcPr>
          <w:p>
            <w:pPr>
              <w:widowControl/>
              <w:rPr>
                <w:rFonts w:hint="eastAsia" w:ascii="宋体" w:hAnsi="宋体" w:eastAsia="宋体" w:cs="宋体"/>
                <w:color w:val="auto"/>
                <w:kern w:val="0"/>
                <w:sz w:val="22"/>
              </w:rPr>
            </w:pPr>
            <w:r>
              <w:rPr>
                <w:rFonts w:hint="eastAsia" w:ascii="宋体" w:hAnsi="宋体" w:eastAsia="宋体" w:cs="宋体"/>
                <w:color w:val="auto"/>
                <w:kern w:val="0"/>
                <w:sz w:val="22"/>
              </w:rPr>
              <w:t>“赛鹰”SY8KT系留多旋翼无人机：“赛鹰”SY450H大载荷无人直升机：“赛鹰"SY141HR植保无人机：“赛鹰”SY26IH无人直升机；“赛鹰”SY12IH无人直升机：“赛鹰”SY-30KG油电混合旋翼无人机。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6"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52</w:t>
            </w:r>
          </w:p>
        </w:tc>
        <w:tc>
          <w:tcPr>
            <w:tcW w:w="144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无人机整机</w:t>
            </w:r>
          </w:p>
        </w:tc>
        <w:tc>
          <w:tcPr>
            <w:tcW w:w="3549"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安徽天路航空科技股份有限公司</w:t>
            </w:r>
          </w:p>
        </w:tc>
        <w:tc>
          <w:tcPr>
            <w:tcW w:w="156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安徽淮北</w:t>
            </w:r>
          </w:p>
        </w:tc>
        <w:tc>
          <w:tcPr>
            <w:tcW w:w="6754" w:type="dxa"/>
            <w:tcBorders>
              <w:top w:val="single" w:color="auto" w:sz="4" w:space="0"/>
              <w:left w:val="single" w:color="auto" w:sz="4" w:space="0"/>
              <w:bottom w:val="single" w:color="auto" w:sz="4" w:space="0"/>
              <w:right w:val="single" w:color="auto" w:sz="4" w:space="0"/>
            </w:tcBorders>
            <w:noWrap/>
            <w:vAlign w:val="center"/>
          </w:tcPr>
          <w:p>
            <w:pPr>
              <w:widowControl/>
              <w:rPr>
                <w:rFonts w:hint="eastAsia" w:ascii="宋体" w:hAnsi="宋体" w:eastAsia="宋体" w:cs="宋体"/>
                <w:color w:val="auto"/>
                <w:kern w:val="0"/>
                <w:sz w:val="22"/>
              </w:rPr>
            </w:pPr>
            <w:r>
              <w:rPr>
                <w:rFonts w:hint="eastAsia" w:ascii="宋体" w:hAnsi="宋体" w:eastAsia="宋体" w:cs="宋体"/>
                <w:color w:val="auto"/>
                <w:kern w:val="0"/>
                <w:sz w:val="22"/>
              </w:rPr>
              <w:t>TL-400型无人机、TL-800型无人机、TL-850型无人机。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6"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53</w:t>
            </w:r>
          </w:p>
        </w:tc>
        <w:tc>
          <w:tcPr>
            <w:tcW w:w="144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无人机整机</w:t>
            </w:r>
          </w:p>
        </w:tc>
        <w:tc>
          <w:tcPr>
            <w:tcW w:w="3549"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湖南精飞智能科技有限公司</w:t>
            </w:r>
          </w:p>
        </w:tc>
        <w:tc>
          <w:tcPr>
            <w:tcW w:w="156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湖南涟源</w:t>
            </w:r>
          </w:p>
        </w:tc>
        <w:tc>
          <w:tcPr>
            <w:tcW w:w="6754" w:type="dxa"/>
            <w:tcBorders>
              <w:top w:val="single" w:color="auto" w:sz="4" w:space="0"/>
              <w:left w:val="single" w:color="auto" w:sz="4" w:space="0"/>
              <w:bottom w:val="single" w:color="auto" w:sz="4" w:space="0"/>
              <w:right w:val="single" w:color="auto" w:sz="4" w:space="0"/>
            </w:tcBorders>
            <w:noWrap/>
            <w:vAlign w:val="center"/>
          </w:tcPr>
          <w:p>
            <w:pPr>
              <w:widowControl/>
              <w:rPr>
                <w:rFonts w:hint="eastAsia" w:ascii="宋体" w:hAnsi="宋体" w:eastAsia="宋体" w:cs="宋体"/>
                <w:color w:val="auto"/>
                <w:kern w:val="0"/>
                <w:sz w:val="22"/>
              </w:rPr>
            </w:pPr>
            <w:r>
              <w:rPr>
                <w:rFonts w:hint="eastAsia" w:ascii="宋体" w:hAnsi="宋体" w:eastAsia="宋体" w:cs="宋体"/>
                <w:color w:val="auto"/>
                <w:kern w:val="0"/>
                <w:sz w:val="22"/>
              </w:rPr>
              <w:t>植保无人机、撤播一体无人机、行业应用无人机、物流无人机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6"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54</w:t>
            </w:r>
          </w:p>
        </w:tc>
        <w:tc>
          <w:tcPr>
            <w:tcW w:w="144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无人机整机</w:t>
            </w:r>
          </w:p>
        </w:tc>
        <w:tc>
          <w:tcPr>
            <w:tcW w:w="3549"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湖南千牛无人机科技有限公司</w:t>
            </w:r>
          </w:p>
        </w:tc>
        <w:tc>
          <w:tcPr>
            <w:tcW w:w="156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湖南岳阳</w:t>
            </w:r>
          </w:p>
        </w:tc>
        <w:tc>
          <w:tcPr>
            <w:tcW w:w="6754" w:type="dxa"/>
            <w:tcBorders>
              <w:top w:val="single" w:color="auto" w:sz="4" w:space="0"/>
              <w:left w:val="single" w:color="auto" w:sz="4" w:space="0"/>
              <w:bottom w:val="single" w:color="auto" w:sz="4" w:space="0"/>
              <w:right w:val="single" w:color="auto" w:sz="4" w:space="0"/>
            </w:tcBorders>
            <w:noWrap/>
            <w:vAlign w:val="center"/>
          </w:tcPr>
          <w:p>
            <w:pPr>
              <w:widowControl/>
              <w:rPr>
                <w:rFonts w:hint="eastAsia" w:ascii="宋体" w:hAnsi="宋体" w:eastAsia="宋体" w:cs="宋体"/>
                <w:color w:val="auto"/>
                <w:kern w:val="0"/>
                <w:sz w:val="22"/>
              </w:rPr>
            </w:pPr>
            <w:r>
              <w:rPr>
                <w:rFonts w:hint="eastAsia" w:ascii="宋体" w:hAnsi="宋体" w:eastAsia="宋体" w:cs="宋体"/>
                <w:color w:val="auto"/>
                <w:kern w:val="0"/>
                <w:sz w:val="22"/>
              </w:rPr>
              <w:t>电力无人机、巡查无人机生产与无人机服务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6"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55</w:t>
            </w:r>
          </w:p>
        </w:tc>
        <w:tc>
          <w:tcPr>
            <w:tcW w:w="144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无人机整机</w:t>
            </w:r>
          </w:p>
        </w:tc>
        <w:tc>
          <w:tcPr>
            <w:tcW w:w="3549"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哈瓦国际航空技术(深圳)有限公司</w:t>
            </w:r>
          </w:p>
        </w:tc>
        <w:tc>
          <w:tcPr>
            <w:tcW w:w="156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广东深圳</w:t>
            </w:r>
          </w:p>
        </w:tc>
        <w:tc>
          <w:tcPr>
            <w:tcW w:w="6754" w:type="dxa"/>
            <w:tcBorders>
              <w:top w:val="single" w:color="auto" w:sz="4" w:space="0"/>
              <w:left w:val="single" w:color="auto" w:sz="4" w:space="0"/>
              <w:bottom w:val="single" w:color="auto" w:sz="4" w:space="0"/>
              <w:right w:val="single" w:color="auto" w:sz="4" w:space="0"/>
            </w:tcBorders>
            <w:noWrap/>
            <w:vAlign w:val="center"/>
          </w:tcPr>
          <w:p>
            <w:pPr>
              <w:widowControl/>
              <w:rPr>
                <w:rFonts w:hint="eastAsia" w:ascii="宋体" w:hAnsi="宋体" w:eastAsia="宋体" w:cs="宋体"/>
                <w:color w:val="auto"/>
                <w:kern w:val="0"/>
                <w:sz w:val="22"/>
              </w:rPr>
            </w:pPr>
            <w:r>
              <w:rPr>
                <w:rFonts w:hint="eastAsia" w:ascii="宋体" w:hAnsi="宋体" w:eastAsia="宋体" w:cs="宋体"/>
                <w:color w:val="auto"/>
                <w:kern w:val="0"/>
                <w:sz w:val="22"/>
              </w:rPr>
              <w:t>“战斧”HI6无人机。MEGA 系列无人机，多旋翼无人机、警用无人机及其飞控系统与智能云台系统，计算机软件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6"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56</w:t>
            </w:r>
          </w:p>
        </w:tc>
        <w:tc>
          <w:tcPr>
            <w:tcW w:w="144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无人机整机</w:t>
            </w:r>
          </w:p>
        </w:tc>
        <w:tc>
          <w:tcPr>
            <w:tcW w:w="3549"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四川</w:t>
            </w:r>
            <w:r>
              <w:rPr>
                <w:rFonts w:hint="eastAsia" w:ascii="宋体" w:hAnsi="宋体" w:eastAsia="宋体" w:cs="微软雅黑"/>
                <w:color w:val="auto"/>
                <w:kern w:val="0"/>
                <w:sz w:val="22"/>
              </w:rPr>
              <w:t>垚</w:t>
            </w:r>
            <w:r>
              <w:rPr>
                <w:rFonts w:hint="eastAsia" w:ascii="宋体" w:hAnsi="宋体" w:eastAsia="宋体" w:cs="仿宋_GB2312"/>
                <w:color w:val="auto"/>
                <w:kern w:val="0"/>
                <w:sz w:val="22"/>
              </w:rPr>
              <w:t>磊科技有限公司</w:t>
            </w:r>
          </w:p>
        </w:tc>
        <w:tc>
          <w:tcPr>
            <w:tcW w:w="156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四川绵阳</w:t>
            </w:r>
          </w:p>
        </w:tc>
        <w:tc>
          <w:tcPr>
            <w:tcW w:w="6754" w:type="dxa"/>
            <w:tcBorders>
              <w:top w:val="single" w:color="auto" w:sz="4" w:space="0"/>
              <w:left w:val="single" w:color="auto" w:sz="4" w:space="0"/>
              <w:bottom w:val="single" w:color="auto" w:sz="4" w:space="0"/>
              <w:right w:val="single" w:color="auto" w:sz="4" w:space="0"/>
            </w:tcBorders>
            <w:noWrap/>
            <w:vAlign w:val="center"/>
          </w:tcPr>
          <w:p>
            <w:pPr>
              <w:widowControl/>
              <w:rPr>
                <w:rFonts w:hint="eastAsia" w:ascii="宋体" w:hAnsi="宋体" w:eastAsia="宋体" w:cs="宋体"/>
                <w:color w:val="auto"/>
                <w:kern w:val="0"/>
                <w:sz w:val="22"/>
              </w:rPr>
            </w:pPr>
            <w:r>
              <w:rPr>
                <w:rFonts w:hint="eastAsia" w:ascii="宋体" w:hAnsi="宋体" w:eastAsia="宋体" w:cs="宋体"/>
                <w:color w:val="auto"/>
                <w:kern w:val="0"/>
                <w:sz w:val="22"/>
              </w:rPr>
              <w:t>无人机</w:t>
            </w:r>
          </w:p>
        </w:tc>
      </w:tr>
    </w:tbl>
    <w:p>
      <w:pPr>
        <w:rPr>
          <w:color w:val="auto"/>
        </w:rPr>
      </w:pPr>
    </w:p>
    <w:p>
      <w:pPr>
        <w:spacing w:before="312" w:beforeLines="100" w:after="156" w:afterLines="50"/>
        <w:jc w:val="center"/>
        <w:outlineLvl w:val="2"/>
        <w:rPr>
          <w:rFonts w:hint="eastAsia" w:ascii="黑体" w:hAnsi="黑体" w:eastAsia="黑体"/>
          <w:color w:val="auto"/>
          <w:sz w:val="24"/>
        </w:rPr>
      </w:pPr>
      <w:bookmarkStart w:id="266" w:name="_Toc220270499"/>
      <w:bookmarkStart w:id="267" w:name="_Toc12363"/>
      <w:r>
        <w:rPr>
          <w:rFonts w:hint="eastAsia" w:ascii="黑体" w:hAnsi="黑体" w:eastAsia="黑体"/>
          <w:color w:val="auto"/>
          <w:sz w:val="24"/>
        </w:rPr>
        <w:t>表1</w:t>
      </w:r>
      <w:r>
        <w:rPr>
          <w:rFonts w:ascii="黑体" w:hAnsi="黑体" w:eastAsia="黑体"/>
          <w:color w:val="auto"/>
          <w:sz w:val="24"/>
        </w:rPr>
        <w:t>-</w:t>
      </w:r>
      <w:r>
        <w:rPr>
          <w:rFonts w:hint="eastAsia" w:ascii="黑体" w:hAnsi="黑体" w:eastAsia="黑体"/>
          <w:color w:val="auto"/>
          <w:sz w:val="24"/>
        </w:rPr>
        <w:t>2</w:t>
      </w:r>
      <w:bookmarkEnd w:id="247"/>
      <w:bookmarkEnd w:id="248"/>
      <w:bookmarkEnd w:id="249"/>
      <w:bookmarkEnd w:id="261"/>
      <w:bookmarkStart w:id="268" w:name="_Toc191998624"/>
      <w:bookmarkStart w:id="269" w:name="_Toc192950385"/>
      <w:bookmarkStart w:id="270" w:name="_Toc196760051"/>
      <w:bookmarkStart w:id="271" w:name="_Toc192950325"/>
      <w:r>
        <w:rPr>
          <w:rFonts w:hint="eastAsia" w:ascii="黑体" w:hAnsi="黑体" w:eastAsia="黑体"/>
          <w:color w:val="auto"/>
          <w:sz w:val="24"/>
        </w:rPr>
        <w:t xml:space="preserve">  低空</w:t>
      </w:r>
      <w:bookmarkEnd w:id="268"/>
      <w:bookmarkEnd w:id="269"/>
      <w:bookmarkEnd w:id="270"/>
      <w:bookmarkEnd w:id="271"/>
      <w:r>
        <w:rPr>
          <w:rFonts w:hint="eastAsia" w:ascii="黑体" w:hAnsi="黑体" w:eastAsia="黑体"/>
          <w:color w:val="auto"/>
          <w:sz w:val="24"/>
        </w:rPr>
        <w:t>航空器材料制造</w:t>
      </w:r>
      <w:bookmarkEnd w:id="266"/>
      <w:bookmarkEnd w:id="267"/>
    </w:p>
    <w:tbl>
      <w:tblPr>
        <w:tblStyle w:val="23"/>
        <w:tblW w:w="139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6"/>
        <w:gridCol w:w="1440"/>
        <w:gridCol w:w="3549"/>
        <w:gridCol w:w="1560"/>
        <w:gridCol w:w="67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676" w:type="dxa"/>
            <w:noWrap/>
            <w:vAlign w:val="center"/>
          </w:tcPr>
          <w:p>
            <w:pPr>
              <w:widowControl/>
              <w:jc w:val="center"/>
              <w:rPr>
                <w:rFonts w:hint="eastAsia" w:ascii="黑体" w:hAnsi="黑体" w:eastAsia="黑体" w:cs="宋体"/>
                <w:color w:val="auto"/>
                <w:kern w:val="0"/>
                <w:sz w:val="22"/>
              </w:rPr>
            </w:pPr>
            <w:r>
              <w:rPr>
                <w:rFonts w:hint="eastAsia" w:ascii="黑体" w:hAnsi="黑体" w:eastAsia="黑体" w:cs="宋体"/>
                <w:color w:val="auto"/>
                <w:kern w:val="0"/>
                <w:sz w:val="22"/>
              </w:rPr>
              <w:t>序号</w:t>
            </w:r>
          </w:p>
        </w:tc>
        <w:tc>
          <w:tcPr>
            <w:tcW w:w="1440" w:type="dxa"/>
            <w:noWrap/>
            <w:vAlign w:val="center"/>
          </w:tcPr>
          <w:p>
            <w:pPr>
              <w:widowControl/>
              <w:jc w:val="center"/>
              <w:rPr>
                <w:rFonts w:hint="eastAsia" w:ascii="黑体" w:hAnsi="黑体" w:eastAsia="黑体" w:cs="宋体"/>
                <w:color w:val="auto"/>
                <w:kern w:val="0"/>
                <w:sz w:val="22"/>
              </w:rPr>
            </w:pPr>
            <w:r>
              <w:rPr>
                <w:rFonts w:hint="eastAsia" w:ascii="黑体" w:hAnsi="黑体" w:eastAsia="黑体" w:cs="宋体"/>
                <w:color w:val="auto"/>
                <w:kern w:val="0"/>
                <w:sz w:val="22"/>
              </w:rPr>
              <w:t>主要领域</w:t>
            </w:r>
          </w:p>
        </w:tc>
        <w:tc>
          <w:tcPr>
            <w:tcW w:w="3549" w:type="dxa"/>
            <w:noWrap/>
            <w:vAlign w:val="center"/>
          </w:tcPr>
          <w:p>
            <w:pPr>
              <w:widowControl/>
              <w:jc w:val="center"/>
              <w:rPr>
                <w:rFonts w:hint="eastAsia" w:ascii="黑体" w:hAnsi="黑体" w:eastAsia="黑体" w:cs="宋体"/>
                <w:color w:val="auto"/>
                <w:kern w:val="0"/>
                <w:sz w:val="22"/>
              </w:rPr>
            </w:pPr>
            <w:r>
              <w:rPr>
                <w:rFonts w:hint="eastAsia" w:ascii="黑体" w:hAnsi="黑体" w:eastAsia="黑体" w:cs="宋体"/>
                <w:color w:val="auto"/>
                <w:kern w:val="0"/>
                <w:sz w:val="22"/>
              </w:rPr>
              <w:t>企业名称</w:t>
            </w:r>
          </w:p>
        </w:tc>
        <w:tc>
          <w:tcPr>
            <w:tcW w:w="1560" w:type="dxa"/>
            <w:noWrap/>
            <w:vAlign w:val="center"/>
          </w:tcPr>
          <w:p>
            <w:pPr>
              <w:widowControl/>
              <w:jc w:val="center"/>
              <w:rPr>
                <w:rFonts w:hint="eastAsia" w:ascii="黑体" w:hAnsi="黑体" w:eastAsia="黑体" w:cs="宋体"/>
                <w:color w:val="auto"/>
                <w:kern w:val="0"/>
                <w:sz w:val="22"/>
              </w:rPr>
            </w:pPr>
            <w:r>
              <w:rPr>
                <w:rFonts w:hint="eastAsia" w:ascii="黑体" w:hAnsi="黑体" w:eastAsia="黑体" w:cs="宋体"/>
                <w:color w:val="auto"/>
                <w:kern w:val="0"/>
                <w:sz w:val="22"/>
              </w:rPr>
              <w:t>总部所在地</w:t>
            </w:r>
          </w:p>
        </w:tc>
        <w:tc>
          <w:tcPr>
            <w:tcW w:w="6754" w:type="dxa"/>
            <w:noWrap/>
            <w:vAlign w:val="center"/>
          </w:tcPr>
          <w:p>
            <w:pPr>
              <w:widowControl/>
              <w:jc w:val="center"/>
              <w:rPr>
                <w:rFonts w:hint="eastAsia" w:ascii="黑体" w:hAnsi="黑体" w:eastAsia="黑体" w:cs="宋体"/>
                <w:color w:val="auto"/>
                <w:kern w:val="0"/>
                <w:sz w:val="22"/>
              </w:rPr>
            </w:pPr>
            <w:r>
              <w:rPr>
                <w:rFonts w:hint="eastAsia" w:ascii="黑体" w:hAnsi="黑体" w:eastAsia="黑体" w:cs="宋体"/>
                <w:color w:val="auto"/>
                <w:kern w:val="0"/>
                <w:sz w:val="22"/>
              </w:rPr>
              <w:t>企业简介/主营方向/产品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6"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1</w:t>
            </w:r>
          </w:p>
        </w:tc>
        <w:tc>
          <w:tcPr>
            <w:tcW w:w="144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碳纤维</w:t>
            </w:r>
          </w:p>
        </w:tc>
        <w:tc>
          <w:tcPr>
            <w:tcW w:w="3549"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无锡威盛新材料科技有限公司</w:t>
            </w:r>
          </w:p>
        </w:tc>
        <w:tc>
          <w:tcPr>
            <w:tcW w:w="156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江苏无锡</w:t>
            </w:r>
          </w:p>
        </w:tc>
        <w:tc>
          <w:tcPr>
            <w:tcW w:w="6754" w:type="dxa"/>
            <w:tcBorders>
              <w:top w:val="single" w:color="auto" w:sz="4" w:space="0"/>
              <w:left w:val="single" w:color="auto" w:sz="4" w:space="0"/>
              <w:bottom w:val="single" w:color="auto" w:sz="4" w:space="0"/>
              <w:right w:val="single" w:color="auto" w:sz="4" w:space="0"/>
            </w:tcBorders>
            <w:noWrap/>
            <w:vAlign w:val="center"/>
          </w:tcPr>
          <w:p>
            <w:pPr>
              <w:widowControl/>
              <w:rPr>
                <w:rFonts w:hint="eastAsia" w:ascii="宋体" w:hAnsi="宋体" w:eastAsia="宋体" w:cs="宋体"/>
                <w:color w:val="auto"/>
                <w:kern w:val="0"/>
                <w:sz w:val="22"/>
              </w:rPr>
            </w:pPr>
            <w:r>
              <w:rPr>
                <w:rFonts w:hint="eastAsia" w:ascii="宋体" w:hAnsi="宋体" w:eastAsia="宋体" w:cs="宋体"/>
                <w:color w:val="auto"/>
                <w:kern w:val="0"/>
                <w:sz w:val="22"/>
              </w:rPr>
              <w:t>是一家集科研、生产加工碳纤维材料及制品于一体的科技型企业，总部位于江苏省无锡市。是长三角地区唯一一家以航空军工、医疗器械、轨道交通碳纤维制品成型为主的碳纤维厂家。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6"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2</w:t>
            </w:r>
          </w:p>
        </w:tc>
        <w:tc>
          <w:tcPr>
            <w:tcW w:w="144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碳纤维</w:t>
            </w:r>
          </w:p>
        </w:tc>
        <w:tc>
          <w:tcPr>
            <w:tcW w:w="3549"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卡奔碳纤维技术（东莞）有限公司</w:t>
            </w:r>
          </w:p>
        </w:tc>
        <w:tc>
          <w:tcPr>
            <w:tcW w:w="156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广东东莞</w:t>
            </w:r>
          </w:p>
        </w:tc>
        <w:tc>
          <w:tcPr>
            <w:tcW w:w="6754" w:type="dxa"/>
            <w:tcBorders>
              <w:top w:val="single" w:color="auto" w:sz="4" w:space="0"/>
              <w:left w:val="single" w:color="auto" w:sz="4" w:space="0"/>
              <w:bottom w:val="single" w:color="auto" w:sz="4" w:space="0"/>
              <w:right w:val="single" w:color="auto" w:sz="4" w:space="0"/>
            </w:tcBorders>
            <w:noWrap/>
            <w:vAlign w:val="center"/>
          </w:tcPr>
          <w:p>
            <w:pPr>
              <w:widowControl/>
              <w:rPr>
                <w:rFonts w:hint="eastAsia" w:ascii="宋体" w:hAnsi="宋体" w:eastAsia="宋体" w:cs="宋体"/>
                <w:color w:val="auto"/>
                <w:kern w:val="0"/>
                <w:sz w:val="22"/>
              </w:rPr>
            </w:pPr>
            <w:r>
              <w:rPr>
                <w:rFonts w:hint="eastAsia" w:ascii="宋体" w:hAnsi="宋体" w:eastAsia="宋体" w:cs="宋体"/>
                <w:color w:val="auto"/>
                <w:kern w:val="0"/>
                <w:sz w:val="22"/>
              </w:rPr>
              <w:t>致力于提供碳纤维轻量化解决方案，专注于航空、无人机、赛车、医疗以及军工领域，目前主要在产项目有碳纤维无人机，无人驾驶航空器，以及类似的航空复杂结构件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6"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3</w:t>
            </w:r>
          </w:p>
        </w:tc>
        <w:tc>
          <w:tcPr>
            <w:tcW w:w="144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碳纤维</w:t>
            </w:r>
          </w:p>
        </w:tc>
        <w:tc>
          <w:tcPr>
            <w:tcW w:w="3549"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广州金发碳纤维新材料发展有限公司</w:t>
            </w:r>
          </w:p>
        </w:tc>
        <w:tc>
          <w:tcPr>
            <w:tcW w:w="156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广东广州</w:t>
            </w:r>
          </w:p>
        </w:tc>
        <w:tc>
          <w:tcPr>
            <w:tcW w:w="6754" w:type="dxa"/>
            <w:tcBorders>
              <w:top w:val="single" w:color="auto" w:sz="4" w:space="0"/>
              <w:left w:val="single" w:color="auto" w:sz="4" w:space="0"/>
              <w:bottom w:val="single" w:color="auto" w:sz="4" w:space="0"/>
              <w:right w:val="single" w:color="auto" w:sz="4" w:space="0"/>
            </w:tcBorders>
            <w:noWrap/>
            <w:vAlign w:val="center"/>
          </w:tcPr>
          <w:p>
            <w:pPr>
              <w:widowControl/>
              <w:rPr>
                <w:rFonts w:hint="eastAsia" w:ascii="宋体" w:hAnsi="宋体" w:eastAsia="宋体" w:cs="宋体"/>
                <w:color w:val="auto"/>
                <w:kern w:val="0"/>
                <w:sz w:val="22"/>
              </w:rPr>
            </w:pPr>
            <w:r>
              <w:rPr>
                <w:rFonts w:hint="eastAsia" w:ascii="宋体" w:hAnsi="宋体" w:eastAsia="宋体" w:cs="宋体"/>
                <w:color w:val="auto"/>
                <w:kern w:val="0"/>
                <w:sz w:val="22"/>
              </w:rPr>
              <w:t>一家聚焦高性能新材料的科研、生产、销售和服务，为创造更加安全、舒适、便捷的人类生活提供全新的材料解决方案的新材料企业产品包括改性塑料、环保高性能再生塑料、完全生物降解塑料、特种工程塑料、碳纤维及复合材料、轻烃及氢能源、苯乙烯类树脂和医疗健康高分子材料产品等8大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6"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4</w:t>
            </w:r>
          </w:p>
        </w:tc>
        <w:tc>
          <w:tcPr>
            <w:tcW w:w="144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碳纤维</w:t>
            </w:r>
          </w:p>
        </w:tc>
        <w:tc>
          <w:tcPr>
            <w:tcW w:w="3549"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广州赛奥碳纤维技术股份有限公司</w:t>
            </w:r>
          </w:p>
        </w:tc>
        <w:tc>
          <w:tcPr>
            <w:tcW w:w="156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广东广州</w:t>
            </w:r>
          </w:p>
        </w:tc>
        <w:tc>
          <w:tcPr>
            <w:tcW w:w="6754" w:type="dxa"/>
            <w:tcBorders>
              <w:top w:val="single" w:color="auto" w:sz="4" w:space="0"/>
              <w:left w:val="single" w:color="auto" w:sz="4" w:space="0"/>
              <w:bottom w:val="single" w:color="auto" w:sz="4" w:space="0"/>
              <w:right w:val="single" w:color="auto" w:sz="4" w:space="0"/>
            </w:tcBorders>
            <w:noWrap/>
            <w:vAlign w:val="center"/>
          </w:tcPr>
          <w:p>
            <w:pPr>
              <w:widowControl/>
              <w:rPr>
                <w:rFonts w:hint="eastAsia" w:ascii="宋体" w:hAnsi="宋体" w:eastAsia="宋体" w:cs="宋体"/>
                <w:color w:val="auto"/>
                <w:kern w:val="0"/>
                <w:sz w:val="22"/>
              </w:rPr>
            </w:pPr>
            <w:r>
              <w:rPr>
                <w:rFonts w:hint="eastAsia" w:ascii="宋体" w:hAnsi="宋体" w:eastAsia="宋体" w:cs="宋体"/>
                <w:color w:val="auto"/>
                <w:kern w:val="0"/>
                <w:sz w:val="22"/>
              </w:rPr>
              <w:t>专注于碳纤维整套装备、高性能纤维关键装备的研发与制造，国内最具有技术水平和能力的成套设备供应商。生产碳纤维技术及装备、高性能纤维关键设备、复合材料关键装备，产品和技术广泛用于航空航天军工领域和民用无人机的结构件生产领域，以及消费品领域如碳纤维自行车、汽车、摩托车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6"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5</w:t>
            </w:r>
          </w:p>
        </w:tc>
        <w:tc>
          <w:tcPr>
            <w:tcW w:w="144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碳纤维</w:t>
            </w:r>
          </w:p>
        </w:tc>
        <w:tc>
          <w:tcPr>
            <w:tcW w:w="3549"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中简科技股份有限公司</w:t>
            </w:r>
          </w:p>
        </w:tc>
        <w:tc>
          <w:tcPr>
            <w:tcW w:w="156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江苏常州</w:t>
            </w:r>
          </w:p>
        </w:tc>
        <w:tc>
          <w:tcPr>
            <w:tcW w:w="6754" w:type="dxa"/>
            <w:tcBorders>
              <w:top w:val="single" w:color="auto" w:sz="4" w:space="0"/>
              <w:left w:val="single" w:color="auto" w:sz="4" w:space="0"/>
              <w:bottom w:val="single" w:color="auto" w:sz="4" w:space="0"/>
              <w:right w:val="single" w:color="auto" w:sz="4" w:space="0"/>
            </w:tcBorders>
            <w:noWrap/>
            <w:vAlign w:val="center"/>
          </w:tcPr>
          <w:p>
            <w:pPr>
              <w:widowControl/>
              <w:rPr>
                <w:rFonts w:hint="eastAsia" w:ascii="宋体" w:hAnsi="宋体" w:eastAsia="宋体" w:cs="宋体"/>
                <w:color w:val="auto"/>
                <w:kern w:val="0"/>
                <w:sz w:val="22"/>
              </w:rPr>
            </w:pPr>
            <w:r>
              <w:rPr>
                <w:rFonts w:hint="eastAsia" w:ascii="宋体" w:hAnsi="宋体" w:eastAsia="宋体" w:cs="宋体"/>
                <w:color w:val="auto"/>
                <w:kern w:val="0"/>
                <w:sz w:val="22"/>
              </w:rPr>
              <w:t>成立于2008年4月，最初为承担国家863项目“国产T700级碳纤维工程化建设”而创立。目前公司是专业从事高性能碳纤维及相关产品研发、生产、销售和技术服务的高新技术企业，主要产品为碳纤维及其织物，已率先实现了ZT7系列高性能碳纤维产品在国家航空航天关键系列装备的稳定批量应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6"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6</w:t>
            </w:r>
          </w:p>
        </w:tc>
        <w:tc>
          <w:tcPr>
            <w:tcW w:w="144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半导体</w:t>
            </w:r>
          </w:p>
        </w:tc>
        <w:tc>
          <w:tcPr>
            <w:tcW w:w="3549"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浙江兴森科技有限公司</w:t>
            </w:r>
          </w:p>
        </w:tc>
        <w:tc>
          <w:tcPr>
            <w:tcW w:w="156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浙江金华</w:t>
            </w:r>
          </w:p>
        </w:tc>
        <w:tc>
          <w:tcPr>
            <w:tcW w:w="6754" w:type="dxa"/>
            <w:tcBorders>
              <w:top w:val="single" w:color="auto" w:sz="4" w:space="0"/>
              <w:left w:val="single" w:color="auto" w:sz="4" w:space="0"/>
              <w:bottom w:val="single" w:color="auto" w:sz="4" w:space="0"/>
              <w:right w:val="single" w:color="auto" w:sz="4" w:space="0"/>
            </w:tcBorders>
            <w:noWrap/>
            <w:vAlign w:val="center"/>
          </w:tcPr>
          <w:p>
            <w:pPr>
              <w:widowControl/>
              <w:rPr>
                <w:rFonts w:hint="eastAsia" w:ascii="宋体" w:hAnsi="宋体" w:eastAsia="宋体" w:cs="宋体"/>
                <w:color w:val="auto"/>
                <w:kern w:val="0"/>
                <w:sz w:val="22"/>
              </w:rPr>
            </w:pPr>
            <w:r>
              <w:rPr>
                <w:rFonts w:hint="eastAsia" w:ascii="宋体" w:hAnsi="宋体" w:eastAsia="宋体" w:cs="宋体"/>
                <w:color w:val="auto"/>
                <w:kern w:val="0"/>
                <w:sz w:val="22"/>
              </w:rPr>
              <w:t>立足印制电路板制造服务，积极打造板卡业务、半导体业务、一站式业务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6"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7</w:t>
            </w:r>
          </w:p>
        </w:tc>
        <w:tc>
          <w:tcPr>
            <w:tcW w:w="144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半导体</w:t>
            </w:r>
          </w:p>
        </w:tc>
        <w:tc>
          <w:tcPr>
            <w:tcW w:w="3549"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广东巨风半导体有限公司</w:t>
            </w:r>
          </w:p>
        </w:tc>
        <w:tc>
          <w:tcPr>
            <w:tcW w:w="156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广东广州</w:t>
            </w:r>
          </w:p>
        </w:tc>
        <w:tc>
          <w:tcPr>
            <w:tcW w:w="6754" w:type="dxa"/>
            <w:tcBorders>
              <w:top w:val="single" w:color="auto" w:sz="4" w:space="0"/>
              <w:left w:val="single" w:color="auto" w:sz="4" w:space="0"/>
              <w:bottom w:val="single" w:color="auto" w:sz="4" w:space="0"/>
              <w:right w:val="single" w:color="auto" w:sz="4" w:space="0"/>
            </w:tcBorders>
            <w:noWrap/>
            <w:vAlign w:val="center"/>
          </w:tcPr>
          <w:p>
            <w:pPr>
              <w:widowControl/>
              <w:rPr>
                <w:rFonts w:hint="eastAsia" w:ascii="宋体" w:hAnsi="宋体" w:eastAsia="宋体" w:cs="宋体"/>
                <w:color w:val="auto"/>
                <w:kern w:val="0"/>
                <w:sz w:val="22"/>
              </w:rPr>
            </w:pPr>
            <w:r>
              <w:rPr>
                <w:rFonts w:hint="eastAsia" w:ascii="宋体" w:hAnsi="宋体" w:eastAsia="宋体" w:cs="宋体"/>
                <w:color w:val="auto"/>
                <w:kern w:val="0"/>
                <w:sz w:val="22"/>
              </w:rPr>
              <w:t>国内唯一一家自主研发全系列的驱动IC和IGBT的功率半导体企业。公司自主研发实力雄厚，拥有多项知识产权专利。产品已成功应用于白色家电、工业变频、汽车系统、飞行器系统等众多领域。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6"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9</w:t>
            </w:r>
          </w:p>
        </w:tc>
        <w:tc>
          <w:tcPr>
            <w:tcW w:w="144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半导体</w:t>
            </w:r>
          </w:p>
        </w:tc>
        <w:tc>
          <w:tcPr>
            <w:tcW w:w="3549"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深圳赛朗格科技有限公司</w:t>
            </w:r>
          </w:p>
        </w:tc>
        <w:tc>
          <w:tcPr>
            <w:tcW w:w="156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广东深圳</w:t>
            </w:r>
          </w:p>
        </w:tc>
        <w:tc>
          <w:tcPr>
            <w:tcW w:w="6754" w:type="dxa"/>
            <w:tcBorders>
              <w:top w:val="single" w:color="auto" w:sz="4" w:space="0"/>
              <w:left w:val="single" w:color="auto" w:sz="4" w:space="0"/>
              <w:bottom w:val="single" w:color="auto" w:sz="4" w:space="0"/>
              <w:right w:val="single" w:color="auto" w:sz="4" w:space="0"/>
            </w:tcBorders>
            <w:noWrap/>
            <w:vAlign w:val="center"/>
          </w:tcPr>
          <w:p>
            <w:pPr>
              <w:widowControl/>
              <w:rPr>
                <w:rFonts w:hint="eastAsia" w:ascii="宋体" w:hAnsi="宋体" w:eastAsia="宋体" w:cs="宋体"/>
                <w:color w:val="auto"/>
                <w:kern w:val="0"/>
                <w:sz w:val="22"/>
              </w:rPr>
            </w:pPr>
            <w:r>
              <w:rPr>
                <w:rFonts w:hint="eastAsia" w:ascii="宋体" w:hAnsi="宋体" w:eastAsia="宋体" w:cs="宋体"/>
                <w:color w:val="auto"/>
                <w:kern w:val="0"/>
                <w:sz w:val="22"/>
              </w:rPr>
              <w:t>是中国半导体照明工程研发及产业联盟的会员单位，赛郎格是多功能飞行器、航拍飞行器等产品专业生产加工的公司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6"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10</w:t>
            </w:r>
          </w:p>
        </w:tc>
        <w:tc>
          <w:tcPr>
            <w:tcW w:w="144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电子元器件</w:t>
            </w:r>
          </w:p>
        </w:tc>
        <w:tc>
          <w:tcPr>
            <w:tcW w:w="3549"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bookmarkStart w:id="272" w:name="_Hlk172036755"/>
            <w:r>
              <w:rPr>
                <w:rFonts w:hint="eastAsia" w:ascii="宋体" w:hAnsi="宋体" w:eastAsia="宋体" w:cs="宋体"/>
                <w:color w:val="auto"/>
                <w:kern w:val="0"/>
                <w:sz w:val="22"/>
              </w:rPr>
              <w:t>成都普若博智能科技有限公司</w:t>
            </w:r>
            <w:bookmarkEnd w:id="272"/>
          </w:p>
        </w:tc>
        <w:tc>
          <w:tcPr>
            <w:tcW w:w="156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四川成都</w:t>
            </w:r>
          </w:p>
        </w:tc>
        <w:tc>
          <w:tcPr>
            <w:tcW w:w="6754" w:type="dxa"/>
            <w:tcBorders>
              <w:top w:val="single" w:color="auto" w:sz="4" w:space="0"/>
              <w:left w:val="single" w:color="auto" w:sz="4" w:space="0"/>
              <w:bottom w:val="single" w:color="auto" w:sz="4" w:space="0"/>
              <w:right w:val="single" w:color="auto" w:sz="4" w:space="0"/>
            </w:tcBorders>
            <w:noWrap/>
            <w:vAlign w:val="center"/>
          </w:tcPr>
          <w:p>
            <w:pPr>
              <w:widowControl/>
              <w:rPr>
                <w:rFonts w:hint="eastAsia" w:ascii="宋体" w:hAnsi="宋体" w:eastAsia="宋体" w:cs="宋体"/>
                <w:color w:val="auto"/>
                <w:kern w:val="0"/>
                <w:sz w:val="22"/>
              </w:rPr>
            </w:pPr>
            <w:r>
              <w:rPr>
                <w:rFonts w:hint="eastAsia" w:ascii="宋体" w:hAnsi="宋体" w:eastAsia="宋体" w:cs="宋体"/>
                <w:color w:val="auto"/>
                <w:kern w:val="0"/>
                <w:sz w:val="22"/>
              </w:rPr>
              <w:t>无人机系统服务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6"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12</w:t>
            </w:r>
          </w:p>
        </w:tc>
        <w:tc>
          <w:tcPr>
            <w:tcW w:w="144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电子元器件</w:t>
            </w:r>
          </w:p>
        </w:tc>
        <w:tc>
          <w:tcPr>
            <w:tcW w:w="3549"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深圳市飞米机器人科技有限公司</w:t>
            </w:r>
          </w:p>
        </w:tc>
        <w:tc>
          <w:tcPr>
            <w:tcW w:w="156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广东深圳</w:t>
            </w:r>
          </w:p>
        </w:tc>
        <w:tc>
          <w:tcPr>
            <w:tcW w:w="6754" w:type="dxa"/>
            <w:tcBorders>
              <w:top w:val="single" w:color="auto" w:sz="4" w:space="0"/>
              <w:left w:val="single" w:color="auto" w:sz="4" w:space="0"/>
              <w:bottom w:val="single" w:color="auto" w:sz="4" w:space="0"/>
              <w:right w:val="single" w:color="auto" w:sz="4" w:space="0"/>
            </w:tcBorders>
            <w:noWrap/>
            <w:vAlign w:val="center"/>
          </w:tcPr>
          <w:p>
            <w:pPr>
              <w:widowControl/>
              <w:rPr>
                <w:rFonts w:hint="eastAsia" w:ascii="宋体" w:hAnsi="宋体" w:eastAsia="宋体" w:cs="宋体"/>
                <w:color w:val="auto"/>
                <w:kern w:val="0"/>
                <w:sz w:val="22"/>
              </w:rPr>
            </w:pPr>
            <w:r>
              <w:rPr>
                <w:rFonts w:hint="eastAsia" w:ascii="宋体" w:hAnsi="宋体" w:eastAsia="宋体" w:cs="宋体"/>
                <w:color w:val="auto"/>
                <w:kern w:val="0"/>
                <w:sz w:val="22"/>
              </w:rPr>
              <w:t>电子设备、通信设备与自动控制设备、电子元器件、无线电数据传输系统及应用的技术开发、设计及销售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6"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13</w:t>
            </w:r>
          </w:p>
        </w:tc>
        <w:tc>
          <w:tcPr>
            <w:tcW w:w="144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电子元器件</w:t>
            </w:r>
          </w:p>
        </w:tc>
        <w:tc>
          <w:tcPr>
            <w:tcW w:w="3549"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深圳市欧姆威电子科技有限公司</w:t>
            </w:r>
          </w:p>
        </w:tc>
        <w:tc>
          <w:tcPr>
            <w:tcW w:w="156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广东深圳</w:t>
            </w:r>
          </w:p>
        </w:tc>
        <w:tc>
          <w:tcPr>
            <w:tcW w:w="6754" w:type="dxa"/>
            <w:tcBorders>
              <w:top w:val="single" w:color="auto" w:sz="4" w:space="0"/>
              <w:left w:val="single" w:color="auto" w:sz="4" w:space="0"/>
              <w:bottom w:val="single" w:color="auto" w:sz="4" w:space="0"/>
              <w:right w:val="single" w:color="auto" w:sz="4" w:space="0"/>
            </w:tcBorders>
            <w:noWrap/>
            <w:vAlign w:val="center"/>
          </w:tcPr>
          <w:p>
            <w:pPr>
              <w:widowControl/>
              <w:rPr>
                <w:rFonts w:hint="eastAsia" w:ascii="宋体" w:hAnsi="宋体" w:eastAsia="宋体" w:cs="宋体"/>
                <w:color w:val="auto"/>
                <w:kern w:val="0"/>
                <w:sz w:val="22"/>
              </w:rPr>
            </w:pPr>
            <w:r>
              <w:rPr>
                <w:rFonts w:hint="eastAsia" w:ascii="宋体" w:hAnsi="宋体" w:eastAsia="宋体" w:cs="宋体"/>
                <w:color w:val="auto"/>
                <w:kern w:val="0"/>
                <w:sz w:val="22"/>
              </w:rPr>
              <w:t>电子产品(数据链路系统)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6"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14</w:t>
            </w:r>
          </w:p>
        </w:tc>
        <w:tc>
          <w:tcPr>
            <w:tcW w:w="144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电子元器件</w:t>
            </w:r>
          </w:p>
        </w:tc>
        <w:tc>
          <w:tcPr>
            <w:tcW w:w="3549"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成都振芯科技股份有限公司</w:t>
            </w:r>
          </w:p>
        </w:tc>
        <w:tc>
          <w:tcPr>
            <w:tcW w:w="156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四川成都</w:t>
            </w:r>
          </w:p>
        </w:tc>
        <w:tc>
          <w:tcPr>
            <w:tcW w:w="6754" w:type="dxa"/>
            <w:tcBorders>
              <w:top w:val="single" w:color="auto" w:sz="4" w:space="0"/>
              <w:left w:val="single" w:color="auto" w:sz="4" w:space="0"/>
              <w:bottom w:val="single" w:color="auto" w:sz="4" w:space="0"/>
              <w:right w:val="single" w:color="auto" w:sz="4" w:space="0"/>
            </w:tcBorders>
            <w:noWrap/>
            <w:vAlign w:val="center"/>
          </w:tcPr>
          <w:p>
            <w:pPr>
              <w:widowControl/>
              <w:rPr>
                <w:rFonts w:hint="eastAsia" w:ascii="宋体" w:hAnsi="宋体" w:eastAsia="宋体" w:cs="宋体"/>
                <w:color w:val="auto"/>
                <w:kern w:val="0"/>
                <w:sz w:val="22"/>
              </w:rPr>
            </w:pPr>
            <w:r>
              <w:rPr>
                <w:rFonts w:hint="eastAsia" w:ascii="宋体" w:hAnsi="宋体" w:eastAsia="宋体" w:cs="宋体"/>
                <w:color w:val="auto"/>
                <w:kern w:val="0"/>
                <w:sz w:val="22"/>
              </w:rPr>
              <w:t>集成电路、微波组件及相关电子器件产品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6"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15</w:t>
            </w:r>
          </w:p>
        </w:tc>
        <w:tc>
          <w:tcPr>
            <w:tcW w:w="144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电子元器件</w:t>
            </w:r>
          </w:p>
        </w:tc>
        <w:tc>
          <w:tcPr>
            <w:tcW w:w="3549"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成都玛尔斯科仿真科技有限公司</w:t>
            </w:r>
          </w:p>
        </w:tc>
        <w:tc>
          <w:tcPr>
            <w:tcW w:w="156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四川成都</w:t>
            </w:r>
          </w:p>
        </w:tc>
        <w:tc>
          <w:tcPr>
            <w:tcW w:w="6754" w:type="dxa"/>
            <w:tcBorders>
              <w:top w:val="single" w:color="auto" w:sz="4" w:space="0"/>
              <w:left w:val="single" w:color="auto" w:sz="4" w:space="0"/>
              <w:bottom w:val="single" w:color="auto" w:sz="4" w:space="0"/>
              <w:right w:val="single" w:color="auto" w:sz="4" w:space="0"/>
            </w:tcBorders>
            <w:noWrap/>
            <w:vAlign w:val="center"/>
          </w:tcPr>
          <w:p>
            <w:pPr>
              <w:widowControl/>
              <w:rPr>
                <w:rFonts w:hint="eastAsia" w:ascii="宋体" w:hAnsi="宋体" w:eastAsia="宋体" w:cs="宋体"/>
                <w:color w:val="auto"/>
                <w:kern w:val="0"/>
                <w:sz w:val="22"/>
              </w:rPr>
            </w:pPr>
            <w:r>
              <w:rPr>
                <w:rFonts w:hint="eastAsia" w:ascii="宋体" w:hAnsi="宋体" w:eastAsia="宋体" w:cs="宋体"/>
                <w:color w:val="auto"/>
                <w:kern w:val="0"/>
                <w:sz w:val="22"/>
              </w:rPr>
              <w:t>仿真软件产品及服务，是成都某链主企业的配套商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6"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16</w:t>
            </w:r>
          </w:p>
        </w:tc>
        <w:tc>
          <w:tcPr>
            <w:tcW w:w="144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电子元器件</w:t>
            </w:r>
          </w:p>
        </w:tc>
        <w:tc>
          <w:tcPr>
            <w:tcW w:w="3549"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成都爱乐达航空制造股份有限公司</w:t>
            </w:r>
          </w:p>
        </w:tc>
        <w:tc>
          <w:tcPr>
            <w:tcW w:w="156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四川成都</w:t>
            </w:r>
          </w:p>
        </w:tc>
        <w:tc>
          <w:tcPr>
            <w:tcW w:w="6754" w:type="dxa"/>
            <w:tcBorders>
              <w:top w:val="single" w:color="auto" w:sz="4" w:space="0"/>
              <w:left w:val="single" w:color="auto" w:sz="4" w:space="0"/>
              <w:bottom w:val="single" w:color="auto" w:sz="4" w:space="0"/>
              <w:right w:val="single" w:color="auto" w:sz="4" w:space="0"/>
            </w:tcBorders>
            <w:noWrap/>
            <w:vAlign w:val="center"/>
          </w:tcPr>
          <w:p>
            <w:pPr>
              <w:widowControl/>
              <w:rPr>
                <w:rFonts w:hint="eastAsia" w:ascii="宋体" w:hAnsi="宋体" w:eastAsia="宋体" w:cs="宋体"/>
                <w:color w:val="auto"/>
                <w:kern w:val="0"/>
                <w:sz w:val="22"/>
              </w:rPr>
            </w:pPr>
            <w:r>
              <w:rPr>
                <w:rFonts w:hint="eastAsia" w:ascii="宋体" w:hAnsi="宋体" w:eastAsia="宋体" w:cs="宋体"/>
                <w:color w:val="auto"/>
                <w:kern w:val="0"/>
                <w:sz w:val="22"/>
              </w:rPr>
              <w:t>军用飞机和民用客机零部件的精密加工业务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6"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20</w:t>
            </w:r>
          </w:p>
        </w:tc>
        <w:tc>
          <w:tcPr>
            <w:tcW w:w="144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复合材料</w:t>
            </w:r>
          </w:p>
        </w:tc>
        <w:tc>
          <w:tcPr>
            <w:tcW w:w="3549"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深圳市沃特新材料股份有限公司</w:t>
            </w:r>
          </w:p>
        </w:tc>
        <w:tc>
          <w:tcPr>
            <w:tcW w:w="156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广东深圳</w:t>
            </w:r>
          </w:p>
        </w:tc>
        <w:tc>
          <w:tcPr>
            <w:tcW w:w="6754" w:type="dxa"/>
            <w:tcBorders>
              <w:top w:val="single" w:color="auto" w:sz="4" w:space="0"/>
              <w:left w:val="single" w:color="auto" w:sz="4" w:space="0"/>
              <w:bottom w:val="single" w:color="auto" w:sz="4" w:space="0"/>
              <w:right w:val="single" w:color="auto" w:sz="4" w:space="0"/>
            </w:tcBorders>
            <w:noWrap/>
            <w:vAlign w:val="center"/>
          </w:tcPr>
          <w:p>
            <w:pPr>
              <w:widowControl/>
              <w:rPr>
                <w:rFonts w:hint="eastAsia" w:ascii="宋体" w:hAnsi="宋体" w:eastAsia="宋体" w:cs="宋体"/>
                <w:color w:val="auto"/>
                <w:kern w:val="0"/>
                <w:sz w:val="22"/>
              </w:rPr>
            </w:pPr>
            <w:r>
              <w:rPr>
                <w:rFonts w:hint="eastAsia" w:ascii="宋体" w:hAnsi="宋体" w:eastAsia="宋体" w:cs="宋体"/>
                <w:color w:val="auto"/>
                <w:kern w:val="0"/>
                <w:sz w:val="22"/>
              </w:rPr>
              <w:t>大疆创新核心复合材料供应商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6"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21</w:t>
            </w:r>
          </w:p>
        </w:tc>
        <w:tc>
          <w:tcPr>
            <w:tcW w:w="144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复合材料</w:t>
            </w:r>
          </w:p>
        </w:tc>
        <w:tc>
          <w:tcPr>
            <w:tcW w:w="3549"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湖南博云新材料股份有限公司</w:t>
            </w:r>
          </w:p>
        </w:tc>
        <w:tc>
          <w:tcPr>
            <w:tcW w:w="156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湖南长沙</w:t>
            </w:r>
          </w:p>
        </w:tc>
        <w:tc>
          <w:tcPr>
            <w:tcW w:w="6754" w:type="dxa"/>
            <w:tcBorders>
              <w:top w:val="single" w:color="auto" w:sz="4" w:space="0"/>
              <w:left w:val="single" w:color="auto" w:sz="4" w:space="0"/>
              <w:bottom w:val="single" w:color="auto" w:sz="4" w:space="0"/>
              <w:right w:val="single" w:color="auto" w:sz="4" w:space="0"/>
            </w:tcBorders>
            <w:noWrap/>
            <w:vAlign w:val="center"/>
          </w:tcPr>
          <w:p>
            <w:pPr>
              <w:widowControl/>
              <w:rPr>
                <w:rFonts w:hint="eastAsia" w:ascii="宋体" w:hAnsi="宋体" w:eastAsia="宋体" w:cs="宋体"/>
                <w:color w:val="auto"/>
                <w:kern w:val="0"/>
                <w:sz w:val="22"/>
              </w:rPr>
            </w:pPr>
            <w:r>
              <w:rPr>
                <w:rFonts w:hint="eastAsia" w:ascii="宋体" w:hAnsi="宋体" w:eastAsia="宋体" w:cs="宋体"/>
                <w:color w:val="auto"/>
                <w:kern w:val="0"/>
                <w:sz w:val="22"/>
              </w:rPr>
              <w:t>航空航天及民用炭\炭复合材料、汽车刹车和粉末冶金材料的研发、生产和销售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6"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22</w:t>
            </w:r>
          </w:p>
        </w:tc>
        <w:tc>
          <w:tcPr>
            <w:tcW w:w="144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复合材料</w:t>
            </w:r>
          </w:p>
        </w:tc>
        <w:tc>
          <w:tcPr>
            <w:tcW w:w="3549"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江苏立美航材科技有限公司</w:t>
            </w:r>
          </w:p>
        </w:tc>
        <w:tc>
          <w:tcPr>
            <w:tcW w:w="156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江苏无锡</w:t>
            </w:r>
          </w:p>
        </w:tc>
        <w:tc>
          <w:tcPr>
            <w:tcW w:w="6754" w:type="dxa"/>
            <w:tcBorders>
              <w:top w:val="single" w:color="auto" w:sz="4" w:space="0"/>
              <w:left w:val="single" w:color="auto" w:sz="4" w:space="0"/>
              <w:bottom w:val="single" w:color="auto" w:sz="4" w:space="0"/>
              <w:right w:val="single" w:color="auto" w:sz="4" w:space="0"/>
            </w:tcBorders>
            <w:noWrap/>
            <w:vAlign w:val="center"/>
          </w:tcPr>
          <w:p>
            <w:pPr>
              <w:widowControl/>
              <w:rPr>
                <w:rFonts w:hint="eastAsia" w:ascii="宋体" w:hAnsi="宋体" w:eastAsia="宋体" w:cs="宋体"/>
                <w:color w:val="auto"/>
                <w:kern w:val="0"/>
                <w:sz w:val="22"/>
              </w:rPr>
            </w:pPr>
            <w:r>
              <w:rPr>
                <w:rFonts w:hint="eastAsia" w:ascii="宋体" w:hAnsi="宋体" w:eastAsia="宋体" w:cs="宋体"/>
                <w:color w:val="auto"/>
                <w:kern w:val="0"/>
                <w:sz w:val="22"/>
              </w:rPr>
              <w:t>以研发、生产镁锂、镁稀土等镁基合金铸锭及其复合材料、型材、板材、带材、复杂结构镁基合金压铸件为主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6"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28</w:t>
            </w:r>
          </w:p>
        </w:tc>
        <w:tc>
          <w:tcPr>
            <w:tcW w:w="144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复合材料</w:t>
            </w:r>
          </w:p>
        </w:tc>
        <w:tc>
          <w:tcPr>
            <w:tcW w:w="3549"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通用电气航空(苏州)有限公司</w:t>
            </w:r>
          </w:p>
        </w:tc>
        <w:tc>
          <w:tcPr>
            <w:tcW w:w="156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江苏苏州</w:t>
            </w:r>
          </w:p>
        </w:tc>
        <w:tc>
          <w:tcPr>
            <w:tcW w:w="6754" w:type="dxa"/>
            <w:tcBorders>
              <w:top w:val="single" w:color="auto" w:sz="4" w:space="0"/>
              <w:left w:val="single" w:color="auto" w:sz="4" w:space="0"/>
              <w:bottom w:val="single" w:color="auto" w:sz="4" w:space="0"/>
              <w:right w:val="single" w:color="auto" w:sz="4" w:space="0"/>
            </w:tcBorders>
            <w:noWrap/>
            <w:vAlign w:val="center"/>
          </w:tcPr>
          <w:p>
            <w:pPr>
              <w:widowControl/>
              <w:rPr>
                <w:rFonts w:hint="eastAsia" w:ascii="宋体" w:hAnsi="宋体" w:eastAsia="宋体" w:cs="宋体"/>
                <w:color w:val="auto"/>
                <w:kern w:val="0"/>
                <w:sz w:val="22"/>
              </w:rPr>
            </w:pPr>
            <w:r>
              <w:rPr>
                <w:rFonts w:hint="eastAsia" w:ascii="宋体" w:hAnsi="宋体" w:eastAsia="宋体" w:cs="宋体"/>
                <w:color w:val="auto"/>
                <w:kern w:val="0"/>
                <w:sz w:val="22"/>
              </w:rPr>
              <w:t>飞机发动机零部件加工：飞机复合材料。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6"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29</w:t>
            </w:r>
          </w:p>
        </w:tc>
        <w:tc>
          <w:tcPr>
            <w:tcW w:w="144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复合材料</w:t>
            </w:r>
          </w:p>
        </w:tc>
        <w:tc>
          <w:tcPr>
            <w:tcW w:w="3549"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江苏恒神股份有限公司</w:t>
            </w:r>
          </w:p>
        </w:tc>
        <w:tc>
          <w:tcPr>
            <w:tcW w:w="156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江苏丹阳</w:t>
            </w:r>
          </w:p>
        </w:tc>
        <w:tc>
          <w:tcPr>
            <w:tcW w:w="6754" w:type="dxa"/>
            <w:tcBorders>
              <w:top w:val="single" w:color="auto" w:sz="4" w:space="0"/>
              <w:left w:val="single" w:color="auto" w:sz="4" w:space="0"/>
              <w:bottom w:val="single" w:color="auto" w:sz="4" w:space="0"/>
              <w:right w:val="single" w:color="auto" w:sz="4" w:space="0"/>
            </w:tcBorders>
            <w:noWrap/>
            <w:vAlign w:val="center"/>
          </w:tcPr>
          <w:p>
            <w:pPr>
              <w:widowControl/>
              <w:rPr>
                <w:rFonts w:hint="eastAsia" w:ascii="宋体" w:hAnsi="宋体" w:eastAsia="宋体" w:cs="宋体"/>
                <w:color w:val="auto"/>
                <w:kern w:val="0"/>
                <w:sz w:val="22"/>
              </w:rPr>
            </w:pPr>
            <w:r>
              <w:rPr>
                <w:rFonts w:hint="eastAsia" w:ascii="宋体" w:hAnsi="宋体" w:eastAsia="宋体" w:cs="宋体"/>
                <w:color w:val="auto"/>
                <w:kern w:val="0"/>
                <w:sz w:val="22"/>
              </w:rPr>
              <w:t>碳纤维及其复合材料.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6"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30</w:t>
            </w:r>
          </w:p>
        </w:tc>
        <w:tc>
          <w:tcPr>
            <w:tcW w:w="144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复合材料</w:t>
            </w:r>
          </w:p>
        </w:tc>
        <w:tc>
          <w:tcPr>
            <w:tcW w:w="3549"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西安钢研功能材料股份有限公司</w:t>
            </w:r>
          </w:p>
        </w:tc>
        <w:tc>
          <w:tcPr>
            <w:tcW w:w="156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陕西西安</w:t>
            </w:r>
          </w:p>
        </w:tc>
        <w:tc>
          <w:tcPr>
            <w:tcW w:w="6754" w:type="dxa"/>
            <w:tcBorders>
              <w:top w:val="single" w:color="auto" w:sz="4" w:space="0"/>
              <w:left w:val="single" w:color="auto" w:sz="4" w:space="0"/>
              <w:bottom w:val="single" w:color="auto" w:sz="4" w:space="0"/>
              <w:right w:val="single" w:color="auto" w:sz="4" w:space="0"/>
            </w:tcBorders>
            <w:noWrap/>
            <w:vAlign w:val="center"/>
          </w:tcPr>
          <w:p>
            <w:pPr>
              <w:rPr>
                <w:rFonts w:hint="eastAsia" w:ascii="宋体" w:hAnsi="宋体" w:eastAsia="宋体" w:cs="宋体"/>
                <w:color w:val="auto"/>
                <w:kern w:val="0"/>
                <w:sz w:val="22"/>
              </w:rPr>
            </w:pPr>
            <w:r>
              <w:rPr>
                <w:rFonts w:hint="eastAsia" w:ascii="宋体" w:hAnsi="宋体" w:eastAsia="宋体" w:cs="宋体"/>
                <w:color w:val="auto"/>
                <w:kern w:val="0"/>
                <w:sz w:val="22"/>
              </w:rPr>
              <w:t>精密合金，高温合金</w:t>
            </w:r>
          </w:p>
        </w:tc>
      </w:tr>
    </w:tbl>
    <w:p>
      <w:pPr>
        <w:spacing w:before="312" w:beforeLines="100" w:after="156" w:afterLines="50"/>
        <w:jc w:val="center"/>
        <w:outlineLvl w:val="2"/>
        <w:rPr>
          <w:rFonts w:hint="eastAsia" w:ascii="黑体" w:hAnsi="黑体" w:eastAsia="黑体"/>
          <w:color w:val="auto"/>
          <w:sz w:val="24"/>
        </w:rPr>
      </w:pPr>
      <w:bookmarkStart w:id="273" w:name="_Toc192950387"/>
      <w:bookmarkStart w:id="274" w:name="_Toc196760053"/>
      <w:bookmarkStart w:id="275" w:name="_Toc192950327"/>
      <w:bookmarkStart w:id="276" w:name="_Toc191998626"/>
      <w:bookmarkStart w:id="277" w:name="_Toc25225"/>
      <w:bookmarkStart w:id="278" w:name="_Toc220270500"/>
      <w:r>
        <w:rPr>
          <w:rFonts w:hint="eastAsia" w:ascii="黑体" w:hAnsi="黑体" w:eastAsia="黑体"/>
          <w:color w:val="auto"/>
          <w:sz w:val="24"/>
        </w:rPr>
        <w:t xml:space="preserve">表1-3 </w:t>
      </w:r>
      <w:bookmarkEnd w:id="273"/>
      <w:bookmarkEnd w:id="274"/>
      <w:bookmarkEnd w:id="275"/>
      <w:bookmarkEnd w:id="276"/>
      <w:r>
        <w:rPr>
          <w:rFonts w:hint="eastAsia" w:ascii="黑体" w:hAnsi="黑体" w:eastAsia="黑体"/>
          <w:color w:val="auto"/>
          <w:sz w:val="24"/>
        </w:rPr>
        <w:t xml:space="preserve"> </w:t>
      </w:r>
      <w:r>
        <w:rPr>
          <w:rFonts w:ascii="黑体" w:hAnsi="黑体" w:eastAsia="黑体"/>
          <w:color w:val="auto"/>
          <w:sz w:val="24"/>
        </w:rPr>
        <w:t>低空航空器材及零配件制造</w:t>
      </w:r>
      <w:bookmarkEnd w:id="277"/>
      <w:bookmarkEnd w:id="278"/>
    </w:p>
    <w:tbl>
      <w:tblPr>
        <w:tblStyle w:val="23"/>
        <w:tblW w:w="139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6"/>
        <w:gridCol w:w="1440"/>
        <w:gridCol w:w="6"/>
        <w:gridCol w:w="3543"/>
        <w:gridCol w:w="1560"/>
        <w:gridCol w:w="67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676" w:type="dxa"/>
            <w:noWrap/>
            <w:vAlign w:val="center"/>
          </w:tcPr>
          <w:p>
            <w:pPr>
              <w:widowControl/>
              <w:jc w:val="center"/>
              <w:rPr>
                <w:rFonts w:hint="eastAsia" w:ascii="黑体" w:hAnsi="黑体" w:eastAsia="黑体" w:cs="宋体"/>
                <w:color w:val="auto"/>
                <w:kern w:val="0"/>
                <w:sz w:val="22"/>
              </w:rPr>
            </w:pPr>
            <w:r>
              <w:rPr>
                <w:rFonts w:hint="eastAsia" w:ascii="黑体" w:hAnsi="黑体" w:eastAsia="黑体" w:cs="宋体"/>
                <w:color w:val="auto"/>
                <w:kern w:val="0"/>
                <w:sz w:val="22"/>
              </w:rPr>
              <w:t>序号</w:t>
            </w:r>
          </w:p>
        </w:tc>
        <w:tc>
          <w:tcPr>
            <w:tcW w:w="1440" w:type="dxa"/>
            <w:noWrap/>
            <w:vAlign w:val="center"/>
          </w:tcPr>
          <w:p>
            <w:pPr>
              <w:widowControl/>
              <w:jc w:val="center"/>
              <w:rPr>
                <w:rFonts w:hint="eastAsia" w:ascii="黑体" w:hAnsi="黑体" w:eastAsia="黑体" w:cs="宋体"/>
                <w:color w:val="auto"/>
                <w:kern w:val="0"/>
                <w:sz w:val="22"/>
              </w:rPr>
            </w:pPr>
            <w:r>
              <w:rPr>
                <w:rFonts w:hint="eastAsia" w:ascii="黑体" w:hAnsi="黑体" w:eastAsia="黑体" w:cs="宋体"/>
                <w:color w:val="auto"/>
                <w:kern w:val="0"/>
                <w:sz w:val="22"/>
              </w:rPr>
              <w:t>主要领域</w:t>
            </w:r>
          </w:p>
        </w:tc>
        <w:tc>
          <w:tcPr>
            <w:tcW w:w="3549" w:type="dxa"/>
            <w:gridSpan w:val="2"/>
            <w:noWrap/>
            <w:vAlign w:val="center"/>
          </w:tcPr>
          <w:p>
            <w:pPr>
              <w:widowControl/>
              <w:jc w:val="center"/>
              <w:rPr>
                <w:rFonts w:hint="eastAsia" w:ascii="黑体" w:hAnsi="黑体" w:eastAsia="黑体" w:cs="宋体"/>
                <w:color w:val="auto"/>
                <w:kern w:val="0"/>
                <w:sz w:val="22"/>
              </w:rPr>
            </w:pPr>
            <w:r>
              <w:rPr>
                <w:rFonts w:hint="eastAsia" w:ascii="黑体" w:hAnsi="黑体" w:eastAsia="黑体" w:cs="宋体"/>
                <w:color w:val="auto"/>
                <w:kern w:val="0"/>
                <w:sz w:val="22"/>
              </w:rPr>
              <w:t>企业名称</w:t>
            </w:r>
          </w:p>
        </w:tc>
        <w:tc>
          <w:tcPr>
            <w:tcW w:w="1560" w:type="dxa"/>
            <w:noWrap/>
            <w:vAlign w:val="center"/>
          </w:tcPr>
          <w:p>
            <w:pPr>
              <w:widowControl/>
              <w:jc w:val="center"/>
              <w:rPr>
                <w:rFonts w:hint="eastAsia" w:ascii="黑体" w:hAnsi="黑体" w:eastAsia="黑体" w:cs="宋体"/>
                <w:color w:val="auto"/>
                <w:kern w:val="0"/>
                <w:sz w:val="22"/>
              </w:rPr>
            </w:pPr>
            <w:r>
              <w:rPr>
                <w:rFonts w:hint="eastAsia" w:ascii="黑体" w:hAnsi="黑体" w:eastAsia="黑体" w:cs="宋体"/>
                <w:color w:val="auto"/>
                <w:kern w:val="0"/>
                <w:sz w:val="22"/>
              </w:rPr>
              <w:t>总部所在地</w:t>
            </w:r>
          </w:p>
        </w:tc>
        <w:tc>
          <w:tcPr>
            <w:tcW w:w="6754" w:type="dxa"/>
            <w:noWrap/>
            <w:vAlign w:val="center"/>
          </w:tcPr>
          <w:p>
            <w:pPr>
              <w:widowControl/>
              <w:jc w:val="center"/>
              <w:rPr>
                <w:rFonts w:hint="eastAsia" w:ascii="黑体" w:hAnsi="黑体" w:eastAsia="黑体" w:cs="宋体"/>
                <w:color w:val="auto"/>
                <w:kern w:val="0"/>
                <w:sz w:val="22"/>
              </w:rPr>
            </w:pPr>
            <w:r>
              <w:rPr>
                <w:rFonts w:hint="eastAsia" w:ascii="黑体" w:hAnsi="黑体" w:eastAsia="黑体" w:cs="宋体"/>
                <w:color w:val="auto"/>
                <w:kern w:val="0"/>
                <w:sz w:val="22"/>
              </w:rPr>
              <w:t>企业简介/主营方向/产品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6"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1</w:t>
            </w:r>
          </w:p>
        </w:tc>
        <w:tc>
          <w:tcPr>
            <w:tcW w:w="144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动力系统（电池）</w:t>
            </w:r>
          </w:p>
        </w:tc>
        <w:tc>
          <w:tcPr>
            <w:tcW w:w="3549"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深圳市格瑞普电池有限公司</w:t>
            </w:r>
          </w:p>
        </w:tc>
        <w:tc>
          <w:tcPr>
            <w:tcW w:w="156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广东深圳</w:t>
            </w:r>
          </w:p>
        </w:tc>
        <w:tc>
          <w:tcPr>
            <w:tcW w:w="6754" w:type="dxa"/>
            <w:tcBorders>
              <w:top w:val="single" w:color="auto" w:sz="4" w:space="0"/>
              <w:left w:val="single" w:color="auto" w:sz="4" w:space="0"/>
              <w:bottom w:val="single" w:color="auto" w:sz="4" w:space="0"/>
              <w:right w:val="single" w:color="auto" w:sz="4" w:space="0"/>
            </w:tcBorders>
            <w:noWrap/>
            <w:vAlign w:val="center"/>
          </w:tcPr>
          <w:p>
            <w:pPr>
              <w:widowControl/>
              <w:rPr>
                <w:rFonts w:hint="eastAsia" w:ascii="宋体" w:hAnsi="宋体" w:eastAsia="宋体" w:cs="宋体"/>
                <w:color w:val="auto"/>
                <w:kern w:val="0"/>
                <w:sz w:val="22"/>
              </w:rPr>
            </w:pPr>
            <w:r>
              <w:rPr>
                <w:rFonts w:hint="eastAsia" w:ascii="宋体" w:hAnsi="宋体" w:eastAsia="宋体" w:cs="宋体"/>
                <w:color w:val="auto"/>
                <w:kern w:val="0"/>
                <w:sz w:val="22"/>
              </w:rPr>
              <w:t>成立于1998年,主营聚合物锂电池,镍氢电池,磷酸锂铁电池的研发定制生产服务,是集电芯+BMS管理+Pack结构设计定制于一体的高新技术企业。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6"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2</w:t>
            </w:r>
          </w:p>
        </w:tc>
        <w:tc>
          <w:tcPr>
            <w:tcW w:w="144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动力系统（电池）</w:t>
            </w:r>
          </w:p>
        </w:tc>
        <w:tc>
          <w:tcPr>
            <w:tcW w:w="3549"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深圳市倍特力电池有限公司</w:t>
            </w:r>
          </w:p>
        </w:tc>
        <w:tc>
          <w:tcPr>
            <w:tcW w:w="156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广东深圳</w:t>
            </w:r>
          </w:p>
        </w:tc>
        <w:tc>
          <w:tcPr>
            <w:tcW w:w="6754" w:type="dxa"/>
            <w:tcBorders>
              <w:top w:val="single" w:color="auto" w:sz="4" w:space="0"/>
              <w:left w:val="single" w:color="auto" w:sz="4" w:space="0"/>
              <w:bottom w:val="single" w:color="auto" w:sz="4" w:space="0"/>
              <w:right w:val="single" w:color="auto" w:sz="4" w:space="0"/>
            </w:tcBorders>
            <w:noWrap/>
            <w:vAlign w:val="center"/>
          </w:tcPr>
          <w:p>
            <w:pPr>
              <w:widowControl/>
              <w:rPr>
                <w:rFonts w:hint="eastAsia" w:ascii="宋体" w:hAnsi="宋体" w:eastAsia="宋体" w:cs="宋体"/>
                <w:color w:val="auto"/>
                <w:kern w:val="0"/>
                <w:sz w:val="22"/>
              </w:rPr>
            </w:pPr>
            <w:r>
              <w:rPr>
                <w:rFonts w:hint="eastAsia" w:ascii="宋体" w:hAnsi="宋体" w:eastAsia="宋体" w:cs="宋体"/>
                <w:color w:val="auto"/>
                <w:kern w:val="0"/>
                <w:sz w:val="22"/>
              </w:rPr>
              <w:t>电池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6"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3</w:t>
            </w:r>
          </w:p>
        </w:tc>
        <w:tc>
          <w:tcPr>
            <w:tcW w:w="144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动力系统（电池）</w:t>
            </w:r>
          </w:p>
        </w:tc>
        <w:tc>
          <w:tcPr>
            <w:tcW w:w="3549"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欣旺达电子股份有限公司</w:t>
            </w:r>
          </w:p>
        </w:tc>
        <w:tc>
          <w:tcPr>
            <w:tcW w:w="156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广东深圳</w:t>
            </w:r>
          </w:p>
        </w:tc>
        <w:tc>
          <w:tcPr>
            <w:tcW w:w="6754" w:type="dxa"/>
            <w:tcBorders>
              <w:top w:val="single" w:color="auto" w:sz="4" w:space="0"/>
              <w:left w:val="single" w:color="auto" w:sz="4" w:space="0"/>
              <w:bottom w:val="single" w:color="auto" w:sz="4" w:space="0"/>
              <w:right w:val="single" w:color="auto" w:sz="4" w:space="0"/>
            </w:tcBorders>
            <w:noWrap/>
            <w:vAlign w:val="center"/>
          </w:tcPr>
          <w:p>
            <w:pPr>
              <w:widowControl/>
              <w:rPr>
                <w:rFonts w:hint="eastAsia" w:ascii="宋体" w:hAnsi="宋体" w:eastAsia="宋体" w:cs="宋体"/>
                <w:color w:val="auto"/>
                <w:kern w:val="0"/>
                <w:sz w:val="22"/>
              </w:rPr>
            </w:pPr>
            <w:r>
              <w:rPr>
                <w:rFonts w:hint="eastAsia" w:ascii="宋体" w:hAnsi="宋体" w:eastAsia="宋体" w:cs="宋体"/>
                <w:color w:val="auto"/>
                <w:kern w:val="0"/>
                <w:sz w:val="22"/>
              </w:rPr>
              <w:t>创立于1997年，于2011年在深交所上市，是全球锂离子电池领域领军品牌。2008年开始正式布局电动汽车电池业务，以电动汽车电池系统（电芯、模组、BMS和PACK）为产品核心，上游延伸到矿产原材料、电芯正负极材料等关键环节，下游延伸至电动汽车、储能电站、动力电池梯次利用等产业，形成了全产业链一体化的事业蓝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6"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4</w:t>
            </w:r>
          </w:p>
        </w:tc>
        <w:tc>
          <w:tcPr>
            <w:tcW w:w="144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动力系统（电机）</w:t>
            </w:r>
          </w:p>
        </w:tc>
        <w:tc>
          <w:tcPr>
            <w:tcW w:w="3549"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珠海宝文电机科技有限公司</w:t>
            </w:r>
          </w:p>
        </w:tc>
        <w:tc>
          <w:tcPr>
            <w:tcW w:w="156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广东珠海</w:t>
            </w:r>
          </w:p>
        </w:tc>
        <w:tc>
          <w:tcPr>
            <w:tcW w:w="6754" w:type="dxa"/>
            <w:tcBorders>
              <w:top w:val="single" w:color="auto" w:sz="4" w:space="0"/>
              <w:left w:val="single" w:color="auto" w:sz="4" w:space="0"/>
              <w:bottom w:val="single" w:color="auto" w:sz="4" w:space="0"/>
              <w:right w:val="single" w:color="auto" w:sz="4" w:space="0"/>
            </w:tcBorders>
            <w:noWrap/>
            <w:vAlign w:val="center"/>
          </w:tcPr>
          <w:p>
            <w:pPr>
              <w:widowControl/>
              <w:rPr>
                <w:rFonts w:hint="eastAsia" w:ascii="宋体" w:hAnsi="宋体" w:eastAsia="宋体" w:cs="宋体"/>
                <w:color w:val="auto"/>
                <w:kern w:val="0"/>
                <w:sz w:val="22"/>
              </w:rPr>
            </w:pPr>
            <w:r>
              <w:rPr>
                <w:rFonts w:hint="eastAsia" w:ascii="宋体" w:hAnsi="宋体" w:eastAsia="宋体" w:cs="宋体"/>
                <w:color w:val="auto"/>
                <w:kern w:val="0"/>
                <w:sz w:val="22"/>
              </w:rPr>
              <w:t>制造低能耗、高精密、全智能无刷直流电机及伺服控制系统。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6"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6</w:t>
            </w:r>
          </w:p>
        </w:tc>
        <w:tc>
          <w:tcPr>
            <w:tcW w:w="144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动力系统（电池）</w:t>
            </w:r>
          </w:p>
        </w:tc>
        <w:tc>
          <w:tcPr>
            <w:tcW w:w="3549"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广州力柏电动科技有限公司</w:t>
            </w:r>
          </w:p>
        </w:tc>
        <w:tc>
          <w:tcPr>
            <w:tcW w:w="156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广东广州</w:t>
            </w:r>
          </w:p>
        </w:tc>
        <w:tc>
          <w:tcPr>
            <w:tcW w:w="6754" w:type="dxa"/>
            <w:tcBorders>
              <w:top w:val="single" w:color="auto" w:sz="4" w:space="0"/>
              <w:left w:val="single" w:color="auto" w:sz="4" w:space="0"/>
              <w:bottom w:val="single" w:color="auto" w:sz="4" w:space="0"/>
              <w:right w:val="single" w:color="auto" w:sz="4" w:space="0"/>
            </w:tcBorders>
            <w:noWrap/>
            <w:vAlign w:val="center"/>
          </w:tcPr>
          <w:p>
            <w:pPr>
              <w:widowControl/>
              <w:rPr>
                <w:rFonts w:hint="eastAsia" w:ascii="宋体" w:hAnsi="宋体" w:eastAsia="宋体" w:cs="宋体"/>
                <w:color w:val="auto"/>
                <w:kern w:val="0"/>
                <w:sz w:val="22"/>
              </w:rPr>
            </w:pPr>
            <w:r>
              <w:rPr>
                <w:rFonts w:hint="eastAsia" w:ascii="宋体" w:hAnsi="宋体" w:eastAsia="宋体" w:cs="宋体"/>
                <w:color w:val="auto"/>
                <w:kern w:val="0"/>
                <w:sz w:val="22"/>
              </w:rPr>
              <w:t>从事新能源动力电池生产企业，主要研发、制造和销售国际安全性能领先的电池与电池包，拥有自主知识产权的全套电池生产工艺技术和品质管理体系，在安全性能、循环寿命、充放电次数、宽温带应用等方面指标高于国家标准，得到中国中车、南网电动、海外重要客户的高度认可，拥有先进而完整的动力电池系统研发、制造、充电、换电、检测、维护、梯次应用及回收等技术体系，能够为新能源汽车和飞行器提供成本合理的电池租赁、电池保险的整体解决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6"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7</w:t>
            </w:r>
          </w:p>
        </w:tc>
        <w:tc>
          <w:tcPr>
            <w:tcW w:w="144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飞控系统</w:t>
            </w:r>
          </w:p>
        </w:tc>
        <w:tc>
          <w:tcPr>
            <w:tcW w:w="3549"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深圳城际快机科技有限公司</w:t>
            </w:r>
          </w:p>
        </w:tc>
        <w:tc>
          <w:tcPr>
            <w:tcW w:w="156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广东深圳</w:t>
            </w:r>
          </w:p>
        </w:tc>
        <w:tc>
          <w:tcPr>
            <w:tcW w:w="6754" w:type="dxa"/>
            <w:tcBorders>
              <w:top w:val="single" w:color="auto" w:sz="4" w:space="0"/>
              <w:left w:val="single" w:color="auto" w:sz="4" w:space="0"/>
              <w:bottom w:val="single" w:color="auto" w:sz="4" w:space="0"/>
              <w:right w:val="single" w:color="auto" w:sz="4" w:space="0"/>
            </w:tcBorders>
            <w:noWrap/>
            <w:vAlign w:val="center"/>
          </w:tcPr>
          <w:p>
            <w:pPr>
              <w:widowControl/>
              <w:rPr>
                <w:rFonts w:hint="eastAsia" w:ascii="宋体" w:hAnsi="宋体" w:eastAsia="宋体" w:cs="宋体"/>
                <w:color w:val="auto"/>
                <w:kern w:val="0"/>
                <w:sz w:val="22"/>
              </w:rPr>
            </w:pPr>
            <w:r>
              <w:rPr>
                <w:rFonts w:hint="eastAsia" w:ascii="宋体" w:hAnsi="宋体" w:eastAsia="宋体" w:cs="宋体"/>
                <w:color w:val="auto"/>
                <w:kern w:val="0"/>
                <w:sz w:val="22"/>
              </w:rPr>
              <w:t>无人飞行控制系统研发和工业无人机设计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6"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8</w:t>
            </w:r>
          </w:p>
        </w:tc>
        <w:tc>
          <w:tcPr>
            <w:tcW w:w="144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飞控系统</w:t>
            </w:r>
          </w:p>
        </w:tc>
        <w:tc>
          <w:tcPr>
            <w:tcW w:w="3549"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上海拓攻机器人有限公司</w:t>
            </w:r>
          </w:p>
        </w:tc>
        <w:tc>
          <w:tcPr>
            <w:tcW w:w="156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上海</w:t>
            </w:r>
          </w:p>
        </w:tc>
        <w:tc>
          <w:tcPr>
            <w:tcW w:w="6754" w:type="dxa"/>
            <w:tcBorders>
              <w:top w:val="single" w:color="auto" w:sz="4" w:space="0"/>
              <w:left w:val="single" w:color="auto" w:sz="4" w:space="0"/>
              <w:bottom w:val="single" w:color="auto" w:sz="4" w:space="0"/>
              <w:right w:val="single" w:color="auto" w:sz="4" w:space="0"/>
            </w:tcBorders>
            <w:noWrap/>
            <w:vAlign w:val="center"/>
          </w:tcPr>
          <w:p>
            <w:pPr>
              <w:widowControl/>
              <w:rPr>
                <w:rFonts w:hint="eastAsia" w:ascii="宋体" w:hAnsi="宋体" w:eastAsia="宋体" w:cs="宋体"/>
                <w:color w:val="auto"/>
                <w:kern w:val="0"/>
                <w:sz w:val="22"/>
              </w:rPr>
            </w:pPr>
            <w:r>
              <w:rPr>
                <w:rFonts w:hint="eastAsia" w:ascii="宋体" w:hAnsi="宋体" w:eastAsia="宋体" w:cs="宋体"/>
                <w:color w:val="auto"/>
                <w:kern w:val="0"/>
                <w:sz w:val="22"/>
              </w:rPr>
              <w:t>无人机飞行控制系统研发及解决方案提供商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6"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9</w:t>
            </w:r>
          </w:p>
        </w:tc>
        <w:tc>
          <w:tcPr>
            <w:tcW w:w="144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飞控系统</w:t>
            </w:r>
          </w:p>
        </w:tc>
        <w:tc>
          <w:tcPr>
            <w:tcW w:w="3549"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成都纵横大鹏无人机科技有限公司</w:t>
            </w:r>
          </w:p>
        </w:tc>
        <w:tc>
          <w:tcPr>
            <w:tcW w:w="156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四川成都</w:t>
            </w:r>
          </w:p>
        </w:tc>
        <w:tc>
          <w:tcPr>
            <w:tcW w:w="6754" w:type="dxa"/>
            <w:tcBorders>
              <w:top w:val="single" w:color="auto" w:sz="4" w:space="0"/>
              <w:left w:val="single" w:color="auto" w:sz="4" w:space="0"/>
              <w:bottom w:val="single" w:color="auto" w:sz="4" w:space="0"/>
              <w:right w:val="single" w:color="auto" w:sz="4" w:space="0"/>
            </w:tcBorders>
            <w:noWrap/>
            <w:vAlign w:val="center"/>
          </w:tcPr>
          <w:p>
            <w:pPr>
              <w:widowControl/>
              <w:rPr>
                <w:rFonts w:hint="eastAsia" w:ascii="宋体" w:hAnsi="宋体" w:eastAsia="宋体" w:cs="宋体"/>
                <w:color w:val="auto"/>
                <w:kern w:val="0"/>
                <w:sz w:val="22"/>
              </w:rPr>
            </w:pPr>
            <w:r>
              <w:rPr>
                <w:rFonts w:hint="eastAsia" w:ascii="宋体" w:hAnsi="宋体" w:eastAsia="宋体" w:cs="宋体"/>
                <w:color w:val="auto"/>
                <w:kern w:val="0"/>
                <w:sz w:val="22"/>
              </w:rPr>
              <w:t>以无人机智能飞行控制与导航、机载任务设备、指挥控制系统以及系统集成为核心技术，致力于为用户提供多用途、高性能、一体化的工业级自驾仪系统、机载任务设备、无人机系统解决方案。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6"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10</w:t>
            </w:r>
          </w:p>
        </w:tc>
        <w:tc>
          <w:tcPr>
            <w:tcW w:w="144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飞控系统</w:t>
            </w:r>
          </w:p>
        </w:tc>
        <w:tc>
          <w:tcPr>
            <w:tcW w:w="3549"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中电科特种飞机系统工程有限公司</w:t>
            </w:r>
          </w:p>
        </w:tc>
        <w:tc>
          <w:tcPr>
            <w:tcW w:w="156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四川自贡</w:t>
            </w:r>
          </w:p>
        </w:tc>
        <w:tc>
          <w:tcPr>
            <w:tcW w:w="6754" w:type="dxa"/>
            <w:tcBorders>
              <w:top w:val="single" w:color="auto" w:sz="4" w:space="0"/>
              <w:left w:val="single" w:color="auto" w:sz="4" w:space="0"/>
              <w:bottom w:val="single" w:color="auto" w:sz="4" w:space="0"/>
              <w:right w:val="single" w:color="auto" w:sz="4" w:space="0"/>
            </w:tcBorders>
            <w:noWrap/>
            <w:vAlign w:val="center"/>
          </w:tcPr>
          <w:p>
            <w:pPr>
              <w:widowControl/>
              <w:rPr>
                <w:rFonts w:hint="eastAsia" w:ascii="宋体" w:hAnsi="宋体" w:eastAsia="宋体" w:cs="宋体"/>
                <w:color w:val="auto"/>
                <w:kern w:val="0"/>
                <w:sz w:val="22"/>
              </w:rPr>
            </w:pPr>
            <w:r>
              <w:rPr>
                <w:rFonts w:hint="eastAsia" w:ascii="宋体" w:hAnsi="宋体" w:eastAsia="宋体" w:cs="宋体"/>
                <w:color w:val="auto"/>
                <w:kern w:val="0"/>
                <w:sz w:val="22"/>
              </w:rPr>
              <w:t>电科特飞是一家特种无人机飞控系统研发商，其主要研发特种无人机飞控系统，低空空管系统。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6"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11</w:t>
            </w:r>
          </w:p>
        </w:tc>
        <w:tc>
          <w:tcPr>
            <w:tcW w:w="144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飞控系统</w:t>
            </w:r>
          </w:p>
        </w:tc>
        <w:tc>
          <w:tcPr>
            <w:tcW w:w="3549"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广东翼景信息科技有限公司</w:t>
            </w:r>
          </w:p>
        </w:tc>
        <w:tc>
          <w:tcPr>
            <w:tcW w:w="156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广东广州</w:t>
            </w:r>
          </w:p>
        </w:tc>
        <w:tc>
          <w:tcPr>
            <w:tcW w:w="6754" w:type="dxa"/>
            <w:tcBorders>
              <w:top w:val="single" w:color="auto" w:sz="4" w:space="0"/>
              <w:left w:val="single" w:color="auto" w:sz="4" w:space="0"/>
              <w:bottom w:val="single" w:color="auto" w:sz="4" w:space="0"/>
              <w:right w:val="single" w:color="auto" w:sz="4" w:space="0"/>
            </w:tcBorders>
            <w:noWrap/>
            <w:vAlign w:val="center"/>
          </w:tcPr>
          <w:p>
            <w:pPr>
              <w:widowControl/>
              <w:rPr>
                <w:rFonts w:hint="eastAsia" w:ascii="宋体" w:hAnsi="宋体" w:eastAsia="宋体" w:cs="宋体"/>
                <w:color w:val="auto"/>
                <w:kern w:val="0"/>
                <w:sz w:val="22"/>
              </w:rPr>
            </w:pPr>
            <w:r>
              <w:rPr>
                <w:rFonts w:hint="eastAsia" w:ascii="宋体" w:hAnsi="宋体" w:eastAsia="宋体" w:cs="宋体"/>
                <w:color w:val="auto"/>
                <w:kern w:val="0"/>
                <w:sz w:val="22"/>
              </w:rPr>
              <w:t>主要业务是通过多传感器融合、机器人研发、基于GIS的数据可视化和分析、图像识别等核心技术，开展智能系统的研究及应用推广。公司与浙江大学/浙大华南院合作成立无人机及智控技术研究中心，为行业客户提供咨询、方案设计、软件开发、系统集成及运维等全流程的综合服务，实现行业应用的智能化、无人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6"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12</w:t>
            </w:r>
          </w:p>
        </w:tc>
        <w:tc>
          <w:tcPr>
            <w:tcW w:w="144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飞控系统</w:t>
            </w:r>
          </w:p>
        </w:tc>
        <w:tc>
          <w:tcPr>
            <w:tcW w:w="3549"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南京凯信航空附件有限公司</w:t>
            </w:r>
          </w:p>
        </w:tc>
        <w:tc>
          <w:tcPr>
            <w:tcW w:w="156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江苏南京</w:t>
            </w:r>
          </w:p>
        </w:tc>
        <w:tc>
          <w:tcPr>
            <w:tcW w:w="6754" w:type="dxa"/>
            <w:tcBorders>
              <w:top w:val="single" w:color="auto" w:sz="4" w:space="0"/>
              <w:left w:val="single" w:color="auto" w:sz="4" w:space="0"/>
              <w:bottom w:val="single" w:color="auto" w:sz="4" w:space="0"/>
              <w:right w:val="single" w:color="auto" w:sz="4" w:space="0"/>
            </w:tcBorders>
            <w:noWrap/>
            <w:vAlign w:val="center"/>
          </w:tcPr>
          <w:p>
            <w:pPr>
              <w:widowControl/>
              <w:rPr>
                <w:rFonts w:hint="eastAsia" w:ascii="宋体" w:hAnsi="宋体" w:eastAsia="宋体" w:cs="宋体"/>
                <w:color w:val="auto"/>
                <w:kern w:val="0"/>
                <w:sz w:val="22"/>
              </w:rPr>
            </w:pPr>
            <w:r>
              <w:rPr>
                <w:rFonts w:hint="eastAsia" w:ascii="宋体" w:hAnsi="宋体" w:eastAsia="宋体" w:cs="宋体"/>
                <w:color w:val="auto"/>
                <w:kern w:val="0"/>
                <w:sz w:val="22"/>
              </w:rPr>
              <w:t>飞机环控系统所用管道等。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6" w:type="dxa"/>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12</w:t>
            </w:r>
          </w:p>
        </w:tc>
        <w:tc>
          <w:tcPr>
            <w:tcW w:w="1440" w:type="dxa"/>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通信系统</w:t>
            </w:r>
          </w:p>
        </w:tc>
        <w:tc>
          <w:tcPr>
            <w:tcW w:w="3549" w:type="dxa"/>
            <w:gridSpan w:val="2"/>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广州市红鹏直升机遥感科技有限公司</w:t>
            </w:r>
          </w:p>
        </w:tc>
        <w:tc>
          <w:tcPr>
            <w:tcW w:w="1560" w:type="dxa"/>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广东广州</w:t>
            </w:r>
          </w:p>
        </w:tc>
        <w:tc>
          <w:tcPr>
            <w:tcW w:w="6754" w:type="dxa"/>
            <w:noWrap/>
            <w:vAlign w:val="center"/>
          </w:tcPr>
          <w:p>
            <w:pPr>
              <w:widowControl/>
              <w:rPr>
                <w:rFonts w:hint="eastAsia" w:ascii="宋体" w:hAnsi="宋体" w:eastAsia="宋体" w:cs="宋体"/>
                <w:color w:val="auto"/>
                <w:kern w:val="0"/>
                <w:sz w:val="22"/>
              </w:rPr>
            </w:pPr>
            <w:r>
              <w:rPr>
                <w:rFonts w:hint="eastAsia" w:ascii="宋体" w:hAnsi="宋体" w:eastAsia="宋体" w:cs="宋体"/>
                <w:color w:val="auto"/>
                <w:kern w:val="0"/>
                <w:sz w:val="22"/>
              </w:rPr>
              <w:t>专业从事实景三维、地球物理与智能安防领域的产品研发与技术服务，业务涉及无人机软硬件的技术开发、应用、民用无人机制造、航空航天相关设备制造、航空器零件制造等领域。是国家高新技术企业，拥有广东省工程技术研究中心、广州市院士专家工作站等科研力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6" w:type="dxa"/>
            <w:tcBorders>
              <w:top w:val="single" w:color="auto" w:sz="4" w:space="0"/>
              <w:left w:val="single" w:color="auto" w:sz="4" w:space="0"/>
              <w:bottom w:val="single" w:color="auto" w:sz="4" w:space="0"/>
              <w:right w:val="single" w:color="auto" w:sz="4" w:space="0"/>
            </w:tcBorders>
            <w:noWrap/>
            <w:vAlign w:val="center"/>
          </w:tcPr>
          <w:p>
            <w:pPr>
              <w:pStyle w:val="9"/>
              <w:jc w:val="center"/>
              <w:rPr>
                <w:rFonts w:hint="eastAsia" w:ascii="宋体" w:hAnsi="宋体" w:eastAsia="宋体"/>
                <w:color w:val="auto"/>
                <w:sz w:val="22"/>
                <w:lang w:val="en-US" w:bidi="ar-SA"/>
              </w:rPr>
            </w:pPr>
            <w:r>
              <w:rPr>
                <w:rFonts w:hint="eastAsia" w:ascii="宋体" w:hAnsi="宋体" w:eastAsia="宋体"/>
                <w:color w:val="auto"/>
                <w:sz w:val="22"/>
                <w:lang w:val="en-US" w:bidi="ar-SA"/>
              </w:rPr>
              <w:t>13</w:t>
            </w:r>
          </w:p>
        </w:tc>
        <w:tc>
          <w:tcPr>
            <w:tcW w:w="144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通信系统</w:t>
            </w:r>
          </w:p>
        </w:tc>
        <w:tc>
          <w:tcPr>
            <w:tcW w:w="3549"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bookmarkStart w:id="279" w:name="_Hlk172036270"/>
            <w:r>
              <w:rPr>
                <w:rFonts w:hint="eastAsia" w:ascii="宋体" w:hAnsi="宋体" w:eastAsia="宋体" w:cs="宋体"/>
                <w:color w:val="auto"/>
                <w:kern w:val="0"/>
                <w:sz w:val="22"/>
              </w:rPr>
              <w:t>成都国蓉科技有限公司</w:t>
            </w:r>
            <w:bookmarkEnd w:id="279"/>
          </w:p>
        </w:tc>
        <w:tc>
          <w:tcPr>
            <w:tcW w:w="156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四川成都</w:t>
            </w:r>
          </w:p>
        </w:tc>
        <w:tc>
          <w:tcPr>
            <w:tcW w:w="6754" w:type="dxa"/>
            <w:tcBorders>
              <w:top w:val="single" w:color="auto" w:sz="4" w:space="0"/>
              <w:left w:val="single" w:color="auto" w:sz="4" w:space="0"/>
              <w:bottom w:val="single" w:color="auto" w:sz="4" w:space="0"/>
              <w:right w:val="single" w:color="auto" w:sz="4" w:space="0"/>
            </w:tcBorders>
            <w:noWrap/>
            <w:vAlign w:val="center"/>
          </w:tcPr>
          <w:p>
            <w:pPr>
              <w:widowControl/>
              <w:rPr>
                <w:rFonts w:hint="eastAsia" w:ascii="宋体" w:hAnsi="宋体" w:eastAsia="宋体" w:cs="宋体"/>
                <w:color w:val="auto"/>
                <w:kern w:val="0"/>
                <w:sz w:val="22"/>
              </w:rPr>
            </w:pPr>
            <w:r>
              <w:rPr>
                <w:rFonts w:hint="eastAsia" w:ascii="宋体" w:hAnsi="宋体" w:eastAsia="宋体" w:cs="宋体"/>
                <w:color w:val="auto"/>
                <w:kern w:val="0"/>
                <w:sz w:val="22"/>
              </w:rPr>
              <w:t>无人机管控设备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6" w:type="dxa"/>
            <w:tcBorders>
              <w:top w:val="single" w:color="auto" w:sz="4" w:space="0"/>
              <w:left w:val="single" w:color="auto" w:sz="4" w:space="0"/>
              <w:bottom w:val="single" w:color="auto" w:sz="4" w:space="0"/>
              <w:right w:val="single" w:color="auto" w:sz="4" w:space="0"/>
            </w:tcBorders>
            <w:noWrap/>
            <w:vAlign w:val="center"/>
          </w:tcPr>
          <w:p>
            <w:pPr>
              <w:pStyle w:val="9"/>
              <w:jc w:val="center"/>
              <w:rPr>
                <w:rFonts w:hint="eastAsia" w:ascii="宋体" w:hAnsi="宋体" w:eastAsia="宋体"/>
                <w:color w:val="auto"/>
                <w:sz w:val="22"/>
                <w:lang w:val="en-US" w:bidi="ar-SA"/>
              </w:rPr>
            </w:pPr>
            <w:r>
              <w:rPr>
                <w:rFonts w:hint="eastAsia" w:ascii="宋体" w:hAnsi="宋体" w:eastAsia="宋体"/>
                <w:color w:val="auto"/>
                <w:sz w:val="22"/>
                <w:lang w:val="en-US" w:bidi="ar-SA"/>
              </w:rPr>
              <w:t>14</w:t>
            </w:r>
          </w:p>
        </w:tc>
        <w:tc>
          <w:tcPr>
            <w:tcW w:w="144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通信系统</w:t>
            </w:r>
          </w:p>
        </w:tc>
        <w:tc>
          <w:tcPr>
            <w:tcW w:w="3549"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成都九洲迪飞科技有限责任公司</w:t>
            </w:r>
          </w:p>
        </w:tc>
        <w:tc>
          <w:tcPr>
            <w:tcW w:w="156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四川成都</w:t>
            </w:r>
          </w:p>
        </w:tc>
        <w:tc>
          <w:tcPr>
            <w:tcW w:w="6754" w:type="dxa"/>
            <w:tcBorders>
              <w:top w:val="single" w:color="auto" w:sz="4" w:space="0"/>
              <w:left w:val="single" w:color="auto" w:sz="4" w:space="0"/>
              <w:bottom w:val="single" w:color="auto" w:sz="4" w:space="0"/>
              <w:right w:val="single" w:color="auto" w:sz="4" w:space="0"/>
            </w:tcBorders>
            <w:noWrap/>
            <w:vAlign w:val="center"/>
          </w:tcPr>
          <w:p>
            <w:pPr>
              <w:widowControl/>
              <w:rPr>
                <w:rFonts w:hint="eastAsia" w:ascii="宋体" w:hAnsi="宋体" w:eastAsia="宋体" w:cs="宋体"/>
                <w:color w:val="auto"/>
                <w:kern w:val="0"/>
                <w:sz w:val="22"/>
              </w:rPr>
            </w:pPr>
            <w:r>
              <w:rPr>
                <w:rFonts w:hint="eastAsia" w:ascii="宋体" w:hAnsi="宋体" w:eastAsia="宋体" w:cs="宋体"/>
                <w:color w:val="auto"/>
                <w:kern w:val="0"/>
                <w:sz w:val="22"/>
              </w:rPr>
              <w:t>射频微波接收机/发射机、雷达系统、无人机管控系统、无线电监测侦测及干扰压制系统等领域的研究；数据链路系统：其主要任务是建立一个空地双向数据传输通道，用于完成地面控制站对无人机的远距离遥控、遥测和任务信息传输。低空空域无人机管控系统（空中防撞产品、无人机防护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6" w:type="dxa"/>
            <w:tcBorders>
              <w:top w:val="single" w:color="auto" w:sz="4" w:space="0"/>
              <w:left w:val="single" w:color="auto" w:sz="4" w:space="0"/>
              <w:bottom w:val="single" w:color="auto" w:sz="4" w:space="0"/>
              <w:right w:val="single" w:color="auto" w:sz="4" w:space="0"/>
            </w:tcBorders>
            <w:noWrap/>
            <w:vAlign w:val="center"/>
          </w:tcPr>
          <w:p>
            <w:pPr>
              <w:pStyle w:val="9"/>
              <w:jc w:val="center"/>
              <w:rPr>
                <w:rFonts w:hint="eastAsia" w:ascii="宋体" w:hAnsi="宋体" w:eastAsia="宋体"/>
                <w:color w:val="auto"/>
                <w:sz w:val="22"/>
                <w:lang w:val="en-US" w:bidi="ar-SA"/>
              </w:rPr>
            </w:pPr>
            <w:r>
              <w:rPr>
                <w:rFonts w:hint="eastAsia" w:ascii="宋体" w:hAnsi="宋体" w:eastAsia="宋体"/>
                <w:color w:val="auto"/>
                <w:sz w:val="22"/>
                <w:lang w:val="en-US" w:bidi="ar-SA"/>
              </w:rPr>
              <w:t>15</w:t>
            </w:r>
          </w:p>
        </w:tc>
        <w:tc>
          <w:tcPr>
            <w:tcW w:w="144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通信系统</w:t>
            </w:r>
          </w:p>
        </w:tc>
        <w:tc>
          <w:tcPr>
            <w:tcW w:w="3549"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bookmarkStart w:id="280" w:name="_Hlk172037142"/>
            <w:r>
              <w:rPr>
                <w:rFonts w:hint="eastAsia" w:ascii="宋体" w:hAnsi="宋体" w:eastAsia="宋体" w:cs="宋体"/>
                <w:color w:val="auto"/>
                <w:kern w:val="0"/>
                <w:sz w:val="22"/>
              </w:rPr>
              <w:t>成都云鼎智控科技有限公司</w:t>
            </w:r>
            <w:bookmarkEnd w:id="280"/>
          </w:p>
        </w:tc>
        <w:tc>
          <w:tcPr>
            <w:tcW w:w="156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四川成都</w:t>
            </w:r>
          </w:p>
        </w:tc>
        <w:tc>
          <w:tcPr>
            <w:tcW w:w="6754" w:type="dxa"/>
            <w:tcBorders>
              <w:top w:val="single" w:color="auto" w:sz="4" w:space="0"/>
              <w:left w:val="single" w:color="auto" w:sz="4" w:space="0"/>
              <w:bottom w:val="single" w:color="auto" w:sz="4" w:space="0"/>
              <w:right w:val="single" w:color="auto" w:sz="4" w:space="0"/>
            </w:tcBorders>
            <w:noWrap/>
            <w:vAlign w:val="center"/>
          </w:tcPr>
          <w:p>
            <w:pPr>
              <w:widowControl/>
              <w:rPr>
                <w:rFonts w:hint="eastAsia" w:ascii="宋体" w:hAnsi="宋体" w:eastAsia="宋体" w:cs="宋体"/>
                <w:color w:val="auto"/>
                <w:kern w:val="0"/>
                <w:sz w:val="22"/>
              </w:rPr>
            </w:pPr>
            <w:r>
              <w:rPr>
                <w:rFonts w:hint="eastAsia" w:ascii="宋体" w:hAnsi="宋体" w:eastAsia="宋体" w:cs="宋体"/>
                <w:color w:val="auto"/>
                <w:kern w:val="0"/>
                <w:sz w:val="22"/>
              </w:rPr>
              <w:t>军用靶机研发制造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6" w:type="dxa"/>
            <w:tcBorders>
              <w:top w:val="single" w:color="auto" w:sz="4" w:space="0"/>
              <w:left w:val="single" w:color="auto" w:sz="4" w:space="0"/>
              <w:bottom w:val="single" w:color="auto" w:sz="4" w:space="0"/>
              <w:right w:val="single" w:color="auto" w:sz="4" w:space="0"/>
            </w:tcBorders>
            <w:noWrap/>
            <w:vAlign w:val="center"/>
          </w:tcPr>
          <w:p>
            <w:pPr>
              <w:pStyle w:val="9"/>
              <w:jc w:val="center"/>
              <w:rPr>
                <w:rFonts w:hint="eastAsia" w:ascii="宋体" w:hAnsi="宋体" w:eastAsia="宋体"/>
                <w:color w:val="auto"/>
                <w:sz w:val="22"/>
                <w:lang w:val="en-US" w:bidi="ar-SA"/>
              </w:rPr>
            </w:pPr>
            <w:r>
              <w:rPr>
                <w:rFonts w:hint="eastAsia" w:ascii="宋体" w:hAnsi="宋体" w:eastAsia="宋体"/>
                <w:color w:val="auto"/>
                <w:sz w:val="22"/>
                <w:lang w:val="en-US" w:bidi="ar-SA"/>
              </w:rPr>
              <w:t>16</w:t>
            </w:r>
          </w:p>
        </w:tc>
        <w:tc>
          <w:tcPr>
            <w:tcW w:w="144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通信系统</w:t>
            </w:r>
          </w:p>
        </w:tc>
        <w:tc>
          <w:tcPr>
            <w:tcW w:w="3549"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正成卫星网络集团有限公司</w:t>
            </w:r>
          </w:p>
        </w:tc>
        <w:tc>
          <w:tcPr>
            <w:tcW w:w="156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四川成都</w:t>
            </w:r>
          </w:p>
        </w:tc>
        <w:tc>
          <w:tcPr>
            <w:tcW w:w="6754" w:type="dxa"/>
            <w:tcBorders>
              <w:top w:val="single" w:color="auto" w:sz="4" w:space="0"/>
              <w:left w:val="single" w:color="auto" w:sz="4" w:space="0"/>
              <w:bottom w:val="single" w:color="auto" w:sz="4" w:space="0"/>
              <w:right w:val="single" w:color="auto" w:sz="4" w:space="0"/>
            </w:tcBorders>
            <w:noWrap/>
            <w:vAlign w:val="center"/>
          </w:tcPr>
          <w:p>
            <w:pPr>
              <w:widowControl/>
              <w:rPr>
                <w:rFonts w:hint="eastAsia" w:ascii="宋体" w:hAnsi="宋体" w:eastAsia="宋体" w:cs="宋体"/>
                <w:color w:val="auto"/>
                <w:kern w:val="0"/>
                <w:sz w:val="22"/>
              </w:rPr>
            </w:pPr>
            <w:r>
              <w:rPr>
                <w:rFonts w:hint="eastAsia" w:ascii="宋体" w:hAnsi="宋体" w:eastAsia="宋体" w:cs="宋体"/>
                <w:color w:val="auto"/>
                <w:kern w:val="0"/>
                <w:sz w:val="22"/>
              </w:rPr>
              <w:t>无人机毫米波雷达的高密度射频前端晶圆级封装(SmartAIP)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6" w:type="dxa"/>
            <w:tcBorders>
              <w:top w:val="single" w:color="auto" w:sz="4" w:space="0"/>
              <w:left w:val="single" w:color="auto" w:sz="4" w:space="0"/>
              <w:bottom w:val="single" w:color="auto" w:sz="4" w:space="0"/>
              <w:right w:val="single" w:color="auto" w:sz="4" w:space="0"/>
            </w:tcBorders>
            <w:noWrap/>
            <w:vAlign w:val="center"/>
          </w:tcPr>
          <w:p>
            <w:pPr>
              <w:pStyle w:val="9"/>
              <w:jc w:val="center"/>
              <w:rPr>
                <w:rFonts w:hint="eastAsia" w:ascii="宋体" w:hAnsi="宋体" w:eastAsia="宋体"/>
                <w:color w:val="auto"/>
                <w:sz w:val="22"/>
                <w:lang w:val="en-US" w:bidi="ar-SA"/>
              </w:rPr>
            </w:pPr>
            <w:r>
              <w:rPr>
                <w:rFonts w:hint="eastAsia" w:ascii="宋体" w:hAnsi="宋体" w:eastAsia="宋体"/>
                <w:color w:val="auto"/>
                <w:sz w:val="22"/>
                <w:lang w:val="en-US" w:bidi="ar-SA"/>
              </w:rPr>
              <w:t>17</w:t>
            </w:r>
          </w:p>
        </w:tc>
        <w:tc>
          <w:tcPr>
            <w:tcW w:w="144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通信系统</w:t>
            </w:r>
          </w:p>
        </w:tc>
        <w:tc>
          <w:tcPr>
            <w:tcW w:w="3549"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bookmarkStart w:id="281" w:name="_Hlk172038858"/>
            <w:r>
              <w:rPr>
                <w:rFonts w:hint="eastAsia" w:ascii="宋体" w:hAnsi="宋体" w:eastAsia="宋体" w:cs="宋体"/>
                <w:color w:val="auto"/>
                <w:kern w:val="0"/>
                <w:sz w:val="22"/>
              </w:rPr>
              <w:t>成都时代星光科技有限公司</w:t>
            </w:r>
            <w:bookmarkEnd w:id="281"/>
          </w:p>
        </w:tc>
        <w:tc>
          <w:tcPr>
            <w:tcW w:w="156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四川成都</w:t>
            </w:r>
          </w:p>
        </w:tc>
        <w:tc>
          <w:tcPr>
            <w:tcW w:w="6754" w:type="dxa"/>
            <w:tcBorders>
              <w:top w:val="single" w:color="auto" w:sz="4" w:space="0"/>
              <w:left w:val="single" w:color="auto" w:sz="4" w:space="0"/>
              <w:bottom w:val="single" w:color="auto" w:sz="4" w:space="0"/>
              <w:right w:val="single" w:color="auto" w:sz="4" w:space="0"/>
            </w:tcBorders>
            <w:noWrap/>
            <w:vAlign w:val="center"/>
          </w:tcPr>
          <w:p>
            <w:pPr>
              <w:widowControl/>
              <w:rPr>
                <w:rFonts w:hint="eastAsia" w:ascii="宋体" w:hAnsi="宋体" w:eastAsia="宋体" w:cs="宋体"/>
                <w:color w:val="auto"/>
                <w:kern w:val="0"/>
                <w:sz w:val="22"/>
              </w:rPr>
            </w:pPr>
            <w:r>
              <w:rPr>
                <w:rFonts w:hint="eastAsia" w:ascii="宋体" w:hAnsi="宋体" w:eastAsia="宋体" w:cs="宋体"/>
                <w:color w:val="auto"/>
                <w:kern w:val="0"/>
                <w:sz w:val="22"/>
              </w:rPr>
              <w:t>时代星光是一家国家高新技术企业和民营军工企业，主营无人机系统、通信指挥车、无线图传、新材料制造等业务。公司凭借“车载无人机、无线通信、人工智能、飞控算法、空气动力、材料科学”等方面的技术优势，于2020年成功研制了首套“空天地一体化AI指控系统”，并填补了“车载智能无人机”的技术空白。机型战狼W20、战狼X80、战狼X120C、战狼W230、战狼D1S、战狼D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6" w:type="dxa"/>
            <w:tcBorders>
              <w:top w:val="single" w:color="auto" w:sz="4" w:space="0"/>
              <w:left w:val="single" w:color="auto" w:sz="4" w:space="0"/>
              <w:bottom w:val="single" w:color="auto" w:sz="4" w:space="0"/>
              <w:right w:val="single" w:color="auto" w:sz="4" w:space="0"/>
            </w:tcBorders>
            <w:noWrap/>
            <w:vAlign w:val="center"/>
          </w:tcPr>
          <w:p>
            <w:pPr>
              <w:pStyle w:val="9"/>
              <w:jc w:val="center"/>
              <w:rPr>
                <w:rFonts w:hint="eastAsia" w:ascii="宋体" w:hAnsi="宋体" w:eastAsia="宋体"/>
                <w:color w:val="auto"/>
                <w:sz w:val="22"/>
                <w:lang w:val="en-US" w:bidi="ar-SA"/>
              </w:rPr>
            </w:pPr>
            <w:r>
              <w:rPr>
                <w:rFonts w:hint="eastAsia" w:ascii="宋体" w:hAnsi="宋体" w:eastAsia="宋体"/>
                <w:color w:val="auto"/>
                <w:sz w:val="22"/>
                <w:lang w:val="en-US" w:bidi="ar-SA"/>
              </w:rPr>
              <w:t>18</w:t>
            </w:r>
          </w:p>
        </w:tc>
        <w:tc>
          <w:tcPr>
            <w:tcW w:w="144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通信系统</w:t>
            </w:r>
          </w:p>
        </w:tc>
        <w:tc>
          <w:tcPr>
            <w:tcW w:w="3549"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广州程星通信科技有限公司</w:t>
            </w:r>
          </w:p>
        </w:tc>
        <w:tc>
          <w:tcPr>
            <w:tcW w:w="156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广东广州</w:t>
            </w:r>
          </w:p>
        </w:tc>
        <w:tc>
          <w:tcPr>
            <w:tcW w:w="6754" w:type="dxa"/>
            <w:tcBorders>
              <w:top w:val="single" w:color="auto" w:sz="4" w:space="0"/>
              <w:left w:val="single" w:color="auto" w:sz="4" w:space="0"/>
              <w:bottom w:val="single" w:color="auto" w:sz="4" w:space="0"/>
              <w:right w:val="single" w:color="auto" w:sz="4" w:space="0"/>
            </w:tcBorders>
            <w:noWrap/>
            <w:vAlign w:val="center"/>
          </w:tcPr>
          <w:p>
            <w:pPr>
              <w:widowControl/>
              <w:rPr>
                <w:rFonts w:hint="eastAsia" w:ascii="宋体" w:hAnsi="宋体" w:eastAsia="宋体" w:cs="宋体"/>
                <w:color w:val="auto"/>
                <w:kern w:val="0"/>
                <w:sz w:val="22"/>
              </w:rPr>
            </w:pPr>
            <w:r>
              <w:rPr>
                <w:rFonts w:hint="eastAsia" w:ascii="宋体" w:hAnsi="宋体" w:eastAsia="宋体" w:cs="宋体"/>
                <w:color w:val="auto"/>
                <w:kern w:val="0"/>
                <w:sz w:val="22"/>
              </w:rPr>
              <w:t>集高端通信设备研发、生产、销售及服务于一体的高新技术企业，研制出微波和毫米波波段的变频发射机产品，替代同类国外进口产品，广泛应用于应急通信和卫星专网，拥有DC-67GHz高端微波研发平台，配备矢量网络分析仪、微波频谱仪和信号源等设备，打造了芯片微组装工艺线在内的研发生产平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6" w:type="dxa"/>
            <w:tcBorders>
              <w:top w:val="single" w:color="auto" w:sz="4" w:space="0"/>
              <w:left w:val="single" w:color="auto" w:sz="4" w:space="0"/>
              <w:bottom w:val="single" w:color="auto" w:sz="4" w:space="0"/>
              <w:right w:val="single" w:color="auto" w:sz="4" w:space="0"/>
            </w:tcBorders>
            <w:noWrap/>
            <w:vAlign w:val="center"/>
          </w:tcPr>
          <w:p>
            <w:pPr>
              <w:pStyle w:val="9"/>
              <w:jc w:val="center"/>
              <w:rPr>
                <w:rFonts w:hint="eastAsia" w:ascii="宋体" w:hAnsi="宋体" w:eastAsia="宋体"/>
                <w:color w:val="auto"/>
                <w:sz w:val="22"/>
                <w:lang w:val="en-US" w:bidi="ar-SA"/>
              </w:rPr>
            </w:pPr>
            <w:r>
              <w:rPr>
                <w:rFonts w:hint="eastAsia" w:ascii="宋体" w:hAnsi="宋体" w:eastAsia="宋体"/>
                <w:color w:val="auto"/>
                <w:sz w:val="22"/>
                <w:lang w:val="en-US" w:bidi="ar-SA"/>
              </w:rPr>
              <w:t>19</w:t>
            </w:r>
          </w:p>
        </w:tc>
        <w:tc>
          <w:tcPr>
            <w:tcW w:w="144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通信系统</w:t>
            </w:r>
          </w:p>
        </w:tc>
        <w:tc>
          <w:tcPr>
            <w:tcW w:w="3549"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广州中雷电科科技有限公司</w:t>
            </w:r>
          </w:p>
        </w:tc>
        <w:tc>
          <w:tcPr>
            <w:tcW w:w="156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广东广州</w:t>
            </w:r>
          </w:p>
        </w:tc>
        <w:tc>
          <w:tcPr>
            <w:tcW w:w="6754" w:type="dxa"/>
            <w:tcBorders>
              <w:top w:val="single" w:color="auto" w:sz="4" w:space="0"/>
              <w:left w:val="single" w:color="auto" w:sz="4" w:space="0"/>
              <w:bottom w:val="single" w:color="auto" w:sz="4" w:space="0"/>
              <w:right w:val="single" w:color="auto" w:sz="4" w:space="0"/>
            </w:tcBorders>
            <w:noWrap/>
            <w:vAlign w:val="center"/>
          </w:tcPr>
          <w:p>
            <w:pPr>
              <w:widowControl/>
              <w:rPr>
                <w:rFonts w:hint="eastAsia" w:ascii="宋体" w:hAnsi="宋体" w:eastAsia="宋体" w:cs="宋体"/>
                <w:color w:val="auto"/>
                <w:kern w:val="0"/>
                <w:sz w:val="22"/>
              </w:rPr>
            </w:pPr>
            <w:r>
              <w:rPr>
                <w:rFonts w:hint="eastAsia" w:ascii="宋体" w:hAnsi="宋体" w:eastAsia="宋体" w:cs="宋体"/>
                <w:color w:val="auto"/>
                <w:kern w:val="0"/>
                <w:sz w:val="22"/>
              </w:rPr>
              <w:t>经营范围包括卫星技术综合应用系统集成、信息系统集成服务、集成电路设计、导航终端制造、卫星移动通信终端制造；气象雷达天线、相控阵天线、芯片化相控阵系统、相控阵TR 组件、小目标雷达、地轨卫星通信系统的研发和销售；通信设备制造、电力电子元器件制造、电子元器件制造、电子测量仪器制造。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6" w:type="dxa"/>
            <w:tcBorders>
              <w:top w:val="single" w:color="auto" w:sz="4" w:space="0"/>
              <w:left w:val="single" w:color="auto" w:sz="4" w:space="0"/>
              <w:bottom w:val="single" w:color="auto" w:sz="4" w:space="0"/>
              <w:right w:val="single" w:color="auto" w:sz="4" w:space="0"/>
            </w:tcBorders>
            <w:noWrap/>
            <w:vAlign w:val="center"/>
          </w:tcPr>
          <w:p>
            <w:pPr>
              <w:pStyle w:val="9"/>
              <w:jc w:val="center"/>
              <w:rPr>
                <w:rFonts w:hint="eastAsia" w:ascii="宋体" w:hAnsi="宋体" w:eastAsia="宋体"/>
                <w:color w:val="auto"/>
                <w:sz w:val="22"/>
                <w:lang w:val="en-US" w:bidi="ar-SA"/>
              </w:rPr>
            </w:pPr>
            <w:r>
              <w:rPr>
                <w:rFonts w:hint="eastAsia" w:ascii="宋体" w:hAnsi="宋体" w:eastAsia="宋体"/>
                <w:color w:val="auto"/>
                <w:sz w:val="22"/>
                <w:lang w:val="en-US" w:bidi="ar-SA"/>
              </w:rPr>
              <w:t>20</w:t>
            </w:r>
          </w:p>
        </w:tc>
        <w:tc>
          <w:tcPr>
            <w:tcW w:w="144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通信系统</w:t>
            </w:r>
          </w:p>
        </w:tc>
        <w:tc>
          <w:tcPr>
            <w:tcW w:w="3549"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海华电子企业（中国）有限公司</w:t>
            </w:r>
          </w:p>
        </w:tc>
        <w:tc>
          <w:tcPr>
            <w:tcW w:w="156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广东广州</w:t>
            </w:r>
          </w:p>
        </w:tc>
        <w:tc>
          <w:tcPr>
            <w:tcW w:w="6754" w:type="dxa"/>
            <w:tcBorders>
              <w:top w:val="single" w:color="auto" w:sz="4" w:space="0"/>
              <w:left w:val="single" w:color="auto" w:sz="4" w:space="0"/>
              <w:bottom w:val="single" w:color="auto" w:sz="4" w:space="0"/>
              <w:right w:val="single" w:color="auto" w:sz="4" w:space="0"/>
            </w:tcBorders>
            <w:noWrap/>
            <w:vAlign w:val="center"/>
          </w:tcPr>
          <w:p>
            <w:pPr>
              <w:widowControl/>
              <w:rPr>
                <w:rFonts w:hint="eastAsia" w:ascii="宋体" w:hAnsi="宋体" w:eastAsia="宋体" w:cs="宋体"/>
                <w:color w:val="auto"/>
                <w:kern w:val="0"/>
                <w:sz w:val="22"/>
              </w:rPr>
            </w:pPr>
            <w:r>
              <w:rPr>
                <w:rFonts w:hint="eastAsia" w:ascii="宋体" w:hAnsi="宋体" w:eastAsia="宋体" w:cs="宋体"/>
                <w:color w:val="auto"/>
                <w:kern w:val="0"/>
                <w:sz w:val="22"/>
              </w:rPr>
              <w:t>经营范围包括卫星技术综合应用系统集成、信息系统集成服务、集成电路设计、导航终端制造、卫星移动通信终端制造；气象雷达天线、相控阵天线、芯片化相控阵系统、相控阵TR 组件、小目标雷达、地轨卫星通信系统的研发和销售；通信设备制造、电力电子元器件制造、电子元器件制造、电子测量仪器制造。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6" w:type="dxa"/>
            <w:tcBorders>
              <w:top w:val="single" w:color="auto" w:sz="4" w:space="0"/>
              <w:left w:val="single" w:color="auto" w:sz="4" w:space="0"/>
              <w:bottom w:val="single" w:color="auto" w:sz="4" w:space="0"/>
              <w:right w:val="single" w:color="auto" w:sz="4" w:space="0"/>
            </w:tcBorders>
            <w:noWrap/>
            <w:vAlign w:val="center"/>
          </w:tcPr>
          <w:p>
            <w:pPr>
              <w:pStyle w:val="9"/>
              <w:jc w:val="center"/>
              <w:rPr>
                <w:rFonts w:hint="eastAsia" w:ascii="宋体" w:hAnsi="宋体" w:eastAsia="宋体"/>
                <w:color w:val="auto"/>
                <w:sz w:val="22"/>
                <w:lang w:val="en-US" w:bidi="ar-SA"/>
              </w:rPr>
            </w:pPr>
            <w:r>
              <w:rPr>
                <w:rFonts w:hint="eastAsia" w:ascii="宋体" w:hAnsi="宋体" w:eastAsia="宋体"/>
                <w:color w:val="auto"/>
                <w:sz w:val="22"/>
                <w:lang w:val="en-US" w:bidi="ar-SA"/>
              </w:rPr>
              <w:t>21</w:t>
            </w:r>
          </w:p>
        </w:tc>
        <w:tc>
          <w:tcPr>
            <w:tcW w:w="144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通信系统</w:t>
            </w:r>
          </w:p>
        </w:tc>
        <w:tc>
          <w:tcPr>
            <w:tcW w:w="3549"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成都微视信通信技术有限公司</w:t>
            </w:r>
          </w:p>
        </w:tc>
        <w:tc>
          <w:tcPr>
            <w:tcW w:w="156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四川成都</w:t>
            </w:r>
          </w:p>
        </w:tc>
        <w:tc>
          <w:tcPr>
            <w:tcW w:w="6754" w:type="dxa"/>
            <w:tcBorders>
              <w:top w:val="single" w:color="auto" w:sz="4" w:space="0"/>
              <w:left w:val="single" w:color="auto" w:sz="4" w:space="0"/>
              <w:bottom w:val="single" w:color="auto" w:sz="4" w:space="0"/>
              <w:right w:val="single" w:color="auto" w:sz="4" w:space="0"/>
            </w:tcBorders>
            <w:noWrap/>
            <w:vAlign w:val="center"/>
          </w:tcPr>
          <w:p>
            <w:pPr>
              <w:widowControl/>
              <w:rPr>
                <w:rFonts w:hint="eastAsia" w:ascii="宋体" w:hAnsi="宋体" w:eastAsia="宋体" w:cs="宋体"/>
                <w:color w:val="auto"/>
                <w:kern w:val="0"/>
                <w:sz w:val="22"/>
              </w:rPr>
            </w:pPr>
            <w:r>
              <w:rPr>
                <w:rFonts w:hint="eastAsia" w:ascii="宋体" w:hAnsi="宋体" w:eastAsia="宋体" w:cs="宋体"/>
                <w:color w:val="auto"/>
                <w:kern w:val="0"/>
                <w:sz w:val="22"/>
              </w:rPr>
              <w:t>20km以上低延时高清图传、50km高清图传、数据链通信模块及无线信道模拟器等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6" w:type="dxa"/>
            <w:tcBorders>
              <w:top w:val="single" w:color="auto" w:sz="4" w:space="0"/>
              <w:left w:val="single" w:color="auto" w:sz="4" w:space="0"/>
              <w:bottom w:val="single" w:color="auto" w:sz="4" w:space="0"/>
              <w:right w:val="single" w:color="auto" w:sz="4" w:space="0"/>
            </w:tcBorders>
            <w:noWrap/>
            <w:vAlign w:val="center"/>
          </w:tcPr>
          <w:p>
            <w:pPr>
              <w:pStyle w:val="9"/>
              <w:jc w:val="center"/>
              <w:rPr>
                <w:rFonts w:hint="eastAsia" w:ascii="宋体" w:hAnsi="宋体" w:eastAsia="宋体"/>
                <w:color w:val="auto"/>
                <w:sz w:val="22"/>
                <w:lang w:val="en-US" w:bidi="ar-SA"/>
              </w:rPr>
            </w:pPr>
            <w:r>
              <w:rPr>
                <w:rFonts w:hint="eastAsia" w:ascii="宋体" w:hAnsi="宋体" w:eastAsia="宋体"/>
                <w:color w:val="auto"/>
                <w:sz w:val="22"/>
                <w:lang w:val="en-US" w:bidi="ar-SA"/>
              </w:rPr>
              <w:t>22</w:t>
            </w:r>
          </w:p>
        </w:tc>
        <w:tc>
          <w:tcPr>
            <w:tcW w:w="144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导航和通信系统</w:t>
            </w:r>
          </w:p>
        </w:tc>
        <w:tc>
          <w:tcPr>
            <w:tcW w:w="3549"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中电科航空电子有限公司</w:t>
            </w:r>
          </w:p>
        </w:tc>
        <w:tc>
          <w:tcPr>
            <w:tcW w:w="156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四川成都</w:t>
            </w:r>
          </w:p>
        </w:tc>
        <w:tc>
          <w:tcPr>
            <w:tcW w:w="6754" w:type="dxa"/>
            <w:tcBorders>
              <w:top w:val="single" w:color="auto" w:sz="4" w:space="0"/>
              <w:left w:val="single" w:color="auto" w:sz="4" w:space="0"/>
              <w:bottom w:val="single" w:color="auto" w:sz="4" w:space="0"/>
              <w:right w:val="single" w:color="auto" w:sz="4" w:space="0"/>
            </w:tcBorders>
            <w:noWrap/>
            <w:vAlign w:val="center"/>
          </w:tcPr>
          <w:p>
            <w:pPr>
              <w:widowControl/>
              <w:rPr>
                <w:rFonts w:hint="eastAsia" w:ascii="宋体" w:hAnsi="宋体" w:eastAsia="宋体" w:cs="宋体"/>
                <w:color w:val="auto"/>
                <w:kern w:val="0"/>
                <w:sz w:val="22"/>
              </w:rPr>
            </w:pPr>
            <w:r>
              <w:rPr>
                <w:rFonts w:hint="eastAsia" w:ascii="宋体" w:hAnsi="宋体" w:eastAsia="宋体" w:cs="宋体"/>
                <w:color w:val="auto"/>
                <w:kern w:val="0"/>
                <w:sz w:val="22"/>
              </w:rPr>
              <w:t>通信导航系统、客舱系统、信息系统、通飞航电系统等领域的先进机载航空电子产品线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6" w:type="dxa"/>
            <w:tcBorders>
              <w:top w:val="single" w:color="auto" w:sz="4" w:space="0"/>
              <w:left w:val="single" w:color="auto" w:sz="4" w:space="0"/>
              <w:bottom w:val="single" w:color="auto" w:sz="4" w:space="0"/>
              <w:right w:val="single" w:color="auto" w:sz="4" w:space="0"/>
            </w:tcBorders>
            <w:noWrap/>
            <w:vAlign w:val="center"/>
          </w:tcPr>
          <w:p>
            <w:pPr>
              <w:pStyle w:val="9"/>
              <w:jc w:val="center"/>
              <w:rPr>
                <w:rFonts w:hint="eastAsia" w:ascii="宋体" w:hAnsi="宋体" w:eastAsia="宋体"/>
                <w:color w:val="auto"/>
                <w:sz w:val="22"/>
                <w:lang w:val="en-US" w:bidi="ar-SA"/>
              </w:rPr>
            </w:pPr>
            <w:r>
              <w:rPr>
                <w:rFonts w:hint="eastAsia" w:ascii="宋体" w:hAnsi="宋体" w:eastAsia="宋体"/>
                <w:color w:val="auto"/>
                <w:sz w:val="22"/>
                <w:lang w:val="en-US" w:bidi="ar-SA"/>
              </w:rPr>
              <w:t>23</w:t>
            </w:r>
          </w:p>
        </w:tc>
        <w:tc>
          <w:tcPr>
            <w:tcW w:w="144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通信系统</w:t>
            </w:r>
          </w:p>
        </w:tc>
        <w:tc>
          <w:tcPr>
            <w:tcW w:w="3549"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深圳市镭神智能系统有限公司</w:t>
            </w:r>
          </w:p>
        </w:tc>
        <w:tc>
          <w:tcPr>
            <w:tcW w:w="156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广东深圳</w:t>
            </w:r>
          </w:p>
        </w:tc>
        <w:tc>
          <w:tcPr>
            <w:tcW w:w="6754" w:type="dxa"/>
            <w:tcBorders>
              <w:top w:val="single" w:color="auto" w:sz="4" w:space="0"/>
              <w:left w:val="single" w:color="auto" w:sz="4" w:space="0"/>
              <w:bottom w:val="single" w:color="auto" w:sz="4" w:space="0"/>
              <w:right w:val="single" w:color="auto" w:sz="4" w:space="0"/>
            </w:tcBorders>
            <w:noWrap/>
            <w:vAlign w:val="center"/>
          </w:tcPr>
          <w:p>
            <w:pPr>
              <w:widowControl/>
              <w:rPr>
                <w:rFonts w:hint="eastAsia" w:ascii="宋体" w:hAnsi="宋体" w:eastAsia="宋体" w:cs="宋体"/>
                <w:color w:val="auto"/>
                <w:kern w:val="0"/>
                <w:sz w:val="22"/>
              </w:rPr>
            </w:pPr>
            <w:r>
              <w:rPr>
                <w:rFonts w:hint="eastAsia" w:ascii="宋体" w:hAnsi="宋体" w:eastAsia="宋体" w:cs="宋体"/>
                <w:color w:val="auto"/>
                <w:kern w:val="0"/>
                <w:sz w:val="22"/>
              </w:rPr>
              <w:t>成立于2015年2月，以强大的自主研发实力成为全球领先的全场景激光雷达及整体解决方案提供商，致力于以高端、稳定、可靠的激光雷达环境感知技术赋能产业升级，服务覆盖自动驾驶、智慧交通、轨道交通、通用航空、机器人、智慧物流、高端安防、港口、测绘及工业自动化等十大产业生态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6" w:type="dxa"/>
            <w:tcBorders>
              <w:top w:val="single" w:color="auto" w:sz="4" w:space="0"/>
              <w:left w:val="single" w:color="auto" w:sz="4" w:space="0"/>
              <w:bottom w:val="single" w:color="auto" w:sz="4" w:space="0"/>
              <w:right w:val="single" w:color="auto" w:sz="4" w:space="0"/>
            </w:tcBorders>
            <w:noWrap/>
            <w:vAlign w:val="center"/>
          </w:tcPr>
          <w:p>
            <w:pPr>
              <w:pStyle w:val="9"/>
              <w:jc w:val="center"/>
              <w:rPr>
                <w:rFonts w:hint="eastAsia" w:ascii="宋体" w:hAnsi="宋体" w:eastAsia="宋体"/>
                <w:color w:val="auto"/>
                <w:sz w:val="22"/>
                <w:lang w:val="en-US" w:bidi="ar-SA"/>
              </w:rPr>
            </w:pPr>
            <w:r>
              <w:rPr>
                <w:rFonts w:hint="eastAsia" w:ascii="宋体" w:hAnsi="宋体" w:eastAsia="宋体"/>
                <w:color w:val="auto"/>
                <w:sz w:val="22"/>
                <w:lang w:val="en-US" w:bidi="ar-SA"/>
              </w:rPr>
              <w:t>24</w:t>
            </w:r>
          </w:p>
        </w:tc>
        <w:tc>
          <w:tcPr>
            <w:tcW w:w="144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通信系统</w:t>
            </w:r>
          </w:p>
        </w:tc>
        <w:tc>
          <w:tcPr>
            <w:tcW w:w="3549"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麦格雷博电子（深圳）有限公司</w:t>
            </w:r>
          </w:p>
        </w:tc>
        <w:tc>
          <w:tcPr>
            <w:tcW w:w="156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广东深圳</w:t>
            </w:r>
          </w:p>
        </w:tc>
        <w:tc>
          <w:tcPr>
            <w:tcW w:w="6754" w:type="dxa"/>
            <w:tcBorders>
              <w:top w:val="single" w:color="auto" w:sz="4" w:space="0"/>
              <w:left w:val="single" w:color="auto" w:sz="4" w:space="0"/>
              <w:bottom w:val="single" w:color="auto" w:sz="4" w:space="0"/>
              <w:right w:val="single" w:color="auto" w:sz="4" w:space="0"/>
            </w:tcBorders>
            <w:noWrap/>
            <w:vAlign w:val="center"/>
          </w:tcPr>
          <w:p>
            <w:pPr>
              <w:widowControl/>
              <w:rPr>
                <w:rFonts w:hint="eastAsia" w:ascii="宋体" w:hAnsi="宋体" w:eastAsia="宋体" w:cs="宋体"/>
                <w:color w:val="auto"/>
                <w:kern w:val="0"/>
                <w:sz w:val="22"/>
              </w:rPr>
            </w:pPr>
            <w:r>
              <w:rPr>
                <w:rFonts w:hint="eastAsia" w:ascii="宋体" w:hAnsi="宋体" w:eastAsia="宋体" w:cs="宋体"/>
                <w:color w:val="auto"/>
                <w:kern w:val="0"/>
                <w:sz w:val="22"/>
              </w:rPr>
              <w:t>提供涉磁设备的配套服务，充退磁机、充退磁线圈、磁测量仪器等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6" w:type="dxa"/>
            <w:tcBorders>
              <w:top w:val="single" w:color="auto" w:sz="4" w:space="0"/>
              <w:left w:val="single" w:color="auto" w:sz="4" w:space="0"/>
              <w:bottom w:val="single" w:color="auto" w:sz="4" w:space="0"/>
              <w:right w:val="single" w:color="auto" w:sz="4" w:space="0"/>
            </w:tcBorders>
            <w:noWrap/>
            <w:vAlign w:val="center"/>
          </w:tcPr>
          <w:p>
            <w:pPr>
              <w:pStyle w:val="9"/>
              <w:jc w:val="center"/>
              <w:rPr>
                <w:rFonts w:hint="eastAsia" w:ascii="宋体" w:hAnsi="宋体" w:eastAsia="宋体"/>
                <w:color w:val="auto"/>
                <w:sz w:val="22"/>
                <w:lang w:val="en-US" w:bidi="ar-SA"/>
              </w:rPr>
            </w:pPr>
            <w:r>
              <w:rPr>
                <w:rFonts w:hint="eastAsia" w:ascii="宋体" w:hAnsi="宋体" w:eastAsia="宋体"/>
                <w:color w:val="auto"/>
                <w:sz w:val="22"/>
                <w:lang w:val="en-US" w:bidi="ar-SA"/>
              </w:rPr>
              <w:t>25</w:t>
            </w:r>
          </w:p>
        </w:tc>
        <w:tc>
          <w:tcPr>
            <w:tcW w:w="144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导航系统</w:t>
            </w:r>
          </w:p>
        </w:tc>
        <w:tc>
          <w:tcPr>
            <w:tcW w:w="3549"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北京星网宇达科技股份有限公司</w:t>
            </w:r>
          </w:p>
        </w:tc>
        <w:tc>
          <w:tcPr>
            <w:tcW w:w="156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北京</w:t>
            </w:r>
          </w:p>
        </w:tc>
        <w:tc>
          <w:tcPr>
            <w:tcW w:w="6754" w:type="dxa"/>
            <w:tcBorders>
              <w:top w:val="single" w:color="auto" w:sz="4" w:space="0"/>
              <w:left w:val="single" w:color="auto" w:sz="4" w:space="0"/>
              <w:bottom w:val="single" w:color="auto" w:sz="4" w:space="0"/>
              <w:right w:val="single" w:color="auto" w:sz="4" w:space="0"/>
            </w:tcBorders>
            <w:noWrap/>
            <w:vAlign w:val="center"/>
          </w:tcPr>
          <w:p>
            <w:pPr>
              <w:widowControl/>
              <w:rPr>
                <w:rFonts w:hint="eastAsia" w:ascii="宋体" w:hAnsi="宋体" w:eastAsia="宋体" w:cs="宋体"/>
                <w:color w:val="auto"/>
                <w:kern w:val="0"/>
                <w:sz w:val="22"/>
              </w:rPr>
            </w:pPr>
            <w:r>
              <w:rPr>
                <w:rFonts w:hint="eastAsia" w:ascii="宋体" w:hAnsi="宋体" w:eastAsia="宋体" w:cs="宋体"/>
                <w:color w:val="auto"/>
                <w:kern w:val="0"/>
                <w:sz w:val="22"/>
              </w:rPr>
              <w:t>惯性技术开发及应用，主要开展惯性组合导航、惯性测量、惯性稳控产品的研发、生产及销售，并为航空、航天、航海、电子、石油、测绘、交通及通讯等领域用户提供全自主、高动态的位置、速度、姿态等信息的感知及稳定控制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6" w:type="dxa"/>
            <w:tcBorders>
              <w:top w:val="single" w:color="auto" w:sz="4" w:space="0"/>
              <w:left w:val="single" w:color="auto" w:sz="4" w:space="0"/>
              <w:bottom w:val="single" w:color="auto" w:sz="4" w:space="0"/>
              <w:right w:val="single" w:color="auto" w:sz="4" w:space="0"/>
            </w:tcBorders>
            <w:noWrap/>
            <w:vAlign w:val="center"/>
          </w:tcPr>
          <w:p>
            <w:pPr>
              <w:pStyle w:val="9"/>
              <w:jc w:val="center"/>
              <w:rPr>
                <w:rFonts w:hint="eastAsia" w:ascii="宋体" w:hAnsi="宋体" w:eastAsia="宋体"/>
                <w:color w:val="auto"/>
                <w:sz w:val="22"/>
                <w:lang w:val="en-US" w:bidi="ar-SA"/>
              </w:rPr>
            </w:pPr>
            <w:r>
              <w:rPr>
                <w:rFonts w:hint="eastAsia" w:ascii="宋体" w:hAnsi="宋体" w:eastAsia="宋体"/>
                <w:color w:val="auto"/>
                <w:sz w:val="22"/>
                <w:lang w:val="en-US" w:bidi="ar-SA"/>
              </w:rPr>
              <w:t>26</w:t>
            </w:r>
          </w:p>
        </w:tc>
        <w:tc>
          <w:tcPr>
            <w:tcW w:w="144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导航系统</w:t>
            </w:r>
          </w:p>
        </w:tc>
        <w:tc>
          <w:tcPr>
            <w:tcW w:w="3549"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广州吉欧电子科技有限公司</w:t>
            </w:r>
          </w:p>
        </w:tc>
        <w:tc>
          <w:tcPr>
            <w:tcW w:w="156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广东广州</w:t>
            </w:r>
          </w:p>
        </w:tc>
        <w:tc>
          <w:tcPr>
            <w:tcW w:w="6754" w:type="dxa"/>
            <w:tcBorders>
              <w:top w:val="single" w:color="auto" w:sz="4" w:space="0"/>
              <w:left w:val="single" w:color="auto" w:sz="4" w:space="0"/>
              <w:bottom w:val="single" w:color="auto" w:sz="4" w:space="0"/>
              <w:right w:val="single" w:color="auto" w:sz="4" w:space="0"/>
            </w:tcBorders>
            <w:noWrap/>
            <w:vAlign w:val="center"/>
          </w:tcPr>
          <w:p>
            <w:pPr>
              <w:widowControl/>
              <w:rPr>
                <w:rFonts w:hint="eastAsia" w:ascii="宋体" w:hAnsi="宋体" w:eastAsia="宋体" w:cs="宋体"/>
                <w:color w:val="auto"/>
                <w:kern w:val="0"/>
                <w:sz w:val="22"/>
              </w:rPr>
            </w:pPr>
            <w:r>
              <w:rPr>
                <w:rFonts w:hint="eastAsia" w:ascii="宋体" w:hAnsi="宋体" w:eastAsia="宋体" w:cs="宋体"/>
                <w:color w:val="auto"/>
                <w:kern w:val="0"/>
                <w:sz w:val="22"/>
              </w:rPr>
              <w:t>专业从事全球卫星定位高精度GNSS测量仪器、嵌入式工业设备与行业解决方案研究和开发的高新技术企业，致力于北斗高精度普及化，专注于测量型GNSS、北斗全频天线、窄带远距离数传电台、动态定位解算、事后数据处理、网络参考站、多传感器补偿、惯性导航等基础核心技术的研究，是国内技术实力领先的GNSS、北斗高精度定位产品提供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6" w:type="dxa"/>
            <w:tcBorders>
              <w:top w:val="single" w:color="auto" w:sz="4" w:space="0"/>
              <w:left w:val="single" w:color="auto" w:sz="4" w:space="0"/>
              <w:bottom w:val="single" w:color="auto" w:sz="4" w:space="0"/>
              <w:right w:val="single" w:color="auto" w:sz="4" w:space="0"/>
            </w:tcBorders>
            <w:noWrap/>
            <w:vAlign w:val="center"/>
          </w:tcPr>
          <w:p>
            <w:pPr>
              <w:pStyle w:val="9"/>
              <w:jc w:val="center"/>
              <w:rPr>
                <w:rFonts w:hint="eastAsia" w:ascii="宋体" w:hAnsi="宋体" w:eastAsia="宋体"/>
                <w:color w:val="auto"/>
                <w:sz w:val="22"/>
                <w:lang w:val="en-US" w:bidi="ar-SA"/>
              </w:rPr>
            </w:pPr>
            <w:r>
              <w:rPr>
                <w:rFonts w:hint="eastAsia" w:ascii="宋体" w:hAnsi="宋体" w:eastAsia="宋体"/>
                <w:color w:val="auto"/>
                <w:sz w:val="22"/>
                <w:lang w:val="en-US" w:bidi="ar-SA"/>
              </w:rPr>
              <w:t>27</w:t>
            </w:r>
          </w:p>
        </w:tc>
        <w:tc>
          <w:tcPr>
            <w:tcW w:w="144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导航系统</w:t>
            </w:r>
          </w:p>
        </w:tc>
        <w:tc>
          <w:tcPr>
            <w:tcW w:w="3549"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广州中海达卫星导航技术股份有限公司</w:t>
            </w:r>
          </w:p>
        </w:tc>
        <w:tc>
          <w:tcPr>
            <w:tcW w:w="156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广东广州</w:t>
            </w:r>
          </w:p>
        </w:tc>
        <w:tc>
          <w:tcPr>
            <w:tcW w:w="6754" w:type="dxa"/>
            <w:tcBorders>
              <w:top w:val="single" w:color="auto" w:sz="4" w:space="0"/>
              <w:left w:val="single" w:color="auto" w:sz="4" w:space="0"/>
              <w:bottom w:val="single" w:color="auto" w:sz="4" w:space="0"/>
              <w:right w:val="single" w:color="auto" w:sz="4" w:space="0"/>
            </w:tcBorders>
            <w:noWrap/>
            <w:vAlign w:val="center"/>
          </w:tcPr>
          <w:p>
            <w:pPr>
              <w:widowControl/>
              <w:rPr>
                <w:rFonts w:hint="eastAsia" w:ascii="宋体" w:hAnsi="宋体" w:eastAsia="宋体" w:cs="宋体"/>
                <w:color w:val="auto"/>
                <w:kern w:val="0"/>
                <w:sz w:val="22"/>
              </w:rPr>
            </w:pPr>
            <w:r>
              <w:rPr>
                <w:rFonts w:hint="eastAsia" w:ascii="宋体" w:hAnsi="宋体" w:eastAsia="宋体" w:cs="宋体"/>
                <w:color w:val="auto"/>
                <w:kern w:val="0"/>
                <w:sz w:val="22"/>
              </w:rPr>
              <w:t>空间信息产品的开发、设计、生产和销售；导航、气象及海洋专用仪器制造；测绘服务；通信系统设备制造；安全技术防范产品批发；电子测量仪器制造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6" w:type="dxa"/>
            <w:tcBorders>
              <w:top w:val="single" w:color="auto" w:sz="4" w:space="0"/>
              <w:left w:val="single" w:color="auto" w:sz="4" w:space="0"/>
              <w:bottom w:val="single" w:color="auto" w:sz="4" w:space="0"/>
              <w:right w:val="single" w:color="auto" w:sz="4" w:space="0"/>
            </w:tcBorders>
            <w:noWrap/>
            <w:vAlign w:val="center"/>
          </w:tcPr>
          <w:p>
            <w:pPr>
              <w:pStyle w:val="9"/>
              <w:jc w:val="center"/>
              <w:rPr>
                <w:rFonts w:hint="eastAsia" w:ascii="宋体" w:hAnsi="宋体" w:eastAsia="宋体"/>
                <w:color w:val="auto"/>
                <w:sz w:val="22"/>
                <w:lang w:val="en-US" w:bidi="ar-SA"/>
              </w:rPr>
            </w:pPr>
            <w:r>
              <w:rPr>
                <w:rFonts w:hint="eastAsia" w:ascii="宋体" w:hAnsi="宋体" w:eastAsia="宋体"/>
                <w:color w:val="auto"/>
                <w:sz w:val="22"/>
                <w:lang w:val="en-US" w:bidi="ar-SA"/>
              </w:rPr>
              <w:t>28</w:t>
            </w:r>
          </w:p>
        </w:tc>
        <w:tc>
          <w:tcPr>
            <w:tcW w:w="144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通信系统</w:t>
            </w:r>
          </w:p>
        </w:tc>
        <w:tc>
          <w:tcPr>
            <w:tcW w:w="3549"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成都雷通科技有限公司</w:t>
            </w:r>
          </w:p>
        </w:tc>
        <w:tc>
          <w:tcPr>
            <w:tcW w:w="156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四川成都</w:t>
            </w:r>
          </w:p>
        </w:tc>
        <w:tc>
          <w:tcPr>
            <w:tcW w:w="6754" w:type="dxa"/>
            <w:tcBorders>
              <w:top w:val="single" w:color="auto" w:sz="4" w:space="0"/>
              <w:left w:val="single" w:color="auto" w:sz="4" w:space="0"/>
              <w:bottom w:val="single" w:color="auto" w:sz="4" w:space="0"/>
              <w:right w:val="single" w:color="auto" w:sz="4" w:space="0"/>
            </w:tcBorders>
            <w:noWrap/>
            <w:vAlign w:val="center"/>
          </w:tcPr>
          <w:p>
            <w:pPr>
              <w:widowControl/>
              <w:rPr>
                <w:rFonts w:hint="eastAsia" w:ascii="宋体" w:hAnsi="宋体" w:eastAsia="宋体" w:cs="宋体"/>
                <w:color w:val="auto"/>
                <w:kern w:val="0"/>
                <w:sz w:val="22"/>
              </w:rPr>
            </w:pPr>
            <w:r>
              <w:rPr>
                <w:rFonts w:hint="eastAsia" w:ascii="宋体" w:hAnsi="宋体" w:eastAsia="宋体" w:cs="宋体"/>
                <w:color w:val="auto"/>
                <w:kern w:val="0"/>
                <w:sz w:val="22"/>
              </w:rPr>
              <w:t>北斗通信、低空警戒雷达、相控阵雷达、无人机反制系统等产品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6" w:type="dxa"/>
            <w:tcBorders>
              <w:top w:val="single" w:color="auto" w:sz="4" w:space="0"/>
              <w:left w:val="single" w:color="auto" w:sz="4" w:space="0"/>
              <w:bottom w:val="single" w:color="auto" w:sz="4" w:space="0"/>
              <w:right w:val="single" w:color="auto" w:sz="4" w:space="0"/>
            </w:tcBorders>
            <w:noWrap/>
            <w:vAlign w:val="center"/>
          </w:tcPr>
          <w:p>
            <w:pPr>
              <w:pStyle w:val="9"/>
              <w:jc w:val="center"/>
              <w:rPr>
                <w:rFonts w:hint="eastAsia" w:ascii="宋体" w:hAnsi="宋体" w:eastAsia="宋体"/>
                <w:color w:val="auto"/>
                <w:sz w:val="22"/>
                <w:lang w:val="en-US" w:bidi="ar-SA"/>
              </w:rPr>
            </w:pPr>
            <w:r>
              <w:rPr>
                <w:rFonts w:hint="eastAsia" w:ascii="宋体" w:hAnsi="宋体" w:eastAsia="宋体"/>
                <w:color w:val="auto"/>
                <w:sz w:val="22"/>
                <w:lang w:val="en-US" w:bidi="ar-SA"/>
              </w:rPr>
              <w:t>29</w:t>
            </w:r>
          </w:p>
        </w:tc>
        <w:tc>
          <w:tcPr>
            <w:tcW w:w="144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通信系统</w:t>
            </w:r>
          </w:p>
        </w:tc>
        <w:tc>
          <w:tcPr>
            <w:tcW w:w="3549"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上海思岚科技有限公司</w:t>
            </w:r>
          </w:p>
        </w:tc>
        <w:tc>
          <w:tcPr>
            <w:tcW w:w="156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上海</w:t>
            </w:r>
          </w:p>
        </w:tc>
        <w:tc>
          <w:tcPr>
            <w:tcW w:w="6754" w:type="dxa"/>
            <w:tcBorders>
              <w:top w:val="single" w:color="auto" w:sz="4" w:space="0"/>
              <w:left w:val="single" w:color="auto" w:sz="4" w:space="0"/>
              <w:bottom w:val="single" w:color="auto" w:sz="4" w:space="0"/>
              <w:right w:val="single" w:color="auto" w:sz="4" w:space="0"/>
            </w:tcBorders>
            <w:noWrap/>
            <w:vAlign w:val="center"/>
          </w:tcPr>
          <w:p>
            <w:pPr>
              <w:widowControl/>
              <w:rPr>
                <w:rFonts w:hint="eastAsia" w:ascii="宋体" w:hAnsi="宋体" w:eastAsia="宋体" w:cs="宋体"/>
                <w:color w:val="auto"/>
                <w:kern w:val="0"/>
                <w:sz w:val="22"/>
              </w:rPr>
            </w:pPr>
            <w:r>
              <w:rPr>
                <w:rFonts w:hint="eastAsia" w:ascii="宋体" w:hAnsi="宋体" w:eastAsia="宋体" w:cs="宋体"/>
                <w:color w:val="auto"/>
                <w:kern w:val="0"/>
                <w:sz w:val="22"/>
              </w:rPr>
              <w:t>机器人自主定位导航(激光雷达)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6" w:type="dxa"/>
            <w:tcBorders>
              <w:top w:val="single" w:color="auto" w:sz="4" w:space="0"/>
              <w:left w:val="single" w:color="auto" w:sz="4" w:space="0"/>
              <w:bottom w:val="single" w:color="auto" w:sz="4" w:space="0"/>
              <w:right w:val="single" w:color="auto" w:sz="4" w:space="0"/>
            </w:tcBorders>
            <w:noWrap/>
            <w:vAlign w:val="center"/>
          </w:tcPr>
          <w:p>
            <w:pPr>
              <w:pStyle w:val="9"/>
              <w:jc w:val="center"/>
              <w:rPr>
                <w:rFonts w:hint="eastAsia" w:ascii="宋体" w:hAnsi="宋体" w:eastAsia="宋体"/>
                <w:color w:val="auto"/>
                <w:sz w:val="22"/>
                <w:lang w:val="en-US" w:bidi="ar-SA"/>
              </w:rPr>
            </w:pPr>
            <w:r>
              <w:rPr>
                <w:rFonts w:hint="eastAsia" w:ascii="宋体" w:hAnsi="宋体" w:eastAsia="宋体"/>
                <w:color w:val="auto"/>
                <w:sz w:val="22"/>
                <w:lang w:val="en-US" w:bidi="ar-SA"/>
              </w:rPr>
              <w:t>30</w:t>
            </w:r>
          </w:p>
        </w:tc>
        <w:tc>
          <w:tcPr>
            <w:tcW w:w="144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通信系统</w:t>
            </w:r>
          </w:p>
        </w:tc>
        <w:tc>
          <w:tcPr>
            <w:tcW w:w="3549"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南京大桥机器有限公司</w:t>
            </w:r>
          </w:p>
        </w:tc>
        <w:tc>
          <w:tcPr>
            <w:tcW w:w="156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江苏南京</w:t>
            </w:r>
          </w:p>
        </w:tc>
        <w:tc>
          <w:tcPr>
            <w:tcW w:w="6754" w:type="dxa"/>
            <w:tcBorders>
              <w:top w:val="single" w:color="auto" w:sz="4" w:space="0"/>
              <w:left w:val="single" w:color="auto" w:sz="4" w:space="0"/>
              <w:bottom w:val="single" w:color="auto" w:sz="4" w:space="0"/>
              <w:right w:val="single" w:color="auto" w:sz="4" w:space="0"/>
            </w:tcBorders>
            <w:noWrap/>
            <w:vAlign w:val="center"/>
          </w:tcPr>
          <w:p>
            <w:pPr>
              <w:widowControl/>
              <w:rPr>
                <w:rFonts w:hint="eastAsia" w:ascii="宋体" w:hAnsi="宋体" w:eastAsia="宋体" w:cs="宋体"/>
                <w:color w:val="auto"/>
                <w:kern w:val="0"/>
                <w:sz w:val="22"/>
              </w:rPr>
            </w:pPr>
            <w:r>
              <w:rPr>
                <w:rFonts w:hint="eastAsia" w:ascii="宋体" w:hAnsi="宋体" w:eastAsia="宋体" w:cs="宋体"/>
                <w:color w:val="auto"/>
                <w:kern w:val="0"/>
                <w:sz w:val="22"/>
              </w:rPr>
              <w:t>气象探测雷达、卫星云图接收设备、无线电专用设备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6" w:type="dxa"/>
            <w:tcBorders>
              <w:top w:val="single" w:color="auto" w:sz="4" w:space="0"/>
              <w:left w:val="single" w:color="auto" w:sz="4" w:space="0"/>
              <w:bottom w:val="single" w:color="auto" w:sz="4" w:space="0"/>
              <w:right w:val="single" w:color="auto" w:sz="4" w:space="0"/>
            </w:tcBorders>
            <w:noWrap/>
            <w:vAlign w:val="center"/>
          </w:tcPr>
          <w:p>
            <w:pPr>
              <w:pStyle w:val="9"/>
              <w:jc w:val="center"/>
              <w:rPr>
                <w:rFonts w:hint="eastAsia" w:ascii="宋体" w:hAnsi="宋体" w:eastAsia="宋体"/>
                <w:color w:val="auto"/>
                <w:sz w:val="22"/>
                <w:lang w:val="en-US" w:bidi="ar-SA"/>
              </w:rPr>
            </w:pPr>
            <w:r>
              <w:rPr>
                <w:rFonts w:hint="eastAsia" w:ascii="宋体" w:hAnsi="宋体" w:eastAsia="宋体"/>
                <w:color w:val="auto"/>
                <w:sz w:val="22"/>
                <w:lang w:val="en-US" w:bidi="ar-SA"/>
              </w:rPr>
              <w:t>31</w:t>
            </w:r>
          </w:p>
        </w:tc>
        <w:tc>
          <w:tcPr>
            <w:tcW w:w="144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通信系统</w:t>
            </w:r>
          </w:p>
        </w:tc>
        <w:tc>
          <w:tcPr>
            <w:tcW w:w="3549"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成都凯天电子股份有限公司</w:t>
            </w:r>
          </w:p>
        </w:tc>
        <w:tc>
          <w:tcPr>
            <w:tcW w:w="156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四川成都</w:t>
            </w:r>
          </w:p>
        </w:tc>
        <w:tc>
          <w:tcPr>
            <w:tcW w:w="6754" w:type="dxa"/>
            <w:tcBorders>
              <w:top w:val="single" w:color="auto" w:sz="4" w:space="0"/>
              <w:left w:val="single" w:color="auto" w:sz="4" w:space="0"/>
              <w:bottom w:val="single" w:color="auto" w:sz="4" w:space="0"/>
              <w:right w:val="single" w:color="auto" w:sz="4" w:space="0"/>
            </w:tcBorders>
            <w:noWrap/>
            <w:vAlign w:val="center"/>
          </w:tcPr>
          <w:p>
            <w:pPr>
              <w:widowControl/>
              <w:rPr>
                <w:rFonts w:hint="eastAsia" w:ascii="宋体" w:hAnsi="宋体" w:eastAsia="宋体" w:cs="宋体"/>
                <w:color w:val="auto"/>
                <w:kern w:val="0"/>
                <w:sz w:val="22"/>
              </w:rPr>
            </w:pPr>
            <w:r>
              <w:rPr>
                <w:rFonts w:hint="eastAsia" w:ascii="宋体" w:hAnsi="宋体" w:eastAsia="宋体" w:cs="宋体"/>
                <w:color w:val="auto"/>
                <w:kern w:val="0"/>
                <w:sz w:val="22"/>
              </w:rPr>
              <w:t>大气数据与传感器、位置检测与控制、飞行数据管理和无线数据传输、燃油增压泵等；AG600中承担大气数据子系统,起落架信号灯盒、压力传感器等4项设备；新舟700中承担起落架收放及位置告警子系统：各类产品配套机型还包括MD-90、运12E/F、H425、AC311、 AC313、AC311A、新舟60/600 CJ1000AX、“海鸥”300等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6"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32</w:t>
            </w:r>
          </w:p>
        </w:tc>
        <w:tc>
          <w:tcPr>
            <w:tcW w:w="1446"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载荷系统（摄像机）</w:t>
            </w:r>
          </w:p>
        </w:tc>
        <w:tc>
          <w:tcPr>
            <w:tcW w:w="3543"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bookmarkStart w:id="282" w:name="_Hlk172030474"/>
            <w:r>
              <w:rPr>
                <w:rFonts w:hint="eastAsia" w:ascii="宋体" w:hAnsi="宋体" w:eastAsia="宋体" w:cs="宋体"/>
                <w:color w:val="auto"/>
                <w:kern w:val="0"/>
                <w:sz w:val="22"/>
              </w:rPr>
              <w:t>深圳曼塔智能科技有限公司</w:t>
            </w:r>
            <w:bookmarkEnd w:id="282"/>
          </w:p>
        </w:tc>
        <w:tc>
          <w:tcPr>
            <w:tcW w:w="156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广东深圳</w:t>
            </w:r>
          </w:p>
        </w:tc>
        <w:tc>
          <w:tcPr>
            <w:tcW w:w="6754" w:type="dxa"/>
            <w:tcBorders>
              <w:top w:val="single" w:color="auto" w:sz="4" w:space="0"/>
              <w:left w:val="single" w:color="auto" w:sz="4" w:space="0"/>
              <w:bottom w:val="single" w:color="auto" w:sz="4" w:space="0"/>
              <w:right w:val="single" w:color="auto" w:sz="4" w:space="0"/>
            </w:tcBorders>
            <w:noWrap/>
            <w:vAlign w:val="center"/>
          </w:tcPr>
          <w:p>
            <w:pPr>
              <w:widowControl/>
              <w:rPr>
                <w:rFonts w:hint="eastAsia" w:ascii="宋体" w:hAnsi="宋体" w:eastAsia="宋体" w:cs="宋体"/>
                <w:color w:val="auto"/>
                <w:kern w:val="0"/>
                <w:sz w:val="22"/>
              </w:rPr>
            </w:pPr>
            <w:r>
              <w:rPr>
                <w:rFonts w:hint="eastAsia" w:ascii="宋体" w:hAnsi="宋体" w:eastAsia="宋体" w:cs="宋体"/>
                <w:color w:val="auto"/>
                <w:kern w:val="0"/>
                <w:sz w:val="22"/>
              </w:rPr>
              <w:t>航空电子设备、自动控制设备、无人驾驶航空器、无线电数据传输系统产品、智能玩具、摄影摄像器材的销售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6"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33</w:t>
            </w:r>
          </w:p>
        </w:tc>
        <w:tc>
          <w:tcPr>
            <w:tcW w:w="1446"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载荷系统（摄像机）</w:t>
            </w:r>
          </w:p>
        </w:tc>
        <w:tc>
          <w:tcPr>
            <w:tcW w:w="3543"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深圳飞豹航天航空科技有限公司</w:t>
            </w:r>
          </w:p>
        </w:tc>
        <w:tc>
          <w:tcPr>
            <w:tcW w:w="156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广东深圳</w:t>
            </w:r>
          </w:p>
        </w:tc>
        <w:tc>
          <w:tcPr>
            <w:tcW w:w="6754" w:type="dxa"/>
            <w:tcBorders>
              <w:top w:val="single" w:color="auto" w:sz="4" w:space="0"/>
              <w:left w:val="single" w:color="auto" w:sz="4" w:space="0"/>
              <w:bottom w:val="single" w:color="auto" w:sz="4" w:space="0"/>
              <w:right w:val="single" w:color="auto" w:sz="4" w:space="0"/>
            </w:tcBorders>
            <w:noWrap/>
            <w:vAlign w:val="center"/>
          </w:tcPr>
          <w:p>
            <w:pPr>
              <w:widowControl/>
              <w:rPr>
                <w:rFonts w:hint="eastAsia" w:ascii="宋体" w:hAnsi="宋体" w:eastAsia="宋体" w:cs="宋体"/>
                <w:color w:val="auto"/>
                <w:kern w:val="0"/>
                <w:sz w:val="22"/>
              </w:rPr>
            </w:pPr>
            <w:r>
              <w:rPr>
                <w:rFonts w:hint="eastAsia" w:ascii="宋体" w:hAnsi="宋体" w:eastAsia="宋体" w:cs="宋体"/>
                <w:color w:val="auto"/>
                <w:kern w:val="0"/>
                <w:sz w:val="22"/>
              </w:rPr>
              <w:t>民用航空电子设备、自动控制设备、民用无人驾驶航空器、无线电数据传输系统、拍摄装备、摄像机产品、可穿戴智能设备、电子元器件、计算机软件应用的技术开发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6"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34</w:t>
            </w:r>
          </w:p>
        </w:tc>
        <w:tc>
          <w:tcPr>
            <w:tcW w:w="1446"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载荷系统（摄像机、云台）</w:t>
            </w:r>
          </w:p>
        </w:tc>
        <w:tc>
          <w:tcPr>
            <w:tcW w:w="3543"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浙江华飞智能科技有限公司</w:t>
            </w:r>
          </w:p>
        </w:tc>
        <w:tc>
          <w:tcPr>
            <w:tcW w:w="156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浙江杭州</w:t>
            </w:r>
          </w:p>
        </w:tc>
        <w:tc>
          <w:tcPr>
            <w:tcW w:w="6754" w:type="dxa"/>
            <w:tcBorders>
              <w:top w:val="single" w:color="auto" w:sz="4" w:space="0"/>
              <w:left w:val="single" w:color="auto" w:sz="4" w:space="0"/>
              <w:bottom w:val="single" w:color="auto" w:sz="4" w:space="0"/>
              <w:right w:val="single" w:color="auto" w:sz="4" w:space="0"/>
            </w:tcBorders>
            <w:noWrap/>
            <w:vAlign w:val="center"/>
          </w:tcPr>
          <w:p>
            <w:pPr>
              <w:widowControl/>
              <w:rPr>
                <w:rFonts w:hint="eastAsia" w:ascii="宋体" w:hAnsi="宋体" w:eastAsia="宋体" w:cs="宋体"/>
                <w:color w:val="auto"/>
                <w:kern w:val="0"/>
                <w:sz w:val="22"/>
              </w:rPr>
            </w:pPr>
            <w:r>
              <w:rPr>
                <w:rFonts w:hint="eastAsia" w:ascii="宋体" w:hAnsi="宋体" w:eastAsia="宋体" w:cs="宋体"/>
                <w:color w:val="auto"/>
                <w:kern w:val="0"/>
                <w:sz w:val="22"/>
              </w:rPr>
              <w:t>一直专注于公共安全领域，公司自主研发的产品种类丰富，包含了智能四旋翼无人机、六旋翼无人机及具有热成像、可见光等功能的多款挂载系统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6"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35</w:t>
            </w:r>
          </w:p>
        </w:tc>
        <w:tc>
          <w:tcPr>
            <w:tcW w:w="1446"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载荷系统（摄像机）</w:t>
            </w:r>
          </w:p>
        </w:tc>
        <w:tc>
          <w:tcPr>
            <w:tcW w:w="3543"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广州飒特热红外股份有限公司</w:t>
            </w:r>
          </w:p>
        </w:tc>
        <w:tc>
          <w:tcPr>
            <w:tcW w:w="156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广东广州</w:t>
            </w:r>
          </w:p>
        </w:tc>
        <w:tc>
          <w:tcPr>
            <w:tcW w:w="6754" w:type="dxa"/>
            <w:tcBorders>
              <w:top w:val="single" w:color="auto" w:sz="4" w:space="0"/>
              <w:left w:val="single" w:color="auto" w:sz="4" w:space="0"/>
              <w:bottom w:val="single" w:color="auto" w:sz="4" w:space="0"/>
              <w:right w:val="single" w:color="auto" w:sz="4" w:space="0"/>
            </w:tcBorders>
            <w:noWrap/>
            <w:vAlign w:val="center"/>
          </w:tcPr>
          <w:p>
            <w:pPr>
              <w:widowControl/>
              <w:rPr>
                <w:rFonts w:hint="eastAsia" w:ascii="宋体" w:hAnsi="宋体" w:eastAsia="宋体" w:cs="宋体"/>
                <w:color w:val="auto"/>
                <w:kern w:val="0"/>
                <w:sz w:val="22"/>
              </w:rPr>
            </w:pPr>
            <w:r>
              <w:rPr>
                <w:rFonts w:hint="eastAsia" w:ascii="宋体" w:hAnsi="宋体" w:eastAsia="宋体" w:cs="宋体"/>
                <w:color w:val="auto"/>
                <w:kern w:val="0"/>
                <w:sz w:val="22"/>
              </w:rPr>
              <w:t>红外相机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6"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36</w:t>
            </w:r>
          </w:p>
        </w:tc>
        <w:tc>
          <w:tcPr>
            <w:tcW w:w="1446"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载荷系统（传感系统）</w:t>
            </w:r>
          </w:p>
        </w:tc>
        <w:tc>
          <w:tcPr>
            <w:tcW w:w="3543"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广州天宇光电仪器有限公司</w:t>
            </w:r>
          </w:p>
        </w:tc>
        <w:tc>
          <w:tcPr>
            <w:tcW w:w="156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广东广州</w:t>
            </w:r>
          </w:p>
        </w:tc>
        <w:tc>
          <w:tcPr>
            <w:tcW w:w="6754" w:type="dxa"/>
            <w:tcBorders>
              <w:top w:val="single" w:color="auto" w:sz="4" w:space="0"/>
              <w:left w:val="single" w:color="auto" w:sz="4" w:space="0"/>
              <w:bottom w:val="single" w:color="auto" w:sz="4" w:space="0"/>
              <w:right w:val="single" w:color="auto" w:sz="4" w:space="0"/>
            </w:tcBorders>
            <w:noWrap/>
            <w:vAlign w:val="center"/>
          </w:tcPr>
          <w:p>
            <w:pPr>
              <w:widowControl/>
              <w:rPr>
                <w:rFonts w:hint="eastAsia" w:ascii="宋体" w:hAnsi="宋体" w:eastAsia="宋体" w:cs="宋体"/>
                <w:color w:val="auto"/>
                <w:kern w:val="0"/>
                <w:sz w:val="22"/>
              </w:rPr>
            </w:pPr>
            <w:r>
              <w:rPr>
                <w:rFonts w:hint="eastAsia" w:ascii="宋体" w:hAnsi="宋体" w:eastAsia="宋体" w:cs="宋体"/>
                <w:color w:val="auto"/>
                <w:kern w:val="0"/>
                <w:sz w:val="22"/>
              </w:rPr>
              <w:t>照相器材零售；电工仪器仪表制造；绘图、计算及测量仪器制造；地质勘探和地震专用仪器制造；光学仪器制造；通用和专用仪器仪表的元件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6"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37</w:t>
            </w:r>
          </w:p>
        </w:tc>
        <w:tc>
          <w:tcPr>
            <w:tcW w:w="1446"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载荷系统（传感系统）</w:t>
            </w:r>
          </w:p>
        </w:tc>
        <w:tc>
          <w:tcPr>
            <w:tcW w:w="3543"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深圳市华美澳通传感器有限公司</w:t>
            </w:r>
          </w:p>
        </w:tc>
        <w:tc>
          <w:tcPr>
            <w:tcW w:w="156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广东深圳</w:t>
            </w:r>
          </w:p>
        </w:tc>
        <w:tc>
          <w:tcPr>
            <w:tcW w:w="6754" w:type="dxa"/>
            <w:tcBorders>
              <w:top w:val="single" w:color="auto" w:sz="4" w:space="0"/>
              <w:left w:val="single" w:color="auto" w:sz="4" w:space="0"/>
              <w:bottom w:val="single" w:color="auto" w:sz="4" w:space="0"/>
              <w:right w:val="single" w:color="auto" w:sz="4" w:space="0"/>
            </w:tcBorders>
            <w:noWrap/>
            <w:vAlign w:val="center"/>
          </w:tcPr>
          <w:p>
            <w:pPr>
              <w:widowControl/>
              <w:rPr>
                <w:rFonts w:hint="eastAsia" w:ascii="宋体" w:hAnsi="宋体" w:eastAsia="宋体" w:cs="宋体"/>
                <w:color w:val="auto"/>
                <w:kern w:val="0"/>
                <w:sz w:val="22"/>
              </w:rPr>
            </w:pPr>
            <w:r>
              <w:rPr>
                <w:rFonts w:hint="eastAsia" w:ascii="宋体" w:hAnsi="宋体" w:eastAsia="宋体" w:cs="宋体"/>
                <w:color w:val="auto"/>
                <w:kern w:val="0"/>
                <w:sz w:val="22"/>
              </w:rPr>
              <w:t>专业从事MEMS压力传感器及应用模组的研发，生产及销售，并提供应用解决方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6"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38</w:t>
            </w:r>
          </w:p>
        </w:tc>
        <w:tc>
          <w:tcPr>
            <w:tcW w:w="1446"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载荷系统（传感系统）</w:t>
            </w:r>
          </w:p>
        </w:tc>
        <w:tc>
          <w:tcPr>
            <w:tcW w:w="3543"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深圳市朗驰欣创科技股份有限公司</w:t>
            </w:r>
          </w:p>
        </w:tc>
        <w:tc>
          <w:tcPr>
            <w:tcW w:w="156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广东深圳</w:t>
            </w:r>
          </w:p>
        </w:tc>
        <w:tc>
          <w:tcPr>
            <w:tcW w:w="6754" w:type="dxa"/>
            <w:tcBorders>
              <w:top w:val="single" w:color="auto" w:sz="4" w:space="0"/>
              <w:left w:val="single" w:color="auto" w:sz="4" w:space="0"/>
              <w:bottom w:val="single" w:color="auto" w:sz="4" w:space="0"/>
              <w:right w:val="single" w:color="auto" w:sz="4" w:space="0"/>
            </w:tcBorders>
            <w:noWrap/>
            <w:vAlign w:val="center"/>
          </w:tcPr>
          <w:p>
            <w:pPr>
              <w:widowControl/>
              <w:rPr>
                <w:rFonts w:hint="eastAsia" w:ascii="宋体" w:hAnsi="宋体" w:eastAsia="宋体" w:cs="宋体"/>
                <w:color w:val="auto"/>
                <w:kern w:val="0"/>
                <w:sz w:val="22"/>
              </w:rPr>
            </w:pPr>
            <w:r>
              <w:rPr>
                <w:rFonts w:hint="eastAsia" w:ascii="宋体" w:hAnsi="宋体" w:eastAsia="宋体" w:cs="宋体"/>
                <w:color w:val="auto"/>
                <w:kern w:val="0"/>
                <w:sz w:val="22"/>
              </w:rPr>
              <w:t>机器人与自动化设备、红外热成像设备、视频监控设备、智能交通设备、电力设备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6"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39</w:t>
            </w:r>
          </w:p>
        </w:tc>
        <w:tc>
          <w:tcPr>
            <w:tcW w:w="1446"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载荷系统（图传系统）</w:t>
            </w:r>
          </w:p>
        </w:tc>
        <w:tc>
          <w:tcPr>
            <w:tcW w:w="3543"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深圳市罗格电子科技有限公司</w:t>
            </w:r>
          </w:p>
        </w:tc>
        <w:tc>
          <w:tcPr>
            <w:tcW w:w="156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广东深圳</w:t>
            </w:r>
          </w:p>
        </w:tc>
        <w:tc>
          <w:tcPr>
            <w:tcW w:w="6754" w:type="dxa"/>
            <w:tcBorders>
              <w:top w:val="single" w:color="auto" w:sz="4" w:space="0"/>
              <w:left w:val="single" w:color="auto" w:sz="4" w:space="0"/>
              <w:bottom w:val="single" w:color="auto" w:sz="4" w:space="0"/>
              <w:right w:val="single" w:color="auto" w:sz="4" w:space="0"/>
            </w:tcBorders>
            <w:noWrap/>
            <w:vAlign w:val="center"/>
          </w:tcPr>
          <w:p>
            <w:pPr>
              <w:widowControl/>
              <w:rPr>
                <w:rFonts w:hint="eastAsia" w:ascii="宋体" w:hAnsi="宋体" w:eastAsia="宋体" w:cs="宋体"/>
                <w:color w:val="auto"/>
                <w:kern w:val="0"/>
                <w:sz w:val="22"/>
              </w:rPr>
            </w:pPr>
            <w:r>
              <w:rPr>
                <w:rFonts w:hint="eastAsia" w:ascii="宋体" w:hAnsi="宋体" w:eastAsia="宋体" w:cs="宋体"/>
                <w:color w:val="auto"/>
                <w:kern w:val="0"/>
                <w:sz w:val="22"/>
              </w:rPr>
              <w:t>设计、开发、生产、销售视频图像模组、软件开发、信息系统集成和相关技术服务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6"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40</w:t>
            </w:r>
          </w:p>
        </w:tc>
        <w:tc>
          <w:tcPr>
            <w:tcW w:w="1446"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载荷系统（摄像机）</w:t>
            </w:r>
          </w:p>
        </w:tc>
        <w:tc>
          <w:tcPr>
            <w:tcW w:w="3543"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成都睿铂科技有限责任公司</w:t>
            </w:r>
          </w:p>
        </w:tc>
        <w:tc>
          <w:tcPr>
            <w:tcW w:w="156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四川成都</w:t>
            </w:r>
          </w:p>
        </w:tc>
        <w:tc>
          <w:tcPr>
            <w:tcW w:w="6754" w:type="dxa"/>
            <w:tcBorders>
              <w:top w:val="single" w:color="auto" w:sz="4" w:space="0"/>
              <w:left w:val="single" w:color="auto" w:sz="4" w:space="0"/>
              <w:bottom w:val="single" w:color="auto" w:sz="4" w:space="0"/>
              <w:right w:val="single" w:color="auto" w:sz="4" w:space="0"/>
            </w:tcBorders>
            <w:noWrap/>
            <w:vAlign w:val="center"/>
          </w:tcPr>
          <w:p>
            <w:pPr>
              <w:widowControl/>
              <w:rPr>
                <w:rFonts w:hint="eastAsia" w:ascii="宋体" w:hAnsi="宋体" w:eastAsia="宋体" w:cs="宋体"/>
                <w:color w:val="auto"/>
                <w:kern w:val="0"/>
                <w:sz w:val="22"/>
              </w:rPr>
            </w:pPr>
            <w:r>
              <w:rPr>
                <w:rFonts w:hint="eastAsia" w:ascii="宋体" w:hAnsi="宋体" w:eastAsia="宋体" w:cs="宋体"/>
                <w:color w:val="auto"/>
                <w:kern w:val="0"/>
                <w:sz w:val="22"/>
              </w:rPr>
              <w:t>提供地理信息数据采集和后处理应用解决方案，飞行吊舱研制和数据传输、可见光相机。RIY系列无人机挂载倾斜摄影相机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6"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41</w:t>
            </w:r>
          </w:p>
        </w:tc>
        <w:tc>
          <w:tcPr>
            <w:tcW w:w="1446"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载荷系统（图传系统）</w:t>
            </w:r>
          </w:p>
        </w:tc>
        <w:tc>
          <w:tcPr>
            <w:tcW w:w="3543"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广州市盛光微电子有限公司</w:t>
            </w:r>
          </w:p>
        </w:tc>
        <w:tc>
          <w:tcPr>
            <w:tcW w:w="156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广东广州</w:t>
            </w:r>
          </w:p>
        </w:tc>
        <w:tc>
          <w:tcPr>
            <w:tcW w:w="6754" w:type="dxa"/>
            <w:tcBorders>
              <w:top w:val="single" w:color="auto" w:sz="4" w:space="0"/>
              <w:left w:val="single" w:color="auto" w:sz="4" w:space="0"/>
              <w:bottom w:val="single" w:color="auto" w:sz="4" w:space="0"/>
              <w:right w:val="single" w:color="auto" w:sz="4" w:space="0"/>
            </w:tcBorders>
            <w:noWrap/>
            <w:vAlign w:val="center"/>
          </w:tcPr>
          <w:p>
            <w:pPr>
              <w:widowControl/>
              <w:rPr>
                <w:rFonts w:hint="eastAsia" w:ascii="宋体" w:hAnsi="宋体" w:eastAsia="宋体" w:cs="宋体"/>
                <w:color w:val="auto"/>
                <w:kern w:val="0"/>
                <w:sz w:val="22"/>
              </w:rPr>
            </w:pPr>
            <w:r>
              <w:rPr>
                <w:rFonts w:hint="eastAsia" w:ascii="宋体" w:hAnsi="宋体" w:eastAsia="宋体" w:cs="宋体"/>
                <w:color w:val="auto"/>
                <w:kern w:val="0"/>
                <w:sz w:val="22"/>
              </w:rPr>
              <w:t>从事多镜头多传感器（MLMS）成像技术，致力于计算图像学算法研究，通过创新的多图像算法的集成电路化技术，开发下一代计算图像处理集成电路技术；以大幅提高数字音像设备能力为己任，利用中国的制造优势，结合公司独有的基础专利，面向IoT物联网、安防、车载/无人机、可穿戴设备及AR/VR等市场，提供高质量智能视觉SoC芯片和应用解决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6"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42</w:t>
            </w:r>
          </w:p>
        </w:tc>
        <w:tc>
          <w:tcPr>
            <w:tcW w:w="1446"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载荷系统（图传系统）</w:t>
            </w:r>
          </w:p>
        </w:tc>
        <w:tc>
          <w:tcPr>
            <w:tcW w:w="3543"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广州一控科技有限公司</w:t>
            </w:r>
          </w:p>
        </w:tc>
        <w:tc>
          <w:tcPr>
            <w:tcW w:w="156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广东广州</w:t>
            </w:r>
          </w:p>
        </w:tc>
        <w:tc>
          <w:tcPr>
            <w:tcW w:w="6754" w:type="dxa"/>
            <w:tcBorders>
              <w:top w:val="single" w:color="auto" w:sz="4" w:space="0"/>
              <w:left w:val="single" w:color="auto" w:sz="4" w:space="0"/>
              <w:bottom w:val="single" w:color="auto" w:sz="4" w:space="0"/>
              <w:right w:val="single" w:color="auto" w:sz="4" w:space="0"/>
            </w:tcBorders>
            <w:noWrap/>
            <w:vAlign w:val="center"/>
          </w:tcPr>
          <w:p>
            <w:pPr>
              <w:widowControl/>
              <w:rPr>
                <w:rFonts w:hint="eastAsia" w:ascii="宋体" w:hAnsi="宋体" w:eastAsia="宋体" w:cs="宋体"/>
                <w:color w:val="auto"/>
                <w:kern w:val="0"/>
                <w:sz w:val="22"/>
              </w:rPr>
            </w:pPr>
            <w:r>
              <w:rPr>
                <w:rFonts w:hint="eastAsia" w:ascii="宋体" w:hAnsi="宋体" w:eastAsia="宋体" w:cs="宋体"/>
                <w:color w:val="auto"/>
                <w:kern w:val="0"/>
                <w:sz w:val="22"/>
              </w:rPr>
              <w:t>经营范围包括软件开发；集成电路设计；信息技术咨询服务；电子、通信与自动控制技术研究、开发；计算机技术开发、技术服务；机械技术开发服务；机械技术转让服务；集成电路布图设计代理服务；智能机器销售；人工智能算法软件的技术开发与技术服务；无人机的销售；无人机软硬件的技术开发、应用；无人机系统技术服务；商品批发贸易（许可审批类商品除外）；电子元器件批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6"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43</w:t>
            </w:r>
          </w:p>
        </w:tc>
        <w:tc>
          <w:tcPr>
            <w:tcW w:w="1446"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载荷系统（传感系统）</w:t>
            </w:r>
          </w:p>
        </w:tc>
        <w:tc>
          <w:tcPr>
            <w:tcW w:w="3543"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捷普电子（广州）有限公司</w:t>
            </w:r>
          </w:p>
        </w:tc>
        <w:tc>
          <w:tcPr>
            <w:tcW w:w="156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广东广州</w:t>
            </w:r>
          </w:p>
        </w:tc>
        <w:tc>
          <w:tcPr>
            <w:tcW w:w="6754" w:type="dxa"/>
            <w:tcBorders>
              <w:top w:val="single" w:color="auto" w:sz="4" w:space="0"/>
              <w:left w:val="single" w:color="auto" w:sz="4" w:space="0"/>
              <w:bottom w:val="single" w:color="auto" w:sz="4" w:space="0"/>
              <w:right w:val="single" w:color="auto" w:sz="4" w:space="0"/>
            </w:tcBorders>
            <w:noWrap/>
            <w:vAlign w:val="center"/>
          </w:tcPr>
          <w:p>
            <w:pPr>
              <w:widowControl/>
              <w:rPr>
                <w:rFonts w:hint="eastAsia" w:ascii="宋体" w:hAnsi="宋体" w:eastAsia="宋体" w:cs="宋体"/>
                <w:color w:val="auto"/>
                <w:kern w:val="0"/>
                <w:sz w:val="22"/>
              </w:rPr>
            </w:pPr>
            <w:r>
              <w:rPr>
                <w:rFonts w:hint="eastAsia" w:ascii="宋体" w:hAnsi="宋体" w:eastAsia="宋体" w:cs="宋体"/>
                <w:color w:val="auto"/>
                <w:kern w:val="0"/>
                <w:sz w:val="22"/>
              </w:rPr>
              <w:t>提供综合设计、制造、供应链和产品管理服务的制造解决方案供应商。生产制造打印系列、工业与能源类产品、汽车电子类产品和消费电子类产品，涵盖3D打印机、太阳能转换器、四轴飞行器、条码打印机、多功能激光打印机、高清摄像头、汽车导航仪、网络数据传输器、无线网络接收器、GPS卫星定位接收器。</w:t>
            </w:r>
          </w:p>
        </w:tc>
      </w:tr>
    </w:tbl>
    <w:p>
      <w:pPr>
        <w:widowControl/>
        <w:adjustRightInd w:val="0"/>
        <w:snapToGrid w:val="0"/>
        <w:spacing w:line="560" w:lineRule="exact"/>
        <w:ind w:firstLine="641"/>
        <w:outlineLvl w:val="1"/>
        <w:rPr>
          <w:rFonts w:hint="eastAsia" w:ascii="黑体" w:hAnsi="黑体" w:eastAsia="黑体" w:cs="Segoe UI"/>
          <w:bCs/>
          <w:color w:val="auto"/>
          <w:kern w:val="0"/>
          <w:sz w:val="32"/>
          <w:szCs w:val="32"/>
        </w:rPr>
      </w:pPr>
      <w:bookmarkStart w:id="283" w:name="_Toc220270501"/>
      <w:bookmarkStart w:id="284" w:name="_Toc27631"/>
      <w:bookmarkStart w:id="285" w:name="_Toc196760060"/>
      <w:bookmarkStart w:id="286" w:name="_Toc192950401"/>
      <w:bookmarkStart w:id="287" w:name="_Toc192950341"/>
      <w:r>
        <w:rPr>
          <w:rFonts w:hint="eastAsia" w:ascii="黑体" w:hAnsi="黑体" w:eastAsia="黑体" w:cs="Segoe UI"/>
          <w:bCs/>
          <w:color w:val="auto"/>
          <w:kern w:val="0"/>
          <w:sz w:val="32"/>
          <w:szCs w:val="32"/>
        </w:rPr>
        <w:t>二、低空运营业招商信息表</w:t>
      </w:r>
      <w:bookmarkEnd w:id="283"/>
      <w:r>
        <w:rPr>
          <w:rFonts w:hint="eastAsia" w:ascii="黑体" w:hAnsi="黑体" w:eastAsia="黑体" w:cs="Segoe UI"/>
          <w:bCs/>
          <w:color w:val="auto"/>
          <w:kern w:val="0"/>
          <w:sz w:val="32"/>
          <w:szCs w:val="32"/>
        </w:rPr>
        <w:t>（拟）</w:t>
      </w:r>
      <w:bookmarkEnd w:id="284"/>
    </w:p>
    <w:p>
      <w:pPr>
        <w:spacing w:before="312" w:beforeLines="100" w:after="156" w:afterLines="50"/>
        <w:jc w:val="center"/>
        <w:outlineLvl w:val="2"/>
        <w:rPr>
          <w:rFonts w:hint="eastAsia" w:ascii="黑体" w:hAnsi="黑体" w:eastAsia="黑体"/>
          <w:color w:val="auto"/>
          <w:sz w:val="24"/>
        </w:rPr>
      </w:pPr>
      <w:bookmarkStart w:id="288" w:name="_Toc7815"/>
      <w:bookmarkStart w:id="289" w:name="_Toc220270502"/>
      <w:r>
        <w:rPr>
          <w:rFonts w:hint="eastAsia" w:ascii="黑体" w:hAnsi="黑体" w:eastAsia="黑体"/>
          <w:color w:val="auto"/>
          <w:sz w:val="24"/>
        </w:rPr>
        <w:t>表2-</w:t>
      </w:r>
      <w:r>
        <w:rPr>
          <w:rFonts w:ascii="黑体" w:hAnsi="黑体" w:eastAsia="黑体"/>
          <w:color w:val="auto"/>
          <w:sz w:val="24"/>
        </w:rPr>
        <w:t xml:space="preserve">1  </w:t>
      </w:r>
      <w:r>
        <w:rPr>
          <w:rFonts w:hint="eastAsia" w:ascii="黑体" w:hAnsi="黑体" w:eastAsia="黑体"/>
          <w:color w:val="auto"/>
          <w:sz w:val="24"/>
        </w:rPr>
        <w:t>通用航空飞行服务主要企业</w:t>
      </w:r>
      <w:bookmarkEnd w:id="285"/>
      <w:bookmarkEnd w:id="286"/>
      <w:bookmarkEnd w:id="287"/>
      <w:bookmarkEnd w:id="288"/>
      <w:bookmarkEnd w:id="289"/>
    </w:p>
    <w:tbl>
      <w:tblPr>
        <w:tblStyle w:val="2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7"/>
        <w:gridCol w:w="1440"/>
        <w:gridCol w:w="2447"/>
        <w:gridCol w:w="1009"/>
        <w:gridCol w:w="1584"/>
        <w:gridCol w:w="70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252" w:type="pct"/>
            <w:noWrap/>
            <w:vAlign w:val="center"/>
          </w:tcPr>
          <w:p>
            <w:pPr>
              <w:widowControl/>
              <w:jc w:val="center"/>
              <w:rPr>
                <w:rFonts w:hint="eastAsia" w:ascii="黑体" w:hAnsi="黑体" w:eastAsia="黑体" w:cs="Arial"/>
                <w:color w:val="auto"/>
                <w:kern w:val="0"/>
                <w:sz w:val="22"/>
              </w:rPr>
            </w:pPr>
            <w:r>
              <w:rPr>
                <w:rFonts w:hint="eastAsia" w:ascii="黑体" w:hAnsi="黑体" w:eastAsia="黑体" w:cs="Arial"/>
                <w:color w:val="auto"/>
                <w:kern w:val="0"/>
                <w:sz w:val="22"/>
              </w:rPr>
              <w:t>序号</w:t>
            </w:r>
          </w:p>
        </w:tc>
        <w:tc>
          <w:tcPr>
            <w:tcW w:w="506" w:type="pct"/>
            <w:noWrap/>
            <w:vAlign w:val="center"/>
          </w:tcPr>
          <w:p>
            <w:pPr>
              <w:widowControl/>
              <w:jc w:val="center"/>
              <w:rPr>
                <w:rFonts w:hint="eastAsia" w:ascii="黑体" w:hAnsi="黑体" w:eastAsia="黑体" w:cs="Arial"/>
                <w:color w:val="auto"/>
                <w:kern w:val="0"/>
                <w:sz w:val="22"/>
              </w:rPr>
            </w:pPr>
            <w:r>
              <w:rPr>
                <w:rFonts w:ascii="黑体" w:hAnsi="黑体" w:eastAsia="黑体" w:cs="Arial"/>
                <w:color w:val="auto"/>
                <w:kern w:val="0"/>
                <w:sz w:val="22"/>
              </w:rPr>
              <w:t>主要领域</w:t>
            </w:r>
          </w:p>
        </w:tc>
        <w:tc>
          <w:tcPr>
            <w:tcW w:w="860" w:type="pct"/>
            <w:noWrap/>
            <w:vAlign w:val="center"/>
          </w:tcPr>
          <w:p>
            <w:pPr>
              <w:widowControl/>
              <w:jc w:val="center"/>
              <w:rPr>
                <w:rFonts w:hint="eastAsia" w:ascii="黑体" w:hAnsi="黑体" w:eastAsia="黑体" w:cs="Arial"/>
                <w:color w:val="auto"/>
                <w:kern w:val="0"/>
                <w:sz w:val="22"/>
              </w:rPr>
            </w:pPr>
            <w:r>
              <w:rPr>
                <w:rFonts w:ascii="黑体" w:hAnsi="黑体" w:eastAsia="黑体" w:cs="Arial"/>
                <w:color w:val="auto"/>
                <w:kern w:val="0"/>
                <w:sz w:val="22"/>
              </w:rPr>
              <w:t>企业名称</w:t>
            </w:r>
          </w:p>
        </w:tc>
        <w:tc>
          <w:tcPr>
            <w:tcW w:w="355" w:type="pct"/>
            <w:noWrap/>
            <w:vAlign w:val="center"/>
          </w:tcPr>
          <w:p>
            <w:pPr>
              <w:widowControl/>
              <w:jc w:val="center"/>
              <w:rPr>
                <w:rFonts w:hint="eastAsia" w:ascii="黑体" w:hAnsi="黑体" w:eastAsia="黑体" w:cs="Arial"/>
                <w:color w:val="auto"/>
                <w:kern w:val="0"/>
                <w:sz w:val="22"/>
              </w:rPr>
            </w:pPr>
            <w:r>
              <w:rPr>
                <w:rFonts w:hint="eastAsia" w:ascii="黑体" w:hAnsi="黑体" w:eastAsia="黑体" w:cs="Arial"/>
                <w:color w:val="auto"/>
                <w:kern w:val="0"/>
                <w:sz w:val="22"/>
              </w:rPr>
              <w:t>注册地</w:t>
            </w:r>
          </w:p>
        </w:tc>
        <w:tc>
          <w:tcPr>
            <w:tcW w:w="557" w:type="pct"/>
            <w:noWrap/>
            <w:vAlign w:val="center"/>
          </w:tcPr>
          <w:p>
            <w:pPr>
              <w:widowControl/>
              <w:jc w:val="center"/>
              <w:rPr>
                <w:rFonts w:hint="eastAsia" w:ascii="黑体" w:hAnsi="黑体" w:eastAsia="黑体" w:cs="Arial"/>
                <w:color w:val="auto"/>
                <w:kern w:val="0"/>
                <w:sz w:val="22"/>
              </w:rPr>
            </w:pPr>
            <w:r>
              <w:rPr>
                <w:rFonts w:ascii="黑体" w:hAnsi="黑体" w:eastAsia="黑体" w:cs="Arial"/>
                <w:color w:val="auto"/>
                <w:kern w:val="0"/>
                <w:sz w:val="22"/>
              </w:rPr>
              <w:t>基地机场</w:t>
            </w:r>
          </w:p>
        </w:tc>
        <w:tc>
          <w:tcPr>
            <w:tcW w:w="2469" w:type="pct"/>
            <w:noWrap/>
            <w:vAlign w:val="center"/>
          </w:tcPr>
          <w:p>
            <w:pPr>
              <w:widowControl/>
              <w:jc w:val="center"/>
              <w:rPr>
                <w:rFonts w:hint="eastAsia" w:ascii="黑体" w:hAnsi="黑体" w:eastAsia="黑体" w:cs="Arial"/>
                <w:color w:val="auto"/>
                <w:kern w:val="0"/>
                <w:sz w:val="22"/>
              </w:rPr>
            </w:pPr>
            <w:r>
              <w:rPr>
                <w:rFonts w:ascii="黑体" w:hAnsi="黑体" w:eastAsia="黑体" w:cs="Arial"/>
                <w:color w:val="auto"/>
                <w:kern w:val="0"/>
                <w:sz w:val="22"/>
              </w:rPr>
              <w:t>经营项目与范围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52" w:type="pct"/>
            <w:noWrap/>
            <w:vAlign w:val="center"/>
          </w:tcPr>
          <w:p>
            <w:pPr>
              <w:widowControl/>
              <w:jc w:val="center"/>
              <w:rPr>
                <w:rFonts w:hint="eastAsia" w:ascii="宋体" w:hAnsi="宋体" w:eastAsia="宋体" w:cs="Arial"/>
                <w:color w:val="auto"/>
                <w:kern w:val="0"/>
                <w:sz w:val="22"/>
              </w:rPr>
            </w:pPr>
            <w:r>
              <w:rPr>
                <w:rFonts w:hint="eastAsia" w:ascii="宋体" w:hAnsi="宋体" w:eastAsia="宋体" w:cs="Arial"/>
                <w:color w:val="auto"/>
                <w:kern w:val="0"/>
                <w:sz w:val="22"/>
              </w:rPr>
              <w:t>1</w:t>
            </w:r>
          </w:p>
        </w:tc>
        <w:tc>
          <w:tcPr>
            <w:tcW w:w="506" w:type="pct"/>
            <w:noWrap/>
            <w:vAlign w:val="center"/>
          </w:tcPr>
          <w:p>
            <w:pPr>
              <w:widowControl/>
              <w:jc w:val="center"/>
              <w:rPr>
                <w:rFonts w:hint="eastAsia" w:ascii="宋体" w:hAnsi="宋体" w:eastAsia="宋体" w:cs="Arial"/>
                <w:color w:val="auto"/>
                <w:kern w:val="0"/>
                <w:sz w:val="22"/>
              </w:rPr>
            </w:pPr>
            <w:r>
              <w:rPr>
                <w:rFonts w:ascii="宋体" w:hAnsi="宋体" w:eastAsia="宋体" w:cs="Arial"/>
                <w:color w:val="auto"/>
                <w:kern w:val="0"/>
                <w:sz w:val="22"/>
              </w:rPr>
              <w:t>运动驾驶员执照培训</w:t>
            </w:r>
          </w:p>
        </w:tc>
        <w:tc>
          <w:tcPr>
            <w:tcW w:w="860" w:type="pct"/>
            <w:noWrap/>
            <w:vAlign w:val="center"/>
          </w:tcPr>
          <w:p>
            <w:pPr>
              <w:widowControl/>
              <w:jc w:val="center"/>
              <w:rPr>
                <w:rFonts w:hint="eastAsia" w:ascii="宋体" w:hAnsi="宋体" w:eastAsia="宋体" w:cs="Arial"/>
                <w:color w:val="auto"/>
                <w:kern w:val="0"/>
                <w:sz w:val="22"/>
              </w:rPr>
            </w:pPr>
            <w:r>
              <w:rPr>
                <w:rFonts w:ascii="宋体" w:hAnsi="宋体" w:eastAsia="宋体" w:cs="Arial"/>
                <w:color w:val="auto"/>
                <w:kern w:val="0"/>
                <w:sz w:val="22"/>
              </w:rPr>
              <w:t>四川一诺通用航空有限公司</w:t>
            </w:r>
          </w:p>
        </w:tc>
        <w:tc>
          <w:tcPr>
            <w:tcW w:w="355" w:type="pct"/>
            <w:noWrap/>
            <w:vAlign w:val="center"/>
          </w:tcPr>
          <w:p>
            <w:pPr>
              <w:widowControl/>
              <w:jc w:val="center"/>
              <w:rPr>
                <w:rFonts w:hint="eastAsia" w:ascii="宋体" w:hAnsi="宋体" w:eastAsia="宋体" w:cs="Arial"/>
                <w:color w:val="auto"/>
                <w:kern w:val="0"/>
                <w:sz w:val="22"/>
              </w:rPr>
            </w:pPr>
            <w:r>
              <w:rPr>
                <w:rFonts w:ascii="宋体" w:hAnsi="宋体" w:eastAsia="宋体" w:cs="Arial"/>
                <w:color w:val="auto"/>
                <w:kern w:val="0"/>
                <w:sz w:val="22"/>
              </w:rPr>
              <w:t>四川</w:t>
            </w:r>
          </w:p>
        </w:tc>
        <w:tc>
          <w:tcPr>
            <w:tcW w:w="557" w:type="pct"/>
            <w:noWrap/>
            <w:vAlign w:val="center"/>
          </w:tcPr>
          <w:p>
            <w:pPr>
              <w:widowControl/>
              <w:jc w:val="center"/>
              <w:rPr>
                <w:rFonts w:hint="eastAsia" w:ascii="宋体" w:hAnsi="宋体" w:eastAsia="宋体" w:cs="Arial"/>
                <w:color w:val="auto"/>
                <w:kern w:val="0"/>
                <w:sz w:val="22"/>
              </w:rPr>
            </w:pPr>
            <w:r>
              <w:rPr>
                <w:rFonts w:ascii="宋体" w:hAnsi="宋体" w:eastAsia="宋体" w:cs="Arial"/>
                <w:color w:val="auto"/>
                <w:kern w:val="0"/>
                <w:sz w:val="22"/>
              </w:rPr>
              <w:t>成都淮州机场</w:t>
            </w:r>
          </w:p>
        </w:tc>
        <w:tc>
          <w:tcPr>
            <w:tcW w:w="2469" w:type="pct"/>
            <w:noWrap/>
            <w:vAlign w:val="center"/>
          </w:tcPr>
          <w:p>
            <w:pPr>
              <w:widowControl/>
              <w:rPr>
                <w:rFonts w:hint="eastAsia" w:ascii="宋体" w:hAnsi="宋体" w:eastAsia="宋体" w:cs="Arial"/>
                <w:color w:val="auto"/>
                <w:kern w:val="0"/>
                <w:sz w:val="22"/>
              </w:rPr>
            </w:pPr>
            <w:r>
              <w:rPr>
                <w:rFonts w:ascii="宋体" w:hAnsi="宋体" w:eastAsia="宋体" w:cs="Arial"/>
                <w:color w:val="auto"/>
                <w:kern w:val="0"/>
                <w:sz w:val="22"/>
              </w:rPr>
              <w:t>载人类：航空护林、空中游览、个人娱乐飞行；其他类：城市消防、人工影响天气、航空探矿、航空摄影、渔业飞行、空中巡查、航空喷洒（撒）、空中拍照、空中广告、科学实验、气象探测、商用驾驶员执照培训、私用驾驶员执照培训、运动驾驶员执照培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52" w:type="pct"/>
            <w:noWrap/>
            <w:vAlign w:val="center"/>
          </w:tcPr>
          <w:p>
            <w:pPr>
              <w:widowControl/>
              <w:jc w:val="center"/>
              <w:rPr>
                <w:rFonts w:hint="eastAsia" w:ascii="宋体" w:hAnsi="宋体" w:eastAsia="宋体" w:cs="Arial"/>
                <w:color w:val="auto"/>
                <w:kern w:val="0"/>
                <w:sz w:val="22"/>
              </w:rPr>
            </w:pPr>
            <w:r>
              <w:rPr>
                <w:rFonts w:hint="eastAsia" w:ascii="宋体" w:hAnsi="宋体" w:eastAsia="宋体" w:cs="Arial"/>
                <w:color w:val="auto"/>
                <w:kern w:val="0"/>
                <w:sz w:val="22"/>
              </w:rPr>
              <w:t>2</w:t>
            </w:r>
          </w:p>
        </w:tc>
        <w:tc>
          <w:tcPr>
            <w:tcW w:w="506" w:type="pct"/>
            <w:noWrap/>
            <w:vAlign w:val="center"/>
          </w:tcPr>
          <w:p>
            <w:pPr>
              <w:widowControl/>
              <w:jc w:val="center"/>
              <w:rPr>
                <w:rFonts w:hint="eastAsia" w:ascii="宋体" w:hAnsi="宋体" w:eastAsia="宋体" w:cs="Arial"/>
                <w:color w:val="auto"/>
                <w:kern w:val="0"/>
                <w:sz w:val="22"/>
              </w:rPr>
            </w:pPr>
            <w:r>
              <w:rPr>
                <w:rFonts w:ascii="宋体" w:hAnsi="宋体" w:eastAsia="宋体" w:cs="Arial"/>
                <w:color w:val="auto"/>
                <w:kern w:val="0"/>
                <w:sz w:val="22"/>
              </w:rPr>
              <w:t>运动驾驶员执照培训</w:t>
            </w:r>
          </w:p>
        </w:tc>
        <w:tc>
          <w:tcPr>
            <w:tcW w:w="860" w:type="pct"/>
            <w:noWrap/>
            <w:vAlign w:val="center"/>
          </w:tcPr>
          <w:p>
            <w:pPr>
              <w:widowControl/>
              <w:jc w:val="center"/>
              <w:rPr>
                <w:rFonts w:hint="eastAsia" w:ascii="宋体" w:hAnsi="宋体" w:eastAsia="宋体" w:cs="Arial"/>
                <w:color w:val="auto"/>
                <w:kern w:val="0"/>
                <w:sz w:val="22"/>
              </w:rPr>
            </w:pPr>
            <w:r>
              <w:rPr>
                <w:rFonts w:ascii="宋体" w:hAnsi="宋体" w:eastAsia="宋体" w:cs="Arial"/>
                <w:color w:val="auto"/>
                <w:kern w:val="0"/>
                <w:sz w:val="22"/>
              </w:rPr>
              <w:t>四川驼峰通用航空有限公司</w:t>
            </w:r>
          </w:p>
        </w:tc>
        <w:tc>
          <w:tcPr>
            <w:tcW w:w="355" w:type="pct"/>
            <w:noWrap/>
            <w:vAlign w:val="center"/>
          </w:tcPr>
          <w:p>
            <w:pPr>
              <w:widowControl/>
              <w:jc w:val="center"/>
              <w:rPr>
                <w:rFonts w:hint="eastAsia" w:ascii="宋体" w:hAnsi="宋体" w:eastAsia="宋体" w:cs="Arial"/>
                <w:color w:val="auto"/>
                <w:kern w:val="0"/>
                <w:sz w:val="22"/>
              </w:rPr>
            </w:pPr>
            <w:r>
              <w:rPr>
                <w:rFonts w:ascii="宋体" w:hAnsi="宋体" w:eastAsia="宋体" w:cs="Arial"/>
                <w:color w:val="auto"/>
                <w:kern w:val="0"/>
                <w:sz w:val="22"/>
              </w:rPr>
              <w:t>四川</w:t>
            </w:r>
          </w:p>
        </w:tc>
        <w:tc>
          <w:tcPr>
            <w:tcW w:w="557" w:type="pct"/>
            <w:noWrap/>
            <w:vAlign w:val="center"/>
          </w:tcPr>
          <w:p>
            <w:pPr>
              <w:widowControl/>
              <w:jc w:val="center"/>
              <w:rPr>
                <w:rFonts w:hint="eastAsia" w:ascii="宋体" w:hAnsi="宋体" w:eastAsia="宋体" w:cs="Arial"/>
                <w:color w:val="auto"/>
                <w:kern w:val="0"/>
                <w:sz w:val="22"/>
              </w:rPr>
            </w:pPr>
            <w:r>
              <w:rPr>
                <w:rFonts w:ascii="宋体" w:hAnsi="宋体" w:eastAsia="宋体" w:cs="Arial"/>
                <w:color w:val="auto"/>
                <w:kern w:val="0"/>
                <w:sz w:val="22"/>
              </w:rPr>
              <w:t>洛带机场</w:t>
            </w:r>
          </w:p>
        </w:tc>
        <w:tc>
          <w:tcPr>
            <w:tcW w:w="2469" w:type="pct"/>
            <w:noWrap/>
            <w:vAlign w:val="center"/>
          </w:tcPr>
          <w:p>
            <w:pPr>
              <w:widowControl/>
              <w:rPr>
                <w:rFonts w:hint="eastAsia" w:ascii="宋体" w:hAnsi="宋体" w:eastAsia="宋体" w:cs="Arial"/>
                <w:color w:val="auto"/>
                <w:kern w:val="0"/>
                <w:sz w:val="22"/>
              </w:rPr>
            </w:pPr>
            <w:r>
              <w:rPr>
                <w:rFonts w:ascii="宋体" w:hAnsi="宋体" w:eastAsia="宋体" w:cs="Arial"/>
                <w:color w:val="auto"/>
                <w:kern w:val="0"/>
                <w:sz w:val="22"/>
              </w:rPr>
              <w:t>载客类：通用航空包机飞行；载人类：石油服务、直升机引航、航空医疗救护、航空护林、空中游览、跳伞飞行服务、个人娱乐飞行；其他类：城市消防、直升机机外载荷飞行、人工影响天气、航空探矿、航空摄影、海洋监测、空中巡查、电力作业、航空喷洒（撒）、空中拍照、空中广告、科学实验、商用驾驶员执照培训、私用驾驶员执照培训、运动驾驶员执照培训、无人机驾驶员执照培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52" w:type="pct"/>
            <w:noWrap/>
            <w:vAlign w:val="center"/>
          </w:tcPr>
          <w:p>
            <w:pPr>
              <w:widowControl/>
              <w:jc w:val="center"/>
              <w:rPr>
                <w:rFonts w:hint="eastAsia" w:ascii="宋体" w:hAnsi="宋体" w:eastAsia="宋体" w:cs="Arial"/>
                <w:color w:val="auto"/>
                <w:kern w:val="0"/>
                <w:sz w:val="22"/>
              </w:rPr>
            </w:pPr>
            <w:r>
              <w:rPr>
                <w:rFonts w:hint="eastAsia" w:ascii="宋体" w:hAnsi="宋体" w:eastAsia="宋体" w:cs="Arial"/>
                <w:color w:val="auto"/>
                <w:kern w:val="0"/>
                <w:sz w:val="22"/>
              </w:rPr>
              <w:t>3</w:t>
            </w:r>
          </w:p>
        </w:tc>
        <w:tc>
          <w:tcPr>
            <w:tcW w:w="506" w:type="pct"/>
            <w:noWrap/>
            <w:vAlign w:val="center"/>
          </w:tcPr>
          <w:p>
            <w:pPr>
              <w:widowControl/>
              <w:jc w:val="center"/>
              <w:rPr>
                <w:rFonts w:hint="eastAsia" w:ascii="宋体" w:hAnsi="宋体" w:eastAsia="宋体" w:cs="Arial"/>
                <w:color w:val="auto"/>
                <w:kern w:val="0"/>
                <w:sz w:val="22"/>
              </w:rPr>
            </w:pPr>
            <w:r>
              <w:rPr>
                <w:rFonts w:ascii="宋体" w:hAnsi="宋体" w:eastAsia="宋体" w:cs="Arial"/>
                <w:color w:val="auto"/>
                <w:kern w:val="0"/>
                <w:sz w:val="22"/>
              </w:rPr>
              <w:t>人工影响天气</w:t>
            </w:r>
          </w:p>
        </w:tc>
        <w:tc>
          <w:tcPr>
            <w:tcW w:w="860" w:type="pct"/>
            <w:noWrap/>
            <w:vAlign w:val="center"/>
          </w:tcPr>
          <w:p>
            <w:pPr>
              <w:widowControl/>
              <w:jc w:val="center"/>
              <w:rPr>
                <w:rFonts w:hint="eastAsia" w:ascii="宋体" w:hAnsi="宋体" w:eastAsia="宋体" w:cs="Arial"/>
                <w:color w:val="auto"/>
                <w:kern w:val="0"/>
                <w:sz w:val="22"/>
              </w:rPr>
            </w:pPr>
            <w:r>
              <w:rPr>
                <w:rFonts w:ascii="宋体" w:hAnsi="宋体" w:eastAsia="宋体" w:cs="Arial"/>
                <w:color w:val="auto"/>
                <w:kern w:val="0"/>
                <w:sz w:val="22"/>
              </w:rPr>
              <w:t>四川三星通用航空有限责任公司</w:t>
            </w:r>
          </w:p>
        </w:tc>
        <w:tc>
          <w:tcPr>
            <w:tcW w:w="355" w:type="pct"/>
            <w:noWrap/>
            <w:vAlign w:val="center"/>
          </w:tcPr>
          <w:p>
            <w:pPr>
              <w:widowControl/>
              <w:jc w:val="center"/>
              <w:rPr>
                <w:rFonts w:hint="eastAsia" w:ascii="宋体" w:hAnsi="宋体" w:eastAsia="宋体" w:cs="Arial"/>
                <w:color w:val="auto"/>
                <w:kern w:val="0"/>
                <w:sz w:val="22"/>
              </w:rPr>
            </w:pPr>
            <w:r>
              <w:rPr>
                <w:rFonts w:ascii="宋体" w:hAnsi="宋体" w:eastAsia="宋体" w:cs="Arial"/>
                <w:color w:val="auto"/>
                <w:kern w:val="0"/>
                <w:sz w:val="22"/>
              </w:rPr>
              <w:t>四川</w:t>
            </w:r>
          </w:p>
        </w:tc>
        <w:tc>
          <w:tcPr>
            <w:tcW w:w="557" w:type="pct"/>
            <w:noWrap/>
            <w:vAlign w:val="center"/>
          </w:tcPr>
          <w:p>
            <w:pPr>
              <w:widowControl/>
              <w:jc w:val="center"/>
              <w:rPr>
                <w:rFonts w:hint="eastAsia" w:ascii="宋体" w:hAnsi="宋体" w:eastAsia="宋体" w:cs="Arial"/>
                <w:color w:val="auto"/>
                <w:kern w:val="0"/>
                <w:sz w:val="22"/>
              </w:rPr>
            </w:pPr>
            <w:r>
              <w:rPr>
                <w:rFonts w:ascii="宋体" w:hAnsi="宋体" w:eastAsia="宋体" w:cs="Arial"/>
                <w:color w:val="auto"/>
                <w:kern w:val="0"/>
                <w:sz w:val="22"/>
              </w:rPr>
              <w:t>广汉机场、新津机场</w:t>
            </w:r>
          </w:p>
        </w:tc>
        <w:tc>
          <w:tcPr>
            <w:tcW w:w="2469" w:type="pct"/>
            <w:noWrap/>
            <w:vAlign w:val="center"/>
          </w:tcPr>
          <w:p>
            <w:pPr>
              <w:widowControl/>
              <w:rPr>
                <w:rFonts w:hint="eastAsia" w:ascii="宋体" w:hAnsi="宋体" w:eastAsia="宋体" w:cs="Arial"/>
                <w:color w:val="auto"/>
                <w:kern w:val="0"/>
                <w:sz w:val="22"/>
              </w:rPr>
            </w:pPr>
            <w:r>
              <w:rPr>
                <w:rFonts w:ascii="宋体" w:hAnsi="宋体" w:eastAsia="宋体" w:cs="Arial"/>
                <w:color w:val="auto"/>
                <w:kern w:val="0"/>
                <w:sz w:val="22"/>
              </w:rPr>
              <w:t>载客类：通用航空短途运输、通用航空包机飞行；载人类：石油服务、航空医疗救护、航空护林、空中游览；其他类：城市消防、人工影响天气、航空探矿、航空摄影、空中巡查、航空喷洒（撒）、空中拍照、空中广告、科学实验、气象探测、商用驾驶员执照培训、私用驾驶员执照培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52" w:type="pct"/>
            <w:noWrap/>
            <w:vAlign w:val="center"/>
          </w:tcPr>
          <w:p>
            <w:pPr>
              <w:widowControl/>
              <w:jc w:val="center"/>
              <w:rPr>
                <w:rFonts w:hint="eastAsia" w:ascii="宋体" w:hAnsi="宋体" w:eastAsia="宋体" w:cs="Arial"/>
                <w:color w:val="auto"/>
                <w:kern w:val="0"/>
                <w:sz w:val="22"/>
              </w:rPr>
            </w:pPr>
            <w:r>
              <w:rPr>
                <w:rFonts w:hint="eastAsia" w:ascii="宋体" w:hAnsi="宋体" w:eastAsia="宋体" w:cs="Arial"/>
                <w:color w:val="auto"/>
                <w:kern w:val="0"/>
                <w:sz w:val="22"/>
              </w:rPr>
              <w:t>4</w:t>
            </w:r>
          </w:p>
        </w:tc>
        <w:tc>
          <w:tcPr>
            <w:tcW w:w="506" w:type="pct"/>
            <w:noWrap/>
            <w:vAlign w:val="center"/>
          </w:tcPr>
          <w:p>
            <w:pPr>
              <w:widowControl/>
              <w:jc w:val="center"/>
              <w:rPr>
                <w:rFonts w:hint="eastAsia" w:ascii="宋体" w:hAnsi="宋体" w:eastAsia="宋体" w:cs="Arial"/>
                <w:color w:val="auto"/>
                <w:kern w:val="0"/>
                <w:sz w:val="22"/>
              </w:rPr>
            </w:pPr>
            <w:r>
              <w:rPr>
                <w:rFonts w:ascii="宋体" w:hAnsi="宋体" w:eastAsia="宋体" w:cs="Arial"/>
                <w:color w:val="auto"/>
                <w:kern w:val="0"/>
                <w:sz w:val="22"/>
              </w:rPr>
              <w:t>运动驾驶员执照培训</w:t>
            </w:r>
          </w:p>
        </w:tc>
        <w:tc>
          <w:tcPr>
            <w:tcW w:w="860" w:type="pct"/>
            <w:noWrap/>
            <w:vAlign w:val="center"/>
          </w:tcPr>
          <w:p>
            <w:pPr>
              <w:widowControl/>
              <w:jc w:val="center"/>
              <w:rPr>
                <w:rFonts w:hint="eastAsia" w:ascii="宋体" w:hAnsi="宋体" w:eastAsia="宋体" w:cs="Arial"/>
                <w:color w:val="auto"/>
                <w:kern w:val="0"/>
                <w:sz w:val="22"/>
              </w:rPr>
            </w:pPr>
            <w:r>
              <w:rPr>
                <w:rFonts w:ascii="宋体" w:hAnsi="宋体" w:eastAsia="宋体" w:cs="Arial"/>
                <w:color w:val="auto"/>
                <w:kern w:val="0"/>
                <w:sz w:val="22"/>
              </w:rPr>
              <w:t>四川皓燃航空服务有限公司</w:t>
            </w:r>
          </w:p>
        </w:tc>
        <w:tc>
          <w:tcPr>
            <w:tcW w:w="355" w:type="pct"/>
            <w:noWrap/>
            <w:vAlign w:val="center"/>
          </w:tcPr>
          <w:p>
            <w:pPr>
              <w:widowControl/>
              <w:jc w:val="center"/>
              <w:rPr>
                <w:rFonts w:hint="eastAsia" w:ascii="宋体" w:hAnsi="宋体" w:eastAsia="宋体" w:cs="Arial"/>
                <w:color w:val="auto"/>
                <w:kern w:val="0"/>
                <w:sz w:val="22"/>
              </w:rPr>
            </w:pPr>
            <w:r>
              <w:rPr>
                <w:rFonts w:ascii="宋体" w:hAnsi="宋体" w:eastAsia="宋体" w:cs="Arial"/>
                <w:color w:val="auto"/>
                <w:kern w:val="0"/>
                <w:sz w:val="22"/>
              </w:rPr>
              <w:t>四川</w:t>
            </w:r>
          </w:p>
        </w:tc>
        <w:tc>
          <w:tcPr>
            <w:tcW w:w="557" w:type="pct"/>
            <w:noWrap/>
            <w:vAlign w:val="center"/>
          </w:tcPr>
          <w:p>
            <w:pPr>
              <w:widowControl/>
              <w:jc w:val="center"/>
              <w:rPr>
                <w:rFonts w:hint="eastAsia" w:ascii="宋体" w:hAnsi="宋体" w:eastAsia="宋体" w:cs="Arial"/>
                <w:color w:val="auto"/>
                <w:kern w:val="0"/>
                <w:sz w:val="22"/>
              </w:rPr>
            </w:pPr>
            <w:r>
              <w:rPr>
                <w:rFonts w:ascii="宋体" w:hAnsi="宋体" w:eastAsia="宋体" w:cs="Arial"/>
                <w:color w:val="auto"/>
                <w:kern w:val="0"/>
                <w:sz w:val="22"/>
              </w:rPr>
              <w:t>金堂白果通用机场</w:t>
            </w:r>
          </w:p>
        </w:tc>
        <w:tc>
          <w:tcPr>
            <w:tcW w:w="2469" w:type="pct"/>
            <w:noWrap/>
            <w:vAlign w:val="center"/>
          </w:tcPr>
          <w:p>
            <w:pPr>
              <w:widowControl/>
              <w:rPr>
                <w:rFonts w:hint="eastAsia" w:ascii="宋体" w:hAnsi="宋体" w:eastAsia="宋体" w:cs="Arial"/>
                <w:color w:val="auto"/>
                <w:kern w:val="0"/>
                <w:sz w:val="22"/>
              </w:rPr>
            </w:pPr>
            <w:r>
              <w:rPr>
                <w:rFonts w:ascii="宋体" w:hAnsi="宋体" w:eastAsia="宋体" w:cs="Arial"/>
                <w:color w:val="auto"/>
                <w:kern w:val="0"/>
                <w:sz w:val="22"/>
              </w:rPr>
              <w:t>载人类：空中游览、个人娱乐飞行；其他类：航空摄影、空中巡查、空中拍照、空中广告、私用驾驶员执照培训、运动驾驶员执照培训；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52" w:type="pct"/>
            <w:noWrap/>
            <w:vAlign w:val="center"/>
          </w:tcPr>
          <w:p>
            <w:pPr>
              <w:widowControl/>
              <w:jc w:val="center"/>
              <w:rPr>
                <w:rFonts w:hint="eastAsia" w:ascii="宋体" w:hAnsi="宋体" w:eastAsia="宋体" w:cs="Arial"/>
                <w:color w:val="auto"/>
                <w:kern w:val="0"/>
                <w:sz w:val="22"/>
              </w:rPr>
            </w:pPr>
            <w:r>
              <w:rPr>
                <w:rFonts w:hint="eastAsia" w:ascii="宋体" w:hAnsi="宋体" w:eastAsia="宋体" w:cs="Arial"/>
                <w:color w:val="auto"/>
                <w:kern w:val="0"/>
                <w:sz w:val="22"/>
              </w:rPr>
              <w:t>5</w:t>
            </w:r>
          </w:p>
        </w:tc>
        <w:tc>
          <w:tcPr>
            <w:tcW w:w="506" w:type="pct"/>
            <w:noWrap/>
            <w:vAlign w:val="center"/>
          </w:tcPr>
          <w:p>
            <w:pPr>
              <w:widowControl/>
              <w:jc w:val="center"/>
              <w:rPr>
                <w:rFonts w:hint="eastAsia" w:ascii="宋体" w:hAnsi="宋体" w:eastAsia="宋体" w:cs="Arial"/>
                <w:color w:val="auto"/>
                <w:kern w:val="0"/>
                <w:sz w:val="22"/>
              </w:rPr>
            </w:pPr>
            <w:r>
              <w:rPr>
                <w:rFonts w:ascii="宋体" w:hAnsi="宋体" w:eastAsia="宋体" w:cs="Arial"/>
                <w:color w:val="auto"/>
                <w:kern w:val="0"/>
                <w:sz w:val="22"/>
              </w:rPr>
              <w:t>运动驾驶员执照培训</w:t>
            </w:r>
          </w:p>
        </w:tc>
        <w:tc>
          <w:tcPr>
            <w:tcW w:w="860" w:type="pct"/>
            <w:noWrap/>
            <w:vAlign w:val="center"/>
          </w:tcPr>
          <w:p>
            <w:pPr>
              <w:widowControl/>
              <w:jc w:val="center"/>
              <w:rPr>
                <w:rFonts w:hint="eastAsia" w:ascii="宋体" w:hAnsi="宋体" w:eastAsia="宋体" w:cs="Arial"/>
                <w:color w:val="auto"/>
                <w:kern w:val="0"/>
                <w:sz w:val="22"/>
              </w:rPr>
            </w:pPr>
            <w:r>
              <w:rPr>
                <w:rFonts w:ascii="宋体" w:hAnsi="宋体" w:eastAsia="宋体" w:cs="Arial"/>
                <w:color w:val="auto"/>
                <w:kern w:val="0"/>
                <w:sz w:val="22"/>
              </w:rPr>
              <w:t>四川即刻飞行航空服务有限公司</w:t>
            </w:r>
          </w:p>
        </w:tc>
        <w:tc>
          <w:tcPr>
            <w:tcW w:w="355" w:type="pct"/>
            <w:noWrap/>
            <w:vAlign w:val="center"/>
          </w:tcPr>
          <w:p>
            <w:pPr>
              <w:widowControl/>
              <w:jc w:val="center"/>
              <w:rPr>
                <w:rFonts w:hint="eastAsia" w:ascii="宋体" w:hAnsi="宋体" w:eastAsia="宋体" w:cs="Arial"/>
                <w:color w:val="auto"/>
                <w:kern w:val="0"/>
                <w:sz w:val="22"/>
              </w:rPr>
            </w:pPr>
            <w:r>
              <w:rPr>
                <w:rFonts w:ascii="宋体" w:hAnsi="宋体" w:eastAsia="宋体" w:cs="Arial"/>
                <w:color w:val="auto"/>
                <w:kern w:val="0"/>
                <w:sz w:val="22"/>
              </w:rPr>
              <w:t>四川</w:t>
            </w:r>
          </w:p>
        </w:tc>
        <w:tc>
          <w:tcPr>
            <w:tcW w:w="557" w:type="pct"/>
            <w:noWrap/>
            <w:vAlign w:val="center"/>
          </w:tcPr>
          <w:p>
            <w:pPr>
              <w:widowControl/>
              <w:jc w:val="center"/>
              <w:rPr>
                <w:rFonts w:hint="eastAsia" w:ascii="宋体" w:hAnsi="宋体" w:eastAsia="宋体" w:cs="Arial"/>
                <w:color w:val="auto"/>
                <w:kern w:val="0"/>
                <w:sz w:val="22"/>
              </w:rPr>
            </w:pPr>
            <w:r>
              <w:rPr>
                <w:rFonts w:ascii="宋体" w:hAnsi="宋体" w:eastAsia="宋体" w:cs="Arial"/>
                <w:color w:val="auto"/>
                <w:kern w:val="0"/>
                <w:sz w:val="22"/>
              </w:rPr>
              <w:t>成都洛带机场</w:t>
            </w:r>
          </w:p>
        </w:tc>
        <w:tc>
          <w:tcPr>
            <w:tcW w:w="2469" w:type="pct"/>
            <w:noWrap/>
            <w:vAlign w:val="center"/>
          </w:tcPr>
          <w:p>
            <w:pPr>
              <w:widowControl/>
              <w:rPr>
                <w:rFonts w:hint="eastAsia" w:ascii="宋体" w:hAnsi="宋体" w:eastAsia="宋体" w:cs="Arial"/>
                <w:color w:val="auto"/>
                <w:kern w:val="0"/>
                <w:sz w:val="22"/>
              </w:rPr>
            </w:pPr>
            <w:r>
              <w:rPr>
                <w:rFonts w:ascii="宋体" w:hAnsi="宋体" w:eastAsia="宋体" w:cs="Arial"/>
                <w:color w:val="auto"/>
                <w:kern w:val="0"/>
                <w:sz w:val="22"/>
              </w:rPr>
              <w:t>载人类：航空护林、个人娱乐飞行；其他类：城市消防、人工影响天气、航空探矿、航空摄影、海洋监测、渔业飞行、空中巡查、电力作业、空中拍照、空中广告、科学实验、气象探测、表演飞行、私用驾驶员执照培训、运动驾驶员执照培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52" w:type="pct"/>
            <w:noWrap/>
            <w:vAlign w:val="center"/>
          </w:tcPr>
          <w:p>
            <w:pPr>
              <w:widowControl/>
              <w:jc w:val="center"/>
              <w:rPr>
                <w:rFonts w:hint="eastAsia" w:ascii="宋体" w:hAnsi="宋体" w:eastAsia="宋体" w:cs="Arial"/>
                <w:color w:val="auto"/>
                <w:kern w:val="0"/>
                <w:sz w:val="22"/>
              </w:rPr>
            </w:pPr>
            <w:r>
              <w:rPr>
                <w:rFonts w:hint="eastAsia" w:ascii="宋体" w:hAnsi="宋体" w:eastAsia="宋体" w:cs="Arial"/>
                <w:color w:val="auto"/>
                <w:kern w:val="0"/>
                <w:sz w:val="22"/>
              </w:rPr>
              <w:t>6</w:t>
            </w:r>
          </w:p>
        </w:tc>
        <w:tc>
          <w:tcPr>
            <w:tcW w:w="506" w:type="pct"/>
            <w:noWrap/>
            <w:vAlign w:val="center"/>
          </w:tcPr>
          <w:p>
            <w:pPr>
              <w:widowControl/>
              <w:jc w:val="center"/>
              <w:rPr>
                <w:rFonts w:hint="eastAsia" w:ascii="宋体" w:hAnsi="宋体" w:eastAsia="宋体" w:cs="Arial"/>
                <w:color w:val="auto"/>
                <w:kern w:val="0"/>
                <w:sz w:val="22"/>
              </w:rPr>
            </w:pPr>
            <w:r>
              <w:rPr>
                <w:rFonts w:ascii="宋体" w:hAnsi="宋体" w:eastAsia="宋体" w:cs="Arial"/>
                <w:color w:val="auto"/>
                <w:kern w:val="0"/>
                <w:sz w:val="22"/>
              </w:rPr>
              <w:t>运动驾驶员执照培训</w:t>
            </w:r>
          </w:p>
        </w:tc>
        <w:tc>
          <w:tcPr>
            <w:tcW w:w="860" w:type="pct"/>
            <w:noWrap/>
            <w:vAlign w:val="center"/>
          </w:tcPr>
          <w:p>
            <w:pPr>
              <w:widowControl/>
              <w:jc w:val="center"/>
              <w:rPr>
                <w:rFonts w:hint="eastAsia" w:ascii="宋体" w:hAnsi="宋体" w:eastAsia="宋体" w:cs="Arial"/>
                <w:color w:val="auto"/>
                <w:kern w:val="0"/>
                <w:sz w:val="22"/>
              </w:rPr>
            </w:pPr>
            <w:r>
              <w:rPr>
                <w:rFonts w:ascii="宋体" w:hAnsi="宋体" w:eastAsia="宋体" w:cs="Arial"/>
                <w:color w:val="auto"/>
                <w:kern w:val="0"/>
                <w:sz w:val="22"/>
              </w:rPr>
              <w:t>四川舜晨航空服务有限公司</w:t>
            </w:r>
          </w:p>
        </w:tc>
        <w:tc>
          <w:tcPr>
            <w:tcW w:w="355" w:type="pct"/>
            <w:noWrap/>
            <w:vAlign w:val="center"/>
          </w:tcPr>
          <w:p>
            <w:pPr>
              <w:widowControl/>
              <w:jc w:val="center"/>
              <w:rPr>
                <w:rFonts w:hint="eastAsia" w:ascii="宋体" w:hAnsi="宋体" w:eastAsia="宋体" w:cs="Arial"/>
                <w:color w:val="auto"/>
                <w:kern w:val="0"/>
                <w:sz w:val="22"/>
              </w:rPr>
            </w:pPr>
            <w:r>
              <w:rPr>
                <w:rFonts w:ascii="宋体" w:hAnsi="宋体" w:eastAsia="宋体" w:cs="Arial"/>
                <w:color w:val="auto"/>
                <w:kern w:val="0"/>
                <w:sz w:val="22"/>
              </w:rPr>
              <w:t>四川</w:t>
            </w:r>
          </w:p>
        </w:tc>
        <w:tc>
          <w:tcPr>
            <w:tcW w:w="557" w:type="pct"/>
            <w:noWrap/>
            <w:vAlign w:val="center"/>
          </w:tcPr>
          <w:p>
            <w:pPr>
              <w:widowControl/>
              <w:jc w:val="center"/>
              <w:rPr>
                <w:rFonts w:hint="eastAsia" w:ascii="宋体" w:hAnsi="宋体" w:eastAsia="宋体" w:cs="Arial"/>
                <w:color w:val="auto"/>
                <w:kern w:val="0"/>
                <w:sz w:val="22"/>
              </w:rPr>
            </w:pPr>
            <w:r>
              <w:rPr>
                <w:rFonts w:ascii="宋体" w:hAnsi="宋体" w:eastAsia="宋体" w:cs="Arial"/>
                <w:color w:val="auto"/>
                <w:kern w:val="0"/>
                <w:sz w:val="22"/>
              </w:rPr>
              <w:t>崇州天宫机场</w:t>
            </w:r>
          </w:p>
        </w:tc>
        <w:tc>
          <w:tcPr>
            <w:tcW w:w="2469" w:type="pct"/>
            <w:noWrap/>
            <w:vAlign w:val="center"/>
          </w:tcPr>
          <w:p>
            <w:pPr>
              <w:widowControl/>
              <w:rPr>
                <w:rFonts w:hint="eastAsia" w:ascii="宋体" w:hAnsi="宋体" w:eastAsia="宋体" w:cs="Arial"/>
                <w:color w:val="auto"/>
                <w:kern w:val="0"/>
                <w:sz w:val="22"/>
              </w:rPr>
            </w:pPr>
            <w:r>
              <w:rPr>
                <w:rFonts w:ascii="宋体" w:hAnsi="宋体" w:eastAsia="宋体" w:cs="Arial"/>
                <w:color w:val="auto"/>
                <w:kern w:val="0"/>
                <w:sz w:val="22"/>
              </w:rPr>
              <w:t>载人类：航空护林、个人娱乐飞行；其他类：城市消防、人工影响天气、航空探矿、航空摄影、海洋监测、渔业飞行、空中巡查、电力作业、空中拍照、空中广告、科学实验、气象探测、表演飞行、运动驾驶员执照培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52" w:type="pct"/>
            <w:noWrap/>
            <w:vAlign w:val="center"/>
          </w:tcPr>
          <w:p>
            <w:pPr>
              <w:widowControl/>
              <w:jc w:val="center"/>
              <w:rPr>
                <w:rFonts w:hint="eastAsia" w:ascii="宋体" w:hAnsi="宋体" w:eastAsia="宋体" w:cs="Arial"/>
                <w:color w:val="auto"/>
                <w:kern w:val="0"/>
                <w:sz w:val="22"/>
              </w:rPr>
            </w:pPr>
            <w:r>
              <w:rPr>
                <w:rFonts w:hint="eastAsia" w:ascii="宋体" w:hAnsi="宋体" w:eastAsia="宋体" w:cs="Arial"/>
                <w:color w:val="auto"/>
                <w:kern w:val="0"/>
                <w:sz w:val="22"/>
              </w:rPr>
              <w:t>7</w:t>
            </w:r>
          </w:p>
        </w:tc>
        <w:tc>
          <w:tcPr>
            <w:tcW w:w="506" w:type="pct"/>
            <w:noWrap/>
            <w:vAlign w:val="center"/>
          </w:tcPr>
          <w:p>
            <w:pPr>
              <w:widowControl/>
              <w:jc w:val="center"/>
              <w:rPr>
                <w:rFonts w:hint="eastAsia" w:ascii="宋体" w:hAnsi="宋体" w:eastAsia="宋体" w:cs="Arial"/>
                <w:color w:val="auto"/>
                <w:kern w:val="0"/>
                <w:sz w:val="22"/>
              </w:rPr>
            </w:pPr>
            <w:r>
              <w:rPr>
                <w:rFonts w:ascii="宋体" w:hAnsi="宋体" w:eastAsia="宋体" w:cs="Arial"/>
                <w:color w:val="auto"/>
                <w:kern w:val="0"/>
                <w:sz w:val="22"/>
              </w:rPr>
              <w:t>运动驾驶员执照培训</w:t>
            </w:r>
          </w:p>
        </w:tc>
        <w:tc>
          <w:tcPr>
            <w:tcW w:w="860" w:type="pct"/>
            <w:noWrap/>
            <w:vAlign w:val="center"/>
          </w:tcPr>
          <w:p>
            <w:pPr>
              <w:widowControl/>
              <w:jc w:val="center"/>
              <w:rPr>
                <w:rFonts w:hint="eastAsia" w:ascii="宋体" w:hAnsi="宋体" w:eastAsia="宋体" w:cs="Arial"/>
                <w:color w:val="auto"/>
                <w:kern w:val="0"/>
                <w:sz w:val="22"/>
              </w:rPr>
            </w:pPr>
            <w:r>
              <w:rPr>
                <w:rFonts w:ascii="宋体" w:hAnsi="宋体" w:eastAsia="宋体" w:cs="Arial"/>
                <w:color w:val="auto"/>
                <w:kern w:val="0"/>
                <w:sz w:val="22"/>
              </w:rPr>
              <w:t>叁浩（成都）通用航空服务有限公司</w:t>
            </w:r>
          </w:p>
        </w:tc>
        <w:tc>
          <w:tcPr>
            <w:tcW w:w="355" w:type="pct"/>
            <w:noWrap/>
            <w:vAlign w:val="center"/>
          </w:tcPr>
          <w:p>
            <w:pPr>
              <w:widowControl/>
              <w:jc w:val="center"/>
              <w:rPr>
                <w:rFonts w:hint="eastAsia" w:ascii="宋体" w:hAnsi="宋体" w:eastAsia="宋体" w:cs="Arial"/>
                <w:color w:val="auto"/>
                <w:kern w:val="0"/>
                <w:sz w:val="22"/>
              </w:rPr>
            </w:pPr>
            <w:r>
              <w:rPr>
                <w:rFonts w:ascii="宋体" w:hAnsi="宋体" w:eastAsia="宋体" w:cs="Arial"/>
                <w:color w:val="auto"/>
                <w:kern w:val="0"/>
                <w:sz w:val="22"/>
              </w:rPr>
              <w:t>四川</w:t>
            </w:r>
          </w:p>
        </w:tc>
        <w:tc>
          <w:tcPr>
            <w:tcW w:w="557" w:type="pct"/>
            <w:noWrap/>
            <w:vAlign w:val="center"/>
          </w:tcPr>
          <w:p>
            <w:pPr>
              <w:widowControl/>
              <w:jc w:val="center"/>
              <w:rPr>
                <w:rFonts w:hint="eastAsia" w:ascii="宋体" w:hAnsi="宋体" w:eastAsia="宋体" w:cs="Arial"/>
                <w:color w:val="auto"/>
                <w:kern w:val="0"/>
                <w:sz w:val="22"/>
              </w:rPr>
            </w:pPr>
            <w:r>
              <w:rPr>
                <w:rFonts w:ascii="宋体" w:hAnsi="宋体" w:eastAsia="宋体" w:cs="Arial"/>
                <w:color w:val="auto"/>
                <w:kern w:val="0"/>
                <w:sz w:val="22"/>
              </w:rPr>
              <w:t>金堂淮州机场</w:t>
            </w:r>
          </w:p>
        </w:tc>
        <w:tc>
          <w:tcPr>
            <w:tcW w:w="2469" w:type="pct"/>
            <w:noWrap/>
            <w:vAlign w:val="center"/>
          </w:tcPr>
          <w:p>
            <w:pPr>
              <w:widowControl/>
              <w:rPr>
                <w:rFonts w:hint="eastAsia" w:ascii="宋体" w:hAnsi="宋体" w:eastAsia="宋体" w:cs="Arial"/>
                <w:color w:val="auto"/>
                <w:kern w:val="0"/>
                <w:sz w:val="22"/>
              </w:rPr>
            </w:pPr>
            <w:r>
              <w:rPr>
                <w:rFonts w:ascii="宋体" w:hAnsi="宋体" w:eastAsia="宋体" w:cs="Arial"/>
                <w:color w:val="auto"/>
                <w:kern w:val="0"/>
                <w:sz w:val="22"/>
              </w:rPr>
              <w:t>载人类：个人娱乐飞行；其他类：航空摄影、空中巡查、空中拍照、空中广告、表演飞行、私用驾驶员执照培训、运动驾驶员执照培训；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52" w:type="pct"/>
            <w:noWrap/>
            <w:vAlign w:val="center"/>
          </w:tcPr>
          <w:p>
            <w:pPr>
              <w:widowControl/>
              <w:jc w:val="center"/>
              <w:rPr>
                <w:rFonts w:hint="eastAsia" w:ascii="宋体" w:hAnsi="宋体" w:eastAsia="宋体" w:cs="Arial"/>
                <w:color w:val="auto"/>
                <w:kern w:val="0"/>
                <w:sz w:val="22"/>
              </w:rPr>
            </w:pPr>
            <w:r>
              <w:rPr>
                <w:rFonts w:hint="eastAsia" w:ascii="宋体" w:hAnsi="宋体" w:eastAsia="宋体" w:cs="Arial"/>
                <w:color w:val="auto"/>
                <w:kern w:val="0"/>
                <w:sz w:val="22"/>
              </w:rPr>
              <w:t>8</w:t>
            </w:r>
          </w:p>
        </w:tc>
        <w:tc>
          <w:tcPr>
            <w:tcW w:w="506" w:type="pct"/>
            <w:noWrap/>
            <w:vAlign w:val="center"/>
          </w:tcPr>
          <w:p>
            <w:pPr>
              <w:widowControl/>
              <w:jc w:val="center"/>
              <w:rPr>
                <w:rFonts w:hint="eastAsia" w:ascii="宋体" w:hAnsi="宋体" w:eastAsia="宋体" w:cs="Arial"/>
                <w:color w:val="auto"/>
                <w:kern w:val="0"/>
                <w:sz w:val="22"/>
              </w:rPr>
            </w:pPr>
            <w:r>
              <w:rPr>
                <w:rFonts w:ascii="宋体" w:hAnsi="宋体" w:eastAsia="宋体" w:cs="Arial"/>
                <w:color w:val="auto"/>
                <w:kern w:val="0"/>
                <w:sz w:val="22"/>
              </w:rPr>
              <w:t>航空摄影</w:t>
            </w:r>
          </w:p>
        </w:tc>
        <w:tc>
          <w:tcPr>
            <w:tcW w:w="860" w:type="pct"/>
            <w:noWrap/>
            <w:vAlign w:val="center"/>
          </w:tcPr>
          <w:p>
            <w:pPr>
              <w:widowControl/>
              <w:jc w:val="center"/>
              <w:rPr>
                <w:rFonts w:hint="eastAsia" w:ascii="宋体" w:hAnsi="宋体" w:eastAsia="宋体" w:cs="Arial"/>
                <w:color w:val="auto"/>
                <w:kern w:val="0"/>
                <w:sz w:val="22"/>
              </w:rPr>
            </w:pPr>
            <w:r>
              <w:rPr>
                <w:rFonts w:ascii="宋体" w:hAnsi="宋体" w:eastAsia="宋体" w:cs="Arial"/>
                <w:color w:val="auto"/>
                <w:kern w:val="0"/>
                <w:sz w:val="22"/>
              </w:rPr>
              <w:t>四川西华通用航空股份有限公司</w:t>
            </w:r>
          </w:p>
        </w:tc>
        <w:tc>
          <w:tcPr>
            <w:tcW w:w="355" w:type="pct"/>
            <w:noWrap/>
            <w:vAlign w:val="center"/>
          </w:tcPr>
          <w:p>
            <w:pPr>
              <w:widowControl/>
              <w:jc w:val="center"/>
              <w:rPr>
                <w:rFonts w:hint="eastAsia" w:ascii="宋体" w:hAnsi="宋体" w:eastAsia="宋体" w:cs="Arial"/>
                <w:color w:val="auto"/>
                <w:kern w:val="0"/>
                <w:sz w:val="22"/>
              </w:rPr>
            </w:pPr>
            <w:r>
              <w:rPr>
                <w:rFonts w:ascii="宋体" w:hAnsi="宋体" w:eastAsia="宋体" w:cs="Arial"/>
                <w:color w:val="auto"/>
                <w:kern w:val="0"/>
                <w:sz w:val="22"/>
              </w:rPr>
              <w:t>四川</w:t>
            </w:r>
          </w:p>
        </w:tc>
        <w:tc>
          <w:tcPr>
            <w:tcW w:w="557" w:type="pct"/>
            <w:noWrap/>
            <w:vAlign w:val="center"/>
          </w:tcPr>
          <w:p>
            <w:pPr>
              <w:widowControl/>
              <w:jc w:val="center"/>
              <w:rPr>
                <w:rFonts w:hint="eastAsia" w:ascii="宋体" w:hAnsi="宋体" w:eastAsia="宋体" w:cs="Arial"/>
                <w:color w:val="auto"/>
                <w:kern w:val="0"/>
                <w:sz w:val="22"/>
              </w:rPr>
            </w:pPr>
            <w:r>
              <w:rPr>
                <w:rFonts w:ascii="宋体" w:hAnsi="宋体" w:eastAsia="宋体" w:cs="Arial"/>
                <w:color w:val="auto"/>
                <w:kern w:val="0"/>
                <w:sz w:val="22"/>
              </w:rPr>
              <w:t>四川省新津机场</w:t>
            </w:r>
          </w:p>
        </w:tc>
        <w:tc>
          <w:tcPr>
            <w:tcW w:w="2469" w:type="pct"/>
            <w:noWrap/>
            <w:vAlign w:val="center"/>
          </w:tcPr>
          <w:p>
            <w:pPr>
              <w:widowControl/>
              <w:rPr>
                <w:rFonts w:hint="eastAsia" w:ascii="宋体" w:hAnsi="宋体" w:eastAsia="宋体" w:cs="Arial"/>
                <w:color w:val="auto"/>
                <w:kern w:val="0"/>
                <w:sz w:val="22"/>
              </w:rPr>
            </w:pPr>
            <w:r>
              <w:rPr>
                <w:rFonts w:ascii="宋体" w:hAnsi="宋体" w:eastAsia="宋体" w:cs="Arial"/>
                <w:color w:val="auto"/>
                <w:kern w:val="0"/>
                <w:sz w:val="22"/>
              </w:rPr>
              <w:t>载客类：通用航空包机飞行；载人类：石油服务、航空医疗救护、航空护林、空中游览、跳伞飞行服务、个人娱乐飞行；其他类：城市消防、直升机机外载荷飞行、人工影响天气、航空探矿、航空摄影、空中巡查、电力作业、航空喷洒（撒）、空中拍照、空中广告、科学实验、气象探测、表演飞行、商用驾驶员执照培训、私用驾驶员执照培训、运动驾驶员执照培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52" w:type="pct"/>
            <w:noWrap/>
            <w:vAlign w:val="center"/>
          </w:tcPr>
          <w:p>
            <w:pPr>
              <w:widowControl/>
              <w:jc w:val="center"/>
              <w:rPr>
                <w:rFonts w:hint="eastAsia" w:ascii="宋体" w:hAnsi="宋体" w:eastAsia="宋体" w:cs="Arial"/>
                <w:color w:val="auto"/>
                <w:kern w:val="0"/>
                <w:sz w:val="22"/>
              </w:rPr>
            </w:pPr>
            <w:r>
              <w:rPr>
                <w:rFonts w:hint="eastAsia" w:ascii="宋体" w:hAnsi="宋体" w:eastAsia="宋体" w:cs="Arial"/>
                <w:color w:val="auto"/>
                <w:kern w:val="0"/>
                <w:sz w:val="22"/>
              </w:rPr>
              <w:t>9</w:t>
            </w:r>
          </w:p>
        </w:tc>
        <w:tc>
          <w:tcPr>
            <w:tcW w:w="506" w:type="pct"/>
            <w:noWrap/>
            <w:vAlign w:val="center"/>
          </w:tcPr>
          <w:p>
            <w:pPr>
              <w:widowControl/>
              <w:jc w:val="center"/>
              <w:rPr>
                <w:rFonts w:hint="eastAsia" w:ascii="宋体" w:hAnsi="宋体" w:eastAsia="宋体" w:cs="Arial"/>
                <w:color w:val="auto"/>
                <w:kern w:val="0"/>
                <w:sz w:val="22"/>
              </w:rPr>
            </w:pPr>
            <w:r>
              <w:rPr>
                <w:rFonts w:ascii="宋体" w:hAnsi="宋体" w:eastAsia="宋体" w:cs="Arial"/>
                <w:color w:val="auto"/>
                <w:kern w:val="0"/>
                <w:sz w:val="22"/>
              </w:rPr>
              <w:t>运动驾驶员执照培训</w:t>
            </w:r>
          </w:p>
        </w:tc>
        <w:tc>
          <w:tcPr>
            <w:tcW w:w="860" w:type="pct"/>
            <w:noWrap/>
            <w:vAlign w:val="center"/>
          </w:tcPr>
          <w:p>
            <w:pPr>
              <w:widowControl/>
              <w:jc w:val="center"/>
              <w:rPr>
                <w:rFonts w:hint="eastAsia" w:ascii="宋体" w:hAnsi="宋体" w:eastAsia="宋体" w:cs="Arial"/>
                <w:color w:val="auto"/>
                <w:kern w:val="0"/>
                <w:sz w:val="22"/>
              </w:rPr>
            </w:pPr>
            <w:r>
              <w:rPr>
                <w:rFonts w:ascii="宋体" w:hAnsi="宋体" w:eastAsia="宋体" w:cs="Arial"/>
                <w:color w:val="auto"/>
                <w:kern w:val="0"/>
                <w:sz w:val="22"/>
              </w:rPr>
              <w:t>四川奕鸣航空服务有限公司</w:t>
            </w:r>
          </w:p>
        </w:tc>
        <w:tc>
          <w:tcPr>
            <w:tcW w:w="355" w:type="pct"/>
            <w:noWrap/>
            <w:vAlign w:val="center"/>
          </w:tcPr>
          <w:p>
            <w:pPr>
              <w:widowControl/>
              <w:jc w:val="center"/>
              <w:rPr>
                <w:rFonts w:hint="eastAsia" w:ascii="宋体" w:hAnsi="宋体" w:eastAsia="宋体" w:cs="Arial"/>
                <w:color w:val="auto"/>
                <w:kern w:val="0"/>
                <w:sz w:val="22"/>
              </w:rPr>
            </w:pPr>
            <w:r>
              <w:rPr>
                <w:rFonts w:ascii="宋体" w:hAnsi="宋体" w:eastAsia="宋体" w:cs="Arial"/>
                <w:color w:val="auto"/>
                <w:kern w:val="0"/>
                <w:sz w:val="22"/>
              </w:rPr>
              <w:t>四川</w:t>
            </w:r>
          </w:p>
        </w:tc>
        <w:tc>
          <w:tcPr>
            <w:tcW w:w="557" w:type="pct"/>
            <w:noWrap/>
            <w:vAlign w:val="center"/>
          </w:tcPr>
          <w:p>
            <w:pPr>
              <w:widowControl/>
              <w:jc w:val="center"/>
              <w:rPr>
                <w:rFonts w:hint="eastAsia" w:ascii="宋体" w:hAnsi="宋体" w:eastAsia="宋体" w:cs="Arial"/>
                <w:color w:val="auto"/>
                <w:kern w:val="0"/>
                <w:sz w:val="22"/>
              </w:rPr>
            </w:pPr>
            <w:r>
              <w:rPr>
                <w:rFonts w:ascii="宋体" w:hAnsi="宋体" w:eastAsia="宋体" w:cs="Arial"/>
                <w:color w:val="auto"/>
                <w:kern w:val="0"/>
                <w:sz w:val="22"/>
              </w:rPr>
              <w:t>青城山机场</w:t>
            </w:r>
          </w:p>
        </w:tc>
        <w:tc>
          <w:tcPr>
            <w:tcW w:w="2469" w:type="pct"/>
            <w:noWrap/>
            <w:vAlign w:val="center"/>
          </w:tcPr>
          <w:p>
            <w:pPr>
              <w:widowControl/>
              <w:rPr>
                <w:rFonts w:hint="eastAsia" w:ascii="宋体" w:hAnsi="宋体" w:eastAsia="宋体" w:cs="Arial"/>
                <w:color w:val="auto"/>
                <w:kern w:val="0"/>
                <w:sz w:val="22"/>
              </w:rPr>
            </w:pPr>
            <w:r>
              <w:rPr>
                <w:rFonts w:ascii="宋体" w:hAnsi="宋体" w:eastAsia="宋体" w:cs="Arial"/>
                <w:color w:val="auto"/>
                <w:kern w:val="0"/>
                <w:sz w:val="22"/>
              </w:rPr>
              <w:t>载人类：航空护林、个人飞行与娱乐飞行活动；其他类：城市消防、人工影响天气、航空探矿、航空摄影、海洋监测、渔业飞行、空中巡查、电力作业、空中拍照、空中广告、科学实验、气象探测、表演飞行、私用驾驶员执照培训、运动驾驶员执照培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52" w:type="pct"/>
            <w:noWrap/>
            <w:vAlign w:val="center"/>
          </w:tcPr>
          <w:p>
            <w:pPr>
              <w:widowControl/>
              <w:jc w:val="center"/>
              <w:rPr>
                <w:rFonts w:hint="eastAsia" w:ascii="宋体" w:hAnsi="宋体" w:eastAsia="宋体" w:cs="Arial"/>
                <w:color w:val="auto"/>
                <w:kern w:val="0"/>
                <w:sz w:val="22"/>
              </w:rPr>
            </w:pPr>
            <w:r>
              <w:rPr>
                <w:rFonts w:hint="eastAsia" w:ascii="宋体" w:hAnsi="宋体" w:eastAsia="宋体" w:cs="Arial"/>
                <w:color w:val="auto"/>
                <w:kern w:val="0"/>
                <w:sz w:val="22"/>
              </w:rPr>
              <w:t>10</w:t>
            </w:r>
          </w:p>
        </w:tc>
        <w:tc>
          <w:tcPr>
            <w:tcW w:w="506" w:type="pct"/>
            <w:noWrap/>
            <w:vAlign w:val="center"/>
          </w:tcPr>
          <w:p>
            <w:pPr>
              <w:widowControl/>
              <w:jc w:val="center"/>
              <w:rPr>
                <w:rFonts w:hint="eastAsia" w:ascii="宋体" w:hAnsi="宋体" w:eastAsia="宋体" w:cs="Arial"/>
                <w:color w:val="auto"/>
                <w:kern w:val="0"/>
                <w:sz w:val="22"/>
              </w:rPr>
            </w:pPr>
            <w:r>
              <w:rPr>
                <w:rFonts w:ascii="宋体" w:hAnsi="宋体" w:eastAsia="宋体" w:cs="Arial"/>
                <w:color w:val="auto"/>
                <w:kern w:val="0"/>
                <w:sz w:val="22"/>
              </w:rPr>
              <w:t>私用驾驶员执照培训</w:t>
            </w:r>
          </w:p>
        </w:tc>
        <w:tc>
          <w:tcPr>
            <w:tcW w:w="860" w:type="pct"/>
            <w:noWrap/>
            <w:vAlign w:val="center"/>
          </w:tcPr>
          <w:p>
            <w:pPr>
              <w:widowControl/>
              <w:jc w:val="center"/>
              <w:rPr>
                <w:rFonts w:hint="eastAsia" w:ascii="宋体" w:hAnsi="宋体" w:eastAsia="宋体" w:cs="Arial"/>
                <w:color w:val="auto"/>
                <w:kern w:val="0"/>
                <w:sz w:val="22"/>
              </w:rPr>
            </w:pPr>
            <w:r>
              <w:rPr>
                <w:rFonts w:ascii="宋体" w:hAnsi="宋体" w:eastAsia="宋体" w:cs="Arial"/>
                <w:color w:val="auto"/>
                <w:kern w:val="0"/>
                <w:sz w:val="22"/>
              </w:rPr>
              <w:t>四川泛美通用航空集团有限公司</w:t>
            </w:r>
          </w:p>
        </w:tc>
        <w:tc>
          <w:tcPr>
            <w:tcW w:w="355" w:type="pct"/>
            <w:noWrap/>
            <w:vAlign w:val="center"/>
          </w:tcPr>
          <w:p>
            <w:pPr>
              <w:widowControl/>
              <w:jc w:val="center"/>
              <w:rPr>
                <w:rFonts w:hint="eastAsia" w:ascii="宋体" w:hAnsi="宋体" w:eastAsia="宋体" w:cs="Arial"/>
                <w:color w:val="auto"/>
                <w:kern w:val="0"/>
                <w:sz w:val="22"/>
              </w:rPr>
            </w:pPr>
            <w:r>
              <w:rPr>
                <w:rFonts w:ascii="宋体" w:hAnsi="宋体" w:eastAsia="宋体" w:cs="Arial"/>
                <w:color w:val="auto"/>
                <w:kern w:val="0"/>
                <w:sz w:val="22"/>
              </w:rPr>
              <w:t>四川</w:t>
            </w:r>
          </w:p>
        </w:tc>
        <w:tc>
          <w:tcPr>
            <w:tcW w:w="557" w:type="pct"/>
            <w:noWrap/>
            <w:vAlign w:val="center"/>
          </w:tcPr>
          <w:p>
            <w:pPr>
              <w:widowControl/>
              <w:jc w:val="center"/>
              <w:rPr>
                <w:rFonts w:hint="eastAsia" w:ascii="宋体" w:hAnsi="宋体" w:eastAsia="宋体" w:cs="Arial"/>
                <w:color w:val="auto"/>
                <w:kern w:val="0"/>
                <w:sz w:val="22"/>
              </w:rPr>
            </w:pPr>
            <w:r>
              <w:rPr>
                <w:rFonts w:ascii="宋体" w:hAnsi="宋体" w:eastAsia="宋体" w:cs="Arial"/>
                <w:color w:val="auto"/>
                <w:kern w:val="0"/>
                <w:sz w:val="22"/>
              </w:rPr>
              <w:t>四川省新津机场</w:t>
            </w:r>
          </w:p>
        </w:tc>
        <w:tc>
          <w:tcPr>
            <w:tcW w:w="2469" w:type="pct"/>
            <w:noWrap/>
            <w:vAlign w:val="center"/>
          </w:tcPr>
          <w:p>
            <w:pPr>
              <w:widowControl/>
              <w:rPr>
                <w:rFonts w:hint="eastAsia" w:ascii="宋体" w:hAnsi="宋体" w:eastAsia="宋体" w:cs="Arial"/>
                <w:color w:val="auto"/>
                <w:kern w:val="0"/>
                <w:sz w:val="22"/>
              </w:rPr>
            </w:pPr>
            <w:r>
              <w:rPr>
                <w:rFonts w:ascii="宋体" w:hAnsi="宋体" w:eastAsia="宋体" w:cs="Arial"/>
                <w:color w:val="auto"/>
                <w:kern w:val="0"/>
                <w:sz w:val="22"/>
              </w:rPr>
              <w:t>载人类：航空护林、空中游览；其他类：航空摄影、空中巡查、空中拍照、空中广告、商用驾驶员执照培训、私用驾驶员执照培训；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52" w:type="pct"/>
            <w:noWrap/>
            <w:vAlign w:val="center"/>
          </w:tcPr>
          <w:p>
            <w:pPr>
              <w:widowControl/>
              <w:jc w:val="center"/>
              <w:rPr>
                <w:rFonts w:hint="eastAsia" w:ascii="宋体" w:hAnsi="宋体" w:eastAsia="宋体" w:cs="Arial"/>
                <w:color w:val="auto"/>
                <w:kern w:val="0"/>
                <w:sz w:val="22"/>
              </w:rPr>
            </w:pPr>
            <w:r>
              <w:rPr>
                <w:rFonts w:hint="eastAsia" w:ascii="宋体" w:hAnsi="宋体" w:eastAsia="宋体" w:cs="Arial"/>
                <w:color w:val="auto"/>
                <w:kern w:val="0"/>
                <w:sz w:val="22"/>
              </w:rPr>
              <w:t>11</w:t>
            </w:r>
          </w:p>
        </w:tc>
        <w:tc>
          <w:tcPr>
            <w:tcW w:w="506" w:type="pct"/>
            <w:noWrap/>
            <w:vAlign w:val="center"/>
          </w:tcPr>
          <w:p>
            <w:pPr>
              <w:widowControl/>
              <w:jc w:val="center"/>
              <w:rPr>
                <w:rFonts w:hint="eastAsia" w:ascii="宋体" w:hAnsi="宋体" w:eastAsia="宋体" w:cs="Arial"/>
                <w:color w:val="auto"/>
                <w:kern w:val="0"/>
                <w:sz w:val="22"/>
              </w:rPr>
            </w:pPr>
            <w:r>
              <w:rPr>
                <w:rFonts w:ascii="宋体" w:hAnsi="宋体" w:eastAsia="宋体" w:cs="Arial"/>
                <w:color w:val="auto"/>
                <w:kern w:val="0"/>
                <w:sz w:val="22"/>
              </w:rPr>
              <w:t>科学实验</w:t>
            </w:r>
          </w:p>
        </w:tc>
        <w:tc>
          <w:tcPr>
            <w:tcW w:w="860" w:type="pct"/>
            <w:noWrap/>
            <w:vAlign w:val="center"/>
          </w:tcPr>
          <w:p>
            <w:pPr>
              <w:widowControl/>
              <w:jc w:val="center"/>
              <w:rPr>
                <w:rFonts w:hint="eastAsia" w:ascii="宋体" w:hAnsi="宋体" w:eastAsia="宋体" w:cs="Arial"/>
                <w:color w:val="auto"/>
                <w:kern w:val="0"/>
                <w:sz w:val="22"/>
              </w:rPr>
            </w:pPr>
            <w:r>
              <w:rPr>
                <w:rFonts w:ascii="宋体" w:hAnsi="宋体" w:eastAsia="宋体" w:cs="Arial"/>
                <w:color w:val="auto"/>
                <w:kern w:val="0"/>
                <w:sz w:val="22"/>
              </w:rPr>
              <w:t>四川奥林通用航空有限责任公司</w:t>
            </w:r>
          </w:p>
        </w:tc>
        <w:tc>
          <w:tcPr>
            <w:tcW w:w="355" w:type="pct"/>
            <w:noWrap/>
            <w:vAlign w:val="center"/>
          </w:tcPr>
          <w:p>
            <w:pPr>
              <w:widowControl/>
              <w:jc w:val="center"/>
              <w:rPr>
                <w:rFonts w:hint="eastAsia" w:ascii="宋体" w:hAnsi="宋体" w:eastAsia="宋体" w:cs="Arial"/>
                <w:color w:val="auto"/>
                <w:kern w:val="0"/>
                <w:sz w:val="22"/>
              </w:rPr>
            </w:pPr>
            <w:r>
              <w:rPr>
                <w:rFonts w:ascii="宋体" w:hAnsi="宋体" w:eastAsia="宋体" w:cs="Arial"/>
                <w:color w:val="auto"/>
                <w:kern w:val="0"/>
                <w:sz w:val="22"/>
              </w:rPr>
              <w:t>四川</w:t>
            </w:r>
          </w:p>
        </w:tc>
        <w:tc>
          <w:tcPr>
            <w:tcW w:w="557" w:type="pct"/>
            <w:noWrap/>
            <w:vAlign w:val="center"/>
          </w:tcPr>
          <w:p>
            <w:pPr>
              <w:widowControl/>
              <w:jc w:val="center"/>
              <w:rPr>
                <w:rFonts w:hint="eastAsia" w:ascii="宋体" w:hAnsi="宋体" w:eastAsia="宋体" w:cs="Arial"/>
                <w:color w:val="auto"/>
                <w:kern w:val="0"/>
                <w:sz w:val="22"/>
              </w:rPr>
            </w:pPr>
            <w:r>
              <w:rPr>
                <w:rFonts w:ascii="宋体" w:hAnsi="宋体" w:eastAsia="宋体" w:cs="Arial"/>
                <w:color w:val="auto"/>
                <w:kern w:val="0"/>
                <w:sz w:val="22"/>
              </w:rPr>
              <w:t>淮州通用机场</w:t>
            </w:r>
          </w:p>
        </w:tc>
        <w:tc>
          <w:tcPr>
            <w:tcW w:w="2469" w:type="pct"/>
            <w:noWrap/>
            <w:vAlign w:val="center"/>
          </w:tcPr>
          <w:p>
            <w:pPr>
              <w:widowControl/>
              <w:rPr>
                <w:rFonts w:hint="eastAsia" w:ascii="宋体" w:hAnsi="宋体" w:eastAsia="宋体" w:cs="Arial"/>
                <w:color w:val="auto"/>
                <w:kern w:val="0"/>
                <w:sz w:val="22"/>
              </w:rPr>
            </w:pPr>
            <w:r>
              <w:rPr>
                <w:rFonts w:ascii="宋体" w:hAnsi="宋体" w:eastAsia="宋体" w:cs="Arial"/>
                <w:color w:val="auto"/>
                <w:kern w:val="0"/>
                <w:sz w:val="22"/>
              </w:rPr>
              <w:t>载客类：通用航空包机飞行；载人类：航空医疗救护、航空护林、空中游览、跳伞飞行服务；其他类：城市消防、人工影响天气、航空探矿、航空摄影、海洋监测、渔业飞行、空中巡查、电力作业、航空喷洒（撒）、空中拍照、空中广告、科学实验、气象探测、商用驾驶员执照培训、私用驾驶员执照培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52" w:type="pct"/>
            <w:noWrap/>
            <w:vAlign w:val="center"/>
          </w:tcPr>
          <w:p>
            <w:pPr>
              <w:widowControl/>
              <w:jc w:val="center"/>
              <w:rPr>
                <w:rFonts w:hint="eastAsia" w:ascii="宋体" w:hAnsi="宋体" w:eastAsia="宋体" w:cs="Arial"/>
                <w:color w:val="auto"/>
                <w:kern w:val="0"/>
                <w:sz w:val="22"/>
              </w:rPr>
            </w:pPr>
            <w:r>
              <w:rPr>
                <w:rFonts w:hint="eastAsia" w:ascii="宋体" w:hAnsi="宋体" w:eastAsia="宋体" w:cs="Arial"/>
                <w:color w:val="auto"/>
                <w:kern w:val="0"/>
                <w:sz w:val="22"/>
              </w:rPr>
              <w:t>12</w:t>
            </w:r>
          </w:p>
        </w:tc>
        <w:tc>
          <w:tcPr>
            <w:tcW w:w="506" w:type="pct"/>
            <w:noWrap/>
            <w:vAlign w:val="center"/>
          </w:tcPr>
          <w:p>
            <w:pPr>
              <w:widowControl/>
              <w:jc w:val="center"/>
              <w:rPr>
                <w:rFonts w:hint="eastAsia" w:ascii="宋体" w:hAnsi="宋体" w:eastAsia="宋体" w:cs="Arial"/>
                <w:color w:val="auto"/>
                <w:kern w:val="0"/>
                <w:sz w:val="22"/>
              </w:rPr>
            </w:pPr>
            <w:r>
              <w:rPr>
                <w:rFonts w:ascii="宋体" w:hAnsi="宋体" w:eastAsia="宋体" w:cs="Arial"/>
                <w:color w:val="auto"/>
                <w:kern w:val="0"/>
                <w:sz w:val="22"/>
              </w:rPr>
              <w:t>个人娱乐飞行</w:t>
            </w:r>
          </w:p>
        </w:tc>
        <w:tc>
          <w:tcPr>
            <w:tcW w:w="860" w:type="pct"/>
            <w:noWrap/>
            <w:vAlign w:val="center"/>
          </w:tcPr>
          <w:p>
            <w:pPr>
              <w:widowControl/>
              <w:jc w:val="center"/>
              <w:rPr>
                <w:rFonts w:hint="eastAsia" w:ascii="宋体" w:hAnsi="宋体" w:eastAsia="宋体" w:cs="Arial"/>
                <w:color w:val="auto"/>
                <w:kern w:val="0"/>
                <w:sz w:val="22"/>
              </w:rPr>
            </w:pPr>
            <w:r>
              <w:rPr>
                <w:rFonts w:ascii="宋体" w:hAnsi="宋体" w:eastAsia="宋体" w:cs="Arial"/>
                <w:color w:val="auto"/>
                <w:kern w:val="0"/>
                <w:sz w:val="22"/>
              </w:rPr>
              <w:t>四川皓辰通用航空有限公司</w:t>
            </w:r>
          </w:p>
        </w:tc>
        <w:tc>
          <w:tcPr>
            <w:tcW w:w="355" w:type="pct"/>
            <w:noWrap/>
            <w:vAlign w:val="center"/>
          </w:tcPr>
          <w:p>
            <w:pPr>
              <w:widowControl/>
              <w:jc w:val="center"/>
              <w:rPr>
                <w:rFonts w:hint="eastAsia" w:ascii="宋体" w:hAnsi="宋体" w:eastAsia="宋体" w:cs="Arial"/>
                <w:color w:val="auto"/>
                <w:kern w:val="0"/>
                <w:sz w:val="22"/>
              </w:rPr>
            </w:pPr>
            <w:r>
              <w:rPr>
                <w:rFonts w:ascii="宋体" w:hAnsi="宋体" w:eastAsia="宋体" w:cs="Arial"/>
                <w:color w:val="auto"/>
                <w:kern w:val="0"/>
                <w:sz w:val="22"/>
              </w:rPr>
              <w:t>四川</w:t>
            </w:r>
          </w:p>
        </w:tc>
        <w:tc>
          <w:tcPr>
            <w:tcW w:w="557" w:type="pct"/>
            <w:noWrap/>
            <w:vAlign w:val="center"/>
          </w:tcPr>
          <w:p>
            <w:pPr>
              <w:widowControl/>
              <w:jc w:val="center"/>
              <w:rPr>
                <w:rFonts w:hint="eastAsia" w:ascii="宋体" w:hAnsi="宋体" w:eastAsia="宋体" w:cs="Arial"/>
                <w:color w:val="auto"/>
                <w:kern w:val="0"/>
                <w:sz w:val="22"/>
              </w:rPr>
            </w:pPr>
            <w:r>
              <w:rPr>
                <w:rFonts w:ascii="宋体" w:hAnsi="宋体" w:eastAsia="宋体" w:cs="Arial"/>
                <w:color w:val="auto"/>
                <w:kern w:val="0"/>
                <w:sz w:val="22"/>
              </w:rPr>
              <w:t>成都淮州机场</w:t>
            </w:r>
          </w:p>
        </w:tc>
        <w:tc>
          <w:tcPr>
            <w:tcW w:w="2469" w:type="pct"/>
            <w:noWrap/>
            <w:vAlign w:val="center"/>
          </w:tcPr>
          <w:p>
            <w:pPr>
              <w:widowControl/>
              <w:rPr>
                <w:rFonts w:hint="eastAsia" w:ascii="宋体" w:hAnsi="宋体" w:eastAsia="宋体" w:cs="Arial"/>
                <w:color w:val="auto"/>
                <w:kern w:val="0"/>
                <w:sz w:val="22"/>
              </w:rPr>
            </w:pPr>
            <w:r>
              <w:rPr>
                <w:rFonts w:ascii="宋体" w:hAnsi="宋体" w:eastAsia="宋体" w:cs="Arial"/>
                <w:color w:val="auto"/>
                <w:kern w:val="0"/>
                <w:sz w:val="22"/>
              </w:rPr>
              <w:t>载人类：航空护林、空中游览、个人娱乐飞行；其他类：城市消防、直升机机外载荷飞行、人工影响天气、航空探矿、航空摄影、海洋监测、渔业飞行、空中巡查、电力作业、空中拍照、空中广告、科学实验、气象探测、表演飞行、私用驾驶员执照培训、运动驾驶员执照培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52" w:type="pct"/>
            <w:noWrap/>
            <w:vAlign w:val="center"/>
          </w:tcPr>
          <w:p>
            <w:pPr>
              <w:widowControl/>
              <w:jc w:val="center"/>
              <w:rPr>
                <w:rFonts w:hint="eastAsia" w:ascii="宋体" w:hAnsi="宋体" w:eastAsia="宋体" w:cs="Arial"/>
                <w:color w:val="auto"/>
                <w:kern w:val="0"/>
                <w:sz w:val="22"/>
              </w:rPr>
            </w:pPr>
            <w:r>
              <w:rPr>
                <w:rFonts w:hint="eastAsia" w:ascii="宋体" w:hAnsi="宋体" w:eastAsia="宋体" w:cs="Arial"/>
                <w:color w:val="auto"/>
                <w:kern w:val="0"/>
                <w:sz w:val="22"/>
              </w:rPr>
              <w:t>13</w:t>
            </w:r>
          </w:p>
        </w:tc>
        <w:tc>
          <w:tcPr>
            <w:tcW w:w="506" w:type="pct"/>
            <w:noWrap/>
            <w:vAlign w:val="center"/>
          </w:tcPr>
          <w:p>
            <w:pPr>
              <w:widowControl/>
              <w:jc w:val="center"/>
              <w:rPr>
                <w:rFonts w:hint="eastAsia" w:ascii="宋体" w:hAnsi="宋体" w:eastAsia="宋体" w:cs="Arial"/>
                <w:color w:val="auto"/>
                <w:kern w:val="0"/>
                <w:sz w:val="22"/>
              </w:rPr>
            </w:pPr>
            <w:r>
              <w:rPr>
                <w:rFonts w:ascii="宋体" w:hAnsi="宋体" w:eastAsia="宋体" w:cs="Arial"/>
                <w:color w:val="auto"/>
                <w:kern w:val="0"/>
                <w:sz w:val="22"/>
              </w:rPr>
              <w:t>空中游览</w:t>
            </w:r>
          </w:p>
        </w:tc>
        <w:tc>
          <w:tcPr>
            <w:tcW w:w="860" w:type="pct"/>
            <w:noWrap/>
            <w:vAlign w:val="center"/>
          </w:tcPr>
          <w:p>
            <w:pPr>
              <w:widowControl/>
              <w:jc w:val="center"/>
              <w:rPr>
                <w:rFonts w:hint="eastAsia" w:ascii="宋体" w:hAnsi="宋体" w:eastAsia="宋体" w:cs="Arial"/>
                <w:color w:val="auto"/>
                <w:kern w:val="0"/>
                <w:sz w:val="22"/>
              </w:rPr>
            </w:pPr>
            <w:r>
              <w:rPr>
                <w:rFonts w:ascii="宋体" w:hAnsi="宋体" w:eastAsia="宋体" w:cs="Arial"/>
                <w:color w:val="auto"/>
                <w:kern w:val="0"/>
                <w:sz w:val="22"/>
              </w:rPr>
              <w:t>四川美联华邦通用航空有限公司</w:t>
            </w:r>
          </w:p>
        </w:tc>
        <w:tc>
          <w:tcPr>
            <w:tcW w:w="355" w:type="pct"/>
            <w:noWrap/>
            <w:vAlign w:val="center"/>
          </w:tcPr>
          <w:p>
            <w:pPr>
              <w:widowControl/>
              <w:jc w:val="center"/>
              <w:rPr>
                <w:rFonts w:hint="eastAsia" w:ascii="宋体" w:hAnsi="宋体" w:eastAsia="宋体" w:cs="Arial"/>
                <w:color w:val="auto"/>
                <w:kern w:val="0"/>
                <w:sz w:val="22"/>
              </w:rPr>
            </w:pPr>
            <w:r>
              <w:rPr>
                <w:rFonts w:ascii="宋体" w:hAnsi="宋体" w:eastAsia="宋体" w:cs="Arial"/>
                <w:color w:val="auto"/>
                <w:kern w:val="0"/>
                <w:sz w:val="22"/>
              </w:rPr>
              <w:t>四川</w:t>
            </w:r>
          </w:p>
        </w:tc>
        <w:tc>
          <w:tcPr>
            <w:tcW w:w="557" w:type="pct"/>
            <w:noWrap/>
            <w:vAlign w:val="center"/>
          </w:tcPr>
          <w:p>
            <w:pPr>
              <w:widowControl/>
              <w:jc w:val="center"/>
              <w:rPr>
                <w:rFonts w:hint="eastAsia" w:ascii="宋体" w:hAnsi="宋体" w:eastAsia="宋体" w:cs="Arial"/>
                <w:color w:val="auto"/>
                <w:kern w:val="0"/>
                <w:sz w:val="22"/>
              </w:rPr>
            </w:pPr>
            <w:r>
              <w:rPr>
                <w:rFonts w:ascii="宋体" w:hAnsi="宋体" w:eastAsia="宋体" w:cs="Arial"/>
                <w:color w:val="auto"/>
                <w:kern w:val="0"/>
                <w:sz w:val="22"/>
              </w:rPr>
              <w:t>四川省新津机场</w:t>
            </w:r>
          </w:p>
        </w:tc>
        <w:tc>
          <w:tcPr>
            <w:tcW w:w="2469" w:type="pct"/>
            <w:noWrap/>
            <w:vAlign w:val="center"/>
          </w:tcPr>
          <w:p>
            <w:pPr>
              <w:widowControl/>
              <w:rPr>
                <w:rFonts w:hint="eastAsia" w:ascii="宋体" w:hAnsi="宋体" w:eastAsia="宋体" w:cs="Arial"/>
                <w:color w:val="auto"/>
                <w:kern w:val="0"/>
                <w:sz w:val="22"/>
              </w:rPr>
            </w:pPr>
            <w:r>
              <w:rPr>
                <w:rFonts w:ascii="宋体" w:hAnsi="宋体" w:eastAsia="宋体" w:cs="Arial"/>
                <w:color w:val="auto"/>
                <w:kern w:val="0"/>
                <w:sz w:val="22"/>
              </w:rPr>
              <w:t>载人类：航空护林、空中游览；其他类：城市消防、人工影响天气、航空探矿、航空摄影、海洋监测、渔业飞行、空中巡查、电力作业、航空喷洒（撒）、空中拍照、空中广告、科学实验、气象探测、商用驾驶员执照培训、私用驾驶员执照培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52" w:type="pct"/>
            <w:noWrap/>
            <w:vAlign w:val="center"/>
          </w:tcPr>
          <w:p>
            <w:pPr>
              <w:widowControl/>
              <w:jc w:val="center"/>
              <w:rPr>
                <w:rFonts w:hint="eastAsia" w:ascii="宋体" w:hAnsi="宋体" w:eastAsia="宋体" w:cs="Arial"/>
                <w:color w:val="auto"/>
                <w:kern w:val="0"/>
                <w:sz w:val="22"/>
              </w:rPr>
            </w:pPr>
            <w:r>
              <w:rPr>
                <w:rFonts w:hint="eastAsia" w:ascii="宋体" w:hAnsi="宋体" w:eastAsia="宋体" w:cs="Arial"/>
                <w:color w:val="auto"/>
                <w:kern w:val="0"/>
                <w:sz w:val="22"/>
              </w:rPr>
              <w:t>14</w:t>
            </w:r>
          </w:p>
        </w:tc>
        <w:tc>
          <w:tcPr>
            <w:tcW w:w="506" w:type="pct"/>
            <w:noWrap/>
            <w:vAlign w:val="center"/>
          </w:tcPr>
          <w:p>
            <w:pPr>
              <w:widowControl/>
              <w:jc w:val="center"/>
              <w:rPr>
                <w:rFonts w:hint="eastAsia" w:ascii="宋体" w:hAnsi="宋体" w:eastAsia="宋体" w:cs="Arial"/>
                <w:color w:val="auto"/>
                <w:kern w:val="0"/>
                <w:sz w:val="22"/>
              </w:rPr>
            </w:pPr>
            <w:r>
              <w:rPr>
                <w:rFonts w:ascii="宋体" w:hAnsi="宋体" w:eastAsia="宋体" w:cs="Arial"/>
                <w:color w:val="auto"/>
                <w:kern w:val="0"/>
                <w:sz w:val="22"/>
              </w:rPr>
              <w:t>运动驾驶员执照培训</w:t>
            </w:r>
          </w:p>
        </w:tc>
        <w:tc>
          <w:tcPr>
            <w:tcW w:w="860" w:type="pct"/>
            <w:noWrap/>
            <w:vAlign w:val="center"/>
          </w:tcPr>
          <w:p>
            <w:pPr>
              <w:widowControl/>
              <w:jc w:val="center"/>
              <w:rPr>
                <w:rFonts w:hint="eastAsia" w:ascii="宋体" w:hAnsi="宋体" w:eastAsia="宋体" w:cs="Arial"/>
                <w:color w:val="auto"/>
                <w:kern w:val="0"/>
                <w:sz w:val="22"/>
              </w:rPr>
            </w:pPr>
            <w:r>
              <w:rPr>
                <w:rFonts w:ascii="宋体" w:hAnsi="宋体" w:eastAsia="宋体" w:cs="Arial"/>
                <w:color w:val="auto"/>
                <w:kern w:val="0"/>
                <w:sz w:val="22"/>
              </w:rPr>
              <w:t>成都飞行侠航空服务有限公司</w:t>
            </w:r>
          </w:p>
        </w:tc>
        <w:tc>
          <w:tcPr>
            <w:tcW w:w="355" w:type="pct"/>
            <w:noWrap/>
            <w:vAlign w:val="center"/>
          </w:tcPr>
          <w:p>
            <w:pPr>
              <w:widowControl/>
              <w:jc w:val="center"/>
              <w:rPr>
                <w:rFonts w:hint="eastAsia" w:ascii="宋体" w:hAnsi="宋体" w:eastAsia="宋体" w:cs="Arial"/>
                <w:color w:val="auto"/>
                <w:kern w:val="0"/>
                <w:sz w:val="22"/>
              </w:rPr>
            </w:pPr>
            <w:r>
              <w:rPr>
                <w:rFonts w:ascii="宋体" w:hAnsi="宋体" w:eastAsia="宋体" w:cs="Arial"/>
                <w:color w:val="auto"/>
                <w:kern w:val="0"/>
                <w:sz w:val="22"/>
              </w:rPr>
              <w:t>四川</w:t>
            </w:r>
          </w:p>
        </w:tc>
        <w:tc>
          <w:tcPr>
            <w:tcW w:w="557" w:type="pct"/>
            <w:noWrap/>
            <w:vAlign w:val="center"/>
          </w:tcPr>
          <w:p>
            <w:pPr>
              <w:widowControl/>
              <w:jc w:val="center"/>
              <w:rPr>
                <w:rFonts w:hint="eastAsia" w:ascii="宋体" w:hAnsi="宋体" w:eastAsia="宋体" w:cs="Arial"/>
                <w:color w:val="auto"/>
                <w:kern w:val="0"/>
                <w:sz w:val="22"/>
              </w:rPr>
            </w:pPr>
            <w:r>
              <w:rPr>
                <w:rFonts w:ascii="宋体" w:hAnsi="宋体" w:eastAsia="宋体" w:cs="Arial"/>
                <w:color w:val="auto"/>
                <w:kern w:val="0"/>
                <w:sz w:val="22"/>
              </w:rPr>
              <w:t>成都淮州机场</w:t>
            </w:r>
          </w:p>
        </w:tc>
        <w:tc>
          <w:tcPr>
            <w:tcW w:w="2469" w:type="pct"/>
            <w:noWrap/>
            <w:vAlign w:val="center"/>
          </w:tcPr>
          <w:p>
            <w:pPr>
              <w:widowControl/>
              <w:rPr>
                <w:rFonts w:hint="eastAsia" w:ascii="宋体" w:hAnsi="宋体" w:eastAsia="宋体" w:cs="Arial"/>
                <w:color w:val="auto"/>
                <w:kern w:val="0"/>
                <w:sz w:val="22"/>
              </w:rPr>
            </w:pPr>
            <w:r>
              <w:rPr>
                <w:rFonts w:ascii="宋体" w:hAnsi="宋体" w:eastAsia="宋体" w:cs="Arial"/>
                <w:color w:val="auto"/>
                <w:kern w:val="0"/>
                <w:sz w:val="22"/>
              </w:rPr>
              <w:t>其他类：航空摄影、空中巡查、空中拍照、空中广告、私用驾驶员执照培训、运动驾驶员执照培训；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52" w:type="pct"/>
            <w:noWrap/>
            <w:vAlign w:val="center"/>
          </w:tcPr>
          <w:p>
            <w:pPr>
              <w:widowControl/>
              <w:jc w:val="center"/>
              <w:rPr>
                <w:rFonts w:hint="eastAsia" w:ascii="宋体" w:hAnsi="宋体" w:eastAsia="宋体" w:cs="Arial"/>
                <w:color w:val="auto"/>
                <w:kern w:val="0"/>
                <w:sz w:val="22"/>
              </w:rPr>
            </w:pPr>
            <w:r>
              <w:rPr>
                <w:rFonts w:hint="eastAsia" w:ascii="宋体" w:hAnsi="宋体" w:eastAsia="宋体" w:cs="Arial"/>
                <w:color w:val="auto"/>
                <w:kern w:val="0"/>
                <w:sz w:val="22"/>
              </w:rPr>
              <w:t>15</w:t>
            </w:r>
          </w:p>
        </w:tc>
        <w:tc>
          <w:tcPr>
            <w:tcW w:w="506" w:type="pct"/>
            <w:noWrap/>
            <w:vAlign w:val="center"/>
          </w:tcPr>
          <w:p>
            <w:pPr>
              <w:widowControl/>
              <w:jc w:val="center"/>
              <w:rPr>
                <w:rFonts w:hint="eastAsia" w:ascii="宋体" w:hAnsi="宋体" w:eastAsia="宋体" w:cs="Arial"/>
                <w:color w:val="auto"/>
                <w:kern w:val="0"/>
                <w:sz w:val="22"/>
              </w:rPr>
            </w:pPr>
            <w:r>
              <w:rPr>
                <w:rFonts w:ascii="宋体" w:hAnsi="宋体" w:eastAsia="宋体" w:cs="Arial"/>
                <w:color w:val="auto"/>
                <w:kern w:val="0"/>
                <w:sz w:val="22"/>
              </w:rPr>
              <w:t>空中游览</w:t>
            </w:r>
          </w:p>
        </w:tc>
        <w:tc>
          <w:tcPr>
            <w:tcW w:w="860" w:type="pct"/>
            <w:noWrap/>
            <w:vAlign w:val="center"/>
          </w:tcPr>
          <w:p>
            <w:pPr>
              <w:widowControl/>
              <w:jc w:val="center"/>
              <w:rPr>
                <w:rFonts w:hint="eastAsia" w:ascii="宋体" w:hAnsi="宋体" w:eastAsia="宋体" w:cs="Arial"/>
                <w:color w:val="auto"/>
                <w:kern w:val="0"/>
                <w:sz w:val="22"/>
              </w:rPr>
            </w:pPr>
            <w:r>
              <w:rPr>
                <w:rFonts w:ascii="宋体" w:hAnsi="宋体" w:eastAsia="宋体" w:cs="Arial"/>
                <w:color w:val="auto"/>
                <w:kern w:val="0"/>
                <w:sz w:val="22"/>
              </w:rPr>
              <w:t>重庆九洲神鹰通用航空有限公司</w:t>
            </w:r>
          </w:p>
        </w:tc>
        <w:tc>
          <w:tcPr>
            <w:tcW w:w="355" w:type="pct"/>
            <w:noWrap/>
            <w:vAlign w:val="center"/>
          </w:tcPr>
          <w:p>
            <w:pPr>
              <w:widowControl/>
              <w:jc w:val="center"/>
              <w:rPr>
                <w:rFonts w:hint="eastAsia" w:ascii="宋体" w:hAnsi="宋体" w:eastAsia="宋体" w:cs="Arial"/>
                <w:color w:val="auto"/>
                <w:kern w:val="0"/>
                <w:sz w:val="22"/>
              </w:rPr>
            </w:pPr>
            <w:r>
              <w:rPr>
                <w:rFonts w:ascii="宋体" w:hAnsi="宋体" w:eastAsia="宋体" w:cs="Arial"/>
                <w:color w:val="auto"/>
                <w:kern w:val="0"/>
                <w:sz w:val="22"/>
              </w:rPr>
              <w:t>重庆</w:t>
            </w:r>
          </w:p>
        </w:tc>
        <w:tc>
          <w:tcPr>
            <w:tcW w:w="557" w:type="pct"/>
            <w:noWrap/>
            <w:vAlign w:val="center"/>
          </w:tcPr>
          <w:p>
            <w:pPr>
              <w:widowControl/>
              <w:jc w:val="center"/>
              <w:rPr>
                <w:rFonts w:hint="eastAsia" w:ascii="宋体" w:hAnsi="宋体" w:eastAsia="宋体" w:cs="Arial"/>
                <w:color w:val="auto"/>
                <w:kern w:val="0"/>
                <w:sz w:val="22"/>
              </w:rPr>
            </w:pPr>
            <w:r>
              <w:rPr>
                <w:rFonts w:ascii="宋体" w:hAnsi="宋体" w:eastAsia="宋体" w:cs="Arial"/>
                <w:color w:val="auto"/>
                <w:kern w:val="0"/>
                <w:sz w:val="22"/>
              </w:rPr>
              <w:t>重庆龙兴通用机场</w:t>
            </w:r>
          </w:p>
        </w:tc>
        <w:tc>
          <w:tcPr>
            <w:tcW w:w="2469" w:type="pct"/>
            <w:noWrap/>
            <w:vAlign w:val="center"/>
          </w:tcPr>
          <w:p>
            <w:pPr>
              <w:widowControl/>
              <w:rPr>
                <w:rFonts w:hint="eastAsia" w:ascii="宋体" w:hAnsi="宋体" w:eastAsia="宋体" w:cs="Arial"/>
                <w:color w:val="auto"/>
                <w:kern w:val="0"/>
                <w:sz w:val="22"/>
              </w:rPr>
            </w:pPr>
            <w:r>
              <w:rPr>
                <w:rFonts w:ascii="宋体" w:hAnsi="宋体" w:eastAsia="宋体" w:cs="Arial"/>
                <w:color w:val="auto"/>
                <w:kern w:val="0"/>
                <w:sz w:val="22"/>
              </w:rPr>
              <w:t>载人类：航空医疗救护、航空护林、空中游览、跳伞飞行服务、个人娱乐飞行；其他类：直升机机外载荷飞行、航空探矿、航空摄影、海洋监测、渔业飞行、空中巡查、航空喷洒（撒）、空中拍照、空中广告、科学实验、气象探测、商用驾驶员执照培训、私用驾驶员执照培训、运动驾驶员执照培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52" w:type="pct"/>
            <w:noWrap/>
            <w:vAlign w:val="center"/>
          </w:tcPr>
          <w:p>
            <w:pPr>
              <w:widowControl/>
              <w:jc w:val="center"/>
              <w:rPr>
                <w:rFonts w:hint="eastAsia" w:ascii="宋体" w:hAnsi="宋体" w:eastAsia="宋体" w:cs="Arial"/>
                <w:color w:val="auto"/>
                <w:kern w:val="0"/>
                <w:sz w:val="22"/>
              </w:rPr>
            </w:pPr>
            <w:r>
              <w:rPr>
                <w:rFonts w:hint="eastAsia" w:ascii="宋体" w:hAnsi="宋体" w:eastAsia="宋体" w:cs="Arial"/>
                <w:color w:val="auto"/>
                <w:kern w:val="0"/>
                <w:sz w:val="22"/>
              </w:rPr>
              <w:t>16</w:t>
            </w:r>
          </w:p>
        </w:tc>
        <w:tc>
          <w:tcPr>
            <w:tcW w:w="506" w:type="pct"/>
            <w:noWrap/>
            <w:vAlign w:val="center"/>
          </w:tcPr>
          <w:p>
            <w:pPr>
              <w:widowControl/>
              <w:jc w:val="center"/>
              <w:rPr>
                <w:rFonts w:hint="eastAsia" w:ascii="宋体" w:hAnsi="宋体" w:eastAsia="宋体" w:cs="Arial"/>
                <w:color w:val="auto"/>
                <w:kern w:val="0"/>
                <w:sz w:val="22"/>
              </w:rPr>
            </w:pPr>
            <w:r>
              <w:rPr>
                <w:rFonts w:ascii="宋体" w:hAnsi="宋体" w:eastAsia="宋体" w:cs="Arial"/>
                <w:color w:val="auto"/>
                <w:kern w:val="0"/>
                <w:sz w:val="22"/>
              </w:rPr>
              <w:t>运动驾驶员执照培训</w:t>
            </w:r>
          </w:p>
        </w:tc>
        <w:tc>
          <w:tcPr>
            <w:tcW w:w="860" w:type="pct"/>
            <w:noWrap/>
            <w:vAlign w:val="center"/>
          </w:tcPr>
          <w:p>
            <w:pPr>
              <w:widowControl/>
              <w:jc w:val="center"/>
              <w:rPr>
                <w:rFonts w:hint="eastAsia" w:ascii="宋体" w:hAnsi="宋体" w:eastAsia="宋体" w:cs="Arial"/>
                <w:color w:val="auto"/>
                <w:kern w:val="0"/>
                <w:sz w:val="22"/>
              </w:rPr>
            </w:pPr>
            <w:r>
              <w:rPr>
                <w:rFonts w:ascii="宋体" w:hAnsi="宋体" w:eastAsia="宋体" w:cs="Arial"/>
                <w:color w:val="auto"/>
                <w:kern w:val="0"/>
                <w:sz w:val="22"/>
              </w:rPr>
              <w:t>四川云盛九州航空科技有限公司</w:t>
            </w:r>
          </w:p>
        </w:tc>
        <w:tc>
          <w:tcPr>
            <w:tcW w:w="355" w:type="pct"/>
            <w:noWrap/>
            <w:vAlign w:val="center"/>
          </w:tcPr>
          <w:p>
            <w:pPr>
              <w:widowControl/>
              <w:jc w:val="center"/>
              <w:rPr>
                <w:rFonts w:hint="eastAsia" w:ascii="宋体" w:hAnsi="宋体" w:eastAsia="宋体" w:cs="Arial"/>
                <w:color w:val="auto"/>
                <w:kern w:val="0"/>
                <w:sz w:val="22"/>
              </w:rPr>
            </w:pPr>
            <w:r>
              <w:rPr>
                <w:rFonts w:ascii="宋体" w:hAnsi="宋体" w:eastAsia="宋体" w:cs="Arial"/>
                <w:color w:val="auto"/>
                <w:kern w:val="0"/>
                <w:sz w:val="22"/>
              </w:rPr>
              <w:t>四川</w:t>
            </w:r>
          </w:p>
        </w:tc>
        <w:tc>
          <w:tcPr>
            <w:tcW w:w="557" w:type="pct"/>
            <w:noWrap/>
            <w:vAlign w:val="center"/>
          </w:tcPr>
          <w:p>
            <w:pPr>
              <w:widowControl/>
              <w:jc w:val="center"/>
              <w:rPr>
                <w:rFonts w:hint="eastAsia" w:ascii="宋体" w:hAnsi="宋体" w:eastAsia="宋体" w:cs="Arial"/>
                <w:color w:val="auto"/>
                <w:kern w:val="0"/>
                <w:sz w:val="22"/>
              </w:rPr>
            </w:pPr>
            <w:r>
              <w:rPr>
                <w:rFonts w:ascii="宋体" w:hAnsi="宋体" w:eastAsia="宋体" w:cs="Arial"/>
                <w:color w:val="auto"/>
                <w:kern w:val="0"/>
                <w:sz w:val="22"/>
              </w:rPr>
              <w:t>四川崇州街子临时起降点</w:t>
            </w:r>
          </w:p>
        </w:tc>
        <w:tc>
          <w:tcPr>
            <w:tcW w:w="2469" w:type="pct"/>
            <w:noWrap/>
            <w:vAlign w:val="center"/>
          </w:tcPr>
          <w:p>
            <w:pPr>
              <w:widowControl/>
              <w:rPr>
                <w:rFonts w:hint="eastAsia" w:ascii="宋体" w:hAnsi="宋体" w:eastAsia="宋体" w:cs="Arial"/>
                <w:color w:val="auto"/>
                <w:kern w:val="0"/>
                <w:sz w:val="22"/>
              </w:rPr>
            </w:pPr>
            <w:r>
              <w:rPr>
                <w:rFonts w:ascii="宋体" w:hAnsi="宋体" w:eastAsia="宋体" w:cs="Arial"/>
                <w:color w:val="auto"/>
                <w:kern w:val="0"/>
                <w:sz w:val="22"/>
              </w:rPr>
              <w:t>其他类：航空摄影、渔业飞行、空中巡查、电力作业、航空喷洒（撒）、空中拍照、空中广告、科学实验、气象探测、表演飞行、私用驾驶员执照培训、运动驾驶员执照培训；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52" w:type="pct"/>
            <w:noWrap/>
            <w:vAlign w:val="center"/>
          </w:tcPr>
          <w:p>
            <w:pPr>
              <w:widowControl/>
              <w:jc w:val="center"/>
              <w:rPr>
                <w:rFonts w:hint="eastAsia" w:ascii="宋体" w:hAnsi="宋体" w:eastAsia="宋体" w:cs="Arial"/>
                <w:color w:val="auto"/>
                <w:kern w:val="0"/>
                <w:sz w:val="22"/>
              </w:rPr>
            </w:pPr>
            <w:r>
              <w:rPr>
                <w:rFonts w:hint="eastAsia" w:ascii="宋体" w:hAnsi="宋体" w:eastAsia="宋体" w:cs="Arial"/>
                <w:color w:val="auto"/>
                <w:kern w:val="0"/>
                <w:sz w:val="22"/>
              </w:rPr>
              <w:t>17</w:t>
            </w:r>
          </w:p>
        </w:tc>
        <w:tc>
          <w:tcPr>
            <w:tcW w:w="506" w:type="pct"/>
            <w:noWrap/>
            <w:vAlign w:val="center"/>
          </w:tcPr>
          <w:p>
            <w:pPr>
              <w:widowControl/>
              <w:jc w:val="center"/>
              <w:rPr>
                <w:rFonts w:hint="eastAsia" w:ascii="宋体" w:hAnsi="宋体" w:eastAsia="宋体" w:cs="Arial"/>
                <w:color w:val="auto"/>
                <w:kern w:val="0"/>
                <w:sz w:val="22"/>
              </w:rPr>
            </w:pPr>
            <w:r>
              <w:rPr>
                <w:rFonts w:ascii="宋体" w:hAnsi="宋体" w:eastAsia="宋体" w:cs="Arial"/>
                <w:color w:val="auto"/>
                <w:kern w:val="0"/>
                <w:sz w:val="22"/>
              </w:rPr>
              <w:t>运动驾驶员执照培训</w:t>
            </w:r>
          </w:p>
        </w:tc>
        <w:tc>
          <w:tcPr>
            <w:tcW w:w="860" w:type="pct"/>
            <w:noWrap/>
            <w:vAlign w:val="center"/>
          </w:tcPr>
          <w:p>
            <w:pPr>
              <w:widowControl/>
              <w:jc w:val="center"/>
              <w:rPr>
                <w:rFonts w:hint="eastAsia" w:ascii="宋体" w:hAnsi="宋体" w:eastAsia="宋体" w:cs="Arial"/>
                <w:color w:val="auto"/>
                <w:kern w:val="0"/>
                <w:sz w:val="22"/>
              </w:rPr>
            </w:pPr>
            <w:r>
              <w:rPr>
                <w:rFonts w:ascii="宋体" w:hAnsi="宋体" w:eastAsia="宋体" w:cs="Arial"/>
                <w:color w:val="auto"/>
                <w:kern w:val="0"/>
                <w:sz w:val="22"/>
              </w:rPr>
              <w:t>四川豪芸通用航空有限公司</w:t>
            </w:r>
          </w:p>
        </w:tc>
        <w:tc>
          <w:tcPr>
            <w:tcW w:w="355" w:type="pct"/>
            <w:noWrap/>
            <w:vAlign w:val="center"/>
          </w:tcPr>
          <w:p>
            <w:pPr>
              <w:widowControl/>
              <w:jc w:val="center"/>
              <w:rPr>
                <w:rFonts w:hint="eastAsia" w:ascii="宋体" w:hAnsi="宋体" w:eastAsia="宋体" w:cs="Arial"/>
                <w:color w:val="auto"/>
                <w:kern w:val="0"/>
                <w:sz w:val="22"/>
              </w:rPr>
            </w:pPr>
            <w:r>
              <w:rPr>
                <w:rFonts w:ascii="宋体" w:hAnsi="宋体" w:eastAsia="宋体" w:cs="Arial"/>
                <w:color w:val="auto"/>
                <w:kern w:val="0"/>
                <w:sz w:val="22"/>
              </w:rPr>
              <w:t>四川</w:t>
            </w:r>
          </w:p>
        </w:tc>
        <w:tc>
          <w:tcPr>
            <w:tcW w:w="557" w:type="pct"/>
            <w:noWrap/>
            <w:vAlign w:val="center"/>
          </w:tcPr>
          <w:p>
            <w:pPr>
              <w:widowControl/>
              <w:jc w:val="center"/>
              <w:rPr>
                <w:rFonts w:hint="eastAsia" w:ascii="宋体" w:hAnsi="宋体" w:eastAsia="宋体" w:cs="Arial"/>
                <w:color w:val="auto"/>
                <w:kern w:val="0"/>
                <w:sz w:val="22"/>
              </w:rPr>
            </w:pPr>
            <w:r>
              <w:rPr>
                <w:rFonts w:ascii="宋体" w:hAnsi="宋体" w:eastAsia="宋体" w:cs="Arial"/>
                <w:color w:val="auto"/>
                <w:kern w:val="0"/>
                <w:sz w:val="22"/>
              </w:rPr>
              <w:t>崇州豪芸通用机场</w:t>
            </w:r>
          </w:p>
        </w:tc>
        <w:tc>
          <w:tcPr>
            <w:tcW w:w="2469" w:type="pct"/>
            <w:noWrap/>
            <w:vAlign w:val="center"/>
          </w:tcPr>
          <w:p>
            <w:pPr>
              <w:widowControl/>
              <w:rPr>
                <w:rFonts w:hint="eastAsia" w:ascii="宋体" w:hAnsi="宋体" w:eastAsia="宋体" w:cs="Arial"/>
                <w:color w:val="auto"/>
                <w:kern w:val="0"/>
                <w:sz w:val="22"/>
              </w:rPr>
            </w:pPr>
            <w:r>
              <w:rPr>
                <w:rFonts w:ascii="宋体" w:hAnsi="宋体" w:eastAsia="宋体" w:cs="Arial"/>
                <w:color w:val="auto"/>
                <w:kern w:val="0"/>
                <w:sz w:val="22"/>
              </w:rPr>
              <w:t>载人类：航空护林、空中游览、个人娱乐飞行；其他类：城市消防、直升机机外载荷飞行、人工影响天气、航空摄影、空中巡查、空中广告、表演飞行、私用驾驶员执照培训、运动驾驶员执照培训；</w:t>
            </w:r>
          </w:p>
        </w:tc>
      </w:tr>
    </w:tbl>
    <w:p>
      <w:pPr>
        <w:spacing w:before="312" w:beforeLines="100" w:after="156" w:afterLines="50"/>
        <w:jc w:val="center"/>
        <w:outlineLvl w:val="2"/>
        <w:rPr>
          <w:rFonts w:hint="eastAsia" w:ascii="黑体" w:hAnsi="黑体" w:eastAsia="黑体"/>
          <w:color w:val="auto"/>
          <w:sz w:val="24"/>
        </w:rPr>
      </w:pPr>
      <w:bookmarkStart w:id="290" w:name="_Toc192950342"/>
      <w:bookmarkStart w:id="291" w:name="_Toc196760061"/>
      <w:bookmarkStart w:id="292" w:name="_Toc19666"/>
      <w:bookmarkStart w:id="293" w:name="_Toc220270503"/>
      <w:bookmarkStart w:id="294" w:name="_Toc192950402"/>
      <w:r>
        <w:rPr>
          <w:rFonts w:hint="eastAsia" w:ascii="黑体" w:hAnsi="黑体" w:eastAsia="黑体"/>
          <w:color w:val="auto"/>
          <w:sz w:val="24"/>
        </w:rPr>
        <w:t>表2-</w:t>
      </w:r>
      <w:r>
        <w:rPr>
          <w:rFonts w:ascii="黑体" w:hAnsi="黑体" w:eastAsia="黑体"/>
          <w:color w:val="auto"/>
          <w:sz w:val="24"/>
        </w:rPr>
        <w:t xml:space="preserve">2  </w:t>
      </w:r>
      <w:r>
        <w:rPr>
          <w:rFonts w:hint="eastAsia" w:ascii="黑体" w:hAnsi="黑体" w:eastAsia="黑体"/>
          <w:color w:val="auto"/>
          <w:sz w:val="24"/>
        </w:rPr>
        <w:t>无人驾驶航空飞行服务主要企业</w:t>
      </w:r>
      <w:bookmarkEnd w:id="290"/>
      <w:bookmarkEnd w:id="291"/>
      <w:bookmarkEnd w:id="292"/>
      <w:bookmarkEnd w:id="293"/>
      <w:bookmarkEnd w:id="294"/>
    </w:p>
    <w:tbl>
      <w:tblPr>
        <w:tblStyle w:val="23"/>
        <w:tblW w:w="140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8"/>
        <w:gridCol w:w="1179"/>
        <w:gridCol w:w="3211"/>
        <w:gridCol w:w="1418"/>
        <w:gridCol w:w="75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708" w:type="dxa"/>
            <w:noWrap/>
            <w:vAlign w:val="center"/>
          </w:tcPr>
          <w:p>
            <w:pPr>
              <w:widowControl/>
              <w:jc w:val="center"/>
              <w:rPr>
                <w:rFonts w:hint="eastAsia" w:ascii="黑体" w:hAnsi="黑体" w:eastAsia="黑体" w:cs="Arial"/>
                <w:color w:val="auto"/>
                <w:kern w:val="0"/>
                <w:sz w:val="22"/>
              </w:rPr>
            </w:pPr>
            <w:r>
              <w:rPr>
                <w:rFonts w:hint="eastAsia" w:ascii="黑体" w:hAnsi="黑体" w:eastAsia="黑体" w:cs="Arial"/>
                <w:color w:val="auto"/>
                <w:kern w:val="0"/>
                <w:sz w:val="22"/>
              </w:rPr>
              <w:t>序号</w:t>
            </w:r>
          </w:p>
        </w:tc>
        <w:tc>
          <w:tcPr>
            <w:tcW w:w="1179" w:type="dxa"/>
            <w:noWrap/>
            <w:vAlign w:val="center"/>
          </w:tcPr>
          <w:p>
            <w:pPr>
              <w:widowControl/>
              <w:jc w:val="center"/>
              <w:rPr>
                <w:rFonts w:hint="eastAsia" w:ascii="黑体" w:hAnsi="黑体" w:eastAsia="黑体" w:cs="Arial"/>
                <w:color w:val="auto"/>
                <w:kern w:val="0"/>
                <w:sz w:val="22"/>
              </w:rPr>
            </w:pPr>
            <w:r>
              <w:rPr>
                <w:rFonts w:hint="eastAsia" w:ascii="黑体" w:hAnsi="黑体" w:eastAsia="黑体" w:cs="Arial"/>
                <w:color w:val="auto"/>
                <w:kern w:val="0"/>
                <w:sz w:val="22"/>
              </w:rPr>
              <w:t>主要领域</w:t>
            </w:r>
          </w:p>
        </w:tc>
        <w:tc>
          <w:tcPr>
            <w:tcW w:w="3211" w:type="dxa"/>
            <w:noWrap/>
            <w:vAlign w:val="center"/>
          </w:tcPr>
          <w:p>
            <w:pPr>
              <w:widowControl/>
              <w:jc w:val="center"/>
              <w:rPr>
                <w:rFonts w:hint="eastAsia" w:ascii="黑体" w:hAnsi="黑体" w:eastAsia="黑体" w:cs="Arial"/>
                <w:color w:val="auto"/>
                <w:kern w:val="0"/>
                <w:sz w:val="22"/>
              </w:rPr>
            </w:pPr>
            <w:r>
              <w:rPr>
                <w:rFonts w:hint="eastAsia" w:ascii="黑体" w:hAnsi="黑体" w:eastAsia="黑体" w:cs="Arial"/>
                <w:color w:val="auto"/>
                <w:kern w:val="0"/>
                <w:sz w:val="22"/>
              </w:rPr>
              <w:t>企业名称</w:t>
            </w:r>
          </w:p>
        </w:tc>
        <w:tc>
          <w:tcPr>
            <w:tcW w:w="1418" w:type="dxa"/>
            <w:noWrap/>
            <w:vAlign w:val="center"/>
          </w:tcPr>
          <w:p>
            <w:pPr>
              <w:widowControl/>
              <w:jc w:val="center"/>
              <w:rPr>
                <w:rFonts w:hint="eastAsia" w:ascii="黑体" w:hAnsi="黑体" w:eastAsia="黑体" w:cs="Arial"/>
                <w:color w:val="auto"/>
                <w:kern w:val="0"/>
                <w:sz w:val="22"/>
              </w:rPr>
            </w:pPr>
            <w:r>
              <w:rPr>
                <w:rFonts w:hint="eastAsia" w:ascii="黑体" w:hAnsi="黑体" w:eastAsia="黑体" w:cs="Arial"/>
                <w:color w:val="auto"/>
                <w:kern w:val="0"/>
                <w:sz w:val="22"/>
              </w:rPr>
              <w:t>总部所在地</w:t>
            </w:r>
          </w:p>
        </w:tc>
        <w:tc>
          <w:tcPr>
            <w:tcW w:w="7513" w:type="dxa"/>
            <w:noWrap/>
            <w:vAlign w:val="center"/>
          </w:tcPr>
          <w:p>
            <w:pPr>
              <w:widowControl/>
              <w:jc w:val="center"/>
              <w:rPr>
                <w:rFonts w:hint="eastAsia" w:ascii="黑体" w:hAnsi="黑体" w:eastAsia="黑体" w:cs="Arial"/>
                <w:color w:val="auto"/>
                <w:kern w:val="0"/>
                <w:sz w:val="22"/>
              </w:rPr>
            </w:pPr>
            <w:r>
              <w:rPr>
                <w:rFonts w:hint="eastAsia" w:ascii="黑体" w:hAnsi="黑体" w:eastAsia="黑体" w:cs="Arial"/>
                <w:color w:val="auto"/>
                <w:kern w:val="0"/>
                <w:sz w:val="22"/>
              </w:rPr>
              <w:t>企业简介/主营方向/产品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8" w:type="dxa"/>
            <w:vAlign w:val="center"/>
          </w:tcPr>
          <w:p>
            <w:pPr>
              <w:widowControl/>
              <w:jc w:val="center"/>
              <w:rPr>
                <w:rFonts w:hint="eastAsia" w:ascii="宋体" w:hAnsi="宋体" w:eastAsia="宋体" w:cs="Arial"/>
                <w:color w:val="auto"/>
                <w:kern w:val="0"/>
                <w:sz w:val="22"/>
              </w:rPr>
            </w:pPr>
            <w:r>
              <w:rPr>
                <w:rFonts w:hint="eastAsia" w:ascii="宋体" w:hAnsi="宋体" w:eastAsia="宋体" w:cs="Arial"/>
                <w:color w:val="auto"/>
                <w:kern w:val="0"/>
                <w:sz w:val="22"/>
              </w:rPr>
              <w:t>1</w:t>
            </w:r>
          </w:p>
        </w:tc>
        <w:tc>
          <w:tcPr>
            <w:tcW w:w="1179" w:type="dxa"/>
            <w:vAlign w:val="center"/>
          </w:tcPr>
          <w:p>
            <w:pPr>
              <w:widowControl/>
              <w:jc w:val="center"/>
              <w:rPr>
                <w:rFonts w:hint="eastAsia" w:ascii="宋体" w:hAnsi="宋体" w:eastAsia="宋体" w:cs="Arial"/>
                <w:color w:val="auto"/>
                <w:kern w:val="0"/>
                <w:sz w:val="22"/>
              </w:rPr>
            </w:pPr>
            <w:r>
              <w:rPr>
                <w:rFonts w:hint="eastAsia" w:ascii="宋体" w:hAnsi="宋体" w:eastAsia="宋体" w:cs="Arial"/>
                <w:color w:val="auto"/>
                <w:kern w:val="0"/>
                <w:sz w:val="22"/>
              </w:rPr>
              <w:t>运输</w:t>
            </w:r>
          </w:p>
        </w:tc>
        <w:tc>
          <w:tcPr>
            <w:tcW w:w="3211" w:type="dxa"/>
            <w:noWrap/>
            <w:vAlign w:val="center"/>
          </w:tcPr>
          <w:p>
            <w:pPr>
              <w:widowControl/>
              <w:jc w:val="center"/>
              <w:rPr>
                <w:rFonts w:hint="eastAsia" w:ascii="宋体" w:hAnsi="宋体" w:eastAsia="宋体" w:cs="Arial"/>
                <w:color w:val="auto"/>
                <w:kern w:val="0"/>
                <w:sz w:val="22"/>
              </w:rPr>
            </w:pPr>
            <w:r>
              <w:rPr>
                <w:rFonts w:hint="eastAsia" w:ascii="宋体" w:hAnsi="宋体" w:eastAsia="宋体" w:cs="Arial"/>
                <w:color w:val="auto"/>
                <w:kern w:val="0"/>
                <w:sz w:val="22"/>
              </w:rPr>
              <w:t>深圳美团低空物流科技有限公司</w:t>
            </w:r>
          </w:p>
        </w:tc>
        <w:tc>
          <w:tcPr>
            <w:tcW w:w="1418" w:type="dxa"/>
            <w:noWrap/>
            <w:vAlign w:val="center"/>
          </w:tcPr>
          <w:p>
            <w:pPr>
              <w:widowControl/>
              <w:jc w:val="center"/>
              <w:rPr>
                <w:rFonts w:hint="eastAsia" w:ascii="宋体" w:hAnsi="宋体" w:eastAsia="宋体" w:cs="Arial"/>
                <w:color w:val="auto"/>
                <w:kern w:val="0"/>
                <w:sz w:val="22"/>
              </w:rPr>
            </w:pPr>
            <w:r>
              <w:rPr>
                <w:rFonts w:hint="eastAsia" w:ascii="宋体" w:hAnsi="宋体" w:eastAsia="宋体" w:cs="Arial"/>
                <w:color w:val="auto"/>
                <w:kern w:val="0"/>
                <w:sz w:val="22"/>
              </w:rPr>
              <w:t>广东深圳</w:t>
            </w:r>
          </w:p>
        </w:tc>
        <w:tc>
          <w:tcPr>
            <w:tcW w:w="7513" w:type="dxa"/>
            <w:noWrap/>
            <w:vAlign w:val="center"/>
          </w:tcPr>
          <w:p>
            <w:pPr>
              <w:widowControl/>
              <w:rPr>
                <w:rFonts w:hint="eastAsia" w:ascii="宋体" w:hAnsi="宋体" w:eastAsia="宋体" w:cs="Arial"/>
                <w:color w:val="auto"/>
                <w:kern w:val="0"/>
                <w:sz w:val="22"/>
              </w:rPr>
            </w:pPr>
            <w:r>
              <w:rPr>
                <w:rFonts w:hint="eastAsia" w:ascii="宋体" w:hAnsi="宋体" w:eastAsia="宋体" w:cs="Arial"/>
                <w:color w:val="auto"/>
                <w:kern w:val="0"/>
                <w:sz w:val="22"/>
              </w:rPr>
              <w:t>美团在</w:t>
            </w:r>
            <w:r>
              <w:rPr>
                <w:rFonts w:ascii="Arial" w:hAnsi="Arial" w:eastAsia="宋体" w:cs="Arial"/>
                <w:color w:val="auto"/>
                <w:kern w:val="0"/>
                <w:sz w:val="22"/>
              </w:rPr>
              <w:t>2017</w:t>
            </w:r>
            <w:r>
              <w:rPr>
                <w:rFonts w:hint="eastAsia" w:ascii="宋体" w:hAnsi="宋体" w:eastAsia="宋体" w:cs="Arial"/>
                <w:color w:val="auto"/>
                <w:kern w:val="0"/>
                <w:sz w:val="22"/>
              </w:rPr>
              <w:t>年启动了无人机配送场景的探索，并在</w:t>
            </w:r>
            <w:r>
              <w:rPr>
                <w:rFonts w:ascii="Arial" w:hAnsi="Arial" w:eastAsia="宋体" w:cs="Arial"/>
                <w:color w:val="auto"/>
                <w:kern w:val="0"/>
                <w:sz w:val="22"/>
              </w:rPr>
              <w:t>2021</w:t>
            </w:r>
            <w:r>
              <w:rPr>
                <w:rFonts w:hint="eastAsia" w:ascii="宋体" w:hAnsi="宋体" w:eastAsia="宋体" w:cs="Arial"/>
                <w:color w:val="auto"/>
                <w:kern w:val="0"/>
                <w:sz w:val="22"/>
              </w:rPr>
              <w:t>年初完成了首个面向真实用户的订单配送任务，正式开启常态化试运营工作。美团的无人机城市低空物流解决方案可提供</w:t>
            </w:r>
            <w:r>
              <w:rPr>
                <w:rFonts w:ascii="Arial" w:hAnsi="Arial" w:eastAsia="宋体" w:cs="Arial"/>
                <w:color w:val="auto"/>
                <w:kern w:val="0"/>
                <w:sz w:val="22"/>
              </w:rPr>
              <w:t>3</w:t>
            </w:r>
            <w:r>
              <w:rPr>
                <w:rFonts w:hint="eastAsia" w:ascii="宋体" w:hAnsi="宋体" w:eastAsia="宋体" w:cs="Arial"/>
                <w:color w:val="auto"/>
                <w:kern w:val="0"/>
                <w:sz w:val="22"/>
              </w:rPr>
              <w:t>公里半径内端到端零售物品配送</w:t>
            </w:r>
            <w:r>
              <w:rPr>
                <w:rFonts w:ascii="Arial" w:hAnsi="Arial" w:eastAsia="宋体" w:cs="Arial"/>
                <w:color w:val="auto"/>
                <w:kern w:val="0"/>
                <w:sz w:val="22"/>
              </w:rPr>
              <w:t>15</w:t>
            </w:r>
            <w:r>
              <w:rPr>
                <w:rFonts w:hint="eastAsia" w:ascii="宋体" w:hAnsi="宋体" w:eastAsia="宋体" w:cs="Arial"/>
                <w:color w:val="auto"/>
                <w:kern w:val="0"/>
                <w:sz w:val="22"/>
              </w:rPr>
              <w:t>分钟达的标准服务。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8" w:type="dxa"/>
            <w:vAlign w:val="center"/>
          </w:tcPr>
          <w:p>
            <w:pPr>
              <w:widowControl/>
              <w:jc w:val="center"/>
              <w:rPr>
                <w:rFonts w:hint="eastAsia" w:ascii="宋体" w:hAnsi="宋体" w:eastAsia="宋体" w:cs="Arial"/>
                <w:color w:val="auto"/>
                <w:kern w:val="0"/>
                <w:sz w:val="22"/>
              </w:rPr>
            </w:pPr>
            <w:r>
              <w:rPr>
                <w:rFonts w:hint="eastAsia" w:ascii="宋体" w:hAnsi="宋体" w:eastAsia="宋体" w:cs="Arial"/>
                <w:color w:val="auto"/>
                <w:kern w:val="0"/>
                <w:sz w:val="22"/>
              </w:rPr>
              <w:t>2</w:t>
            </w:r>
          </w:p>
        </w:tc>
        <w:tc>
          <w:tcPr>
            <w:tcW w:w="1179" w:type="dxa"/>
            <w:vAlign w:val="center"/>
          </w:tcPr>
          <w:p>
            <w:pPr>
              <w:widowControl/>
              <w:jc w:val="center"/>
              <w:rPr>
                <w:rFonts w:hint="eastAsia" w:ascii="宋体" w:hAnsi="宋体" w:eastAsia="宋体" w:cs="Arial"/>
                <w:color w:val="auto"/>
                <w:kern w:val="0"/>
                <w:sz w:val="22"/>
              </w:rPr>
            </w:pPr>
            <w:r>
              <w:rPr>
                <w:rFonts w:hint="eastAsia" w:ascii="宋体" w:hAnsi="宋体" w:eastAsia="宋体" w:cs="Arial"/>
                <w:color w:val="auto"/>
                <w:kern w:val="0"/>
                <w:sz w:val="22"/>
              </w:rPr>
              <w:t>运输</w:t>
            </w:r>
          </w:p>
        </w:tc>
        <w:tc>
          <w:tcPr>
            <w:tcW w:w="3211" w:type="dxa"/>
            <w:noWrap/>
            <w:vAlign w:val="center"/>
          </w:tcPr>
          <w:p>
            <w:pPr>
              <w:widowControl/>
              <w:jc w:val="center"/>
              <w:rPr>
                <w:rFonts w:hint="eastAsia" w:ascii="宋体" w:hAnsi="宋体" w:eastAsia="宋体" w:cs="Arial"/>
                <w:color w:val="auto"/>
                <w:kern w:val="0"/>
                <w:sz w:val="22"/>
              </w:rPr>
            </w:pPr>
            <w:r>
              <w:rPr>
                <w:rFonts w:hint="eastAsia" w:ascii="宋体" w:hAnsi="宋体" w:eastAsia="宋体" w:cs="Arial"/>
                <w:color w:val="auto"/>
                <w:kern w:val="0"/>
                <w:sz w:val="22"/>
              </w:rPr>
              <w:t>江苏长江汇科技有限公司</w:t>
            </w:r>
          </w:p>
        </w:tc>
        <w:tc>
          <w:tcPr>
            <w:tcW w:w="1418" w:type="dxa"/>
            <w:noWrap/>
            <w:vAlign w:val="center"/>
          </w:tcPr>
          <w:p>
            <w:pPr>
              <w:widowControl/>
              <w:jc w:val="center"/>
              <w:rPr>
                <w:rFonts w:hint="eastAsia" w:ascii="宋体" w:hAnsi="宋体" w:eastAsia="宋体" w:cs="Arial"/>
                <w:color w:val="auto"/>
                <w:kern w:val="0"/>
                <w:sz w:val="22"/>
              </w:rPr>
            </w:pPr>
            <w:r>
              <w:rPr>
                <w:rFonts w:hint="eastAsia" w:ascii="宋体" w:hAnsi="宋体" w:eastAsia="宋体" w:cs="Arial"/>
                <w:color w:val="auto"/>
                <w:kern w:val="0"/>
                <w:sz w:val="22"/>
              </w:rPr>
              <w:t>江苏南京</w:t>
            </w:r>
          </w:p>
        </w:tc>
        <w:tc>
          <w:tcPr>
            <w:tcW w:w="7513" w:type="dxa"/>
            <w:noWrap/>
            <w:vAlign w:val="center"/>
          </w:tcPr>
          <w:p>
            <w:pPr>
              <w:widowControl/>
              <w:rPr>
                <w:rFonts w:ascii="Arial" w:hAnsi="Arial" w:eastAsia="宋体" w:cs="Arial"/>
                <w:color w:val="auto"/>
                <w:kern w:val="0"/>
                <w:sz w:val="22"/>
              </w:rPr>
            </w:pPr>
            <w:r>
              <w:rPr>
                <w:rFonts w:ascii="Arial" w:hAnsi="Arial" w:eastAsia="宋体" w:cs="Arial"/>
                <w:color w:val="auto"/>
                <w:kern w:val="0"/>
                <w:sz w:val="22"/>
              </w:rPr>
              <w:t>2017</w:t>
            </w:r>
            <w:r>
              <w:rPr>
                <w:rFonts w:hint="eastAsia" w:ascii="宋体" w:hAnsi="宋体" w:eastAsia="宋体" w:cs="Arial"/>
                <w:color w:val="auto"/>
                <w:kern w:val="0"/>
                <w:sz w:val="22"/>
              </w:rPr>
              <w:t>年</w:t>
            </w:r>
            <w:r>
              <w:rPr>
                <w:rFonts w:ascii="Arial" w:hAnsi="Arial" w:eastAsia="宋体" w:cs="Arial"/>
                <w:color w:val="auto"/>
                <w:kern w:val="0"/>
                <w:sz w:val="22"/>
              </w:rPr>
              <w:t>9</w:t>
            </w:r>
            <w:r>
              <w:rPr>
                <w:rFonts w:hint="eastAsia" w:ascii="宋体" w:hAnsi="宋体" w:eastAsia="宋体" w:cs="Arial"/>
                <w:color w:val="auto"/>
                <w:kern w:val="0"/>
                <w:sz w:val="22"/>
              </w:rPr>
              <w:t>月，长江汇正式启动无人机项目，探索从水上服务区到用户船舶的货物配送服务，目前已进入常态化运营阶段，正在全力打造的</w:t>
            </w:r>
            <w:r>
              <w:rPr>
                <w:rFonts w:ascii="Arial" w:hAnsi="Arial" w:eastAsia="宋体" w:cs="Arial"/>
                <w:color w:val="auto"/>
                <w:kern w:val="0"/>
                <w:sz w:val="22"/>
              </w:rPr>
              <w:t>“</w:t>
            </w:r>
            <w:r>
              <w:rPr>
                <w:rFonts w:hint="eastAsia" w:ascii="宋体" w:hAnsi="宋体" w:eastAsia="宋体" w:cs="Arial"/>
                <w:color w:val="auto"/>
                <w:kern w:val="0"/>
                <w:sz w:val="22"/>
              </w:rPr>
              <w:t>汇闪送</w:t>
            </w:r>
            <w:r>
              <w:rPr>
                <w:rFonts w:ascii="Arial" w:hAnsi="Arial" w:eastAsia="宋体" w:cs="Arial"/>
                <w:color w:val="auto"/>
                <w:kern w:val="0"/>
                <w:sz w:val="22"/>
              </w:rPr>
              <w:t>”</w:t>
            </w:r>
            <w:r>
              <w:rPr>
                <w:rFonts w:hint="eastAsia" w:ascii="宋体" w:hAnsi="宋体" w:eastAsia="宋体" w:cs="Arial"/>
                <w:color w:val="auto"/>
                <w:kern w:val="0"/>
                <w:sz w:val="22"/>
              </w:rPr>
              <w:t>无人机智慧物流应用平台，将构建全方位、多点位的</w:t>
            </w:r>
            <w:r>
              <w:rPr>
                <w:rFonts w:ascii="Arial" w:hAnsi="Arial" w:eastAsia="宋体" w:cs="Arial"/>
                <w:color w:val="auto"/>
                <w:kern w:val="0"/>
                <w:sz w:val="22"/>
              </w:rPr>
              <w:t>“</w:t>
            </w:r>
            <w:r>
              <w:rPr>
                <w:rFonts w:hint="eastAsia" w:ascii="宋体" w:hAnsi="宋体" w:eastAsia="宋体" w:cs="Arial"/>
                <w:color w:val="auto"/>
                <w:kern w:val="0"/>
                <w:sz w:val="22"/>
              </w:rPr>
              <w:t>配送网</w:t>
            </w:r>
            <w:r>
              <w:rPr>
                <w:rFonts w:ascii="Arial" w:hAnsi="Arial" w:eastAsia="宋体" w:cs="Arial"/>
                <w:color w:val="auto"/>
                <w:kern w:val="0"/>
                <w:sz w:val="22"/>
              </w:rPr>
              <w:t>”</w:t>
            </w:r>
            <w:r>
              <w:rPr>
                <w:rFonts w:hint="eastAsia" w:ascii="宋体" w:hAnsi="宋体" w:eastAsia="宋体" w:cs="Arial"/>
                <w:color w:val="auto"/>
                <w:kern w:val="0"/>
                <w:sz w:val="22"/>
              </w:rPr>
              <w:t>，解决水上末端物流难题。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8" w:type="dxa"/>
            <w:vAlign w:val="center"/>
          </w:tcPr>
          <w:p>
            <w:pPr>
              <w:widowControl/>
              <w:jc w:val="center"/>
              <w:rPr>
                <w:rFonts w:hint="eastAsia" w:ascii="宋体" w:hAnsi="宋体" w:eastAsia="宋体" w:cs="Arial"/>
                <w:color w:val="auto"/>
                <w:kern w:val="0"/>
                <w:sz w:val="22"/>
              </w:rPr>
            </w:pPr>
            <w:r>
              <w:rPr>
                <w:rFonts w:hint="eastAsia" w:ascii="宋体" w:hAnsi="宋体" w:eastAsia="宋体" w:cs="Arial"/>
                <w:color w:val="auto"/>
                <w:kern w:val="0"/>
                <w:sz w:val="22"/>
              </w:rPr>
              <w:t>3</w:t>
            </w:r>
          </w:p>
        </w:tc>
        <w:tc>
          <w:tcPr>
            <w:tcW w:w="1179" w:type="dxa"/>
            <w:vAlign w:val="center"/>
          </w:tcPr>
          <w:p>
            <w:pPr>
              <w:widowControl/>
              <w:jc w:val="center"/>
              <w:rPr>
                <w:rFonts w:hint="eastAsia" w:ascii="宋体" w:hAnsi="宋体" w:eastAsia="宋体" w:cs="Arial"/>
                <w:color w:val="auto"/>
                <w:kern w:val="0"/>
                <w:sz w:val="22"/>
              </w:rPr>
            </w:pPr>
            <w:r>
              <w:rPr>
                <w:rFonts w:hint="eastAsia" w:ascii="宋体" w:hAnsi="宋体" w:eastAsia="宋体" w:cs="Arial"/>
                <w:color w:val="auto"/>
                <w:kern w:val="0"/>
                <w:sz w:val="22"/>
              </w:rPr>
              <w:t>运输</w:t>
            </w:r>
          </w:p>
        </w:tc>
        <w:tc>
          <w:tcPr>
            <w:tcW w:w="3211" w:type="dxa"/>
            <w:noWrap/>
            <w:vAlign w:val="center"/>
          </w:tcPr>
          <w:p>
            <w:pPr>
              <w:widowControl/>
              <w:jc w:val="center"/>
              <w:rPr>
                <w:rFonts w:hint="eastAsia" w:ascii="宋体" w:hAnsi="宋体" w:eastAsia="宋体" w:cs="Arial"/>
                <w:color w:val="auto"/>
                <w:kern w:val="0"/>
                <w:sz w:val="22"/>
              </w:rPr>
            </w:pPr>
            <w:r>
              <w:rPr>
                <w:rFonts w:hint="eastAsia" w:ascii="宋体" w:hAnsi="宋体" w:eastAsia="宋体" w:cs="Arial"/>
                <w:color w:val="auto"/>
                <w:kern w:val="0"/>
                <w:sz w:val="22"/>
              </w:rPr>
              <w:t>杭州韵鸢科技有限公司</w:t>
            </w:r>
          </w:p>
        </w:tc>
        <w:tc>
          <w:tcPr>
            <w:tcW w:w="1418" w:type="dxa"/>
            <w:noWrap/>
            <w:vAlign w:val="center"/>
          </w:tcPr>
          <w:p>
            <w:pPr>
              <w:widowControl/>
              <w:jc w:val="center"/>
              <w:rPr>
                <w:rFonts w:hint="eastAsia" w:ascii="宋体" w:hAnsi="宋体" w:eastAsia="宋体" w:cs="Arial"/>
                <w:color w:val="auto"/>
                <w:kern w:val="0"/>
                <w:sz w:val="22"/>
              </w:rPr>
            </w:pPr>
            <w:r>
              <w:rPr>
                <w:rFonts w:hint="eastAsia" w:ascii="宋体" w:hAnsi="宋体" w:eastAsia="宋体" w:cs="Arial"/>
                <w:color w:val="auto"/>
                <w:kern w:val="0"/>
                <w:sz w:val="22"/>
              </w:rPr>
              <w:t>浙江杭州</w:t>
            </w:r>
          </w:p>
        </w:tc>
        <w:tc>
          <w:tcPr>
            <w:tcW w:w="7513" w:type="dxa"/>
            <w:noWrap/>
            <w:vAlign w:val="center"/>
          </w:tcPr>
          <w:p>
            <w:pPr>
              <w:widowControl/>
              <w:rPr>
                <w:rFonts w:ascii="Arial" w:hAnsi="Arial" w:eastAsia="宋体" w:cs="Arial"/>
                <w:color w:val="auto"/>
                <w:kern w:val="0"/>
                <w:sz w:val="22"/>
              </w:rPr>
            </w:pPr>
            <w:r>
              <w:rPr>
                <w:rFonts w:hint="eastAsia" w:ascii="宋体" w:hAnsi="宋体" w:eastAsia="宋体" w:cs="Arial"/>
                <w:color w:val="auto"/>
                <w:kern w:val="0"/>
                <w:sz w:val="22"/>
              </w:rPr>
              <w:t>韵达快递的全资子公司。</w:t>
            </w:r>
            <w:r>
              <w:rPr>
                <w:rFonts w:ascii="Arial" w:hAnsi="Arial" w:eastAsia="宋体" w:cs="Arial"/>
                <w:color w:val="auto"/>
                <w:kern w:val="0"/>
                <w:sz w:val="22"/>
              </w:rPr>
              <w:t>2024</w:t>
            </w:r>
            <w:r>
              <w:rPr>
                <w:rFonts w:hint="eastAsia" w:ascii="宋体" w:hAnsi="宋体" w:eastAsia="宋体" w:cs="Arial"/>
                <w:color w:val="auto"/>
                <w:kern w:val="0"/>
                <w:sz w:val="22"/>
              </w:rPr>
              <w:t>年</w:t>
            </w:r>
            <w:r>
              <w:rPr>
                <w:rFonts w:ascii="Arial" w:hAnsi="Arial" w:eastAsia="宋体" w:cs="Arial"/>
                <w:color w:val="auto"/>
                <w:kern w:val="0"/>
                <w:sz w:val="22"/>
              </w:rPr>
              <w:t>9</w:t>
            </w:r>
            <w:r>
              <w:rPr>
                <w:rFonts w:hint="eastAsia" w:ascii="宋体" w:hAnsi="宋体" w:eastAsia="宋体" w:cs="Arial"/>
                <w:color w:val="auto"/>
                <w:kern w:val="0"/>
                <w:sz w:val="22"/>
              </w:rPr>
              <w:t>月</w:t>
            </w:r>
            <w:r>
              <w:rPr>
                <w:rFonts w:ascii="Arial" w:hAnsi="Arial" w:eastAsia="宋体" w:cs="Arial"/>
                <w:color w:val="auto"/>
                <w:kern w:val="0"/>
                <w:sz w:val="22"/>
              </w:rPr>
              <w:t>20</w:t>
            </w:r>
            <w:r>
              <w:rPr>
                <w:rFonts w:hint="eastAsia" w:ascii="宋体" w:hAnsi="宋体" w:eastAsia="宋体" w:cs="Arial"/>
                <w:color w:val="auto"/>
                <w:kern w:val="0"/>
                <w:sz w:val="22"/>
              </w:rPr>
              <w:t>日，韵达快递在浙江杭州正式开启了其首条无人机快递配送航线。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8" w:type="dxa"/>
            <w:vAlign w:val="center"/>
          </w:tcPr>
          <w:p>
            <w:pPr>
              <w:widowControl/>
              <w:jc w:val="center"/>
              <w:rPr>
                <w:rFonts w:hint="eastAsia" w:ascii="宋体" w:hAnsi="宋体" w:eastAsia="宋体" w:cs="Arial"/>
                <w:color w:val="auto"/>
                <w:kern w:val="0"/>
                <w:sz w:val="22"/>
              </w:rPr>
            </w:pPr>
            <w:r>
              <w:rPr>
                <w:rFonts w:hint="eastAsia" w:ascii="宋体" w:hAnsi="宋体" w:eastAsia="宋体" w:cs="Arial"/>
                <w:color w:val="auto"/>
                <w:kern w:val="0"/>
                <w:sz w:val="22"/>
              </w:rPr>
              <w:t>4</w:t>
            </w:r>
          </w:p>
        </w:tc>
        <w:tc>
          <w:tcPr>
            <w:tcW w:w="1179" w:type="dxa"/>
            <w:vAlign w:val="center"/>
          </w:tcPr>
          <w:p>
            <w:pPr>
              <w:widowControl/>
              <w:jc w:val="center"/>
              <w:rPr>
                <w:rFonts w:hint="eastAsia" w:ascii="宋体" w:hAnsi="宋体" w:eastAsia="宋体" w:cs="Arial"/>
                <w:color w:val="auto"/>
                <w:kern w:val="0"/>
                <w:sz w:val="22"/>
              </w:rPr>
            </w:pPr>
            <w:r>
              <w:rPr>
                <w:rFonts w:hint="eastAsia" w:ascii="宋体" w:hAnsi="宋体" w:eastAsia="宋体" w:cs="Arial"/>
                <w:color w:val="auto"/>
                <w:kern w:val="0"/>
                <w:sz w:val="22"/>
              </w:rPr>
              <w:t>运输</w:t>
            </w:r>
          </w:p>
        </w:tc>
        <w:tc>
          <w:tcPr>
            <w:tcW w:w="3211" w:type="dxa"/>
            <w:noWrap/>
            <w:vAlign w:val="center"/>
          </w:tcPr>
          <w:p>
            <w:pPr>
              <w:widowControl/>
              <w:jc w:val="center"/>
              <w:rPr>
                <w:rFonts w:hint="eastAsia" w:ascii="宋体" w:hAnsi="宋体" w:eastAsia="宋体" w:cs="Arial"/>
                <w:color w:val="auto"/>
                <w:kern w:val="0"/>
                <w:sz w:val="22"/>
              </w:rPr>
            </w:pPr>
            <w:r>
              <w:rPr>
                <w:rFonts w:hint="eastAsia" w:ascii="宋体" w:hAnsi="宋体" w:eastAsia="宋体" w:cs="Arial"/>
                <w:color w:val="auto"/>
                <w:kern w:val="0"/>
                <w:sz w:val="22"/>
              </w:rPr>
              <w:t>杭州迅蚁网络科技有限公司</w:t>
            </w:r>
          </w:p>
        </w:tc>
        <w:tc>
          <w:tcPr>
            <w:tcW w:w="1418" w:type="dxa"/>
            <w:noWrap/>
            <w:vAlign w:val="center"/>
          </w:tcPr>
          <w:p>
            <w:pPr>
              <w:widowControl/>
              <w:jc w:val="center"/>
              <w:rPr>
                <w:rFonts w:hint="eastAsia" w:ascii="宋体" w:hAnsi="宋体" w:eastAsia="宋体" w:cs="Arial"/>
                <w:color w:val="auto"/>
                <w:kern w:val="0"/>
                <w:sz w:val="22"/>
              </w:rPr>
            </w:pPr>
            <w:r>
              <w:rPr>
                <w:rFonts w:hint="eastAsia" w:ascii="宋体" w:hAnsi="宋体" w:eastAsia="宋体" w:cs="Arial"/>
                <w:color w:val="auto"/>
                <w:kern w:val="0"/>
                <w:sz w:val="22"/>
              </w:rPr>
              <w:t>浙江杭州</w:t>
            </w:r>
          </w:p>
        </w:tc>
        <w:tc>
          <w:tcPr>
            <w:tcW w:w="7513" w:type="dxa"/>
            <w:noWrap/>
            <w:vAlign w:val="center"/>
          </w:tcPr>
          <w:p>
            <w:pPr>
              <w:widowControl/>
              <w:rPr>
                <w:rFonts w:ascii="Arial" w:hAnsi="Arial" w:eastAsia="宋体" w:cs="Arial"/>
                <w:color w:val="auto"/>
                <w:kern w:val="0"/>
                <w:sz w:val="22"/>
              </w:rPr>
            </w:pPr>
            <w:r>
              <w:rPr>
                <w:rFonts w:hint="eastAsia" w:ascii="宋体" w:hAnsi="宋体" w:eastAsia="宋体" w:cs="Arial"/>
                <w:color w:val="auto"/>
                <w:kern w:val="0"/>
                <w:sz w:val="22"/>
              </w:rPr>
              <w:t>致力于构建城市空中配送网络的科技公司。</w:t>
            </w:r>
            <w:r>
              <w:rPr>
                <w:rFonts w:ascii="Arial" w:hAnsi="Arial" w:eastAsia="宋体" w:cs="Arial"/>
                <w:color w:val="auto"/>
                <w:kern w:val="0"/>
                <w:sz w:val="22"/>
              </w:rPr>
              <w:t>2016</w:t>
            </w:r>
            <w:r>
              <w:rPr>
                <w:rFonts w:hint="eastAsia" w:ascii="宋体" w:hAnsi="宋体" w:eastAsia="宋体" w:cs="Arial"/>
                <w:color w:val="auto"/>
                <w:kern w:val="0"/>
                <w:sz w:val="22"/>
              </w:rPr>
              <w:t>年，迅蚁与中国邮政首次合作，在安吉开辟了我国首条无人机邮路。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8" w:type="dxa"/>
            <w:vAlign w:val="center"/>
          </w:tcPr>
          <w:p>
            <w:pPr>
              <w:widowControl/>
              <w:jc w:val="center"/>
              <w:rPr>
                <w:rFonts w:hint="eastAsia" w:ascii="宋体" w:hAnsi="宋体" w:eastAsia="宋体" w:cs="Arial"/>
                <w:color w:val="auto"/>
                <w:kern w:val="0"/>
                <w:sz w:val="22"/>
              </w:rPr>
            </w:pPr>
            <w:r>
              <w:rPr>
                <w:rFonts w:hint="eastAsia" w:ascii="宋体" w:hAnsi="宋体" w:eastAsia="宋体" w:cs="Arial"/>
                <w:color w:val="auto"/>
                <w:kern w:val="0"/>
                <w:sz w:val="22"/>
              </w:rPr>
              <w:t>5</w:t>
            </w:r>
          </w:p>
        </w:tc>
        <w:tc>
          <w:tcPr>
            <w:tcW w:w="1179" w:type="dxa"/>
            <w:noWrap/>
            <w:vAlign w:val="center"/>
          </w:tcPr>
          <w:p>
            <w:pPr>
              <w:widowControl/>
              <w:jc w:val="center"/>
              <w:rPr>
                <w:rFonts w:hint="eastAsia" w:ascii="宋体" w:hAnsi="宋体" w:eastAsia="宋体" w:cs="Arial"/>
                <w:color w:val="auto"/>
                <w:kern w:val="0"/>
                <w:sz w:val="22"/>
              </w:rPr>
            </w:pPr>
            <w:r>
              <w:rPr>
                <w:rFonts w:hint="eastAsia" w:ascii="宋体" w:hAnsi="宋体" w:eastAsia="宋体" w:cs="Arial"/>
                <w:color w:val="auto"/>
                <w:kern w:val="0"/>
                <w:sz w:val="22"/>
              </w:rPr>
              <w:t>植保</w:t>
            </w:r>
          </w:p>
        </w:tc>
        <w:tc>
          <w:tcPr>
            <w:tcW w:w="3211" w:type="dxa"/>
            <w:noWrap/>
            <w:vAlign w:val="center"/>
          </w:tcPr>
          <w:p>
            <w:pPr>
              <w:widowControl/>
              <w:jc w:val="center"/>
              <w:rPr>
                <w:rFonts w:hint="eastAsia" w:ascii="宋体" w:hAnsi="宋体" w:eastAsia="宋体" w:cs="Arial"/>
                <w:color w:val="auto"/>
                <w:kern w:val="0"/>
                <w:sz w:val="22"/>
              </w:rPr>
            </w:pPr>
            <w:r>
              <w:rPr>
                <w:rFonts w:hint="eastAsia" w:ascii="宋体" w:hAnsi="宋体" w:eastAsia="宋体" w:cs="Arial"/>
                <w:color w:val="auto"/>
                <w:kern w:val="0"/>
                <w:sz w:val="22"/>
              </w:rPr>
              <w:t>深圳市翔农创新科技有限公司</w:t>
            </w:r>
          </w:p>
        </w:tc>
        <w:tc>
          <w:tcPr>
            <w:tcW w:w="1418" w:type="dxa"/>
            <w:noWrap/>
            <w:vAlign w:val="center"/>
          </w:tcPr>
          <w:p>
            <w:pPr>
              <w:widowControl/>
              <w:jc w:val="center"/>
              <w:rPr>
                <w:rFonts w:hint="eastAsia" w:ascii="宋体" w:hAnsi="宋体" w:eastAsia="宋体" w:cs="Arial"/>
                <w:color w:val="auto"/>
                <w:kern w:val="0"/>
                <w:sz w:val="22"/>
              </w:rPr>
            </w:pPr>
            <w:r>
              <w:rPr>
                <w:rFonts w:hint="eastAsia" w:ascii="宋体" w:hAnsi="宋体" w:eastAsia="宋体" w:cs="Arial"/>
                <w:color w:val="auto"/>
                <w:kern w:val="0"/>
                <w:sz w:val="22"/>
              </w:rPr>
              <w:t>广东深圳</w:t>
            </w:r>
          </w:p>
        </w:tc>
        <w:tc>
          <w:tcPr>
            <w:tcW w:w="7513" w:type="dxa"/>
            <w:noWrap/>
            <w:vAlign w:val="center"/>
          </w:tcPr>
          <w:p>
            <w:pPr>
              <w:widowControl/>
              <w:rPr>
                <w:rFonts w:ascii="Arial" w:hAnsi="Arial" w:eastAsia="宋体" w:cs="Arial"/>
                <w:color w:val="auto"/>
                <w:kern w:val="0"/>
                <w:sz w:val="22"/>
              </w:rPr>
            </w:pPr>
            <w:r>
              <w:rPr>
                <w:rFonts w:hint="eastAsia" w:ascii="宋体" w:hAnsi="宋体" w:eastAsia="宋体" w:cs="Arial"/>
                <w:color w:val="auto"/>
                <w:kern w:val="0"/>
                <w:sz w:val="22"/>
              </w:rPr>
              <w:t>已建立</w:t>
            </w:r>
            <w:r>
              <w:rPr>
                <w:rFonts w:ascii="Arial" w:hAnsi="Arial" w:eastAsia="宋体" w:cs="Arial"/>
                <w:color w:val="auto"/>
                <w:kern w:val="0"/>
                <w:sz w:val="22"/>
              </w:rPr>
              <w:t>100</w:t>
            </w:r>
            <w:r>
              <w:rPr>
                <w:rFonts w:hint="eastAsia" w:ascii="宋体" w:hAnsi="宋体" w:eastAsia="宋体" w:cs="Arial"/>
                <w:color w:val="auto"/>
                <w:kern w:val="0"/>
                <w:sz w:val="22"/>
              </w:rPr>
              <w:t>多个植保服务中心和售后服务中心，产品远销</w:t>
            </w:r>
            <w:r>
              <w:rPr>
                <w:rFonts w:ascii="Arial" w:hAnsi="Arial" w:eastAsia="宋体" w:cs="Arial"/>
                <w:color w:val="auto"/>
                <w:kern w:val="0"/>
                <w:sz w:val="22"/>
              </w:rPr>
              <w:t>3</w:t>
            </w:r>
            <w:r>
              <w:rPr>
                <w:rFonts w:hint="eastAsia" w:ascii="宋体" w:hAnsi="宋体" w:eastAsia="宋体" w:cs="Arial"/>
                <w:color w:val="auto"/>
                <w:kern w:val="0"/>
                <w:sz w:val="22"/>
              </w:rPr>
              <w:t>大洲的</w:t>
            </w:r>
            <w:r>
              <w:rPr>
                <w:rFonts w:ascii="Arial" w:hAnsi="Arial" w:eastAsia="宋体" w:cs="Arial"/>
                <w:color w:val="auto"/>
                <w:kern w:val="0"/>
                <w:sz w:val="22"/>
              </w:rPr>
              <w:t>6</w:t>
            </w:r>
            <w:r>
              <w:rPr>
                <w:rFonts w:hint="eastAsia" w:ascii="宋体" w:hAnsi="宋体" w:eastAsia="宋体" w:cs="Arial"/>
                <w:color w:val="auto"/>
                <w:kern w:val="0"/>
                <w:sz w:val="22"/>
              </w:rPr>
              <w:t>个国家和地区。业务涵盖植保无人机研发生产、精准农业解决方案、行业级无人机应用开发、智能农业装备研发、测绘服务、植保及无人机培训等领域。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8" w:type="dxa"/>
            <w:vAlign w:val="center"/>
          </w:tcPr>
          <w:p>
            <w:pPr>
              <w:widowControl/>
              <w:jc w:val="center"/>
              <w:rPr>
                <w:rFonts w:hint="eastAsia" w:ascii="宋体" w:hAnsi="宋体" w:eastAsia="宋体" w:cs="Arial"/>
                <w:color w:val="auto"/>
                <w:kern w:val="0"/>
                <w:sz w:val="22"/>
              </w:rPr>
            </w:pPr>
            <w:r>
              <w:rPr>
                <w:rFonts w:hint="eastAsia" w:ascii="宋体" w:hAnsi="宋体" w:eastAsia="宋体" w:cs="Arial"/>
                <w:color w:val="auto"/>
                <w:kern w:val="0"/>
                <w:sz w:val="22"/>
              </w:rPr>
              <w:t>6</w:t>
            </w:r>
          </w:p>
        </w:tc>
        <w:tc>
          <w:tcPr>
            <w:tcW w:w="1179" w:type="dxa"/>
            <w:noWrap/>
            <w:vAlign w:val="center"/>
          </w:tcPr>
          <w:p>
            <w:pPr>
              <w:widowControl/>
              <w:jc w:val="center"/>
              <w:rPr>
                <w:rFonts w:hint="eastAsia" w:ascii="宋体" w:hAnsi="宋体" w:eastAsia="宋体" w:cs="Arial"/>
                <w:color w:val="auto"/>
                <w:kern w:val="0"/>
                <w:sz w:val="22"/>
              </w:rPr>
            </w:pPr>
            <w:r>
              <w:rPr>
                <w:rFonts w:hint="eastAsia" w:ascii="宋体" w:hAnsi="宋体" w:eastAsia="宋体" w:cs="Arial"/>
                <w:color w:val="auto"/>
                <w:kern w:val="0"/>
                <w:sz w:val="22"/>
              </w:rPr>
              <w:t>植保</w:t>
            </w:r>
          </w:p>
        </w:tc>
        <w:tc>
          <w:tcPr>
            <w:tcW w:w="3211" w:type="dxa"/>
            <w:noWrap/>
            <w:vAlign w:val="center"/>
          </w:tcPr>
          <w:p>
            <w:pPr>
              <w:widowControl/>
              <w:jc w:val="center"/>
              <w:rPr>
                <w:rFonts w:hint="eastAsia" w:ascii="宋体" w:hAnsi="宋体" w:eastAsia="宋体" w:cs="Arial"/>
                <w:color w:val="auto"/>
                <w:kern w:val="0"/>
                <w:sz w:val="22"/>
              </w:rPr>
            </w:pPr>
            <w:r>
              <w:rPr>
                <w:rFonts w:hint="eastAsia" w:ascii="宋体" w:hAnsi="宋体" w:eastAsia="宋体" w:cs="Arial"/>
                <w:color w:val="auto"/>
                <w:kern w:val="0"/>
                <w:sz w:val="22"/>
              </w:rPr>
              <w:t>黑龙江惠达科技股份有限公司</w:t>
            </w:r>
          </w:p>
        </w:tc>
        <w:tc>
          <w:tcPr>
            <w:tcW w:w="1418" w:type="dxa"/>
            <w:noWrap/>
            <w:vAlign w:val="center"/>
          </w:tcPr>
          <w:p>
            <w:pPr>
              <w:widowControl/>
              <w:jc w:val="center"/>
              <w:rPr>
                <w:rFonts w:hint="eastAsia" w:ascii="宋体" w:hAnsi="宋体" w:eastAsia="宋体" w:cs="Arial"/>
                <w:color w:val="auto"/>
                <w:kern w:val="0"/>
                <w:sz w:val="22"/>
              </w:rPr>
            </w:pPr>
            <w:r>
              <w:rPr>
                <w:rFonts w:hint="eastAsia" w:ascii="宋体" w:hAnsi="宋体" w:eastAsia="宋体" w:cs="Arial"/>
                <w:color w:val="auto"/>
                <w:kern w:val="0"/>
                <w:sz w:val="22"/>
              </w:rPr>
              <w:t>黑龙江哈尔滨</w:t>
            </w:r>
          </w:p>
        </w:tc>
        <w:tc>
          <w:tcPr>
            <w:tcW w:w="7513" w:type="dxa"/>
            <w:noWrap/>
            <w:vAlign w:val="center"/>
          </w:tcPr>
          <w:p>
            <w:pPr>
              <w:widowControl/>
              <w:rPr>
                <w:rFonts w:hint="eastAsia" w:ascii="宋体" w:hAnsi="宋体" w:eastAsia="宋体" w:cs="Arial"/>
                <w:color w:val="auto"/>
                <w:kern w:val="0"/>
                <w:sz w:val="22"/>
              </w:rPr>
            </w:pPr>
            <w:r>
              <w:rPr>
                <w:rFonts w:hint="eastAsia" w:ascii="宋体" w:hAnsi="宋体" w:eastAsia="宋体" w:cs="Arial"/>
                <w:color w:val="auto"/>
                <w:kern w:val="0"/>
                <w:sz w:val="22"/>
              </w:rPr>
              <w:t>专注于智慧农业产品解决方案，将北斗技术、物联网、人工智能与农业场景相结合，自行研发和生产了一系列的智能装备，包括：农业无人飞机、北斗导航农机自动驾驶系统、农机智能探测设备、智能灌溉系统等产品，并通过自营无人农场运营实现智慧农业方案的典型应用，推进并落地全球农业自动化。产品已经推广到全国</w:t>
            </w:r>
            <w:r>
              <w:rPr>
                <w:rFonts w:ascii="Arial" w:hAnsi="Arial" w:eastAsia="宋体" w:cs="Arial"/>
                <w:color w:val="auto"/>
                <w:kern w:val="0"/>
                <w:sz w:val="22"/>
              </w:rPr>
              <w:t>31</w:t>
            </w:r>
            <w:r>
              <w:rPr>
                <w:rFonts w:hint="eastAsia" w:ascii="宋体" w:hAnsi="宋体" w:eastAsia="宋体" w:cs="Arial"/>
                <w:color w:val="auto"/>
                <w:kern w:val="0"/>
                <w:sz w:val="22"/>
              </w:rPr>
              <w:t>个省级行政区域，渠道合作伙伴超过</w:t>
            </w:r>
            <w:r>
              <w:rPr>
                <w:rFonts w:ascii="Arial" w:hAnsi="Arial" w:eastAsia="宋体" w:cs="Arial"/>
                <w:color w:val="auto"/>
                <w:kern w:val="0"/>
                <w:sz w:val="22"/>
              </w:rPr>
              <w:t>1000</w:t>
            </w:r>
            <w:r>
              <w:rPr>
                <w:rFonts w:hint="eastAsia" w:ascii="宋体" w:hAnsi="宋体" w:eastAsia="宋体" w:cs="Arial"/>
                <w:color w:val="auto"/>
                <w:kern w:val="0"/>
                <w:sz w:val="22"/>
              </w:rPr>
              <w:t>家，在谷物、棉类、薯类、水果等多种农作物生产领域获得了广泛的应用。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8" w:type="dxa"/>
            <w:vAlign w:val="center"/>
          </w:tcPr>
          <w:p>
            <w:pPr>
              <w:widowControl/>
              <w:jc w:val="center"/>
              <w:rPr>
                <w:rFonts w:hint="eastAsia" w:ascii="宋体" w:hAnsi="宋体" w:eastAsia="宋体" w:cs="Arial"/>
                <w:color w:val="auto"/>
                <w:kern w:val="0"/>
                <w:sz w:val="22"/>
              </w:rPr>
            </w:pPr>
            <w:r>
              <w:rPr>
                <w:rFonts w:hint="eastAsia" w:ascii="宋体" w:hAnsi="宋体" w:eastAsia="宋体" w:cs="Arial"/>
                <w:color w:val="auto"/>
                <w:kern w:val="0"/>
                <w:sz w:val="22"/>
              </w:rPr>
              <w:t>7</w:t>
            </w:r>
          </w:p>
        </w:tc>
        <w:tc>
          <w:tcPr>
            <w:tcW w:w="1179" w:type="dxa"/>
            <w:noWrap/>
            <w:vAlign w:val="center"/>
          </w:tcPr>
          <w:p>
            <w:pPr>
              <w:widowControl/>
              <w:jc w:val="center"/>
              <w:rPr>
                <w:rFonts w:hint="eastAsia" w:ascii="宋体" w:hAnsi="宋体" w:eastAsia="宋体" w:cs="Arial"/>
                <w:color w:val="auto"/>
                <w:kern w:val="0"/>
                <w:sz w:val="22"/>
              </w:rPr>
            </w:pPr>
            <w:r>
              <w:rPr>
                <w:rFonts w:hint="eastAsia" w:ascii="宋体" w:hAnsi="宋体" w:eastAsia="宋体" w:cs="Arial"/>
                <w:color w:val="auto"/>
                <w:kern w:val="0"/>
                <w:sz w:val="22"/>
              </w:rPr>
              <w:t>植保</w:t>
            </w:r>
          </w:p>
        </w:tc>
        <w:tc>
          <w:tcPr>
            <w:tcW w:w="3211" w:type="dxa"/>
            <w:noWrap/>
            <w:vAlign w:val="center"/>
          </w:tcPr>
          <w:p>
            <w:pPr>
              <w:widowControl/>
              <w:jc w:val="center"/>
              <w:rPr>
                <w:rFonts w:hint="eastAsia" w:ascii="宋体" w:hAnsi="宋体" w:eastAsia="宋体" w:cs="Arial"/>
                <w:color w:val="auto"/>
                <w:kern w:val="0"/>
                <w:sz w:val="22"/>
              </w:rPr>
            </w:pPr>
            <w:r>
              <w:rPr>
                <w:rFonts w:hint="eastAsia" w:ascii="宋体" w:hAnsi="宋体" w:eastAsia="宋体" w:cs="Arial"/>
                <w:color w:val="auto"/>
                <w:kern w:val="0"/>
                <w:sz w:val="22"/>
              </w:rPr>
              <w:t>沈阳金丰春航空科技有限公司</w:t>
            </w:r>
          </w:p>
        </w:tc>
        <w:tc>
          <w:tcPr>
            <w:tcW w:w="1418" w:type="dxa"/>
            <w:noWrap/>
            <w:vAlign w:val="center"/>
          </w:tcPr>
          <w:p>
            <w:pPr>
              <w:widowControl/>
              <w:jc w:val="center"/>
              <w:rPr>
                <w:rFonts w:hint="eastAsia" w:ascii="宋体" w:hAnsi="宋体" w:eastAsia="宋体" w:cs="Arial"/>
                <w:color w:val="auto"/>
                <w:kern w:val="0"/>
                <w:sz w:val="22"/>
              </w:rPr>
            </w:pPr>
            <w:r>
              <w:rPr>
                <w:rFonts w:hint="eastAsia" w:ascii="宋体" w:hAnsi="宋体" w:eastAsia="宋体" w:cs="Arial"/>
                <w:color w:val="auto"/>
                <w:kern w:val="0"/>
                <w:sz w:val="22"/>
              </w:rPr>
              <w:t>辽宁沈阳</w:t>
            </w:r>
          </w:p>
        </w:tc>
        <w:tc>
          <w:tcPr>
            <w:tcW w:w="7513" w:type="dxa"/>
            <w:noWrap/>
            <w:vAlign w:val="center"/>
          </w:tcPr>
          <w:p>
            <w:pPr>
              <w:widowControl/>
              <w:rPr>
                <w:rFonts w:ascii="Arial" w:hAnsi="Arial" w:eastAsia="宋体" w:cs="Arial"/>
                <w:color w:val="auto"/>
                <w:kern w:val="0"/>
                <w:sz w:val="22"/>
              </w:rPr>
            </w:pPr>
            <w:r>
              <w:rPr>
                <w:rFonts w:hint="eastAsia" w:ascii="宋体" w:hAnsi="宋体" w:eastAsia="宋体" w:cs="Arial"/>
                <w:color w:val="auto"/>
                <w:kern w:val="0"/>
                <w:sz w:val="22"/>
              </w:rPr>
              <w:t>集农业植保无人机的研发、生产、无人机驾驶员培训、植保作业服务，于一体的的综合性高新技术企业。聚焦东北地区农用无人机生产与植保服务，完成</w:t>
            </w:r>
            <w:r>
              <w:rPr>
                <w:rFonts w:ascii="Arial" w:hAnsi="Arial" w:eastAsia="宋体" w:cs="Arial"/>
                <w:color w:val="auto"/>
                <w:kern w:val="0"/>
                <w:sz w:val="22"/>
              </w:rPr>
              <w:t>5L</w:t>
            </w:r>
            <w:r>
              <w:rPr>
                <w:rFonts w:hint="eastAsia" w:ascii="宋体" w:hAnsi="宋体" w:eastAsia="宋体" w:cs="Arial"/>
                <w:color w:val="auto"/>
                <w:kern w:val="0"/>
                <w:sz w:val="22"/>
              </w:rPr>
              <w:t>和</w:t>
            </w:r>
            <w:r>
              <w:rPr>
                <w:rFonts w:ascii="Arial" w:hAnsi="Arial" w:eastAsia="宋体" w:cs="Arial"/>
                <w:color w:val="auto"/>
                <w:kern w:val="0"/>
                <w:sz w:val="22"/>
              </w:rPr>
              <w:t>10L</w:t>
            </w:r>
            <w:r>
              <w:rPr>
                <w:rFonts w:hint="eastAsia" w:ascii="宋体" w:hAnsi="宋体" w:eastAsia="宋体" w:cs="Arial"/>
                <w:color w:val="auto"/>
                <w:kern w:val="0"/>
                <w:sz w:val="22"/>
              </w:rPr>
              <w:t>电动植保机定型，年作业面积达</w:t>
            </w:r>
            <w:r>
              <w:rPr>
                <w:rFonts w:ascii="Arial" w:hAnsi="Arial" w:eastAsia="宋体" w:cs="Arial"/>
                <w:color w:val="auto"/>
                <w:kern w:val="0"/>
                <w:sz w:val="22"/>
              </w:rPr>
              <w:t>8</w:t>
            </w:r>
            <w:r>
              <w:rPr>
                <w:rFonts w:hint="eastAsia" w:ascii="宋体" w:hAnsi="宋体" w:eastAsia="宋体" w:cs="Arial"/>
                <w:color w:val="auto"/>
                <w:kern w:val="0"/>
                <w:sz w:val="22"/>
              </w:rPr>
              <w:t>万亩。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8" w:type="dxa"/>
            <w:vAlign w:val="center"/>
          </w:tcPr>
          <w:p>
            <w:pPr>
              <w:widowControl/>
              <w:jc w:val="center"/>
              <w:rPr>
                <w:rFonts w:hint="eastAsia" w:ascii="宋体" w:hAnsi="宋体" w:eastAsia="宋体" w:cs="Arial"/>
                <w:color w:val="auto"/>
                <w:kern w:val="0"/>
                <w:sz w:val="22"/>
              </w:rPr>
            </w:pPr>
            <w:r>
              <w:rPr>
                <w:rFonts w:hint="eastAsia" w:ascii="宋体" w:hAnsi="宋体" w:eastAsia="宋体" w:cs="Arial"/>
                <w:color w:val="auto"/>
                <w:kern w:val="0"/>
                <w:sz w:val="22"/>
              </w:rPr>
              <w:t>8</w:t>
            </w:r>
          </w:p>
        </w:tc>
        <w:tc>
          <w:tcPr>
            <w:tcW w:w="1179" w:type="dxa"/>
            <w:noWrap/>
            <w:vAlign w:val="center"/>
          </w:tcPr>
          <w:p>
            <w:pPr>
              <w:widowControl/>
              <w:jc w:val="center"/>
              <w:rPr>
                <w:rFonts w:hint="eastAsia" w:ascii="宋体" w:hAnsi="宋体" w:eastAsia="宋体" w:cs="Arial"/>
                <w:color w:val="auto"/>
                <w:kern w:val="0"/>
                <w:sz w:val="22"/>
              </w:rPr>
            </w:pPr>
            <w:r>
              <w:rPr>
                <w:rFonts w:hint="eastAsia" w:ascii="宋体" w:hAnsi="宋体" w:eastAsia="宋体" w:cs="Arial"/>
                <w:color w:val="auto"/>
                <w:kern w:val="0"/>
                <w:sz w:val="22"/>
              </w:rPr>
              <w:t>植保</w:t>
            </w:r>
          </w:p>
        </w:tc>
        <w:tc>
          <w:tcPr>
            <w:tcW w:w="3211" w:type="dxa"/>
            <w:noWrap/>
            <w:vAlign w:val="center"/>
          </w:tcPr>
          <w:p>
            <w:pPr>
              <w:widowControl/>
              <w:jc w:val="center"/>
              <w:rPr>
                <w:rFonts w:hint="eastAsia" w:ascii="宋体" w:hAnsi="宋体" w:eastAsia="宋体" w:cs="Arial"/>
                <w:color w:val="auto"/>
                <w:kern w:val="0"/>
                <w:sz w:val="22"/>
              </w:rPr>
            </w:pPr>
            <w:r>
              <w:rPr>
                <w:rFonts w:hint="eastAsia" w:ascii="宋体" w:hAnsi="宋体" w:eastAsia="宋体" w:cs="Arial"/>
                <w:color w:val="auto"/>
                <w:kern w:val="0"/>
                <w:sz w:val="22"/>
              </w:rPr>
              <w:t>无锡汉和航空技术有限公司</w:t>
            </w:r>
          </w:p>
        </w:tc>
        <w:tc>
          <w:tcPr>
            <w:tcW w:w="1418" w:type="dxa"/>
            <w:noWrap/>
            <w:vAlign w:val="center"/>
          </w:tcPr>
          <w:p>
            <w:pPr>
              <w:widowControl/>
              <w:jc w:val="center"/>
              <w:rPr>
                <w:rFonts w:hint="eastAsia" w:ascii="宋体" w:hAnsi="宋体" w:eastAsia="宋体" w:cs="Arial"/>
                <w:color w:val="auto"/>
                <w:kern w:val="0"/>
                <w:sz w:val="22"/>
              </w:rPr>
            </w:pPr>
            <w:r>
              <w:rPr>
                <w:rFonts w:hint="eastAsia" w:ascii="宋体" w:hAnsi="宋体" w:eastAsia="宋体" w:cs="Arial"/>
                <w:color w:val="auto"/>
                <w:kern w:val="0"/>
                <w:sz w:val="22"/>
              </w:rPr>
              <w:t>江苏无锡</w:t>
            </w:r>
          </w:p>
        </w:tc>
        <w:tc>
          <w:tcPr>
            <w:tcW w:w="7513" w:type="dxa"/>
            <w:noWrap/>
            <w:vAlign w:val="center"/>
          </w:tcPr>
          <w:p>
            <w:pPr>
              <w:widowControl/>
              <w:rPr>
                <w:rFonts w:ascii="Arial" w:hAnsi="Arial" w:eastAsia="宋体" w:cs="Arial"/>
                <w:color w:val="auto"/>
                <w:kern w:val="0"/>
                <w:sz w:val="22"/>
              </w:rPr>
            </w:pPr>
            <w:r>
              <w:rPr>
                <w:rFonts w:hint="eastAsia" w:ascii="宋体" w:hAnsi="宋体" w:eastAsia="宋体" w:cs="Arial"/>
                <w:color w:val="auto"/>
                <w:kern w:val="0"/>
                <w:sz w:val="22"/>
              </w:rPr>
              <w:t>中国植保无人机开拓者，开发首款果树植保无人机，与科研机构合作推动农业机器人技术，覆盖华东果园与茶园管理。参与多项国家林业病虫害防治项目。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8" w:type="dxa"/>
            <w:vAlign w:val="center"/>
          </w:tcPr>
          <w:p>
            <w:pPr>
              <w:widowControl/>
              <w:jc w:val="center"/>
              <w:rPr>
                <w:rFonts w:hint="eastAsia" w:ascii="宋体" w:hAnsi="宋体" w:eastAsia="宋体" w:cs="Arial"/>
                <w:color w:val="auto"/>
                <w:kern w:val="0"/>
                <w:sz w:val="22"/>
              </w:rPr>
            </w:pPr>
            <w:r>
              <w:rPr>
                <w:rFonts w:hint="eastAsia" w:ascii="宋体" w:hAnsi="宋体" w:eastAsia="宋体" w:cs="Arial"/>
                <w:color w:val="auto"/>
                <w:kern w:val="0"/>
                <w:sz w:val="22"/>
              </w:rPr>
              <w:t>9</w:t>
            </w:r>
          </w:p>
        </w:tc>
        <w:tc>
          <w:tcPr>
            <w:tcW w:w="1179" w:type="dxa"/>
            <w:noWrap/>
            <w:vAlign w:val="center"/>
          </w:tcPr>
          <w:p>
            <w:pPr>
              <w:widowControl/>
              <w:jc w:val="center"/>
              <w:rPr>
                <w:rFonts w:hint="eastAsia" w:ascii="宋体" w:hAnsi="宋体" w:eastAsia="宋体" w:cs="Arial"/>
                <w:color w:val="auto"/>
                <w:kern w:val="0"/>
                <w:sz w:val="22"/>
              </w:rPr>
            </w:pPr>
            <w:r>
              <w:rPr>
                <w:rFonts w:hint="eastAsia" w:ascii="宋体" w:hAnsi="宋体" w:eastAsia="宋体" w:cs="Arial"/>
                <w:color w:val="auto"/>
                <w:kern w:val="0"/>
                <w:sz w:val="22"/>
              </w:rPr>
              <w:t>植保</w:t>
            </w:r>
          </w:p>
        </w:tc>
        <w:tc>
          <w:tcPr>
            <w:tcW w:w="3211" w:type="dxa"/>
            <w:noWrap/>
            <w:vAlign w:val="center"/>
          </w:tcPr>
          <w:p>
            <w:pPr>
              <w:widowControl/>
              <w:jc w:val="center"/>
              <w:rPr>
                <w:rFonts w:hint="eastAsia" w:ascii="宋体" w:hAnsi="宋体" w:eastAsia="宋体" w:cs="Arial"/>
                <w:color w:val="auto"/>
                <w:kern w:val="0"/>
                <w:sz w:val="22"/>
              </w:rPr>
            </w:pPr>
            <w:r>
              <w:rPr>
                <w:rFonts w:hint="eastAsia" w:ascii="宋体" w:hAnsi="宋体" w:eastAsia="宋体" w:cs="Arial"/>
                <w:color w:val="auto"/>
                <w:kern w:val="0"/>
                <w:sz w:val="22"/>
              </w:rPr>
              <w:t>杭州启飞智能科技有限公司</w:t>
            </w:r>
          </w:p>
        </w:tc>
        <w:tc>
          <w:tcPr>
            <w:tcW w:w="1418" w:type="dxa"/>
            <w:noWrap/>
            <w:vAlign w:val="center"/>
          </w:tcPr>
          <w:p>
            <w:pPr>
              <w:widowControl/>
              <w:jc w:val="center"/>
              <w:rPr>
                <w:rFonts w:hint="eastAsia" w:ascii="宋体" w:hAnsi="宋体" w:eastAsia="宋体" w:cs="Arial"/>
                <w:color w:val="auto"/>
                <w:kern w:val="0"/>
                <w:sz w:val="22"/>
              </w:rPr>
            </w:pPr>
            <w:r>
              <w:rPr>
                <w:rFonts w:hint="eastAsia" w:ascii="宋体" w:hAnsi="宋体" w:eastAsia="宋体" w:cs="Arial"/>
                <w:color w:val="auto"/>
                <w:kern w:val="0"/>
                <w:sz w:val="22"/>
              </w:rPr>
              <w:t>浙江杭州</w:t>
            </w:r>
          </w:p>
        </w:tc>
        <w:tc>
          <w:tcPr>
            <w:tcW w:w="7513" w:type="dxa"/>
            <w:noWrap/>
            <w:vAlign w:val="center"/>
          </w:tcPr>
          <w:p>
            <w:pPr>
              <w:widowControl/>
              <w:rPr>
                <w:rFonts w:ascii="Arial" w:hAnsi="Arial" w:eastAsia="宋体" w:cs="Arial"/>
                <w:color w:val="auto"/>
                <w:kern w:val="0"/>
                <w:sz w:val="22"/>
              </w:rPr>
            </w:pPr>
            <w:r>
              <w:rPr>
                <w:rFonts w:hint="eastAsia" w:ascii="宋体" w:hAnsi="宋体" w:eastAsia="宋体" w:cs="Arial"/>
                <w:color w:val="auto"/>
                <w:kern w:val="0"/>
                <w:sz w:val="22"/>
              </w:rPr>
              <w:t>致力于农业科技技术的研发与推广，是一家涵盖植保无人机整机解决方案，飞行控制系统、RTK高精度导航系统、智能喷洒系统、农业物联网及绿色防控系统的高端装备供应商。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8" w:type="dxa"/>
            <w:vAlign w:val="center"/>
          </w:tcPr>
          <w:p>
            <w:pPr>
              <w:widowControl/>
              <w:jc w:val="center"/>
              <w:rPr>
                <w:rFonts w:hint="eastAsia" w:ascii="宋体" w:hAnsi="宋体" w:eastAsia="宋体" w:cs="Arial"/>
                <w:color w:val="auto"/>
                <w:kern w:val="0"/>
                <w:sz w:val="22"/>
              </w:rPr>
            </w:pPr>
            <w:r>
              <w:rPr>
                <w:rFonts w:hint="eastAsia" w:ascii="宋体" w:hAnsi="宋体" w:eastAsia="宋体" w:cs="Arial"/>
                <w:color w:val="auto"/>
                <w:kern w:val="0"/>
                <w:sz w:val="22"/>
              </w:rPr>
              <w:t>10</w:t>
            </w:r>
          </w:p>
        </w:tc>
        <w:tc>
          <w:tcPr>
            <w:tcW w:w="1179" w:type="dxa"/>
            <w:noWrap/>
            <w:vAlign w:val="center"/>
          </w:tcPr>
          <w:p>
            <w:pPr>
              <w:widowControl/>
              <w:jc w:val="center"/>
              <w:rPr>
                <w:rFonts w:hint="eastAsia" w:ascii="宋体" w:hAnsi="宋体" w:eastAsia="宋体" w:cs="Arial"/>
                <w:color w:val="auto"/>
                <w:kern w:val="0"/>
                <w:sz w:val="22"/>
              </w:rPr>
            </w:pPr>
            <w:r>
              <w:rPr>
                <w:rFonts w:hint="eastAsia" w:ascii="宋体" w:hAnsi="宋体" w:eastAsia="宋体" w:cs="Arial"/>
                <w:color w:val="auto"/>
                <w:kern w:val="0"/>
                <w:sz w:val="22"/>
              </w:rPr>
              <w:t>巡检</w:t>
            </w:r>
          </w:p>
        </w:tc>
        <w:tc>
          <w:tcPr>
            <w:tcW w:w="3211" w:type="dxa"/>
            <w:noWrap/>
            <w:vAlign w:val="center"/>
          </w:tcPr>
          <w:p>
            <w:pPr>
              <w:widowControl/>
              <w:jc w:val="center"/>
              <w:rPr>
                <w:rFonts w:hint="eastAsia" w:ascii="宋体" w:hAnsi="宋体" w:eastAsia="宋体" w:cs="Arial"/>
                <w:color w:val="auto"/>
                <w:kern w:val="0"/>
                <w:sz w:val="22"/>
              </w:rPr>
            </w:pPr>
            <w:r>
              <w:rPr>
                <w:rFonts w:hint="eastAsia" w:ascii="宋体" w:hAnsi="宋体" w:eastAsia="宋体" w:cs="Arial"/>
                <w:color w:val="auto"/>
                <w:kern w:val="0"/>
                <w:sz w:val="22"/>
              </w:rPr>
              <w:t>蜂巢航宇科技（北京）有限公司</w:t>
            </w:r>
          </w:p>
        </w:tc>
        <w:tc>
          <w:tcPr>
            <w:tcW w:w="1418" w:type="dxa"/>
            <w:noWrap/>
            <w:vAlign w:val="center"/>
          </w:tcPr>
          <w:p>
            <w:pPr>
              <w:widowControl/>
              <w:jc w:val="center"/>
              <w:rPr>
                <w:rFonts w:hint="eastAsia" w:ascii="宋体" w:hAnsi="宋体" w:eastAsia="宋体" w:cs="Arial"/>
                <w:color w:val="auto"/>
                <w:kern w:val="0"/>
                <w:sz w:val="22"/>
              </w:rPr>
            </w:pPr>
            <w:r>
              <w:rPr>
                <w:rFonts w:hint="eastAsia" w:ascii="宋体" w:hAnsi="宋体" w:eastAsia="宋体" w:cs="Arial"/>
                <w:color w:val="auto"/>
                <w:kern w:val="0"/>
                <w:sz w:val="22"/>
              </w:rPr>
              <w:t>北京</w:t>
            </w:r>
          </w:p>
        </w:tc>
        <w:tc>
          <w:tcPr>
            <w:tcW w:w="7513" w:type="dxa"/>
            <w:noWrap/>
            <w:vAlign w:val="center"/>
          </w:tcPr>
          <w:p>
            <w:pPr>
              <w:widowControl/>
              <w:rPr>
                <w:rFonts w:hint="eastAsia" w:ascii="宋体" w:hAnsi="宋体" w:eastAsia="宋体" w:cs="Arial"/>
                <w:color w:val="auto"/>
                <w:kern w:val="0"/>
                <w:sz w:val="22"/>
              </w:rPr>
            </w:pPr>
            <w:r>
              <w:rPr>
                <w:rFonts w:hint="eastAsia" w:ascii="宋体" w:hAnsi="宋体" w:eastAsia="宋体" w:cs="Arial"/>
                <w:color w:val="auto"/>
                <w:kern w:val="0"/>
                <w:sz w:val="22"/>
              </w:rPr>
              <w:t>提供污染源追踪、突发环境事件应急监测、水气污染监测等无人机解决方案，产品广泛应用于环境监测、应急救援等领域。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8" w:type="dxa"/>
            <w:vAlign w:val="center"/>
          </w:tcPr>
          <w:p>
            <w:pPr>
              <w:widowControl/>
              <w:jc w:val="center"/>
              <w:rPr>
                <w:rFonts w:hint="eastAsia" w:ascii="宋体" w:hAnsi="宋体" w:eastAsia="宋体" w:cs="Arial"/>
                <w:color w:val="auto"/>
                <w:kern w:val="0"/>
                <w:sz w:val="22"/>
              </w:rPr>
            </w:pPr>
            <w:r>
              <w:rPr>
                <w:rFonts w:hint="eastAsia" w:ascii="宋体" w:hAnsi="宋体" w:eastAsia="宋体" w:cs="Arial"/>
                <w:color w:val="auto"/>
                <w:kern w:val="0"/>
                <w:sz w:val="22"/>
              </w:rPr>
              <w:t>11</w:t>
            </w:r>
          </w:p>
        </w:tc>
        <w:tc>
          <w:tcPr>
            <w:tcW w:w="1179" w:type="dxa"/>
            <w:noWrap/>
            <w:vAlign w:val="center"/>
          </w:tcPr>
          <w:p>
            <w:pPr>
              <w:widowControl/>
              <w:jc w:val="center"/>
              <w:rPr>
                <w:rFonts w:hint="eastAsia" w:ascii="宋体" w:hAnsi="宋体" w:eastAsia="宋体" w:cs="Arial"/>
                <w:color w:val="auto"/>
                <w:kern w:val="0"/>
                <w:sz w:val="22"/>
              </w:rPr>
            </w:pPr>
            <w:r>
              <w:rPr>
                <w:rFonts w:hint="eastAsia" w:ascii="宋体" w:hAnsi="宋体" w:eastAsia="宋体" w:cs="Arial"/>
                <w:color w:val="auto"/>
                <w:kern w:val="0"/>
                <w:sz w:val="22"/>
              </w:rPr>
              <w:t>巡检</w:t>
            </w:r>
          </w:p>
        </w:tc>
        <w:tc>
          <w:tcPr>
            <w:tcW w:w="3211" w:type="dxa"/>
            <w:noWrap/>
            <w:vAlign w:val="center"/>
          </w:tcPr>
          <w:p>
            <w:pPr>
              <w:widowControl/>
              <w:jc w:val="center"/>
              <w:rPr>
                <w:rFonts w:hint="eastAsia" w:ascii="宋体" w:hAnsi="宋体" w:eastAsia="宋体" w:cs="Arial"/>
                <w:color w:val="auto"/>
                <w:kern w:val="0"/>
                <w:sz w:val="22"/>
              </w:rPr>
            </w:pPr>
            <w:r>
              <w:rPr>
                <w:rFonts w:hint="eastAsia" w:ascii="宋体" w:hAnsi="宋体" w:eastAsia="宋体" w:cs="Arial"/>
                <w:color w:val="auto"/>
                <w:kern w:val="0"/>
                <w:sz w:val="22"/>
              </w:rPr>
              <w:t>北京云圣智能科技有限责任公司</w:t>
            </w:r>
          </w:p>
        </w:tc>
        <w:tc>
          <w:tcPr>
            <w:tcW w:w="1418" w:type="dxa"/>
            <w:noWrap/>
            <w:vAlign w:val="center"/>
          </w:tcPr>
          <w:p>
            <w:pPr>
              <w:widowControl/>
              <w:jc w:val="center"/>
              <w:rPr>
                <w:rFonts w:hint="eastAsia" w:ascii="宋体" w:hAnsi="宋体" w:eastAsia="宋体" w:cs="Arial"/>
                <w:color w:val="auto"/>
                <w:kern w:val="0"/>
                <w:sz w:val="22"/>
              </w:rPr>
            </w:pPr>
            <w:r>
              <w:rPr>
                <w:rFonts w:hint="eastAsia" w:ascii="宋体" w:hAnsi="宋体" w:eastAsia="宋体" w:cs="Arial"/>
                <w:color w:val="auto"/>
                <w:kern w:val="0"/>
                <w:sz w:val="22"/>
              </w:rPr>
              <w:t>北京</w:t>
            </w:r>
          </w:p>
        </w:tc>
        <w:tc>
          <w:tcPr>
            <w:tcW w:w="7513" w:type="dxa"/>
            <w:noWrap/>
            <w:vAlign w:val="center"/>
          </w:tcPr>
          <w:p>
            <w:pPr>
              <w:widowControl/>
              <w:rPr>
                <w:rFonts w:ascii="Arial" w:hAnsi="Arial" w:eastAsia="宋体" w:cs="Arial"/>
                <w:color w:val="auto"/>
                <w:kern w:val="0"/>
                <w:sz w:val="22"/>
              </w:rPr>
            </w:pPr>
            <w:r>
              <w:rPr>
                <w:rFonts w:hint="eastAsia" w:ascii="宋体" w:hAnsi="宋体" w:eastAsia="宋体" w:cs="Arial"/>
                <w:color w:val="auto"/>
                <w:kern w:val="0"/>
                <w:sz w:val="22"/>
              </w:rPr>
              <w:t>以四维全息实景地图、工业无人机、全自动机场、地面机器人、物联网云平台为载体，融合多元传感器，为行业级用户提供“机、网、云”一体化系统解决方案，为电力、新能源、消防应急、智慧城市、林业、智慧文旅等领域提供天地联动四维全息管控平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8" w:type="dxa"/>
            <w:vAlign w:val="center"/>
          </w:tcPr>
          <w:p>
            <w:pPr>
              <w:widowControl/>
              <w:jc w:val="center"/>
              <w:rPr>
                <w:rFonts w:hint="eastAsia" w:ascii="宋体" w:hAnsi="宋体" w:eastAsia="宋体" w:cs="Arial"/>
                <w:color w:val="auto"/>
                <w:kern w:val="0"/>
                <w:sz w:val="22"/>
              </w:rPr>
            </w:pPr>
            <w:r>
              <w:rPr>
                <w:rFonts w:hint="eastAsia" w:ascii="宋体" w:hAnsi="宋体" w:eastAsia="宋体" w:cs="Arial"/>
                <w:color w:val="auto"/>
                <w:kern w:val="0"/>
                <w:sz w:val="22"/>
              </w:rPr>
              <w:t>12</w:t>
            </w:r>
          </w:p>
        </w:tc>
        <w:tc>
          <w:tcPr>
            <w:tcW w:w="1179" w:type="dxa"/>
            <w:vAlign w:val="center"/>
          </w:tcPr>
          <w:p>
            <w:pPr>
              <w:widowControl/>
              <w:jc w:val="center"/>
              <w:rPr>
                <w:rFonts w:hint="eastAsia" w:ascii="宋体" w:hAnsi="宋体" w:eastAsia="宋体" w:cs="Arial"/>
                <w:color w:val="auto"/>
                <w:kern w:val="0"/>
                <w:sz w:val="22"/>
              </w:rPr>
            </w:pPr>
            <w:r>
              <w:rPr>
                <w:rFonts w:hint="eastAsia" w:ascii="宋体" w:hAnsi="宋体" w:eastAsia="宋体" w:cs="Arial"/>
                <w:color w:val="auto"/>
                <w:kern w:val="0"/>
                <w:sz w:val="22"/>
              </w:rPr>
              <w:t>巡检</w:t>
            </w:r>
          </w:p>
        </w:tc>
        <w:tc>
          <w:tcPr>
            <w:tcW w:w="3211" w:type="dxa"/>
            <w:noWrap/>
            <w:vAlign w:val="center"/>
          </w:tcPr>
          <w:p>
            <w:pPr>
              <w:widowControl/>
              <w:jc w:val="center"/>
              <w:rPr>
                <w:rFonts w:hint="eastAsia" w:ascii="宋体" w:hAnsi="宋体" w:eastAsia="宋体" w:cs="Arial"/>
                <w:color w:val="auto"/>
                <w:kern w:val="0"/>
                <w:sz w:val="22"/>
              </w:rPr>
            </w:pPr>
            <w:r>
              <w:rPr>
                <w:rFonts w:hint="eastAsia" w:ascii="宋体" w:hAnsi="宋体" w:eastAsia="宋体" w:cs="Arial"/>
                <w:color w:val="auto"/>
                <w:kern w:val="0"/>
                <w:sz w:val="22"/>
              </w:rPr>
              <w:t>北京江山恒远科技有限公司</w:t>
            </w:r>
          </w:p>
        </w:tc>
        <w:tc>
          <w:tcPr>
            <w:tcW w:w="1418" w:type="dxa"/>
            <w:noWrap/>
            <w:vAlign w:val="center"/>
          </w:tcPr>
          <w:p>
            <w:pPr>
              <w:widowControl/>
              <w:jc w:val="center"/>
              <w:rPr>
                <w:rFonts w:hint="eastAsia" w:ascii="宋体" w:hAnsi="宋体" w:eastAsia="宋体" w:cs="Arial"/>
                <w:color w:val="auto"/>
                <w:kern w:val="0"/>
                <w:sz w:val="22"/>
              </w:rPr>
            </w:pPr>
            <w:r>
              <w:rPr>
                <w:rFonts w:hint="eastAsia" w:ascii="宋体" w:hAnsi="宋体" w:eastAsia="宋体" w:cs="Arial"/>
                <w:color w:val="auto"/>
                <w:kern w:val="0"/>
                <w:sz w:val="22"/>
              </w:rPr>
              <w:t>北京</w:t>
            </w:r>
          </w:p>
        </w:tc>
        <w:tc>
          <w:tcPr>
            <w:tcW w:w="7513" w:type="dxa"/>
            <w:noWrap/>
            <w:vAlign w:val="center"/>
          </w:tcPr>
          <w:p>
            <w:pPr>
              <w:widowControl/>
              <w:rPr>
                <w:rFonts w:hint="eastAsia" w:ascii="宋体" w:hAnsi="宋体" w:eastAsia="宋体" w:cs="Arial"/>
                <w:color w:val="auto"/>
                <w:kern w:val="0"/>
                <w:sz w:val="22"/>
              </w:rPr>
            </w:pPr>
            <w:r>
              <w:rPr>
                <w:rFonts w:hint="eastAsia" w:ascii="宋体" w:hAnsi="宋体" w:eastAsia="宋体" w:cs="Arial"/>
                <w:color w:val="auto"/>
                <w:kern w:val="0"/>
                <w:sz w:val="22"/>
              </w:rPr>
              <w:t>以无人机技术服务为核心，专注于提供无人机系统及航空信息服务、空间数据处理与系统解决方案。现为防务、林草、能源、自然资源、应急、农业、交通运输、大学、科研院所等提供服务与解决方案。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8" w:type="dxa"/>
            <w:vAlign w:val="center"/>
          </w:tcPr>
          <w:p>
            <w:pPr>
              <w:widowControl/>
              <w:jc w:val="center"/>
              <w:rPr>
                <w:rFonts w:hint="eastAsia" w:ascii="宋体" w:hAnsi="宋体" w:eastAsia="宋体" w:cs="Arial"/>
                <w:color w:val="auto"/>
                <w:kern w:val="0"/>
                <w:sz w:val="22"/>
              </w:rPr>
            </w:pPr>
            <w:r>
              <w:rPr>
                <w:rFonts w:hint="eastAsia" w:ascii="宋体" w:hAnsi="宋体" w:eastAsia="宋体" w:cs="Arial"/>
                <w:color w:val="auto"/>
                <w:kern w:val="0"/>
                <w:sz w:val="22"/>
              </w:rPr>
              <w:t>13</w:t>
            </w:r>
          </w:p>
        </w:tc>
        <w:tc>
          <w:tcPr>
            <w:tcW w:w="1179" w:type="dxa"/>
            <w:vAlign w:val="center"/>
          </w:tcPr>
          <w:p>
            <w:pPr>
              <w:widowControl/>
              <w:jc w:val="center"/>
              <w:rPr>
                <w:rFonts w:hint="eastAsia" w:ascii="宋体" w:hAnsi="宋体" w:eastAsia="宋体" w:cs="Arial"/>
                <w:color w:val="auto"/>
                <w:kern w:val="0"/>
                <w:sz w:val="22"/>
              </w:rPr>
            </w:pPr>
            <w:r>
              <w:rPr>
                <w:rFonts w:hint="eastAsia" w:ascii="宋体" w:hAnsi="宋体" w:eastAsia="宋体" w:cs="Arial"/>
                <w:color w:val="auto"/>
                <w:kern w:val="0"/>
                <w:sz w:val="22"/>
              </w:rPr>
              <w:t>巡检</w:t>
            </w:r>
          </w:p>
        </w:tc>
        <w:tc>
          <w:tcPr>
            <w:tcW w:w="3211" w:type="dxa"/>
            <w:noWrap/>
            <w:vAlign w:val="center"/>
          </w:tcPr>
          <w:p>
            <w:pPr>
              <w:widowControl/>
              <w:jc w:val="center"/>
              <w:rPr>
                <w:rFonts w:hint="eastAsia" w:ascii="宋体" w:hAnsi="宋体" w:eastAsia="宋体" w:cs="Arial"/>
                <w:color w:val="auto"/>
                <w:kern w:val="0"/>
                <w:sz w:val="22"/>
              </w:rPr>
            </w:pPr>
            <w:r>
              <w:rPr>
                <w:rFonts w:hint="eastAsia" w:ascii="宋体" w:hAnsi="宋体" w:eastAsia="宋体" w:cs="Arial"/>
                <w:color w:val="auto"/>
                <w:kern w:val="0"/>
                <w:sz w:val="22"/>
              </w:rPr>
              <w:t>北京远度互联科技有限公司</w:t>
            </w:r>
          </w:p>
        </w:tc>
        <w:tc>
          <w:tcPr>
            <w:tcW w:w="1418" w:type="dxa"/>
            <w:noWrap/>
            <w:vAlign w:val="center"/>
          </w:tcPr>
          <w:p>
            <w:pPr>
              <w:widowControl/>
              <w:jc w:val="center"/>
              <w:rPr>
                <w:rFonts w:hint="eastAsia" w:ascii="宋体" w:hAnsi="宋体" w:eastAsia="宋体" w:cs="Arial"/>
                <w:color w:val="auto"/>
                <w:kern w:val="0"/>
                <w:sz w:val="22"/>
              </w:rPr>
            </w:pPr>
            <w:r>
              <w:rPr>
                <w:rFonts w:hint="eastAsia" w:ascii="宋体" w:hAnsi="宋体" w:eastAsia="宋体" w:cs="Arial"/>
                <w:color w:val="auto"/>
                <w:kern w:val="0"/>
                <w:sz w:val="22"/>
              </w:rPr>
              <w:t>北京</w:t>
            </w:r>
          </w:p>
        </w:tc>
        <w:tc>
          <w:tcPr>
            <w:tcW w:w="7513" w:type="dxa"/>
            <w:noWrap/>
            <w:vAlign w:val="center"/>
          </w:tcPr>
          <w:p>
            <w:pPr>
              <w:widowControl/>
              <w:rPr>
                <w:rFonts w:hint="eastAsia" w:ascii="宋体" w:hAnsi="宋体" w:eastAsia="宋体" w:cs="Arial"/>
                <w:color w:val="auto"/>
                <w:kern w:val="0"/>
                <w:sz w:val="22"/>
              </w:rPr>
            </w:pPr>
            <w:r>
              <w:rPr>
                <w:rFonts w:hint="eastAsia" w:ascii="宋体" w:hAnsi="宋体" w:eastAsia="宋体" w:cs="Arial"/>
                <w:color w:val="auto"/>
                <w:kern w:val="0"/>
                <w:sz w:val="22"/>
              </w:rPr>
              <w:t>复合翼安防巡检类无人机年飞行里程超过</w:t>
            </w:r>
            <w:r>
              <w:rPr>
                <w:rFonts w:ascii="Arial" w:hAnsi="Arial" w:eastAsia="宋体" w:cs="Arial"/>
                <w:color w:val="auto"/>
                <w:kern w:val="0"/>
                <w:sz w:val="22"/>
              </w:rPr>
              <w:t>200</w:t>
            </w:r>
            <w:r>
              <w:rPr>
                <w:rFonts w:hint="eastAsia" w:ascii="宋体" w:hAnsi="宋体" w:eastAsia="宋体" w:cs="Arial"/>
                <w:color w:val="auto"/>
                <w:kern w:val="0"/>
                <w:sz w:val="22"/>
              </w:rPr>
              <w:t>万公里，已在公安、应急、电力、林草、石油、环保、军工等行业占据主要市场份额。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8" w:type="dxa"/>
            <w:vAlign w:val="center"/>
          </w:tcPr>
          <w:p>
            <w:pPr>
              <w:widowControl/>
              <w:jc w:val="center"/>
              <w:rPr>
                <w:rFonts w:hint="eastAsia" w:ascii="宋体" w:hAnsi="宋体" w:eastAsia="宋体" w:cs="Arial"/>
                <w:color w:val="auto"/>
                <w:kern w:val="0"/>
                <w:sz w:val="22"/>
              </w:rPr>
            </w:pPr>
            <w:r>
              <w:rPr>
                <w:rFonts w:hint="eastAsia" w:ascii="宋体" w:hAnsi="宋体" w:eastAsia="宋体" w:cs="Arial"/>
                <w:color w:val="auto"/>
                <w:kern w:val="0"/>
                <w:sz w:val="22"/>
              </w:rPr>
              <w:t>14</w:t>
            </w:r>
          </w:p>
        </w:tc>
        <w:tc>
          <w:tcPr>
            <w:tcW w:w="1179" w:type="dxa"/>
            <w:vAlign w:val="center"/>
          </w:tcPr>
          <w:p>
            <w:pPr>
              <w:widowControl/>
              <w:jc w:val="center"/>
              <w:rPr>
                <w:rFonts w:hint="eastAsia" w:ascii="宋体" w:hAnsi="宋体" w:eastAsia="宋体" w:cs="Arial"/>
                <w:color w:val="auto"/>
                <w:kern w:val="0"/>
                <w:sz w:val="22"/>
              </w:rPr>
            </w:pPr>
            <w:r>
              <w:rPr>
                <w:rFonts w:hint="eastAsia" w:ascii="宋体" w:hAnsi="宋体" w:eastAsia="宋体" w:cs="Arial"/>
                <w:color w:val="auto"/>
                <w:kern w:val="0"/>
                <w:sz w:val="22"/>
              </w:rPr>
              <w:t>巡检</w:t>
            </w:r>
          </w:p>
        </w:tc>
        <w:tc>
          <w:tcPr>
            <w:tcW w:w="3211" w:type="dxa"/>
            <w:noWrap/>
            <w:vAlign w:val="center"/>
          </w:tcPr>
          <w:p>
            <w:pPr>
              <w:widowControl/>
              <w:jc w:val="center"/>
              <w:rPr>
                <w:rFonts w:hint="eastAsia" w:ascii="宋体" w:hAnsi="宋体" w:eastAsia="宋体" w:cs="Arial"/>
                <w:color w:val="auto"/>
                <w:kern w:val="0"/>
                <w:sz w:val="22"/>
              </w:rPr>
            </w:pPr>
            <w:r>
              <w:rPr>
                <w:rFonts w:hint="eastAsia" w:ascii="宋体" w:hAnsi="宋体" w:eastAsia="宋体" w:cs="Arial"/>
                <w:color w:val="auto"/>
                <w:kern w:val="0"/>
                <w:sz w:val="22"/>
              </w:rPr>
              <w:t>广州市华科尔科技股份有限公司</w:t>
            </w:r>
          </w:p>
        </w:tc>
        <w:tc>
          <w:tcPr>
            <w:tcW w:w="1418" w:type="dxa"/>
            <w:noWrap/>
            <w:vAlign w:val="center"/>
          </w:tcPr>
          <w:p>
            <w:pPr>
              <w:widowControl/>
              <w:jc w:val="center"/>
              <w:rPr>
                <w:rFonts w:hint="eastAsia" w:ascii="宋体" w:hAnsi="宋体" w:eastAsia="宋体" w:cs="Arial"/>
                <w:color w:val="auto"/>
                <w:kern w:val="0"/>
                <w:sz w:val="22"/>
              </w:rPr>
            </w:pPr>
            <w:r>
              <w:rPr>
                <w:rFonts w:hint="eastAsia" w:ascii="宋体" w:hAnsi="宋体" w:eastAsia="宋体" w:cs="Arial"/>
                <w:color w:val="auto"/>
                <w:kern w:val="0"/>
                <w:sz w:val="22"/>
              </w:rPr>
              <w:t>广东广州</w:t>
            </w:r>
          </w:p>
        </w:tc>
        <w:tc>
          <w:tcPr>
            <w:tcW w:w="7513" w:type="dxa"/>
            <w:noWrap/>
            <w:vAlign w:val="center"/>
          </w:tcPr>
          <w:p>
            <w:pPr>
              <w:widowControl/>
              <w:rPr>
                <w:rFonts w:hint="eastAsia" w:ascii="宋体" w:hAnsi="宋体" w:eastAsia="宋体" w:cs="Arial"/>
                <w:color w:val="auto"/>
                <w:kern w:val="0"/>
                <w:sz w:val="22"/>
              </w:rPr>
            </w:pPr>
            <w:r>
              <w:rPr>
                <w:rFonts w:hint="eastAsia" w:ascii="宋体" w:hAnsi="宋体" w:eastAsia="宋体" w:cs="Arial"/>
                <w:color w:val="auto"/>
                <w:kern w:val="0"/>
                <w:sz w:val="22"/>
              </w:rPr>
              <w:t>华科尔无人机行业应用结合无人机遥感平台，为客户提供专业的AI数据采集，并提供一站式服务解决方案。在基础测绘、土地资源调查监测、土地利用动态监测、数字城市建设、电力巡检和应急救灾测绘数据获取等领域广泛应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8" w:type="dxa"/>
            <w:vAlign w:val="center"/>
          </w:tcPr>
          <w:p>
            <w:pPr>
              <w:widowControl/>
              <w:jc w:val="center"/>
              <w:rPr>
                <w:rFonts w:hint="eastAsia" w:ascii="宋体" w:hAnsi="宋体" w:eastAsia="宋体" w:cs="Arial"/>
                <w:color w:val="auto"/>
                <w:kern w:val="0"/>
                <w:sz w:val="22"/>
              </w:rPr>
            </w:pPr>
            <w:r>
              <w:rPr>
                <w:rFonts w:hint="eastAsia" w:ascii="宋体" w:hAnsi="宋体" w:eastAsia="宋体" w:cs="Arial"/>
                <w:color w:val="auto"/>
                <w:kern w:val="0"/>
                <w:sz w:val="22"/>
              </w:rPr>
              <w:t>15</w:t>
            </w:r>
          </w:p>
        </w:tc>
        <w:tc>
          <w:tcPr>
            <w:tcW w:w="1179" w:type="dxa"/>
            <w:vAlign w:val="center"/>
          </w:tcPr>
          <w:p>
            <w:pPr>
              <w:widowControl/>
              <w:jc w:val="center"/>
              <w:rPr>
                <w:rFonts w:hint="eastAsia" w:ascii="宋体" w:hAnsi="宋体" w:eastAsia="宋体" w:cs="Arial"/>
                <w:color w:val="auto"/>
                <w:kern w:val="0"/>
                <w:sz w:val="22"/>
              </w:rPr>
            </w:pPr>
            <w:r>
              <w:rPr>
                <w:rFonts w:hint="eastAsia" w:ascii="宋体" w:hAnsi="宋体" w:eastAsia="宋体" w:cs="Arial"/>
                <w:color w:val="auto"/>
                <w:kern w:val="0"/>
                <w:sz w:val="22"/>
              </w:rPr>
              <w:t>巡检</w:t>
            </w:r>
          </w:p>
        </w:tc>
        <w:tc>
          <w:tcPr>
            <w:tcW w:w="3211" w:type="dxa"/>
            <w:noWrap/>
            <w:vAlign w:val="center"/>
          </w:tcPr>
          <w:p>
            <w:pPr>
              <w:widowControl/>
              <w:jc w:val="center"/>
              <w:rPr>
                <w:rFonts w:hint="eastAsia" w:ascii="宋体" w:hAnsi="宋体" w:eastAsia="宋体" w:cs="Arial"/>
                <w:color w:val="auto"/>
                <w:kern w:val="0"/>
                <w:sz w:val="22"/>
              </w:rPr>
            </w:pPr>
            <w:r>
              <w:rPr>
                <w:rFonts w:hint="eastAsia" w:ascii="宋体" w:hAnsi="宋体" w:eastAsia="宋体" w:cs="Arial"/>
                <w:color w:val="auto"/>
                <w:kern w:val="0"/>
                <w:sz w:val="22"/>
              </w:rPr>
              <w:t>深圳市赛为智能股份有限公司</w:t>
            </w:r>
          </w:p>
        </w:tc>
        <w:tc>
          <w:tcPr>
            <w:tcW w:w="1418" w:type="dxa"/>
            <w:noWrap/>
            <w:vAlign w:val="center"/>
          </w:tcPr>
          <w:p>
            <w:pPr>
              <w:widowControl/>
              <w:jc w:val="center"/>
              <w:rPr>
                <w:rFonts w:hint="eastAsia" w:ascii="宋体" w:hAnsi="宋体" w:eastAsia="宋体" w:cs="Arial"/>
                <w:color w:val="auto"/>
                <w:kern w:val="0"/>
                <w:sz w:val="22"/>
              </w:rPr>
            </w:pPr>
            <w:r>
              <w:rPr>
                <w:rFonts w:hint="eastAsia" w:ascii="宋体" w:hAnsi="宋体" w:eastAsia="宋体" w:cs="Arial"/>
                <w:color w:val="auto"/>
                <w:kern w:val="0"/>
                <w:sz w:val="22"/>
              </w:rPr>
              <w:t>广东深圳</w:t>
            </w:r>
          </w:p>
        </w:tc>
        <w:tc>
          <w:tcPr>
            <w:tcW w:w="7513" w:type="dxa"/>
            <w:noWrap/>
            <w:vAlign w:val="center"/>
          </w:tcPr>
          <w:p>
            <w:pPr>
              <w:widowControl/>
              <w:rPr>
                <w:rFonts w:ascii="Arial" w:hAnsi="Arial" w:eastAsia="宋体" w:cs="Arial"/>
                <w:color w:val="auto"/>
                <w:kern w:val="0"/>
                <w:sz w:val="22"/>
              </w:rPr>
            </w:pPr>
            <w:r>
              <w:rPr>
                <w:rFonts w:hint="eastAsia" w:ascii="宋体" w:hAnsi="宋体" w:eastAsia="宋体" w:cs="Arial"/>
                <w:color w:val="auto"/>
                <w:kern w:val="0"/>
                <w:sz w:val="22"/>
              </w:rPr>
              <w:t>公司致力于智能算法、机器视觉、自主导航、数据分析等技术的创新研发，为社会提供工业级无人机，巡检机器人、轨道交通和智蕈城市等软硬件产品及解决方案，产品技术居国际和国内领先水平。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8" w:type="dxa"/>
            <w:vAlign w:val="center"/>
          </w:tcPr>
          <w:p>
            <w:pPr>
              <w:widowControl/>
              <w:jc w:val="center"/>
              <w:rPr>
                <w:rFonts w:hint="eastAsia" w:ascii="宋体" w:hAnsi="宋体" w:eastAsia="宋体" w:cs="Arial"/>
                <w:color w:val="auto"/>
                <w:kern w:val="0"/>
                <w:sz w:val="22"/>
              </w:rPr>
            </w:pPr>
            <w:r>
              <w:rPr>
                <w:rFonts w:hint="eastAsia" w:ascii="宋体" w:hAnsi="宋体" w:eastAsia="宋体" w:cs="Arial"/>
                <w:color w:val="auto"/>
                <w:kern w:val="0"/>
                <w:sz w:val="22"/>
              </w:rPr>
              <w:t>16</w:t>
            </w:r>
          </w:p>
        </w:tc>
        <w:tc>
          <w:tcPr>
            <w:tcW w:w="1179" w:type="dxa"/>
            <w:vAlign w:val="center"/>
          </w:tcPr>
          <w:p>
            <w:pPr>
              <w:widowControl/>
              <w:jc w:val="center"/>
              <w:rPr>
                <w:rFonts w:hint="eastAsia" w:ascii="宋体" w:hAnsi="宋体" w:eastAsia="宋体" w:cs="Arial"/>
                <w:color w:val="auto"/>
                <w:kern w:val="0"/>
                <w:sz w:val="22"/>
              </w:rPr>
            </w:pPr>
            <w:r>
              <w:rPr>
                <w:rFonts w:hint="eastAsia" w:ascii="宋体" w:hAnsi="宋体" w:eastAsia="宋体" w:cs="Arial"/>
                <w:color w:val="auto"/>
                <w:kern w:val="0"/>
                <w:sz w:val="22"/>
              </w:rPr>
              <w:t>巡检</w:t>
            </w:r>
          </w:p>
        </w:tc>
        <w:tc>
          <w:tcPr>
            <w:tcW w:w="3211" w:type="dxa"/>
            <w:noWrap/>
            <w:vAlign w:val="center"/>
          </w:tcPr>
          <w:p>
            <w:pPr>
              <w:widowControl/>
              <w:jc w:val="center"/>
              <w:rPr>
                <w:rFonts w:hint="eastAsia" w:ascii="宋体" w:hAnsi="宋体" w:eastAsia="宋体" w:cs="Arial"/>
                <w:color w:val="auto"/>
                <w:kern w:val="0"/>
                <w:sz w:val="22"/>
              </w:rPr>
            </w:pPr>
            <w:r>
              <w:rPr>
                <w:rFonts w:hint="eastAsia" w:ascii="宋体" w:hAnsi="宋体" w:eastAsia="宋体" w:cs="Arial"/>
                <w:color w:val="auto"/>
                <w:kern w:val="0"/>
                <w:sz w:val="22"/>
              </w:rPr>
              <w:t>星逻智能科技（苏州）有限公司</w:t>
            </w:r>
          </w:p>
        </w:tc>
        <w:tc>
          <w:tcPr>
            <w:tcW w:w="1418" w:type="dxa"/>
            <w:noWrap/>
            <w:vAlign w:val="center"/>
          </w:tcPr>
          <w:p>
            <w:pPr>
              <w:widowControl/>
              <w:jc w:val="center"/>
              <w:rPr>
                <w:rFonts w:hint="eastAsia" w:ascii="宋体" w:hAnsi="宋体" w:eastAsia="宋体" w:cs="Arial"/>
                <w:color w:val="auto"/>
                <w:kern w:val="0"/>
                <w:sz w:val="22"/>
              </w:rPr>
            </w:pPr>
            <w:r>
              <w:rPr>
                <w:rFonts w:hint="eastAsia" w:ascii="宋体" w:hAnsi="宋体" w:eastAsia="宋体" w:cs="Arial"/>
                <w:color w:val="auto"/>
                <w:kern w:val="0"/>
                <w:sz w:val="22"/>
              </w:rPr>
              <w:t>江苏苏州</w:t>
            </w:r>
          </w:p>
        </w:tc>
        <w:tc>
          <w:tcPr>
            <w:tcW w:w="7513" w:type="dxa"/>
            <w:noWrap/>
            <w:vAlign w:val="center"/>
          </w:tcPr>
          <w:p>
            <w:pPr>
              <w:widowControl/>
              <w:rPr>
                <w:rFonts w:hint="eastAsia" w:ascii="宋体" w:hAnsi="宋体" w:eastAsia="宋体" w:cs="Arial"/>
                <w:color w:val="auto"/>
                <w:kern w:val="0"/>
                <w:sz w:val="22"/>
              </w:rPr>
            </w:pPr>
            <w:r>
              <w:rPr>
                <w:rFonts w:hint="eastAsia" w:ascii="宋体" w:hAnsi="宋体" w:eastAsia="宋体" w:cs="Arial"/>
                <w:color w:val="auto"/>
                <w:kern w:val="0"/>
                <w:sz w:val="22"/>
              </w:rPr>
              <w:t>构建出完整的“空、地、云、端”四位一体的产品体系，基于星逻网联无人机自动驾驶仪、星逻无人机自动机库、星逻无人机云端调度系统以及跨平台的人机交互终端，赋能无人机作业全流程的自动化、远程化。同时在智慧城市、消防应急、电网巡检、光伏巡检、环境保护等多个垂直应用领域，开发部署了多种场景AI APP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8" w:type="dxa"/>
            <w:vAlign w:val="center"/>
          </w:tcPr>
          <w:p>
            <w:pPr>
              <w:widowControl/>
              <w:jc w:val="center"/>
              <w:rPr>
                <w:rFonts w:hint="eastAsia" w:ascii="宋体" w:hAnsi="宋体" w:eastAsia="宋体" w:cs="Arial"/>
                <w:color w:val="auto"/>
                <w:kern w:val="0"/>
                <w:sz w:val="22"/>
              </w:rPr>
            </w:pPr>
            <w:r>
              <w:rPr>
                <w:rFonts w:hint="eastAsia" w:ascii="宋体" w:hAnsi="宋体" w:eastAsia="宋体" w:cs="Arial"/>
                <w:color w:val="auto"/>
                <w:kern w:val="0"/>
                <w:sz w:val="22"/>
              </w:rPr>
              <w:t>17</w:t>
            </w:r>
          </w:p>
        </w:tc>
        <w:tc>
          <w:tcPr>
            <w:tcW w:w="1179" w:type="dxa"/>
            <w:vAlign w:val="center"/>
          </w:tcPr>
          <w:p>
            <w:pPr>
              <w:widowControl/>
              <w:jc w:val="center"/>
              <w:rPr>
                <w:rFonts w:hint="eastAsia" w:ascii="宋体" w:hAnsi="宋体" w:eastAsia="宋体" w:cs="Arial"/>
                <w:color w:val="auto"/>
                <w:kern w:val="0"/>
                <w:sz w:val="22"/>
              </w:rPr>
            </w:pPr>
            <w:r>
              <w:rPr>
                <w:rFonts w:hint="eastAsia" w:ascii="宋体" w:hAnsi="宋体" w:eastAsia="宋体" w:cs="Arial"/>
                <w:color w:val="auto"/>
                <w:kern w:val="0"/>
                <w:sz w:val="22"/>
              </w:rPr>
              <w:t>巡检</w:t>
            </w:r>
          </w:p>
        </w:tc>
        <w:tc>
          <w:tcPr>
            <w:tcW w:w="3211" w:type="dxa"/>
            <w:noWrap/>
            <w:vAlign w:val="center"/>
          </w:tcPr>
          <w:p>
            <w:pPr>
              <w:widowControl/>
              <w:jc w:val="center"/>
              <w:rPr>
                <w:rFonts w:hint="eastAsia" w:ascii="宋体" w:hAnsi="宋体" w:eastAsia="宋体" w:cs="Arial"/>
                <w:color w:val="auto"/>
                <w:kern w:val="0"/>
                <w:sz w:val="22"/>
              </w:rPr>
            </w:pPr>
            <w:r>
              <w:rPr>
                <w:rFonts w:hint="eastAsia" w:ascii="宋体" w:hAnsi="宋体" w:eastAsia="宋体" w:cs="Arial"/>
                <w:color w:val="auto"/>
                <w:kern w:val="0"/>
                <w:sz w:val="22"/>
              </w:rPr>
              <w:t>浙江华飞智能科技有限公司</w:t>
            </w:r>
          </w:p>
        </w:tc>
        <w:tc>
          <w:tcPr>
            <w:tcW w:w="1418" w:type="dxa"/>
            <w:noWrap/>
            <w:vAlign w:val="center"/>
          </w:tcPr>
          <w:p>
            <w:pPr>
              <w:widowControl/>
              <w:jc w:val="center"/>
              <w:rPr>
                <w:rFonts w:hint="eastAsia" w:ascii="宋体" w:hAnsi="宋体" w:eastAsia="宋体" w:cs="Arial"/>
                <w:color w:val="auto"/>
                <w:kern w:val="0"/>
                <w:sz w:val="22"/>
              </w:rPr>
            </w:pPr>
            <w:r>
              <w:rPr>
                <w:rFonts w:hint="eastAsia" w:ascii="宋体" w:hAnsi="宋体" w:eastAsia="宋体" w:cs="Arial"/>
                <w:color w:val="auto"/>
                <w:kern w:val="0"/>
                <w:sz w:val="22"/>
              </w:rPr>
              <w:t>浙江杭州</w:t>
            </w:r>
          </w:p>
        </w:tc>
        <w:tc>
          <w:tcPr>
            <w:tcW w:w="7513" w:type="dxa"/>
            <w:noWrap/>
            <w:vAlign w:val="center"/>
          </w:tcPr>
          <w:p>
            <w:pPr>
              <w:widowControl/>
              <w:rPr>
                <w:rFonts w:hint="eastAsia" w:ascii="宋体" w:hAnsi="宋体" w:eastAsia="宋体" w:cs="Arial"/>
                <w:color w:val="auto"/>
                <w:kern w:val="0"/>
                <w:sz w:val="22"/>
              </w:rPr>
            </w:pPr>
            <w:r>
              <w:rPr>
                <w:rFonts w:hint="eastAsia" w:ascii="宋体" w:hAnsi="宋体" w:eastAsia="宋体" w:cs="Arial"/>
                <w:color w:val="auto"/>
                <w:kern w:val="0"/>
                <w:sz w:val="22"/>
              </w:rPr>
              <w:t>大华股份旗下无人机子公司，是一家全球领先的致力于智能无人机和智能机器人研发、销售、培训及服务的高科技公司。继承了大华股份十多年的音视频技术积累，并融入先进的导航飞控、云台增稳、动力系统、空地通信、显控一体、主动安全等多项核心技术，结合行业解决方案的推进，产品已广泛应用于指挥、警用安防、森林防火、电力巡线、道路巡检、环境监测等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8" w:type="dxa"/>
            <w:vAlign w:val="center"/>
          </w:tcPr>
          <w:p>
            <w:pPr>
              <w:widowControl/>
              <w:jc w:val="center"/>
              <w:rPr>
                <w:rFonts w:hint="eastAsia" w:ascii="宋体" w:hAnsi="宋体" w:eastAsia="宋体" w:cs="Arial"/>
                <w:color w:val="auto"/>
                <w:kern w:val="0"/>
                <w:sz w:val="22"/>
              </w:rPr>
            </w:pPr>
            <w:r>
              <w:rPr>
                <w:rFonts w:hint="eastAsia" w:ascii="宋体" w:hAnsi="宋体" w:eastAsia="宋体" w:cs="Arial"/>
                <w:color w:val="auto"/>
                <w:kern w:val="0"/>
                <w:sz w:val="22"/>
              </w:rPr>
              <w:t>18</w:t>
            </w:r>
          </w:p>
        </w:tc>
        <w:tc>
          <w:tcPr>
            <w:tcW w:w="1179" w:type="dxa"/>
            <w:vAlign w:val="center"/>
          </w:tcPr>
          <w:p>
            <w:pPr>
              <w:widowControl/>
              <w:jc w:val="center"/>
              <w:rPr>
                <w:rFonts w:hint="eastAsia" w:ascii="宋体" w:hAnsi="宋体" w:eastAsia="宋体" w:cs="Arial"/>
                <w:color w:val="auto"/>
                <w:kern w:val="0"/>
                <w:sz w:val="22"/>
              </w:rPr>
            </w:pPr>
            <w:r>
              <w:rPr>
                <w:rFonts w:hint="eastAsia" w:ascii="宋体" w:hAnsi="宋体" w:eastAsia="宋体" w:cs="Arial"/>
                <w:color w:val="auto"/>
                <w:kern w:val="0"/>
                <w:sz w:val="22"/>
              </w:rPr>
              <w:t>巡检</w:t>
            </w:r>
          </w:p>
        </w:tc>
        <w:tc>
          <w:tcPr>
            <w:tcW w:w="3211" w:type="dxa"/>
            <w:noWrap/>
            <w:vAlign w:val="center"/>
          </w:tcPr>
          <w:p>
            <w:pPr>
              <w:widowControl/>
              <w:jc w:val="center"/>
              <w:rPr>
                <w:rFonts w:hint="eastAsia" w:ascii="宋体" w:hAnsi="宋体" w:eastAsia="宋体" w:cs="Arial"/>
                <w:color w:val="auto"/>
                <w:kern w:val="0"/>
                <w:sz w:val="22"/>
              </w:rPr>
            </w:pPr>
            <w:r>
              <w:rPr>
                <w:rFonts w:hint="eastAsia" w:ascii="宋体" w:hAnsi="宋体" w:eastAsia="宋体" w:cs="Arial"/>
                <w:color w:val="auto"/>
                <w:kern w:val="0"/>
                <w:sz w:val="22"/>
              </w:rPr>
              <w:t>普宙科技有限公司</w:t>
            </w:r>
          </w:p>
        </w:tc>
        <w:tc>
          <w:tcPr>
            <w:tcW w:w="1418" w:type="dxa"/>
            <w:noWrap/>
            <w:vAlign w:val="center"/>
          </w:tcPr>
          <w:p>
            <w:pPr>
              <w:widowControl/>
              <w:jc w:val="center"/>
              <w:rPr>
                <w:rFonts w:hint="eastAsia" w:ascii="宋体" w:hAnsi="宋体" w:eastAsia="宋体" w:cs="Arial"/>
                <w:color w:val="auto"/>
                <w:kern w:val="0"/>
                <w:sz w:val="22"/>
              </w:rPr>
            </w:pPr>
            <w:r>
              <w:rPr>
                <w:rFonts w:hint="eastAsia" w:ascii="宋体" w:hAnsi="宋体" w:eastAsia="宋体" w:cs="Arial"/>
                <w:color w:val="auto"/>
                <w:kern w:val="0"/>
                <w:sz w:val="22"/>
              </w:rPr>
              <w:t>湖北武汉</w:t>
            </w:r>
          </w:p>
        </w:tc>
        <w:tc>
          <w:tcPr>
            <w:tcW w:w="7513" w:type="dxa"/>
            <w:noWrap/>
            <w:vAlign w:val="center"/>
          </w:tcPr>
          <w:p>
            <w:pPr>
              <w:widowControl/>
              <w:rPr>
                <w:rFonts w:hint="eastAsia" w:ascii="宋体" w:hAnsi="宋体" w:eastAsia="宋体" w:cs="Arial"/>
                <w:color w:val="auto"/>
                <w:kern w:val="0"/>
                <w:sz w:val="22"/>
              </w:rPr>
            </w:pPr>
            <w:r>
              <w:rPr>
                <w:rFonts w:hint="eastAsia" w:ascii="宋体" w:hAnsi="宋体" w:eastAsia="宋体" w:cs="Arial"/>
                <w:color w:val="auto"/>
                <w:kern w:val="0"/>
                <w:sz w:val="22"/>
              </w:rPr>
              <w:t>普宙科技全系无人机产品在智慧城市、应急消防、电力巡检、活动安防、生态环保、智慧园区、智慧文旅等场景，充当重要的行业工具，全面驱动行业的数字化转型，为赋能新质生产力高质量发展贡献积极力量。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8" w:type="dxa"/>
            <w:vAlign w:val="center"/>
          </w:tcPr>
          <w:p>
            <w:pPr>
              <w:widowControl/>
              <w:jc w:val="center"/>
              <w:rPr>
                <w:rFonts w:hint="eastAsia" w:ascii="宋体" w:hAnsi="宋体" w:eastAsia="宋体" w:cs="Arial"/>
                <w:color w:val="auto"/>
                <w:kern w:val="0"/>
                <w:sz w:val="22"/>
              </w:rPr>
            </w:pPr>
            <w:r>
              <w:rPr>
                <w:rFonts w:hint="eastAsia" w:ascii="宋体" w:hAnsi="宋体" w:eastAsia="宋体" w:cs="Arial"/>
                <w:color w:val="auto"/>
                <w:kern w:val="0"/>
                <w:sz w:val="22"/>
              </w:rPr>
              <w:t>19</w:t>
            </w:r>
          </w:p>
        </w:tc>
        <w:tc>
          <w:tcPr>
            <w:tcW w:w="1179" w:type="dxa"/>
            <w:vAlign w:val="center"/>
          </w:tcPr>
          <w:p>
            <w:pPr>
              <w:widowControl/>
              <w:jc w:val="center"/>
              <w:rPr>
                <w:rFonts w:hint="eastAsia" w:ascii="宋体" w:hAnsi="宋体" w:eastAsia="宋体" w:cs="Arial"/>
                <w:color w:val="auto"/>
                <w:kern w:val="0"/>
                <w:sz w:val="22"/>
              </w:rPr>
            </w:pPr>
            <w:r>
              <w:rPr>
                <w:rFonts w:hint="eastAsia" w:ascii="宋体" w:hAnsi="宋体" w:eastAsia="宋体" w:cs="Arial"/>
                <w:color w:val="auto"/>
                <w:kern w:val="0"/>
                <w:sz w:val="22"/>
              </w:rPr>
              <w:t>巡检</w:t>
            </w:r>
          </w:p>
        </w:tc>
        <w:tc>
          <w:tcPr>
            <w:tcW w:w="3211" w:type="dxa"/>
            <w:noWrap/>
            <w:vAlign w:val="center"/>
          </w:tcPr>
          <w:p>
            <w:pPr>
              <w:widowControl/>
              <w:jc w:val="center"/>
              <w:rPr>
                <w:rFonts w:hint="eastAsia" w:ascii="宋体" w:hAnsi="宋体" w:eastAsia="宋体" w:cs="Arial"/>
                <w:color w:val="auto"/>
                <w:kern w:val="0"/>
                <w:sz w:val="22"/>
              </w:rPr>
            </w:pPr>
            <w:r>
              <w:rPr>
                <w:rFonts w:hint="eastAsia" w:ascii="宋体" w:hAnsi="宋体" w:eastAsia="宋体" w:cs="Arial"/>
                <w:color w:val="auto"/>
                <w:kern w:val="0"/>
                <w:sz w:val="22"/>
              </w:rPr>
              <w:t>成都时代星光科技有限公司</w:t>
            </w:r>
          </w:p>
        </w:tc>
        <w:tc>
          <w:tcPr>
            <w:tcW w:w="1418" w:type="dxa"/>
            <w:noWrap/>
            <w:vAlign w:val="center"/>
          </w:tcPr>
          <w:p>
            <w:pPr>
              <w:widowControl/>
              <w:jc w:val="center"/>
              <w:rPr>
                <w:rFonts w:hint="eastAsia" w:ascii="宋体" w:hAnsi="宋体" w:eastAsia="宋体" w:cs="Arial"/>
                <w:color w:val="auto"/>
                <w:kern w:val="0"/>
                <w:sz w:val="22"/>
              </w:rPr>
            </w:pPr>
            <w:r>
              <w:rPr>
                <w:rFonts w:hint="eastAsia" w:ascii="宋体" w:hAnsi="宋体" w:eastAsia="宋体" w:cs="Arial"/>
                <w:color w:val="auto"/>
                <w:kern w:val="0"/>
                <w:sz w:val="22"/>
              </w:rPr>
              <w:t>四川成都</w:t>
            </w:r>
          </w:p>
        </w:tc>
        <w:tc>
          <w:tcPr>
            <w:tcW w:w="7513" w:type="dxa"/>
            <w:noWrap/>
            <w:vAlign w:val="center"/>
          </w:tcPr>
          <w:p>
            <w:pPr>
              <w:widowControl/>
              <w:rPr>
                <w:rFonts w:hint="eastAsia" w:ascii="宋体" w:hAnsi="宋体" w:eastAsia="宋体" w:cs="Arial"/>
                <w:color w:val="auto"/>
                <w:kern w:val="0"/>
                <w:sz w:val="22"/>
              </w:rPr>
            </w:pPr>
            <w:r>
              <w:rPr>
                <w:rFonts w:hint="eastAsia" w:ascii="宋体" w:hAnsi="宋体" w:eastAsia="宋体" w:cs="Arial"/>
                <w:color w:val="auto"/>
                <w:kern w:val="0"/>
                <w:sz w:val="22"/>
              </w:rPr>
              <w:t>公安部协议供货单位，四川省消防和应急等部门的战略合作伙伴。公司先后参加了汶川大地震、奥运安保、天津大爆炸、九寨沟地震、汶川泥石流、湖北抗洪抢险等数百次国家大型应急救援和军警保障活动。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8" w:type="dxa"/>
            <w:vAlign w:val="center"/>
          </w:tcPr>
          <w:p>
            <w:pPr>
              <w:widowControl/>
              <w:jc w:val="center"/>
              <w:rPr>
                <w:rFonts w:hint="eastAsia" w:ascii="宋体" w:hAnsi="宋体" w:eastAsia="宋体" w:cs="Arial"/>
                <w:color w:val="auto"/>
                <w:kern w:val="0"/>
                <w:sz w:val="22"/>
              </w:rPr>
            </w:pPr>
            <w:r>
              <w:rPr>
                <w:rFonts w:hint="eastAsia" w:ascii="宋体" w:hAnsi="宋体" w:eastAsia="宋体" w:cs="Arial"/>
                <w:color w:val="auto"/>
                <w:kern w:val="0"/>
                <w:sz w:val="22"/>
              </w:rPr>
              <w:t>20</w:t>
            </w:r>
          </w:p>
        </w:tc>
        <w:tc>
          <w:tcPr>
            <w:tcW w:w="1179" w:type="dxa"/>
            <w:vAlign w:val="center"/>
          </w:tcPr>
          <w:p>
            <w:pPr>
              <w:widowControl/>
              <w:jc w:val="center"/>
              <w:rPr>
                <w:rFonts w:hint="eastAsia" w:ascii="宋体" w:hAnsi="宋体" w:eastAsia="宋体" w:cs="Arial"/>
                <w:color w:val="auto"/>
                <w:kern w:val="0"/>
                <w:sz w:val="22"/>
              </w:rPr>
            </w:pPr>
            <w:r>
              <w:rPr>
                <w:rFonts w:hint="eastAsia" w:ascii="宋体" w:hAnsi="宋体" w:eastAsia="宋体" w:cs="Arial"/>
                <w:color w:val="auto"/>
                <w:kern w:val="0"/>
                <w:sz w:val="22"/>
              </w:rPr>
              <w:t>巡检</w:t>
            </w:r>
          </w:p>
        </w:tc>
        <w:tc>
          <w:tcPr>
            <w:tcW w:w="3211" w:type="dxa"/>
            <w:noWrap/>
            <w:vAlign w:val="center"/>
          </w:tcPr>
          <w:p>
            <w:pPr>
              <w:widowControl/>
              <w:jc w:val="center"/>
              <w:rPr>
                <w:rFonts w:hint="eastAsia" w:ascii="宋体" w:hAnsi="宋体" w:eastAsia="宋体" w:cs="Arial"/>
                <w:color w:val="auto"/>
                <w:kern w:val="0"/>
                <w:sz w:val="22"/>
              </w:rPr>
            </w:pPr>
            <w:r>
              <w:rPr>
                <w:rFonts w:hint="eastAsia" w:ascii="宋体" w:hAnsi="宋体" w:eastAsia="宋体" w:cs="Arial"/>
                <w:color w:val="auto"/>
                <w:kern w:val="0"/>
                <w:sz w:val="22"/>
              </w:rPr>
              <w:t>西安大地测绘股份有限公司</w:t>
            </w:r>
          </w:p>
        </w:tc>
        <w:tc>
          <w:tcPr>
            <w:tcW w:w="1418" w:type="dxa"/>
            <w:noWrap/>
            <w:vAlign w:val="center"/>
          </w:tcPr>
          <w:p>
            <w:pPr>
              <w:widowControl/>
              <w:jc w:val="center"/>
              <w:rPr>
                <w:rFonts w:hint="eastAsia" w:ascii="宋体" w:hAnsi="宋体" w:eastAsia="宋体" w:cs="Arial"/>
                <w:color w:val="auto"/>
                <w:kern w:val="0"/>
                <w:sz w:val="22"/>
              </w:rPr>
            </w:pPr>
            <w:r>
              <w:rPr>
                <w:rFonts w:hint="eastAsia" w:ascii="宋体" w:hAnsi="宋体" w:eastAsia="宋体" w:cs="Arial"/>
                <w:color w:val="auto"/>
                <w:kern w:val="0"/>
                <w:sz w:val="22"/>
              </w:rPr>
              <w:t>陕西西安</w:t>
            </w:r>
          </w:p>
        </w:tc>
        <w:tc>
          <w:tcPr>
            <w:tcW w:w="7513" w:type="dxa"/>
            <w:noWrap/>
            <w:vAlign w:val="center"/>
          </w:tcPr>
          <w:p>
            <w:pPr>
              <w:widowControl/>
              <w:rPr>
                <w:rFonts w:hint="eastAsia" w:ascii="宋体" w:hAnsi="宋体" w:eastAsia="宋体" w:cs="Arial"/>
                <w:color w:val="auto"/>
                <w:kern w:val="0"/>
                <w:sz w:val="22"/>
              </w:rPr>
            </w:pPr>
            <w:r>
              <w:rPr>
                <w:rFonts w:hint="eastAsia" w:ascii="宋体" w:hAnsi="宋体" w:eastAsia="宋体" w:cs="Arial"/>
                <w:color w:val="auto"/>
                <w:kern w:val="0"/>
                <w:sz w:val="22"/>
              </w:rPr>
              <w:t>运用无人机、卫星遥感等先进技术，实施自然资源监测、土地变更调查、违法图斑调查、基本农田核实处置、实现自然资源的高频、动态监测，提升土地监管执法的智能化与精准度。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8" w:type="dxa"/>
            <w:vAlign w:val="center"/>
          </w:tcPr>
          <w:p>
            <w:pPr>
              <w:widowControl/>
              <w:jc w:val="center"/>
              <w:rPr>
                <w:rFonts w:hint="eastAsia" w:ascii="宋体" w:hAnsi="宋体" w:eastAsia="宋体" w:cs="Arial"/>
                <w:color w:val="auto"/>
                <w:kern w:val="0"/>
                <w:sz w:val="22"/>
              </w:rPr>
            </w:pPr>
            <w:r>
              <w:rPr>
                <w:rFonts w:hint="eastAsia" w:ascii="宋体" w:hAnsi="宋体" w:eastAsia="宋体" w:cs="Arial"/>
                <w:color w:val="auto"/>
                <w:kern w:val="0"/>
                <w:sz w:val="22"/>
              </w:rPr>
              <w:t>21</w:t>
            </w:r>
          </w:p>
        </w:tc>
        <w:tc>
          <w:tcPr>
            <w:tcW w:w="1179" w:type="dxa"/>
            <w:vAlign w:val="center"/>
          </w:tcPr>
          <w:p>
            <w:pPr>
              <w:widowControl/>
              <w:jc w:val="center"/>
              <w:rPr>
                <w:rFonts w:hint="eastAsia" w:ascii="宋体" w:hAnsi="宋体" w:eastAsia="宋体" w:cs="Arial"/>
                <w:color w:val="auto"/>
                <w:kern w:val="0"/>
                <w:sz w:val="22"/>
              </w:rPr>
            </w:pPr>
            <w:r>
              <w:rPr>
                <w:rFonts w:hint="eastAsia" w:ascii="宋体" w:hAnsi="宋体" w:eastAsia="宋体" w:cs="Arial"/>
                <w:color w:val="auto"/>
                <w:kern w:val="0"/>
                <w:sz w:val="22"/>
              </w:rPr>
              <w:t>测绘</w:t>
            </w:r>
          </w:p>
        </w:tc>
        <w:tc>
          <w:tcPr>
            <w:tcW w:w="3211" w:type="dxa"/>
            <w:noWrap/>
            <w:vAlign w:val="center"/>
          </w:tcPr>
          <w:p>
            <w:pPr>
              <w:widowControl/>
              <w:jc w:val="center"/>
              <w:rPr>
                <w:rFonts w:hint="eastAsia" w:ascii="宋体" w:hAnsi="宋体" w:eastAsia="宋体" w:cs="Arial"/>
                <w:color w:val="auto"/>
                <w:kern w:val="0"/>
                <w:sz w:val="22"/>
              </w:rPr>
            </w:pPr>
            <w:r>
              <w:rPr>
                <w:rFonts w:hint="eastAsia" w:ascii="宋体" w:hAnsi="宋体" w:eastAsia="宋体" w:cs="Arial"/>
                <w:color w:val="auto"/>
                <w:kern w:val="0"/>
                <w:sz w:val="22"/>
              </w:rPr>
              <w:t>北京卓翼智能科技有限公司</w:t>
            </w:r>
          </w:p>
        </w:tc>
        <w:tc>
          <w:tcPr>
            <w:tcW w:w="1418" w:type="dxa"/>
            <w:noWrap/>
            <w:vAlign w:val="center"/>
          </w:tcPr>
          <w:p>
            <w:pPr>
              <w:widowControl/>
              <w:jc w:val="center"/>
              <w:rPr>
                <w:rFonts w:hint="eastAsia" w:ascii="宋体" w:hAnsi="宋体" w:eastAsia="宋体" w:cs="Arial"/>
                <w:color w:val="auto"/>
                <w:kern w:val="0"/>
                <w:sz w:val="22"/>
              </w:rPr>
            </w:pPr>
            <w:r>
              <w:rPr>
                <w:rFonts w:hint="eastAsia" w:ascii="宋体" w:hAnsi="宋体" w:eastAsia="宋体" w:cs="Arial"/>
                <w:color w:val="auto"/>
                <w:kern w:val="0"/>
                <w:sz w:val="22"/>
              </w:rPr>
              <w:t>北京</w:t>
            </w:r>
          </w:p>
        </w:tc>
        <w:tc>
          <w:tcPr>
            <w:tcW w:w="7513" w:type="dxa"/>
            <w:noWrap/>
            <w:vAlign w:val="center"/>
          </w:tcPr>
          <w:p>
            <w:pPr>
              <w:widowControl/>
              <w:rPr>
                <w:rFonts w:hint="eastAsia" w:ascii="宋体" w:hAnsi="宋体" w:eastAsia="宋体" w:cs="Arial"/>
                <w:color w:val="auto"/>
                <w:kern w:val="0"/>
                <w:sz w:val="22"/>
              </w:rPr>
            </w:pPr>
            <w:r>
              <w:rPr>
                <w:rFonts w:hint="eastAsia" w:ascii="宋体" w:hAnsi="宋体" w:eastAsia="宋体" w:cs="Arial"/>
                <w:color w:val="auto"/>
                <w:kern w:val="0"/>
                <w:sz w:val="22"/>
              </w:rPr>
              <w:t>公司核心团队来自于北航，持续在智能无人系统领域积累了超过</w:t>
            </w:r>
            <w:r>
              <w:rPr>
                <w:rFonts w:ascii="Arial" w:hAnsi="Arial" w:eastAsia="宋体" w:cs="Arial"/>
                <w:color w:val="auto"/>
                <w:kern w:val="0"/>
                <w:sz w:val="22"/>
              </w:rPr>
              <w:t>10</w:t>
            </w:r>
            <w:r>
              <w:rPr>
                <w:rFonts w:hint="eastAsia" w:ascii="宋体" w:hAnsi="宋体" w:eastAsia="宋体" w:cs="Arial"/>
                <w:color w:val="auto"/>
                <w:kern w:val="0"/>
                <w:sz w:val="22"/>
              </w:rPr>
              <w:t>年的研发、设计、制造等核心技术经验。目前核心产品包括单机无人装备、集群无人系统，无人机仿真平台等，应用涵盖国防、教育科研、应急消防、水利林草、电力、石油与天然气等领域。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8" w:type="dxa"/>
            <w:vAlign w:val="center"/>
          </w:tcPr>
          <w:p>
            <w:pPr>
              <w:widowControl/>
              <w:jc w:val="center"/>
              <w:rPr>
                <w:rFonts w:hint="eastAsia" w:ascii="宋体" w:hAnsi="宋体" w:eastAsia="宋体" w:cs="Arial"/>
                <w:color w:val="auto"/>
                <w:kern w:val="0"/>
                <w:sz w:val="22"/>
              </w:rPr>
            </w:pPr>
            <w:r>
              <w:rPr>
                <w:rFonts w:hint="eastAsia" w:ascii="宋体" w:hAnsi="宋体" w:eastAsia="宋体" w:cs="Arial"/>
                <w:color w:val="auto"/>
                <w:kern w:val="0"/>
                <w:sz w:val="22"/>
              </w:rPr>
              <w:t>22</w:t>
            </w:r>
          </w:p>
        </w:tc>
        <w:tc>
          <w:tcPr>
            <w:tcW w:w="1179" w:type="dxa"/>
            <w:vAlign w:val="center"/>
          </w:tcPr>
          <w:p>
            <w:pPr>
              <w:widowControl/>
              <w:jc w:val="center"/>
              <w:rPr>
                <w:rFonts w:hint="eastAsia" w:ascii="宋体" w:hAnsi="宋体" w:eastAsia="宋体" w:cs="Arial"/>
                <w:color w:val="auto"/>
                <w:kern w:val="0"/>
                <w:sz w:val="22"/>
              </w:rPr>
            </w:pPr>
            <w:r>
              <w:rPr>
                <w:rFonts w:hint="eastAsia" w:ascii="宋体" w:hAnsi="宋体" w:eastAsia="宋体" w:cs="Arial"/>
                <w:color w:val="auto"/>
                <w:kern w:val="0"/>
                <w:sz w:val="22"/>
              </w:rPr>
              <w:t>测绘</w:t>
            </w:r>
          </w:p>
        </w:tc>
        <w:tc>
          <w:tcPr>
            <w:tcW w:w="3211" w:type="dxa"/>
            <w:noWrap/>
            <w:vAlign w:val="center"/>
          </w:tcPr>
          <w:p>
            <w:pPr>
              <w:widowControl/>
              <w:jc w:val="center"/>
              <w:rPr>
                <w:rFonts w:hint="eastAsia" w:ascii="宋体" w:hAnsi="宋体" w:eastAsia="宋体" w:cs="Arial"/>
                <w:color w:val="auto"/>
                <w:kern w:val="0"/>
                <w:sz w:val="22"/>
              </w:rPr>
            </w:pPr>
            <w:r>
              <w:rPr>
                <w:rFonts w:hint="eastAsia" w:ascii="宋体" w:hAnsi="宋体" w:eastAsia="宋体" w:cs="Arial"/>
                <w:color w:val="auto"/>
                <w:kern w:val="0"/>
                <w:sz w:val="22"/>
              </w:rPr>
              <w:t>海南飞行者科技有限公司</w:t>
            </w:r>
          </w:p>
        </w:tc>
        <w:tc>
          <w:tcPr>
            <w:tcW w:w="1418" w:type="dxa"/>
            <w:noWrap/>
            <w:vAlign w:val="center"/>
          </w:tcPr>
          <w:p>
            <w:pPr>
              <w:widowControl/>
              <w:jc w:val="center"/>
              <w:rPr>
                <w:rFonts w:hint="eastAsia" w:ascii="宋体" w:hAnsi="宋体" w:eastAsia="宋体" w:cs="Arial"/>
                <w:color w:val="auto"/>
                <w:kern w:val="0"/>
                <w:sz w:val="22"/>
              </w:rPr>
            </w:pPr>
            <w:r>
              <w:rPr>
                <w:rFonts w:hint="eastAsia" w:ascii="宋体" w:hAnsi="宋体" w:eastAsia="宋体" w:cs="Arial"/>
                <w:color w:val="auto"/>
                <w:kern w:val="0"/>
                <w:sz w:val="22"/>
              </w:rPr>
              <w:t>海南海口</w:t>
            </w:r>
          </w:p>
        </w:tc>
        <w:tc>
          <w:tcPr>
            <w:tcW w:w="7513" w:type="dxa"/>
            <w:noWrap/>
            <w:vAlign w:val="center"/>
          </w:tcPr>
          <w:p>
            <w:pPr>
              <w:widowControl/>
              <w:rPr>
                <w:rFonts w:hint="eastAsia" w:ascii="宋体" w:hAnsi="宋体" w:eastAsia="宋体" w:cs="Arial"/>
                <w:color w:val="auto"/>
                <w:kern w:val="0"/>
                <w:sz w:val="22"/>
              </w:rPr>
            </w:pPr>
            <w:r>
              <w:rPr>
                <w:rFonts w:hint="eastAsia" w:ascii="宋体" w:hAnsi="宋体" w:eastAsia="宋体" w:cs="Arial"/>
                <w:color w:val="auto"/>
                <w:kern w:val="0"/>
                <w:sz w:val="22"/>
              </w:rPr>
              <w:t>国内集成空海协同智能化产品的无人数智化领军企业。专注于“无人智控与空间信息技术”的深度融合，提供全方位问题解决方案。通过自主无人智控技术获取空间信息，数字化重建场景，构建数字孪生世界，服务自然资源、能源、应急、安全、电力、交通等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8" w:type="dxa"/>
            <w:vAlign w:val="center"/>
          </w:tcPr>
          <w:p>
            <w:pPr>
              <w:widowControl/>
              <w:jc w:val="center"/>
              <w:rPr>
                <w:rFonts w:hint="eastAsia" w:ascii="宋体" w:hAnsi="宋体" w:eastAsia="宋体" w:cs="Arial"/>
                <w:color w:val="auto"/>
                <w:kern w:val="0"/>
                <w:sz w:val="22"/>
              </w:rPr>
            </w:pPr>
            <w:r>
              <w:rPr>
                <w:rFonts w:hint="eastAsia" w:ascii="宋体" w:hAnsi="宋体" w:eastAsia="宋体" w:cs="Arial"/>
                <w:color w:val="auto"/>
                <w:kern w:val="0"/>
                <w:sz w:val="22"/>
              </w:rPr>
              <w:t>23</w:t>
            </w:r>
          </w:p>
        </w:tc>
        <w:tc>
          <w:tcPr>
            <w:tcW w:w="1179" w:type="dxa"/>
            <w:vAlign w:val="center"/>
          </w:tcPr>
          <w:p>
            <w:pPr>
              <w:widowControl/>
              <w:jc w:val="center"/>
              <w:rPr>
                <w:rFonts w:hint="eastAsia" w:ascii="宋体" w:hAnsi="宋体" w:eastAsia="宋体" w:cs="Arial"/>
                <w:color w:val="auto"/>
                <w:kern w:val="0"/>
                <w:sz w:val="22"/>
              </w:rPr>
            </w:pPr>
            <w:r>
              <w:rPr>
                <w:rFonts w:hint="eastAsia" w:ascii="宋体" w:hAnsi="宋体" w:eastAsia="宋体" w:cs="Arial"/>
                <w:color w:val="auto"/>
                <w:kern w:val="0"/>
                <w:sz w:val="22"/>
              </w:rPr>
              <w:t>测绘</w:t>
            </w:r>
          </w:p>
        </w:tc>
        <w:tc>
          <w:tcPr>
            <w:tcW w:w="3211" w:type="dxa"/>
            <w:noWrap/>
            <w:vAlign w:val="center"/>
          </w:tcPr>
          <w:p>
            <w:pPr>
              <w:widowControl/>
              <w:jc w:val="center"/>
              <w:rPr>
                <w:rFonts w:hint="eastAsia" w:ascii="宋体" w:hAnsi="宋体" w:eastAsia="宋体" w:cs="Arial"/>
                <w:color w:val="auto"/>
                <w:kern w:val="0"/>
                <w:sz w:val="22"/>
              </w:rPr>
            </w:pPr>
            <w:r>
              <w:rPr>
                <w:rFonts w:hint="eastAsia" w:ascii="宋体" w:hAnsi="宋体" w:eastAsia="宋体" w:cs="Arial"/>
                <w:color w:val="auto"/>
                <w:kern w:val="0"/>
                <w:sz w:val="22"/>
              </w:rPr>
              <w:t>上海华测导航技术股份有限公司</w:t>
            </w:r>
          </w:p>
        </w:tc>
        <w:tc>
          <w:tcPr>
            <w:tcW w:w="1418" w:type="dxa"/>
            <w:noWrap/>
            <w:vAlign w:val="center"/>
          </w:tcPr>
          <w:p>
            <w:pPr>
              <w:widowControl/>
              <w:jc w:val="center"/>
              <w:rPr>
                <w:rFonts w:hint="eastAsia" w:ascii="宋体" w:hAnsi="宋体" w:eastAsia="宋体" w:cs="Arial"/>
                <w:color w:val="auto"/>
                <w:kern w:val="0"/>
                <w:sz w:val="22"/>
              </w:rPr>
            </w:pPr>
            <w:r>
              <w:rPr>
                <w:rFonts w:hint="eastAsia" w:ascii="宋体" w:hAnsi="宋体" w:eastAsia="宋体" w:cs="Arial"/>
                <w:color w:val="auto"/>
                <w:kern w:val="0"/>
                <w:sz w:val="22"/>
              </w:rPr>
              <w:t>上海</w:t>
            </w:r>
          </w:p>
        </w:tc>
        <w:tc>
          <w:tcPr>
            <w:tcW w:w="7513" w:type="dxa"/>
            <w:noWrap/>
            <w:vAlign w:val="center"/>
          </w:tcPr>
          <w:p>
            <w:pPr>
              <w:widowControl/>
              <w:rPr>
                <w:rFonts w:ascii="Arial" w:hAnsi="Arial" w:eastAsia="宋体" w:cs="Arial"/>
                <w:color w:val="auto"/>
                <w:kern w:val="0"/>
                <w:sz w:val="22"/>
              </w:rPr>
            </w:pPr>
            <w:r>
              <w:rPr>
                <w:rFonts w:hint="eastAsia" w:ascii="宋体" w:hAnsi="宋体" w:eastAsia="宋体" w:cs="Arial"/>
                <w:color w:val="auto"/>
                <w:kern w:val="0"/>
                <w:sz w:val="22"/>
              </w:rPr>
              <w:t>以无人机、激光雷达等产品为主的三维智能产品可应用于智慧城市空间数字底座的建设、应急监测、电力巡检等领域，以及国土调查、勘测、智慧城市等领域所需空间数据智能化获取。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8" w:type="dxa"/>
            <w:vAlign w:val="center"/>
          </w:tcPr>
          <w:p>
            <w:pPr>
              <w:widowControl/>
              <w:jc w:val="center"/>
              <w:rPr>
                <w:rFonts w:hint="eastAsia" w:ascii="宋体" w:hAnsi="宋体" w:eastAsia="宋体" w:cs="Arial"/>
                <w:color w:val="auto"/>
                <w:kern w:val="0"/>
                <w:sz w:val="22"/>
              </w:rPr>
            </w:pPr>
            <w:r>
              <w:rPr>
                <w:rFonts w:hint="eastAsia" w:ascii="宋体" w:hAnsi="宋体" w:eastAsia="宋体" w:cs="Arial"/>
                <w:color w:val="auto"/>
                <w:kern w:val="0"/>
                <w:sz w:val="22"/>
              </w:rPr>
              <w:t>24</w:t>
            </w:r>
          </w:p>
        </w:tc>
        <w:tc>
          <w:tcPr>
            <w:tcW w:w="1179" w:type="dxa"/>
            <w:vAlign w:val="center"/>
          </w:tcPr>
          <w:p>
            <w:pPr>
              <w:widowControl/>
              <w:jc w:val="center"/>
              <w:rPr>
                <w:rFonts w:hint="eastAsia" w:ascii="宋体" w:hAnsi="宋体" w:eastAsia="宋体" w:cs="Arial"/>
                <w:color w:val="auto"/>
                <w:kern w:val="0"/>
                <w:sz w:val="22"/>
              </w:rPr>
            </w:pPr>
            <w:r>
              <w:rPr>
                <w:rFonts w:hint="eastAsia" w:ascii="宋体" w:hAnsi="宋体" w:eastAsia="宋体" w:cs="Arial"/>
                <w:color w:val="auto"/>
                <w:kern w:val="0"/>
                <w:sz w:val="22"/>
              </w:rPr>
              <w:t>测绘</w:t>
            </w:r>
          </w:p>
        </w:tc>
        <w:tc>
          <w:tcPr>
            <w:tcW w:w="3211" w:type="dxa"/>
            <w:noWrap/>
            <w:vAlign w:val="center"/>
          </w:tcPr>
          <w:p>
            <w:pPr>
              <w:widowControl/>
              <w:jc w:val="center"/>
              <w:rPr>
                <w:rFonts w:hint="eastAsia" w:ascii="宋体" w:hAnsi="宋体" w:eastAsia="宋体" w:cs="Arial"/>
                <w:color w:val="auto"/>
                <w:kern w:val="0"/>
                <w:sz w:val="22"/>
              </w:rPr>
            </w:pPr>
            <w:r>
              <w:rPr>
                <w:rFonts w:hint="eastAsia" w:ascii="宋体" w:hAnsi="宋体" w:eastAsia="宋体" w:cs="Arial"/>
                <w:color w:val="auto"/>
                <w:kern w:val="0"/>
                <w:sz w:val="22"/>
              </w:rPr>
              <w:t>四川傲势科技有限公司</w:t>
            </w:r>
          </w:p>
        </w:tc>
        <w:tc>
          <w:tcPr>
            <w:tcW w:w="1418" w:type="dxa"/>
            <w:noWrap/>
            <w:vAlign w:val="center"/>
          </w:tcPr>
          <w:p>
            <w:pPr>
              <w:widowControl/>
              <w:jc w:val="center"/>
              <w:rPr>
                <w:rFonts w:hint="eastAsia" w:ascii="宋体" w:hAnsi="宋体" w:eastAsia="宋体" w:cs="Arial"/>
                <w:color w:val="auto"/>
                <w:kern w:val="0"/>
                <w:sz w:val="22"/>
              </w:rPr>
            </w:pPr>
            <w:r>
              <w:rPr>
                <w:rFonts w:hint="eastAsia" w:ascii="宋体" w:hAnsi="宋体" w:eastAsia="宋体" w:cs="Arial"/>
                <w:color w:val="auto"/>
                <w:kern w:val="0"/>
                <w:sz w:val="22"/>
              </w:rPr>
              <w:t>四川成都</w:t>
            </w:r>
          </w:p>
        </w:tc>
        <w:tc>
          <w:tcPr>
            <w:tcW w:w="7513" w:type="dxa"/>
            <w:noWrap/>
            <w:vAlign w:val="center"/>
          </w:tcPr>
          <w:p>
            <w:pPr>
              <w:widowControl/>
              <w:rPr>
                <w:rFonts w:hint="eastAsia" w:ascii="宋体" w:hAnsi="宋体" w:eastAsia="宋体" w:cs="Arial"/>
                <w:color w:val="auto"/>
                <w:kern w:val="0"/>
                <w:sz w:val="22"/>
              </w:rPr>
            </w:pPr>
            <w:r>
              <w:rPr>
                <w:rFonts w:hint="eastAsia" w:ascii="宋体" w:hAnsi="宋体" w:eastAsia="宋体" w:cs="Arial"/>
                <w:color w:val="auto"/>
                <w:kern w:val="0"/>
                <w:sz w:val="22"/>
              </w:rPr>
              <w:t>占据行业高端市场的</w:t>
            </w:r>
            <w:r>
              <w:rPr>
                <w:rFonts w:ascii="Arial" w:hAnsi="Arial" w:eastAsia="宋体" w:cs="Arial"/>
                <w:color w:val="auto"/>
                <w:kern w:val="0"/>
                <w:sz w:val="22"/>
              </w:rPr>
              <w:t>X</w:t>
            </w:r>
            <w:r>
              <w:rPr>
                <w:rFonts w:hint="eastAsia" w:ascii="宋体" w:hAnsi="宋体" w:eastAsia="宋体" w:cs="Arial"/>
                <w:color w:val="auto"/>
                <w:kern w:val="0"/>
                <w:sz w:val="22"/>
              </w:rPr>
              <w:t>系列无人机系统，已服务于国内外国土测绘、公共安全、电力巡线、资源勘探及环境保护等领域，为各行业提供完整配套的定制化系统解决方案。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8" w:type="dxa"/>
            <w:vAlign w:val="center"/>
          </w:tcPr>
          <w:p>
            <w:pPr>
              <w:widowControl/>
              <w:jc w:val="center"/>
              <w:rPr>
                <w:rFonts w:hint="eastAsia" w:ascii="宋体" w:hAnsi="宋体" w:eastAsia="宋体" w:cs="Arial"/>
                <w:color w:val="auto"/>
                <w:kern w:val="0"/>
                <w:sz w:val="22"/>
              </w:rPr>
            </w:pPr>
            <w:r>
              <w:rPr>
                <w:rFonts w:hint="eastAsia" w:ascii="宋体" w:hAnsi="宋体" w:eastAsia="宋体" w:cs="Arial"/>
                <w:color w:val="auto"/>
                <w:kern w:val="0"/>
                <w:sz w:val="22"/>
              </w:rPr>
              <w:t>25</w:t>
            </w:r>
          </w:p>
        </w:tc>
        <w:tc>
          <w:tcPr>
            <w:tcW w:w="1179" w:type="dxa"/>
            <w:vAlign w:val="center"/>
          </w:tcPr>
          <w:p>
            <w:pPr>
              <w:widowControl/>
              <w:jc w:val="center"/>
              <w:rPr>
                <w:rFonts w:hint="eastAsia" w:ascii="宋体" w:hAnsi="宋体" w:eastAsia="宋体" w:cs="Arial"/>
                <w:color w:val="auto"/>
                <w:kern w:val="0"/>
                <w:sz w:val="22"/>
              </w:rPr>
            </w:pPr>
            <w:r>
              <w:rPr>
                <w:rFonts w:hint="eastAsia" w:ascii="宋体" w:hAnsi="宋体" w:eastAsia="宋体" w:cs="Arial"/>
                <w:color w:val="auto"/>
                <w:kern w:val="0"/>
                <w:sz w:val="22"/>
              </w:rPr>
              <w:t>测绘</w:t>
            </w:r>
          </w:p>
        </w:tc>
        <w:tc>
          <w:tcPr>
            <w:tcW w:w="3211" w:type="dxa"/>
            <w:noWrap/>
            <w:vAlign w:val="center"/>
          </w:tcPr>
          <w:p>
            <w:pPr>
              <w:widowControl/>
              <w:jc w:val="center"/>
              <w:rPr>
                <w:rFonts w:hint="eastAsia" w:ascii="宋体" w:hAnsi="宋体" w:eastAsia="宋体" w:cs="Arial"/>
                <w:color w:val="auto"/>
                <w:kern w:val="0"/>
                <w:sz w:val="22"/>
              </w:rPr>
            </w:pPr>
            <w:r>
              <w:rPr>
                <w:rFonts w:hint="eastAsia" w:ascii="宋体" w:hAnsi="宋体" w:eastAsia="宋体" w:cs="Arial"/>
                <w:color w:val="auto"/>
                <w:kern w:val="0"/>
                <w:sz w:val="22"/>
              </w:rPr>
              <w:t>成都奥伦达科技有限公司</w:t>
            </w:r>
          </w:p>
        </w:tc>
        <w:tc>
          <w:tcPr>
            <w:tcW w:w="1418" w:type="dxa"/>
            <w:noWrap/>
            <w:vAlign w:val="center"/>
          </w:tcPr>
          <w:p>
            <w:pPr>
              <w:widowControl/>
              <w:jc w:val="center"/>
              <w:rPr>
                <w:rFonts w:hint="eastAsia" w:ascii="宋体" w:hAnsi="宋体" w:eastAsia="宋体" w:cs="Arial"/>
                <w:color w:val="auto"/>
                <w:kern w:val="0"/>
                <w:sz w:val="22"/>
              </w:rPr>
            </w:pPr>
            <w:r>
              <w:rPr>
                <w:rFonts w:hint="eastAsia" w:ascii="宋体" w:hAnsi="宋体" w:eastAsia="宋体" w:cs="Arial"/>
                <w:color w:val="auto"/>
                <w:kern w:val="0"/>
                <w:sz w:val="22"/>
              </w:rPr>
              <w:t>四川成都</w:t>
            </w:r>
          </w:p>
        </w:tc>
        <w:tc>
          <w:tcPr>
            <w:tcW w:w="7513" w:type="dxa"/>
            <w:noWrap/>
            <w:vAlign w:val="center"/>
          </w:tcPr>
          <w:p>
            <w:pPr>
              <w:widowControl/>
              <w:rPr>
                <w:rFonts w:hint="eastAsia" w:ascii="宋体" w:hAnsi="宋体" w:eastAsia="宋体" w:cs="Arial"/>
                <w:color w:val="auto"/>
                <w:kern w:val="0"/>
                <w:sz w:val="22"/>
              </w:rPr>
            </w:pPr>
            <w:r>
              <w:rPr>
                <w:rFonts w:hint="eastAsia" w:ascii="宋体" w:hAnsi="宋体" w:eastAsia="宋体" w:cs="Arial"/>
                <w:color w:val="auto"/>
                <w:kern w:val="0"/>
                <w:sz w:val="22"/>
              </w:rPr>
              <w:t>服务于地理信息、电力巡检、农业、林业、水利、航运、地质、减灾、采矿、勘探、建筑行业。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8" w:type="dxa"/>
            <w:vAlign w:val="center"/>
          </w:tcPr>
          <w:p>
            <w:pPr>
              <w:widowControl/>
              <w:jc w:val="center"/>
              <w:rPr>
                <w:rFonts w:hint="eastAsia" w:ascii="宋体" w:hAnsi="宋体" w:eastAsia="宋体" w:cs="Arial"/>
                <w:color w:val="auto"/>
                <w:kern w:val="0"/>
                <w:sz w:val="22"/>
              </w:rPr>
            </w:pPr>
            <w:r>
              <w:rPr>
                <w:rFonts w:hint="eastAsia" w:ascii="宋体" w:hAnsi="宋体" w:eastAsia="宋体" w:cs="Arial"/>
                <w:color w:val="auto"/>
                <w:kern w:val="0"/>
                <w:sz w:val="22"/>
              </w:rPr>
              <w:t>26</w:t>
            </w:r>
          </w:p>
        </w:tc>
        <w:tc>
          <w:tcPr>
            <w:tcW w:w="1179" w:type="dxa"/>
            <w:vAlign w:val="center"/>
          </w:tcPr>
          <w:p>
            <w:pPr>
              <w:widowControl/>
              <w:jc w:val="center"/>
              <w:rPr>
                <w:rFonts w:hint="eastAsia" w:ascii="宋体" w:hAnsi="宋体" w:eastAsia="宋体" w:cs="Arial"/>
                <w:color w:val="auto"/>
                <w:kern w:val="0"/>
                <w:sz w:val="22"/>
              </w:rPr>
            </w:pPr>
            <w:r>
              <w:rPr>
                <w:rFonts w:hint="eastAsia" w:ascii="宋体" w:hAnsi="宋体" w:eastAsia="宋体" w:cs="Arial"/>
                <w:color w:val="auto"/>
                <w:kern w:val="0"/>
                <w:sz w:val="22"/>
              </w:rPr>
              <w:t>环境监测</w:t>
            </w:r>
          </w:p>
        </w:tc>
        <w:tc>
          <w:tcPr>
            <w:tcW w:w="3211" w:type="dxa"/>
            <w:noWrap/>
            <w:vAlign w:val="center"/>
          </w:tcPr>
          <w:p>
            <w:pPr>
              <w:widowControl/>
              <w:jc w:val="center"/>
              <w:rPr>
                <w:rFonts w:hint="eastAsia" w:ascii="宋体" w:hAnsi="宋体" w:eastAsia="宋体" w:cs="Arial"/>
                <w:color w:val="auto"/>
                <w:kern w:val="0"/>
                <w:sz w:val="22"/>
              </w:rPr>
            </w:pPr>
            <w:r>
              <w:rPr>
                <w:rFonts w:hint="eastAsia" w:ascii="宋体" w:hAnsi="宋体" w:eastAsia="宋体" w:cs="Arial"/>
                <w:color w:val="auto"/>
                <w:kern w:val="0"/>
                <w:sz w:val="22"/>
              </w:rPr>
              <w:t>深圳可飞科技有限公司</w:t>
            </w:r>
          </w:p>
        </w:tc>
        <w:tc>
          <w:tcPr>
            <w:tcW w:w="1418" w:type="dxa"/>
            <w:noWrap/>
            <w:vAlign w:val="center"/>
          </w:tcPr>
          <w:p>
            <w:pPr>
              <w:widowControl/>
              <w:jc w:val="center"/>
              <w:rPr>
                <w:rFonts w:hint="eastAsia" w:ascii="宋体" w:hAnsi="宋体" w:eastAsia="宋体" w:cs="Arial"/>
                <w:color w:val="auto"/>
                <w:kern w:val="0"/>
                <w:sz w:val="22"/>
              </w:rPr>
            </w:pPr>
            <w:r>
              <w:rPr>
                <w:rFonts w:hint="eastAsia" w:ascii="宋体" w:hAnsi="宋体" w:eastAsia="宋体" w:cs="Arial"/>
                <w:color w:val="auto"/>
                <w:kern w:val="0"/>
                <w:sz w:val="22"/>
              </w:rPr>
              <w:t>广东深圳</w:t>
            </w:r>
          </w:p>
        </w:tc>
        <w:tc>
          <w:tcPr>
            <w:tcW w:w="7513" w:type="dxa"/>
            <w:noWrap/>
            <w:vAlign w:val="center"/>
          </w:tcPr>
          <w:p>
            <w:pPr>
              <w:widowControl/>
              <w:rPr>
                <w:rFonts w:hint="eastAsia" w:ascii="宋体" w:hAnsi="宋体" w:eastAsia="宋体" w:cs="Arial"/>
                <w:color w:val="auto"/>
                <w:kern w:val="0"/>
                <w:sz w:val="22"/>
              </w:rPr>
            </w:pPr>
            <w:r>
              <w:rPr>
                <w:rFonts w:hint="eastAsia" w:ascii="宋体" w:hAnsi="宋体" w:eastAsia="宋体" w:cs="Arial"/>
                <w:color w:val="auto"/>
                <w:kern w:val="0"/>
                <w:sz w:val="22"/>
              </w:rPr>
              <w:t>提供行业领先的无人机多气体识别与分析解决方案，适用于生态环境、消防应急、石油天然气等多个领域，已帮助全球1400+用户提升监测效率。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8" w:type="dxa"/>
            <w:vAlign w:val="center"/>
          </w:tcPr>
          <w:p>
            <w:pPr>
              <w:widowControl/>
              <w:jc w:val="center"/>
              <w:rPr>
                <w:rFonts w:hint="eastAsia" w:ascii="宋体" w:hAnsi="宋体" w:eastAsia="宋体" w:cs="Arial"/>
                <w:color w:val="auto"/>
                <w:kern w:val="0"/>
                <w:sz w:val="22"/>
              </w:rPr>
            </w:pPr>
            <w:r>
              <w:rPr>
                <w:rFonts w:hint="eastAsia" w:ascii="宋体" w:hAnsi="宋体" w:eastAsia="宋体" w:cs="Arial"/>
                <w:color w:val="auto"/>
                <w:kern w:val="0"/>
                <w:sz w:val="22"/>
              </w:rPr>
              <w:t>27</w:t>
            </w:r>
          </w:p>
        </w:tc>
        <w:tc>
          <w:tcPr>
            <w:tcW w:w="1179" w:type="dxa"/>
            <w:vAlign w:val="center"/>
          </w:tcPr>
          <w:p>
            <w:pPr>
              <w:widowControl/>
              <w:jc w:val="center"/>
              <w:rPr>
                <w:rFonts w:hint="eastAsia" w:ascii="宋体" w:hAnsi="宋体" w:eastAsia="宋体" w:cs="Arial"/>
                <w:color w:val="auto"/>
                <w:kern w:val="0"/>
                <w:sz w:val="22"/>
              </w:rPr>
            </w:pPr>
            <w:r>
              <w:rPr>
                <w:rFonts w:hint="eastAsia" w:ascii="宋体" w:hAnsi="宋体" w:eastAsia="宋体" w:cs="Arial"/>
                <w:color w:val="auto"/>
                <w:kern w:val="0"/>
                <w:sz w:val="22"/>
              </w:rPr>
              <w:t>环境监测</w:t>
            </w:r>
          </w:p>
        </w:tc>
        <w:tc>
          <w:tcPr>
            <w:tcW w:w="3211" w:type="dxa"/>
            <w:noWrap/>
            <w:vAlign w:val="center"/>
          </w:tcPr>
          <w:p>
            <w:pPr>
              <w:widowControl/>
              <w:jc w:val="center"/>
              <w:rPr>
                <w:rFonts w:hint="eastAsia" w:ascii="宋体" w:hAnsi="宋体" w:eastAsia="宋体" w:cs="Arial"/>
                <w:color w:val="auto"/>
                <w:kern w:val="0"/>
                <w:sz w:val="22"/>
              </w:rPr>
            </w:pPr>
            <w:r>
              <w:rPr>
                <w:rFonts w:hint="eastAsia" w:ascii="宋体" w:hAnsi="宋体" w:eastAsia="宋体" w:cs="Arial"/>
                <w:color w:val="auto"/>
                <w:kern w:val="0"/>
                <w:sz w:val="22"/>
              </w:rPr>
              <w:t>南京俊全科技有限公司</w:t>
            </w:r>
          </w:p>
        </w:tc>
        <w:tc>
          <w:tcPr>
            <w:tcW w:w="1418" w:type="dxa"/>
            <w:noWrap/>
            <w:vAlign w:val="center"/>
          </w:tcPr>
          <w:p>
            <w:pPr>
              <w:widowControl/>
              <w:jc w:val="center"/>
              <w:rPr>
                <w:rFonts w:hint="eastAsia" w:ascii="宋体" w:hAnsi="宋体" w:eastAsia="宋体" w:cs="Arial"/>
                <w:color w:val="auto"/>
                <w:kern w:val="0"/>
                <w:sz w:val="22"/>
              </w:rPr>
            </w:pPr>
            <w:r>
              <w:rPr>
                <w:rFonts w:hint="eastAsia" w:ascii="宋体" w:hAnsi="宋体" w:eastAsia="宋体" w:cs="Arial"/>
                <w:color w:val="auto"/>
                <w:kern w:val="0"/>
                <w:sz w:val="22"/>
              </w:rPr>
              <w:t>江苏南京</w:t>
            </w:r>
          </w:p>
        </w:tc>
        <w:tc>
          <w:tcPr>
            <w:tcW w:w="7513" w:type="dxa"/>
            <w:noWrap/>
            <w:vAlign w:val="center"/>
          </w:tcPr>
          <w:p>
            <w:pPr>
              <w:widowControl/>
              <w:rPr>
                <w:rFonts w:hint="eastAsia" w:ascii="宋体" w:hAnsi="宋体" w:eastAsia="宋体" w:cs="Arial"/>
                <w:color w:val="auto"/>
                <w:kern w:val="0"/>
                <w:sz w:val="22"/>
              </w:rPr>
            </w:pPr>
            <w:r>
              <w:rPr>
                <w:rFonts w:hint="eastAsia" w:ascii="宋体" w:hAnsi="宋体" w:eastAsia="宋体" w:cs="Arial"/>
                <w:color w:val="auto"/>
                <w:kern w:val="0"/>
                <w:sz w:val="22"/>
              </w:rPr>
              <w:t>专注于无人机大气取样和辐射观测，曾协助多所高校和科研机构完成大气污染外场综合观测试验。实现了无人机地表冠层观测、高塔观测、地面定点观测、移动观测为一体的立体观测体系。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8" w:type="dxa"/>
            <w:vAlign w:val="center"/>
          </w:tcPr>
          <w:p>
            <w:pPr>
              <w:widowControl/>
              <w:jc w:val="center"/>
              <w:rPr>
                <w:rFonts w:hint="eastAsia" w:ascii="宋体" w:hAnsi="宋体" w:eastAsia="宋体" w:cs="Arial"/>
                <w:color w:val="auto"/>
                <w:kern w:val="0"/>
                <w:sz w:val="22"/>
              </w:rPr>
            </w:pPr>
            <w:r>
              <w:rPr>
                <w:rFonts w:hint="eastAsia" w:ascii="宋体" w:hAnsi="宋体" w:eastAsia="宋体" w:cs="Arial"/>
                <w:color w:val="auto"/>
                <w:kern w:val="0"/>
                <w:sz w:val="22"/>
              </w:rPr>
              <w:t>28</w:t>
            </w:r>
          </w:p>
        </w:tc>
        <w:tc>
          <w:tcPr>
            <w:tcW w:w="1179" w:type="dxa"/>
            <w:vAlign w:val="center"/>
          </w:tcPr>
          <w:p>
            <w:pPr>
              <w:widowControl/>
              <w:jc w:val="center"/>
              <w:rPr>
                <w:rFonts w:hint="eastAsia" w:ascii="宋体" w:hAnsi="宋体" w:eastAsia="宋体" w:cs="Arial"/>
                <w:color w:val="auto"/>
                <w:kern w:val="0"/>
                <w:sz w:val="22"/>
              </w:rPr>
            </w:pPr>
            <w:r>
              <w:rPr>
                <w:rFonts w:hint="eastAsia" w:ascii="宋体" w:hAnsi="宋体" w:eastAsia="宋体" w:cs="Arial"/>
                <w:color w:val="auto"/>
                <w:kern w:val="0"/>
                <w:sz w:val="22"/>
              </w:rPr>
              <w:t>环境监测</w:t>
            </w:r>
          </w:p>
        </w:tc>
        <w:tc>
          <w:tcPr>
            <w:tcW w:w="3211" w:type="dxa"/>
            <w:noWrap/>
            <w:vAlign w:val="center"/>
          </w:tcPr>
          <w:p>
            <w:pPr>
              <w:widowControl/>
              <w:jc w:val="center"/>
              <w:rPr>
                <w:rFonts w:hint="eastAsia" w:ascii="宋体" w:hAnsi="宋体" w:eastAsia="宋体" w:cs="Arial"/>
                <w:color w:val="auto"/>
                <w:kern w:val="0"/>
                <w:sz w:val="22"/>
              </w:rPr>
            </w:pPr>
            <w:r>
              <w:rPr>
                <w:rFonts w:hint="eastAsia" w:ascii="宋体" w:hAnsi="宋体" w:eastAsia="宋体" w:cs="Arial"/>
                <w:color w:val="auto"/>
                <w:kern w:val="0"/>
                <w:sz w:val="22"/>
              </w:rPr>
              <w:t>苏州中飞遥感技术服务有限公司</w:t>
            </w:r>
          </w:p>
        </w:tc>
        <w:tc>
          <w:tcPr>
            <w:tcW w:w="1418" w:type="dxa"/>
            <w:noWrap/>
            <w:vAlign w:val="center"/>
          </w:tcPr>
          <w:p>
            <w:pPr>
              <w:widowControl/>
              <w:jc w:val="center"/>
              <w:rPr>
                <w:rFonts w:hint="eastAsia" w:ascii="宋体" w:hAnsi="宋体" w:eastAsia="宋体" w:cs="Arial"/>
                <w:color w:val="auto"/>
                <w:kern w:val="0"/>
                <w:sz w:val="22"/>
              </w:rPr>
            </w:pPr>
            <w:r>
              <w:rPr>
                <w:rFonts w:hint="eastAsia" w:ascii="宋体" w:hAnsi="宋体" w:eastAsia="宋体" w:cs="Arial"/>
                <w:color w:val="auto"/>
                <w:kern w:val="0"/>
                <w:sz w:val="22"/>
              </w:rPr>
              <w:t>江苏苏州</w:t>
            </w:r>
          </w:p>
        </w:tc>
        <w:tc>
          <w:tcPr>
            <w:tcW w:w="7513" w:type="dxa"/>
            <w:noWrap/>
            <w:vAlign w:val="center"/>
          </w:tcPr>
          <w:p>
            <w:pPr>
              <w:widowControl/>
              <w:rPr>
                <w:rFonts w:hint="eastAsia" w:ascii="宋体" w:hAnsi="宋体" w:eastAsia="宋体" w:cs="Arial"/>
                <w:color w:val="auto"/>
                <w:kern w:val="0"/>
                <w:sz w:val="22"/>
              </w:rPr>
            </w:pPr>
            <w:r>
              <w:rPr>
                <w:rFonts w:hint="eastAsia" w:ascii="宋体" w:hAnsi="宋体" w:eastAsia="宋体" w:cs="Arial"/>
                <w:color w:val="auto"/>
                <w:kern w:val="0"/>
                <w:sz w:val="22"/>
              </w:rPr>
              <w:t>国家高新技术企业，专注于无人机影像采集和专业服务，整合航空航天遥感资源，提供环境监测解决方案。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8" w:type="dxa"/>
            <w:vAlign w:val="center"/>
          </w:tcPr>
          <w:p>
            <w:pPr>
              <w:widowControl/>
              <w:jc w:val="center"/>
              <w:rPr>
                <w:rFonts w:hint="eastAsia" w:ascii="宋体" w:hAnsi="宋体" w:eastAsia="宋体" w:cs="Arial"/>
                <w:color w:val="auto"/>
                <w:kern w:val="0"/>
                <w:sz w:val="22"/>
              </w:rPr>
            </w:pPr>
            <w:r>
              <w:rPr>
                <w:rFonts w:hint="eastAsia" w:ascii="宋体" w:hAnsi="宋体" w:eastAsia="宋体" w:cs="Arial"/>
                <w:color w:val="auto"/>
                <w:kern w:val="0"/>
                <w:sz w:val="22"/>
              </w:rPr>
              <w:t>29</w:t>
            </w:r>
          </w:p>
        </w:tc>
        <w:tc>
          <w:tcPr>
            <w:tcW w:w="1179" w:type="dxa"/>
            <w:vAlign w:val="center"/>
          </w:tcPr>
          <w:p>
            <w:pPr>
              <w:widowControl/>
              <w:jc w:val="center"/>
              <w:rPr>
                <w:rFonts w:hint="eastAsia" w:ascii="宋体" w:hAnsi="宋体" w:eastAsia="宋体" w:cs="Arial"/>
                <w:color w:val="auto"/>
                <w:kern w:val="0"/>
                <w:sz w:val="22"/>
              </w:rPr>
            </w:pPr>
            <w:r>
              <w:rPr>
                <w:rFonts w:hint="eastAsia" w:ascii="宋体" w:hAnsi="宋体" w:eastAsia="宋体" w:cs="Arial"/>
                <w:color w:val="auto"/>
                <w:kern w:val="0"/>
                <w:sz w:val="22"/>
              </w:rPr>
              <w:t>环境监测</w:t>
            </w:r>
          </w:p>
        </w:tc>
        <w:tc>
          <w:tcPr>
            <w:tcW w:w="3211" w:type="dxa"/>
            <w:noWrap/>
            <w:vAlign w:val="center"/>
          </w:tcPr>
          <w:p>
            <w:pPr>
              <w:widowControl/>
              <w:jc w:val="center"/>
              <w:rPr>
                <w:rFonts w:hint="eastAsia" w:ascii="宋体" w:hAnsi="宋体" w:eastAsia="宋体" w:cs="Arial"/>
                <w:color w:val="auto"/>
                <w:kern w:val="0"/>
                <w:sz w:val="22"/>
              </w:rPr>
            </w:pPr>
            <w:r>
              <w:rPr>
                <w:rFonts w:hint="eastAsia" w:ascii="宋体" w:hAnsi="宋体" w:eastAsia="宋体" w:cs="Arial"/>
                <w:color w:val="auto"/>
                <w:kern w:val="0"/>
                <w:sz w:val="22"/>
              </w:rPr>
              <w:t>中科赛悟科技（安徽）有限公司</w:t>
            </w:r>
          </w:p>
        </w:tc>
        <w:tc>
          <w:tcPr>
            <w:tcW w:w="1418" w:type="dxa"/>
            <w:noWrap/>
            <w:vAlign w:val="center"/>
          </w:tcPr>
          <w:p>
            <w:pPr>
              <w:widowControl/>
              <w:jc w:val="center"/>
              <w:rPr>
                <w:rFonts w:hint="eastAsia" w:ascii="宋体" w:hAnsi="宋体" w:eastAsia="宋体" w:cs="Arial"/>
                <w:color w:val="auto"/>
                <w:kern w:val="0"/>
                <w:sz w:val="22"/>
              </w:rPr>
            </w:pPr>
            <w:r>
              <w:rPr>
                <w:rFonts w:hint="eastAsia" w:ascii="宋体" w:hAnsi="宋体" w:eastAsia="宋体" w:cs="Arial"/>
                <w:color w:val="auto"/>
                <w:kern w:val="0"/>
                <w:sz w:val="22"/>
              </w:rPr>
              <w:t>安徽合肥</w:t>
            </w:r>
          </w:p>
        </w:tc>
        <w:tc>
          <w:tcPr>
            <w:tcW w:w="7513" w:type="dxa"/>
            <w:noWrap/>
            <w:vAlign w:val="center"/>
          </w:tcPr>
          <w:p>
            <w:pPr>
              <w:widowControl/>
              <w:rPr>
                <w:rFonts w:hint="eastAsia" w:ascii="宋体" w:hAnsi="宋体" w:eastAsia="宋体" w:cs="Arial"/>
                <w:color w:val="auto"/>
                <w:kern w:val="0"/>
                <w:sz w:val="22"/>
              </w:rPr>
            </w:pPr>
            <w:r>
              <w:rPr>
                <w:rFonts w:hint="eastAsia" w:ascii="宋体" w:hAnsi="宋体" w:eastAsia="宋体" w:cs="Arial"/>
                <w:color w:val="auto"/>
                <w:kern w:val="0"/>
                <w:sz w:val="22"/>
              </w:rPr>
              <w:t>专注于人工智能大数据环境监测设备及系统研发，与中国科学院、中国科大等科研单位合作，产品涵盖生态环境应急监测预警、化学环境侦测等。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8" w:type="dxa"/>
            <w:vAlign w:val="center"/>
          </w:tcPr>
          <w:p>
            <w:pPr>
              <w:widowControl/>
              <w:jc w:val="center"/>
              <w:rPr>
                <w:rFonts w:hint="eastAsia" w:ascii="宋体" w:hAnsi="宋体" w:eastAsia="宋体" w:cs="Arial"/>
                <w:color w:val="auto"/>
                <w:kern w:val="0"/>
                <w:sz w:val="22"/>
              </w:rPr>
            </w:pPr>
            <w:r>
              <w:rPr>
                <w:rFonts w:hint="eastAsia" w:ascii="宋体" w:hAnsi="宋体" w:eastAsia="宋体" w:cs="Arial"/>
                <w:color w:val="auto"/>
                <w:kern w:val="0"/>
                <w:sz w:val="22"/>
              </w:rPr>
              <w:t>30</w:t>
            </w:r>
          </w:p>
        </w:tc>
        <w:tc>
          <w:tcPr>
            <w:tcW w:w="1179" w:type="dxa"/>
            <w:vAlign w:val="center"/>
          </w:tcPr>
          <w:p>
            <w:pPr>
              <w:widowControl/>
              <w:jc w:val="center"/>
              <w:rPr>
                <w:rFonts w:hint="eastAsia" w:ascii="宋体" w:hAnsi="宋体" w:eastAsia="宋体" w:cs="Arial"/>
                <w:color w:val="auto"/>
                <w:kern w:val="0"/>
                <w:sz w:val="22"/>
              </w:rPr>
            </w:pPr>
            <w:r>
              <w:rPr>
                <w:rFonts w:hint="eastAsia" w:ascii="宋体" w:hAnsi="宋体" w:eastAsia="宋体" w:cs="Arial"/>
                <w:color w:val="auto"/>
                <w:kern w:val="0"/>
                <w:sz w:val="22"/>
              </w:rPr>
              <w:t>表演</w:t>
            </w:r>
          </w:p>
        </w:tc>
        <w:tc>
          <w:tcPr>
            <w:tcW w:w="3211" w:type="dxa"/>
            <w:noWrap/>
            <w:vAlign w:val="center"/>
          </w:tcPr>
          <w:p>
            <w:pPr>
              <w:widowControl/>
              <w:jc w:val="center"/>
              <w:rPr>
                <w:rFonts w:hint="eastAsia" w:ascii="宋体" w:hAnsi="宋体" w:eastAsia="宋体" w:cs="Arial"/>
                <w:color w:val="auto"/>
                <w:kern w:val="0"/>
                <w:sz w:val="22"/>
              </w:rPr>
            </w:pPr>
            <w:r>
              <w:rPr>
                <w:rFonts w:hint="eastAsia" w:ascii="宋体" w:hAnsi="宋体" w:eastAsia="宋体" w:cs="Arial"/>
                <w:color w:val="auto"/>
                <w:kern w:val="0"/>
                <w:sz w:val="22"/>
              </w:rPr>
              <w:t>深圳大漠大智控技术有限公司</w:t>
            </w:r>
          </w:p>
        </w:tc>
        <w:tc>
          <w:tcPr>
            <w:tcW w:w="1418" w:type="dxa"/>
            <w:noWrap/>
            <w:vAlign w:val="center"/>
          </w:tcPr>
          <w:p>
            <w:pPr>
              <w:widowControl/>
              <w:jc w:val="center"/>
              <w:rPr>
                <w:rFonts w:hint="eastAsia" w:ascii="宋体" w:hAnsi="宋体" w:eastAsia="宋体" w:cs="Arial"/>
                <w:color w:val="auto"/>
                <w:kern w:val="0"/>
                <w:sz w:val="22"/>
              </w:rPr>
            </w:pPr>
            <w:r>
              <w:rPr>
                <w:rFonts w:hint="eastAsia" w:ascii="宋体" w:hAnsi="宋体" w:eastAsia="宋体" w:cs="Arial"/>
                <w:color w:val="auto"/>
                <w:kern w:val="0"/>
                <w:sz w:val="22"/>
              </w:rPr>
              <w:t>广东深圳</w:t>
            </w:r>
          </w:p>
        </w:tc>
        <w:tc>
          <w:tcPr>
            <w:tcW w:w="7513" w:type="dxa"/>
            <w:noWrap/>
            <w:vAlign w:val="center"/>
          </w:tcPr>
          <w:p>
            <w:pPr>
              <w:widowControl/>
              <w:rPr>
                <w:rFonts w:hint="eastAsia" w:ascii="宋体" w:hAnsi="宋体" w:eastAsia="宋体" w:cs="Arial"/>
                <w:color w:val="auto"/>
                <w:kern w:val="0"/>
                <w:sz w:val="22"/>
              </w:rPr>
            </w:pPr>
            <w:r>
              <w:rPr>
                <w:rFonts w:hint="eastAsia" w:ascii="宋体" w:hAnsi="宋体" w:eastAsia="宋体" w:cs="Arial"/>
                <w:color w:val="auto"/>
                <w:kern w:val="0"/>
                <w:sz w:val="22"/>
              </w:rPr>
              <w:t>专注于无人机飞行控制系统和无人机群编队技术，提供先进的技术来呈现复杂的2D和3D空中展示。该公司已在全球范围内进行了超过5,000场无人机表演，与2020年世博会等国际活动合作。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8" w:type="dxa"/>
            <w:vAlign w:val="center"/>
          </w:tcPr>
          <w:p>
            <w:pPr>
              <w:widowControl/>
              <w:jc w:val="center"/>
              <w:rPr>
                <w:rFonts w:hint="eastAsia" w:ascii="宋体" w:hAnsi="宋体" w:eastAsia="宋体" w:cs="Arial"/>
                <w:color w:val="auto"/>
                <w:kern w:val="0"/>
                <w:sz w:val="22"/>
              </w:rPr>
            </w:pPr>
            <w:r>
              <w:rPr>
                <w:rFonts w:hint="eastAsia" w:ascii="宋体" w:hAnsi="宋体" w:eastAsia="宋体" w:cs="Arial"/>
                <w:color w:val="auto"/>
                <w:kern w:val="0"/>
                <w:sz w:val="22"/>
              </w:rPr>
              <w:t>31</w:t>
            </w:r>
          </w:p>
        </w:tc>
        <w:tc>
          <w:tcPr>
            <w:tcW w:w="1179" w:type="dxa"/>
            <w:vAlign w:val="center"/>
          </w:tcPr>
          <w:p>
            <w:pPr>
              <w:widowControl/>
              <w:jc w:val="center"/>
              <w:rPr>
                <w:rFonts w:hint="eastAsia" w:ascii="宋体" w:hAnsi="宋体" w:eastAsia="宋体" w:cs="Arial"/>
                <w:color w:val="auto"/>
                <w:kern w:val="0"/>
                <w:sz w:val="22"/>
              </w:rPr>
            </w:pPr>
            <w:r>
              <w:rPr>
                <w:rFonts w:hint="eastAsia" w:ascii="宋体" w:hAnsi="宋体" w:eastAsia="宋体" w:cs="Arial"/>
                <w:color w:val="auto"/>
                <w:kern w:val="0"/>
                <w:sz w:val="22"/>
              </w:rPr>
              <w:t>表演</w:t>
            </w:r>
          </w:p>
        </w:tc>
        <w:tc>
          <w:tcPr>
            <w:tcW w:w="3211" w:type="dxa"/>
            <w:noWrap/>
            <w:vAlign w:val="center"/>
          </w:tcPr>
          <w:p>
            <w:pPr>
              <w:widowControl/>
              <w:jc w:val="center"/>
              <w:rPr>
                <w:rFonts w:hint="eastAsia" w:ascii="宋体" w:hAnsi="宋体" w:eastAsia="宋体" w:cs="Arial"/>
                <w:color w:val="auto"/>
                <w:kern w:val="0"/>
                <w:sz w:val="22"/>
              </w:rPr>
            </w:pPr>
            <w:r>
              <w:rPr>
                <w:rFonts w:hint="eastAsia" w:ascii="宋体" w:hAnsi="宋体" w:eastAsia="宋体" w:cs="Arial"/>
                <w:color w:val="auto"/>
                <w:kern w:val="0"/>
                <w:sz w:val="22"/>
              </w:rPr>
              <w:t>深圳市高巨创新科技开发有限公司</w:t>
            </w:r>
          </w:p>
        </w:tc>
        <w:tc>
          <w:tcPr>
            <w:tcW w:w="1418" w:type="dxa"/>
            <w:noWrap/>
            <w:vAlign w:val="center"/>
          </w:tcPr>
          <w:p>
            <w:pPr>
              <w:widowControl/>
              <w:jc w:val="center"/>
              <w:rPr>
                <w:rFonts w:hint="eastAsia" w:ascii="宋体" w:hAnsi="宋体" w:eastAsia="宋体" w:cs="Arial"/>
                <w:color w:val="auto"/>
                <w:kern w:val="0"/>
                <w:sz w:val="22"/>
              </w:rPr>
            </w:pPr>
            <w:r>
              <w:rPr>
                <w:rFonts w:hint="eastAsia" w:ascii="宋体" w:hAnsi="宋体" w:eastAsia="宋体" w:cs="Arial"/>
                <w:color w:val="auto"/>
                <w:kern w:val="0"/>
                <w:sz w:val="22"/>
              </w:rPr>
              <w:t>广东深圳</w:t>
            </w:r>
          </w:p>
        </w:tc>
        <w:tc>
          <w:tcPr>
            <w:tcW w:w="7513" w:type="dxa"/>
            <w:noWrap/>
            <w:vAlign w:val="center"/>
          </w:tcPr>
          <w:p>
            <w:pPr>
              <w:widowControl/>
              <w:rPr>
                <w:rFonts w:hint="eastAsia" w:ascii="宋体" w:hAnsi="宋体" w:eastAsia="宋体" w:cs="Arial"/>
                <w:color w:val="auto"/>
                <w:kern w:val="0"/>
                <w:sz w:val="22"/>
              </w:rPr>
            </w:pPr>
            <w:r>
              <w:rPr>
                <w:rFonts w:hint="eastAsia" w:ascii="宋体" w:hAnsi="宋体" w:eastAsia="宋体" w:cs="Arial"/>
                <w:color w:val="auto"/>
                <w:kern w:val="0"/>
                <w:sz w:val="22"/>
              </w:rPr>
              <w:t>高巨创新是国内无人机表演行业的领军企业之一。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8" w:type="dxa"/>
            <w:vAlign w:val="center"/>
          </w:tcPr>
          <w:p>
            <w:pPr>
              <w:widowControl/>
              <w:jc w:val="center"/>
              <w:rPr>
                <w:rFonts w:hint="eastAsia" w:ascii="宋体" w:hAnsi="宋体" w:eastAsia="宋体" w:cs="Arial"/>
                <w:color w:val="auto"/>
                <w:kern w:val="0"/>
                <w:sz w:val="22"/>
              </w:rPr>
            </w:pPr>
            <w:r>
              <w:rPr>
                <w:rFonts w:hint="eastAsia" w:ascii="宋体" w:hAnsi="宋体" w:eastAsia="宋体" w:cs="Arial"/>
                <w:color w:val="auto"/>
                <w:kern w:val="0"/>
                <w:sz w:val="22"/>
              </w:rPr>
              <w:t>32</w:t>
            </w:r>
          </w:p>
        </w:tc>
        <w:tc>
          <w:tcPr>
            <w:tcW w:w="1179" w:type="dxa"/>
            <w:vAlign w:val="center"/>
          </w:tcPr>
          <w:p>
            <w:pPr>
              <w:widowControl/>
              <w:jc w:val="center"/>
              <w:rPr>
                <w:rFonts w:hint="eastAsia" w:ascii="宋体" w:hAnsi="宋体" w:eastAsia="宋体" w:cs="Arial"/>
                <w:color w:val="auto"/>
                <w:kern w:val="0"/>
                <w:sz w:val="22"/>
              </w:rPr>
            </w:pPr>
            <w:r>
              <w:rPr>
                <w:rFonts w:hint="eastAsia" w:ascii="宋体" w:hAnsi="宋体" w:eastAsia="宋体" w:cs="Arial"/>
                <w:color w:val="auto"/>
                <w:kern w:val="0"/>
                <w:sz w:val="22"/>
              </w:rPr>
              <w:t>表演</w:t>
            </w:r>
          </w:p>
        </w:tc>
        <w:tc>
          <w:tcPr>
            <w:tcW w:w="3211" w:type="dxa"/>
            <w:noWrap/>
            <w:vAlign w:val="center"/>
          </w:tcPr>
          <w:p>
            <w:pPr>
              <w:widowControl/>
              <w:jc w:val="center"/>
              <w:rPr>
                <w:rFonts w:hint="eastAsia" w:ascii="宋体" w:hAnsi="宋体" w:eastAsia="宋体" w:cs="Arial"/>
                <w:color w:val="auto"/>
                <w:kern w:val="0"/>
                <w:sz w:val="22"/>
              </w:rPr>
            </w:pPr>
            <w:r>
              <w:rPr>
                <w:rFonts w:hint="eastAsia" w:ascii="宋体" w:hAnsi="宋体" w:eastAsia="宋体" w:cs="Arial"/>
                <w:color w:val="auto"/>
                <w:kern w:val="0"/>
                <w:sz w:val="22"/>
              </w:rPr>
              <w:t>一飞智控（天津）科技有限公司</w:t>
            </w:r>
          </w:p>
        </w:tc>
        <w:tc>
          <w:tcPr>
            <w:tcW w:w="1418" w:type="dxa"/>
            <w:noWrap/>
            <w:vAlign w:val="center"/>
          </w:tcPr>
          <w:p>
            <w:pPr>
              <w:widowControl/>
              <w:jc w:val="center"/>
              <w:rPr>
                <w:rFonts w:hint="eastAsia" w:ascii="宋体" w:hAnsi="宋体" w:eastAsia="宋体" w:cs="Arial"/>
                <w:color w:val="auto"/>
                <w:kern w:val="0"/>
                <w:sz w:val="22"/>
              </w:rPr>
            </w:pPr>
            <w:r>
              <w:rPr>
                <w:rFonts w:hint="eastAsia" w:ascii="宋体" w:hAnsi="宋体" w:eastAsia="宋体" w:cs="Arial"/>
                <w:color w:val="auto"/>
                <w:kern w:val="0"/>
                <w:sz w:val="22"/>
              </w:rPr>
              <w:t>天津</w:t>
            </w:r>
          </w:p>
        </w:tc>
        <w:tc>
          <w:tcPr>
            <w:tcW w:w="7513" w:type="dxa"/>
            <w:noWrap/>
            <w:vAlign w:val="center"/>
          </w:tcPr>
          <w:p>
            <w:pPr>
              <w:widowControl/>
              <w:rPr>
                <w:rFonts w:hint="eastAsia" w:ascii="宋体" w:hAnsi="宋体" w:eastAsia="宋体" w:cs="Arial"/>
                <w:color w:val="auto"/>
                <w:kern w:val="0"/>
                <w:sz w:val="22"/>
              </w:rPr>
            </w:pPr>
            <w:r>
              <w:rPr>
                <w:rFonts w:hint="eastAsia" w:ascii="宋体" w:hAnsi="宋体" w:eastAsia="宋体" w:cs="Arial"/>
                <w:color w:val="auto"/>
                <w:kern w:val="0"/>
                <w:sz w:val="22"/>
              </w:rPr>
              <w:t>拥有世界领先的集群控制技术和艺术创新方案，可实现各种空中</w:t>
            </w:r>
            <w:r>
              <w:rPr>
                <w:rFonts w:ascii="Arial" w:hAnsi="Arial" w:eastAsia="宋体" w:cs="Arial"/>
                <w:color w:val="auto"/>
                <w:kern w:val="0"/>
                <w:sz w:val="22"/>
              </w:rPr>
              <w:t>3D</w:t>
            </w:r>
            <w:r>
              <w:rPr>
                <w:rFonts w:hint="eastAsia" w:ascii="宋体" w:hAnsi="宋体" w:eastAsia="宋体" w:cs="Arial"/>
                <w:color w:val="auto"/>
                <w:kern w:val="0"/>
                <w:sz w:val="22"/>
              </w:rPr>
              <w:t>视觉艺术效果。赋能城市地标、孵化网红夜经济景区，业务覆盖全球多个国家和国内省、市、自治区，传播上亿级品牌流量。</w:t>
            </w:r>
          </w:p>
        </w:tc>
      </w:tr>
    </w:tbl>
    <w:p>
      <w:pPr>
        <w:spacing w:line="560" w:lineRule="exact"/>
        <w:ind w:firstLine="640" w:firstLineChars="200"/>
        <w:rPr>
          <w:rFonts w:ascii="仿宋_GB2312" w:hAnsi="Times New Roman" w:eastAsia="仿宋_GB2312" w:cs="Times New Roman"/>
          <w:color w:val="auto"/>
          <w:sz w:val="32"/>
          <w:szCs w:val="32"/>
        </w:rPr>
        <w:sectPr>
          <w:footerReference r:id="rId5" w:type="default"/>
          <w:pgSz w:w="16838" w:h="11906" w:orient="landscape"/>
          <w:pgMar w:top="1701" w:right="1418" w:bottom="1701" w:left="1418" w:header="851" w:footer="992" w:gutter="0"/>
          <w:cols w:space="425" w:num="1"/>
          <w:docGrid w:type="lines" w:linePitch="312" w:charSpace="0"/>
        </w:sectPr>
      </w:pPr>
    </w:p>
    <w:p>
      <w:pPr>
        <w:widowControl/>
        <w:adjustRightInd w:val="0"/>
        <w:snapToGrid w:val="0"/>
        <w:spacing w:line="560" w:lineRule="exact"/>
        <w:ind w:firstLine="641"/>
        <w:outlineLvl w:val="1"/>
        <w:rPr>
          <w:rFonts w:hint="eastAsia" w:ascii="黑体" w:hAnsi="黑体" w:eastAsia="黑体" w:cs="Segoe UI"/>
          <w:bCs/>
          <w:color w:val="auto"/>
          <w:kern w:val="0"/>
          <w:sz w:val="32"/>
          <w:szCs w:val="32"/>
        </w:rPr>
      </w:pPr>
      <w:bookmarkStart w:id="295" w:name="_Toc220270504"/>
      <w:bookmarkStart w:id="296" w:name="_Toc6249"/>
      <w:bookmarkStart w:id="297" w:name="_Toc192950414"/>
      <w:bookmarkStart w:id="298" w:name="_Toc196760067"/>
      <w:bookmarkStart w:id="299" w:name="_Toc192950354"/>
      <w:bookmarkStart w:id="300" w:name="_Toc191998651"/>
      <w:r>
        <w:rPr>
          <w:rFonts w:ascii="黑体" w:hAnsi="黑体" w:eastAsia="黑体" w:cs="Segoe UI"/>
          <w:bCs/>
          <w:color w:val="auto"/>
          <w:kern w:val="0"/>
          <w:sz w:val="32"/>
          <w:szCs w:val="32"/>
        </w:rPr>
        <w:t>三、低空基建与信息服务业招商信息表</w:t>
      </w:r>
      <w:bookmarkEnd w:id="295"/>
      <w:r>
        <w:rPr>
          <w:rFonts w:hint="eastAsia" w:ascii="黑体" w:hAnsi="黑体" w:eastAsia="黑体" w:cs="Segoe UI"/>
          <w:bCs/>
          <w:color w:val="auto"/>
          <w:kern w:val="0"/>
          <w:sz w:val="32"/>
          <w:szCs w:val="32"/>
        </w:rPr>
        <w:t>（拟）</w:t>
      </w:r>
      <w:bookmarkEnd w:id="296"/>
    </w:p>
    <w:p>
      <w:pPr>
        <w:spacing w:before="312" w:beforeLines="100" w:after="156" w:afterLines="50"/>
        <w:jc w:val="center"/>
        <w:outlineLvl w:val="2"/>
        <w:rPr>
          <w:rFonts w:hint="eastAsia" w:ascii="黑体" w:hAnsi="黑体" w:eastAsia="黑体"/>
          <w:color w:val="auto"/>
          <w:sz w:val="24"/>
        </w:rPr>
      </w:pPr>
      <w:bookmarkStart w:id="301" w:name="_Toc220270505"/>
      <w:bookmarkStart w:id="302" w:name="_Toc30763"/>
      <w:r>
        <w:rPr>
          <w:rFonts w:hint="eastAsia" w:ascii="黑体" w:hAnsi="黑体" w:eastAsia="黑体"/>
          <w:color w:val="auto"/>
          <w:sz w:val="24"/>
        </w:rPr>
        <w:t>表3-1 低空基础设施</w:t>
      </w:r>
      <w:r>
        <w:rPr>
          <w:rFonts w:ascii="黑体" w:hAnsi="黑体" w:eastAsia="黑体"/>
          <w:color w:val="auto"/>
          <w:sz w:val="24"/>
        </w:rPr>
        <w:t>主要企业</w:t>
      </w:r>
      <w:bookmarkEnd w:id="297"/>
      <w:bookmarkEnd w:id="298"/>
      <w:bookmarkEnd w:id="299"/>
      <w:bookmarkEnd w:id="301"/>
      <w:bookmarkEnd w:id="302"/>
    </w:p>
    <w:tbl>
      <w:tblPr>
        <w:tblStyle w:val="23"/>
        <w:tblW w:w="14029" w:type="dxa"/>
        <w:jc w:val="center"/>
        <w:tblLayout w:type="autofit"/>
        <w:tblCellMar>
          <w:top w:w="0" w:type="dxa"/>
          <w:left w:w="108" w:type="dxa"/>
          <w:bottom w:w="0" w:type="dxa"/>
          <w:right w:w="108" w:type="dxa"/>
        </w:tblCellMar>
      </w:tblPr>
      <w:tblGrid>
        <w:gridCol w:w="704"/>
        <w:gridCol w:w="1418"/>
        <w:gridCol w:w="2976"/>
        <w:gridCol w:w="1418"/>
        <w:gridCol w:w="7513"/>
      </w:tblGrid>
      <w:tr>
        <w:tblPrEx>
          <w:tblCellMar>
            <w:top w:w="0" w:type="dxa"/>
            <w:left w:w="108" w:type="dxa"/>
            <w:bottom w:w="0" w:type="dxa"/>
            <w:right w:w="108" w:type="dxa"/>
          </w:tblCellMar>
        </w:tblPrEx>
        <w:trPr>
          <w:trHeight w:val="454" w:hRule="atLeast"/>
          <w:tblHeader/>
          <w:jc w:val="center"/>
        </w:trPr>
        <w:tc>
          <w:tcPr>
            <w:tcW w:w="704"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黑体" w:hAnsi="黑体" w:eastAsia="黑体" w:cs="Arial"/>
                <w:color w:val="auto"/>
                <w:kern w:val="0"/>
                <w:sz w:val="22"/>
              </w:rPr>
            </w:pPr>
            <w:r>
              <w:rPr>
                <w:rFonts w:hint="eastAsia" w:ascii="黑体" w:hAnsi="黑体" w:eastAsia="黑体" w:cs="Arial"/>
                <w:color w:val="auto"/>
                <w:kern w:val="0"/>
                <w:sz w:val="22"/>
              </w:rPr>
              <w:t>序号</w:t>
            </w:r>
          </w:p>
        </w:tc>
        <w:tc>
          <w:tcPr>
            <w:tcW w:w="1418" w:type="dxa"/>
            <w:tcBorders>
              <w:top w:val="single" w:color="auto" w:sz="4" w:space="0"/>
              <w:left w:val="nil"/>
              <w:bottom w:val="single" w:color="auto" w:sz="4" w:space="0"/>
              <w:right w:val="single" w:color="auto" w:sz="4" w:space="0"/>
            </w:tcBorders>
            <w:noWrap/>
            <w:vAlign w:val="center"/>
          </w:tcPr>
          <w:p>
            <w:pPr>
              <w:widowControl/>
              <w:jc w:val="center"/>
              <w:rPr>
                <w:rFonts w:hint="eastAsia" w:ascii="黑体" w:hAnsi="黑体" w:eastAsia="黑体" w:cs="Arial"/>
                <w:color w:val="auto"/>
                <w:kern w:val="0"/>
                <w:sz w:val="22"/>
              </w:rPr>
            </w:pPr>
            <w:r>
              <w:rPr>
                <w:rFonts w:hint="eastAsia" w:ascii="黑体" w:hAnsi="黑体" w:eastAsia="黑体" w:cs="Arial"/>
                <w:color w:val="auto"/>
                <w:kern w:val="0"/>
                <w:sz w:val="22"/>
              </w:rPr>
              <w:t>主要领域</w:t>
            </w:r>
          </w:p>
        </w:tc>
        <w:tc>
          <w:tcPr>
            <w:tcW w:w="2976" w:type="dxa"/>
            <w:tcBorders>
              <w:top w:val="single" w:color="auto" w:sz="4" w:space="0"/>
              <w:left w:val="nil"/>
              <w:bottom w:val="single" w:color="auto" w:sz="4" w:space="0"/>
              <w:right w:val="single" w:color="auto" w:sz="4" w:space="0"/>
            </w:tcBorders>
            <w:noWrap/>
            <w:vAlign w:val="center"/>
          </w:tcPr>
          <w:p>
            <w:pPr>
              <w:widowControl/>
              <w:jc w:val="center"/>
              <w:rPr>
                <w:rFonts w:hint="eastAsia" w:ascii="黑体" w:hAnsi="黑体" w:eastAsia="黑体" w:cs="Arial"/>
                <w:color w:val="auto"/>
                <w:kern w:val="0"/>
                <w:sz w:val="22"/>
              </w:rPr>
            </w:pPr>
            <w:r>
              <w:rPr>
                <w:rFonts w:hint="eastAsia" w:ascii="黑体" w:hAnsi="黑体" w:eastAsia="黑体" w:cs="Arial"/>
                <w:color w:val="auto"/>
                <w:kern w:val="0"/>
                <w:sz w:val="22"/>
              </w:rPr>
              <w:t>企业名称</w:t>
            </w:r>
          </w:p>
        </w:tc>
        <w:tc>
          <w:tcPr>
            <w:tcW w:w="1418" w:type="dxa"/>
            <w:tcBorders>
              <w:top w:val="single" w:color="auto" w:sz="4" w:space="0"/>
              <w:left w:val="nil"/>
              <w:bottom w:val="single" w:color="auto" w:sz="4" w:space="0"/>
              <w:right w:val="single" w:color="auto" w:sz="4" w:space="0"/>
            </w:tcBorders>
            <w:noWrap/>
            <w:vAlign w:val="center"/>
          </w:tcPr>
          <w:p>
            <w:pPr>
              <w:widowControl/>
              <w:jc w:val="center"/>
              <w:rPr>
                <w:rFonts w:hint="eastAsia" w:ascii="黑体" w:hAnsi="黑体" w:eastAsia="黑体" w:cs="Arial"/>
                <w:color w:val="auto"/>
                <w:kern w:val="0"/>
                <w:sz w:val="22"/>
              </w:rPr>
            </w:pPr>
            <w:r>
              <w:rPr>
                <w:rFonts w:hint="eastAsia" w:ascii="黑体" w:hAnsi="黑体" w:eastAsia="黑体" w:cs="Arial"/>
                <w:color w:val="auto"/>
                <w:kern w:val="0"/>
                <w:sz w:val="22"/>
              </w:rPr>
              <w:t>总部所在地</w:t>
            </w:r>
          </w:p>
        </w:tc>
        <w:tc>
          <w:tcPr>
            <w:tcW w:w="7513" w:type="dxa"/>
            <w:tcBorders>
              <w:top w:val="single" w:color="auto" w:sz="4" w:space="0"/>
              <w:left w:val="nil"/>
              <w:bottom w:val="single" w:color="auto" w:sz="4" w:space="0"/>
              <w:right w:val="single" w:color="auto" w:sz="4" w:space="0"/>
            </w:tcBorders>
            <w:noWrap/>
            <w:vAlign w:val="center"/>
          </w:tcPr>
          <w:p>
            <w:pPr>
              <w:widowControl/>
              <w:jc w:val="center"/>
              <w:rPr>
                <w:rFonts w:hint="eastAsia" w:ascii="黑体" w:hAnsi="黑体" w:eastAsia="黑体" w:cs="Arial"/>
                <w:color w:val="auto"/>
                <w:kern w:val="0"/>
                <w:sz w:val="22"/>
              </w:rPr>
            </w:pPr>
            <w:r>
              <w:rPr>
                <w:rFonts w:hint="eastAsia" w:ascii="黑体" w:hAnsi="黑体" w:eastAsia="黑体" w:cs="Arial"/>
                <w:color w:val="auto"/>
                <w:kern w:val="0"/>
                <w:sz w:val="22"/>
              </w:rPr>
              <w:t>企业简介/主营方向/产品</w:t>
            </w:r>
          </w:p>
        </w:tc>
      </w:tr>
      <w:tr>
        <w:tblPrEx>
          <w:tblCellMar>
            <w:top w:w="0" w:type="dxa"/>
            <w:left w:w="108" w:type="dxa"/>
            <w:bottom w:w="0" w:type="dxa"/>
            <w:right w:w="108" w:type="dxa"/>
          </w:tblCellMar>
        </w:tblPrEx>
        <w:trPr>
          <w:trHeight w:val="454" w:hRule="atLeast"/>
          <w:jc w:val="center"/>
        </w:trPr>
        <w:tc>
          <w:tcPr>
            <w:tcW w:w="704" w:type="dxa"/>
            <w:tcBorders>
              <w:top w:val="nil"/>
              <w:left w:val="single" w:color="auto" w:sz="4" w:space="0"/>
              <w:bottom w:val="single" w:color="auto" w:sz="4" w:space="0"/>
              <w:right w:val="single" w:color="auto" w:sz="4" w:space="0"/>
            </w:tcBorders>
            <w:vAlign w:val="center"/>
          </w:tcPr>
          <w:p>
            <w:pPr>
              <w:widowControl/>
              <w:jc w:val="center"/>
              <w:rPr>
                <w:rFonts w:hint="eastAsia" w:ascii="宋体" w:hAnsi="宋体" w:eastAsia="宋体" w:cs="Arial"/>
                <w:color w:val="auto"/>
                <w:kern w:val="0"/>
                <w:sz w:val="22"/>
              </w:rPr>
            </w:pPr>
            <w:r>
              <w:rPr>
                <w:rFonts w:hint="eastAsia" w:ascii="宋体" w:hAnsi="宋体" w:eastAsia="宋体" w:cs="Arial"/>
                <w:color w:val="auto"/>
                <w:kern w:val="0"/>
                <w:sz w:val="22"/>
              </w:rPr>
              <w:t>1</w:t>
            </w:r>
          </w:p>
        </w:tc>
        <w:tc>
          <w:tcPr>
            <w:tcW w:w="1418" w:type="dxa"/>
            <w:tcBorders>
              <w:top w:val="nil"/>
              <w:left w:val="nil"/>
              <w:bottom w:val="single" w:color="auto" w:sz="4" w:space="0"/>
              <w:right w:val="single" w:color="auto" w:sz="4" w:space="0"/>
            </w:tcBorders>
            <w:vAlign w:val="center"/>
          </w:tcPr>
          <w:p>
            <w:pPr>
              <w:widowControl/>
              <w:jc w:val="center"/>
              <w:rPr>
                <w:rFonts w:hint="eastAsia" w:ascii="宋体" w:hAnsi="宋体" w:eastAsia="宋体" w:cs="Arial"/>
                <w:color w:val="auto"/>
                <w:kern w:val="0"/>
                <w:sz w:val="22"/>
              </w:rPr>
            </w:pPr>
            <w:r>
              <w:rPr>
                <w:rFonts w:hint="eastAsia" w:ascii="宋体" w:hAnsi="宋体" w:eastAsia="宋体" w:cs="Arial"/>
                <w:color w:val="auto"/>
                <w:kern w:val="0"/>
                <w:sz w:val="22"/>
              </w:rPr>
              <w:t>起降设施</w:t>
            </w:r>
          </w:p>
        </w:tc>
        <w:tc>
          <w:tcPr>
            <w:tcW w:w="2976" w:type="dxa"/>
            <w:tcBorders>
              <w:top w:val="nil"/>
              <w:left w:val="nil"/>
              <w:bottom w:val="single" w:color="auto" w:sz="4" w:space="0"/>
              <w:right w:val="single" w:color="auto" w:sz="4" w:space="0"/>
            </w:tcBorders>
            <w:vAlign w:val="center"/>
          </w:tcPr>
          <w:p>
            <w:pPr>
              <w:widowControl/>
              <w:jc w:val="center"/>
              <w:rPr>
                <w:rFonts w:hint="eastAsia" w:ascii="宋体" w:hAnsi="宋体" w:eastAsia="宋体" w:cs="Arial"/>
                <w:color w:val="auto"/>
                <w:kern w:val="0"/>
                <w:sz w:val="22"/>
              </w:rPr>
            </w:pPr>
            <w:r>
              <w:rPr>
                <w:rFonts w:hint="eastAsia" w:ascii="宋体" w:hAnsi="宋体" w:eastAsia="宋体" w:cs="Arial"/>
                <w:color w:val="auto"/>
                <w:kern w:val="0"/>
                <w:sz w:val="22"/>
              </w:rPr>
              <w:t>浙江圣翔航空科技有限公司</w:t>
            </w:r>
          </w:p>
        </w:tc>
        <w:tc>
          <w:tcPr>
            <w:tcW w:w="1418" w:type="dxa"/>
            <w:tcBorders>
              <w:top w:val="nil"/>
              <w:left w:val="nil"/>
              <w:bottom w:val="single" w:color="auto" w:sz="4" w:space="0"/>
              <w:right w:val="single" w:color="auto" w:sz="4" w:space="0"/>
            </w:tcBorders>
            <w:vAlign w:val="center"/>
          </w:tcPr>
          <w:p>
            <w:pPr>
              <w:widowControl/>
              <w:jc w:val="center"/>
              <w:rPr>
                <w:rFonts w:hint="eastAsia" w:ascii="宋体" w:hAnsi="宋体" w:eastAsia="宋体" w:cs="Arial"/>
                <w:color w:val="auto"/>
                <w:kern w:val="0"/>
                <w:sz w:val="22"/>
              </w:rPr>
            </w:pPr>
            <w:r>
              <w:rPr>
                <w:rFonts w:hint="eastAsia" w:ascii="宋体" w:hAnsi="宋体" w:eastAsia="宋体" w:cs="Arial"/>
                <w:color w:val="auto"/>
                <w:kern w:val="0"/>
                <w:sz w:val="22"/>
              </w:rPr>
              <w:t>浙江绍兴</w:t>
            </w:r>
          </w:p>
        </w:tc>
        <w:tc>
          <w:tcPr>
            <w:tcW w:w="7513" w:type="dxa"/>
            <w:tcBorders>
              <w:top w:val="nil"/>
              <w:left w:val="nil"/>
              <w:bottom w:val="single" w:color="auto" w:sz="4" w:space="0"/>
              <w:right w:val="single" w:color="auto" w:sz="4" w:space="0"/>
            </w:tcBorders>
            <w:vAlign w:val="center"/>
          </w:tcPr>
          <w:p>
            <w:pPr>
              <w:widowControl/>
              <w:jc w:val="left"/>
              <w:rPr>
                <w:rFonts w:hint="eastAsia" w:ascii="宋体" w:hAnsi="宋体" w:eastAsia="宋体" w:cs="Arial"/>
                <w:color w:val="auto"/>
                <w:kern w:val="0"/>
                <w:sz w:val="22"/>
              </w:rPr>
            </w:pPr>
            <w:r>
              <w:rPr>
                <w:rFonts w:hint="eastAsia" w:ascii="宋体" w:hAnsi="宋体" w:eastAsia="宋体" w:cs="Arial"/>
                <w:color w:val="auto"/>
                <w:kern w:val="0"/>
                <w:sz w:val="22"/>
              </w:rPr>
              <w:t>专注中大型飞行器停机坪研发，推出医疗专用型、移动式停机坪。</w:t>
            </w:r>
          </w:p>
        </w:tc>
      </w:tr>
      <w:tr>
        <w:tblPrEx>
          <w:tblCellMar>
            <w:top w:w="0" w:type="dxa"/>
            <w:left w:w="108" w:type="dxa"/>
            <w:bottom w:w="0" w:type="dxa"/>
            <w:right w:w="108" w:type="dxa"/>
          </w:tblCellMar>
        </w:tblPrEx>
        <w:trPr>
          <w:trHeight w:val="454" w:hRule="atLeast"/>
          <w:jc w:val="center"/>
        </w:trPr>
        <w:tc>
          <w:tcPr>
            <w:tcW w:w="704" w:type="dxa"/>
            <w:tcBorders>
              <w:top w:val="nil"/>
              <w:left w:val="single" w:color="auto" w:sz="4" w:space="0"/>
              <w:bottom w:val="single" w:color="auto" w:sz="4" w:space="0"/>
              <w:right w:val="single" w:color="auto" w:sz="4" w:space="0"/>
            </w:tcBorders>
            <w:vAlign w:val="center"/>
          </w:tcPr>
          <w:p>
            <w:pPr>
              <w:widowControl/>
              <w:jc w:val="center"/>
              <w:rPr>
                <w:rFonts w:hint="eastAsia" w:ascii="宋体" w:hAnsi="宋体" w:eastAsia="宋体" w:cs="Arial"/>
                <w:color w:val="auto"/>
                <w:kern w:val="0"/>
                <w:sz w:val="22"/>
              </w:rPr>
            </w:pPr>
            <w:r>
              <w:rPr>
                <w:rFonts w:hint="eastAsia" w:ascii="宋体" w:hAnsi="宋体" w:eastAsia="宋体" w:cs="Arial"/>
                <w:color w:val="auto"/>
                <w:kern w:val="0"/>
                <w:sz w:val="22"/>
              </w:rPr>
              <w:t>2</w:t>
            </w:r>
          </w:p>
        </w:tc>
        <w:tc>
          <w:tcPr>
            <w:tcW w:w="1418" w:type="dxa"/>
            <w:tcBorders>
              <w:top w:val="nil"/>
              <w:left w:val="nil"/>
              <w:bottom w:val="single" w:color="auto" w:sz="4" w:space="0"/>
              <w:right w:val="single" w:color="auto" w:sz="4" w:space="0"/>
            </w:tcBorders>
            <w:vAlign w:val="center"/>
          </w:tcPr>
          <w:p>
            <w:pPr>
              <w:widowControl/>
              <w:jc w:val="center"/>
              <w:rPr>
                <w:rFonts w:hint="eastAsia" w:ascii="宋体" w:hAnsi="宋体" w:eastAsia="宋体" w:cs="Arial"/>
                <w:color w:val="auto"/>
                <w:kern w:val="0"/>
                <w:sz w:val="22"/>
              </w:rPr>
            </w:pPr>
            <w:r>
              <w:rPr>
                <w:rFonts w:hint="eastAsia" w:ascii="宋体" w:hAnsi="宋体" w:eastAsia="宋体" w:cs="Arial"/>
                <w:color w:val="auto"/>
                <w:kern w:val="0"/>
                <w:sz w:val="22"/>
              </w:rPr>
              <w:t>起降设施</w:t>
            </w:r>
          </w:p>
        </w:tc>
        <w:tc>
          <w:tcPr>
            <w:tcW w:w="2976" w:type="dxa"/>
            <w:tcBorders>
              <w:top w:val="nil"/>
              <w:left w:val="nil"/>
              <w:bottom w:val="single" w:color="auto" w:sz="4" w:space="0"/>
              <w:right w:val="single" w:color="auto" w:sz="4" w:space="0"/>
            </w:tcBorders>
            <w:vAlign w:val="center"/>
          </w:tcPr>
          <w:p>
            <w:pPr>
              <w:widowControl/>
              <w:jc w:val="center"/>
              <w:rPr>
                <w:rFonts w:hint="eastAsia" w:ascii="宋体" w:hAnsi="宋体" w:eastAsia="宋体" w:cs="Arial"/>
                <w:color w:val="auto"/>
                <w:kern w:val="0"/>
                <w:sz w:val="22"/>
              </w:rPr>
            </w:pPr>
            <w:r>
              <w:rPr>
                <w:rFonts w:hint="eastAsia" w:ascii="宋体" w:hAnsi="宋体" w:eastAsia="宋体" w:cs="Arial"/>
                <w:color w:val="auto"/>
                <w:kern w:val="0"/>
                <w:sz w:val="22"/>
              </w:rPr>
              <w:t>蜂巢航宇科技（北京）有限公司</w:t>
            </w:r>
          </w:p>
        </w:tc>
        <w:tc>
          <w:tcPr>
            <w:tcW w:w="1418" w:type="dxa"/>
            <w:tcBorders>
              <w:top w:val="nil"/>
              <w:left w:val="nil"/>
              <w:bottom w:val="single" w:color="auto" w:sz="4" w:space="0"/>
              <w:right w:val="single" w:color="auto" w:sz="4" w:space="0"/>
            </w:tcBorders>
            <w:vAlign w:val="center"/>
          </w:tcPr>
          <w:p>
            <w:pPr>
              <w:widowControl/>
              <w:jc w:val="center"/>
              <w:rPr>
                <w:rFonts w:hint="eastAsia" w:ascii="宋体" w:hAnsi="宋体" w:eastAsia="宋体" w:cs="Arial"/>
                <w:color w:val="auto"/>
                <w:kern w:val="0"/>
                <w:sz w:val="22"/>
              </w:rPr>
            </w:pPr>
            <w:r>
              <w:rPr>
                <w:rFonts w:hint="eastAsia" w:ascii="宋体" w:hAnsi="宋体" w:eastAsia="宋体" w:cs="Arial"/>
                <w:color w:val="auto"/>
                <w:kern w:val="0"/>
                <w:sz w:val="22"/>
              </w:rPr>
              <w:t>北京丰台</w:t>
            </w:r>
          </w:p>
        </w:tc>
        <w:tc>
          <w:tcPr>
            <w:tcW w:w="7513" w:type="dxa"/>
            <w:tcBorders>
              <w:top w:val="nil"/>
              <w:left w:val="nil"/>
              <w:bottom w:val="single" w:color="auto" w:sz="4" w:space="0"/>
              <w:right w:val="single" w:color="auto" w:sz="4" w:space="0"/>
            </w:tcBorders>
            <w:vAlign w:val="center"/>
          </w:tcPr>
          <w:p>
            <w:pPr>
              <w:widowControl/>
              <w:jc w:val="left"/>
              <w:rPr>
                <w:rFonts w:hint="eastAsia" w:ascii="宋体" w:hAnsi="宋体" w:eastAsia="宋体" w:cs="Arial"/>
                <w:color w:val="auto"/>
                <w:kern w:val="0"/>
                <w:sz w:val="22"/>
              </w:rPr>
            </w:pPr>
            <w:r>
              <w:rPr>
                <w:rFonts w:hint="eastAsia" w:ascii="宋体" w:hAnsi="宋体" w:eastAsia="宋体" w:cs="Arial"/>
                <w:color w:val="auto"/>
                <w:kern w:val="0"/>
                <w:sz w:val="22"/>
              </w:rPr>
              <w:t>无人机自动机场系列产品，适配大疆多种机型。垂起固定翼智能无人机场，支持远距离（覆盖半径100公里）巡检，具备自主充电、远程控制、云端数据处理功能。</w:t>
            </w:r>
          </w:p>
        </w:tc>
      </w:tr>
      <w:tr>
        <w:tblPrEx>
          <w:tblCellMar>
            <w:top w:w="0" w:type="dxa"/>
            <w:left w:w="108" w:type="dxa"/>
            <w:bottom w:w="0" w:type="dxa"/>
            <w:right w:w="108" w:type="dxa"/>
          </w:tblCellMar>
        </w:tblPrEx>
        <w:trPr>
          <w:trHeight w:val="454" w:hRule="atLeast"/>
          <w:jc w:val="center"/>
        </w:trPr>
        <w:tc>
          <w:tcPr>
            <w:tcW w:w="704" w:type="dxa"/>
            <w:tcBorders>
              <w:top w:val="nil"/>
              <w:left w:val="single" w:color="auto" w:sz="4" w:space="0"/>
              <w:bottom w:val="single" w:color="auto" w:sz="4" w:space="0"/>
              <w:right w:val="single" w:color="auto" w:sz="4" w:space="0"/>
            </w:tcBorders>
            <w:vAlign w:val="center"/>
          </w:tcPr>
          <w:p>
            <w:pPr>
              <w:widowControl/>
              <w:jc w:val="center"/>
              <w:rPr>
                <w:rFonts w:hint="eastAsia" w:ascii="宋体" w:hAnsi="宋体" w:eastAsia="宋体" w:cs="Arial"/>
                <w:color w:val="auto"/>
                <w:kern w:val="0"/>
                <w:sz w:val="22"/>
              </w:rPr>
            </w:pPr>
            <w:r>
              <w:rPr>
                <w:rFonts w:hint="eastAsia" w:ascii="宋体" w:hAnsi="宋体" w:eastAsia="宋体" w:cs="Arial"/>
                <w:color w:val="auto"/>
                <w:kern w:val="0"/>
                <w:sz w:val="22"/>
              </w:rPr>
              <w:t>3</w:t>
            </w:r>
          </w:p>
        </w:tc>
        <w:tc>
          <w:tcPr>
            <w:tcW w:w="1418" w:type="dxa"/>
            <w:tcBorders>
              <w:top w:val="nil"/>
              <w:left w:val="nil"/>
              <w:bottom w:val="single" w:color="auto" w:sz="4" w:space="0"/>
              <w:right w:val="single" w:color="auto" w:sz="4" w:space="0"/>
            </w:tcBorders>
            <w:vAlign w:val="center"/>
          </w:tcPr>
          <w:p>
            <w:pPr>
              <w:widowControl/>
              <w:jc w:val="center"/>
              <w:rPr>
                <w:rFonts w:hint="eastAsia" w:ascii="宋体" w:hAnsi="宋体" w:eastAsia="宋体" w:cs="Arial"/>
                <w:color w:val="auto"/>
                <w:kern w:val="0"/>
                <w:sz w:val="22"/>
              </w:rPr>
            </w:pPr>
            <w:r>
              <w:rPr>
                <w:rFonts w:hint="eastAsia" w:ascii="宋体" w:hAnsi="宋体" w:eastAsia="宋体" w:cs="Arial"/>
                <w:color w:val="auto"/>
                <w:kern w:val="0"/>
                <w:sz w:val="22"/>
              </w:rPr>
              <w:t>起降设施</w:t>
            </w:r>
          </w:p>
        </w:tc>
        <w:tc>
          <w:tcPr>
            <w:tcW w:w="2976" w:type="dxa"/>
            <w:tcBorders>
              <w:top w:val="nil"/>
              <w:left w:val="nil"/>
              <w:bottom w:val="single" w:color="auto" w:sz="4" w:space="0"/>
              <w:right w:val="single" w:color="auto" w:sz="4" w:space="0"/>
            </w:tcBorders>
            <w:vAlign w:val="center"/>
          </w:tcPr>
          <w:p>
            <w:pPr>
              <w:widowControl/>
              <w:jc w:val="center"/>
              <w:rPr>
                <w:rFonts w:hint="eastAsia" w:ascii="宋体" w:hAnsi="宋体" w:eastAsia="宋体" w:cs="Arial"/>
                <w:color w:val="auto"/>
                <w:kern w:val="0"/>
                <w:sz w:val="22"/>
              </w:rPr>
            </w:pPr>
            <w:r>
              <w:rPr>
                <w:rFonts w:hint="eastAsia" w:ascii="宋体" w:hAnsi="宋体" w:eastAsia="宋体" w:cs="Arial"/>
                <w:color w:val="auto"/>
                <w:kern w:val="0"/>
                <w:sz w:val="22"/>
              </w:rPr>
              <w:t>星逻智能科技（苏州）有限公司</w:t>
            </w:r>
          </w:p>
        </w:tc>
        <w:tc>
          <w:tcPr>
            <w:tcW w:w="1418" w:type="dxa"/>
            <w:tcBorders>
              <w:top w:val="nil"/>
              <w:left w:val="nil"/>
              <w:bottom w:val="single" w:color="auto" w:sz="4" w:space="0"/>
              <w:right w:val="single" w:color="auto" w:sz="4" w:space="0"/>
            </w:tcBorders>
            <w:vAlign w:val="center"/>
          </w:tcPr>
          <w:p>
            <w:pPr>
              <w:widowControl/>
              <w:jc w:val="center"/>
              <w:rPr>
                <w:rFonts w:hint="eastAsia" w:ascii="宋体" w:hAnsi="宋体" w:eastAsia="宋体" w:cs="Arial"/>
                <w:color w:val="auto"/>
                <w:kern w:val="0"/>
                <w:sz w:val="22"/>
              </w:rPr>
            </w:pPr>
            <w:r>
              <w:rPr>
                <w:rFonts w:hint="eastAsia" w:ascii="宋体" w:hAnsi="宋体" w:eastAsia="宋体" w:cs="Arial"/>
                <w:color w:val="auto"/>
                <w:kern w:val="0"/>
                <w:sz w:val="22"/>
              </w:rPr>
              <w:t>江苏苏州</w:t>
            </w:r>
          </w:p>
        </w:tc>
        <w:tc>
          <w:tcPr>
            <w:tcW w:w="7513" w:type="dxa"/>
            <w:tcBorders>
              <w:top w:val="nil"/>
              <w:left w:val="nil"/>
              <w:bottom w:val="single" w:color="auto" w:sz="4" w:space="0"/>
              <w:right w:val="single" w:color="auto" w:sz="4" w:space="0"/>
            </w:tcBorders>
            <w:vAlign w:val="center"/>
          </w:tcPr>
          <w:p>
            <w:pPr>
              <w:widowControl/>
              <w:jc w:val="left"/>
              <w:rPr>
                <w:rFonts w:hint="eastAsia" w:ascii="宋体" w:hAnsi="宋体" w:eastAsia="宋体" w:cs="Arial"/>
                <w:color w:val="auto"/>
                <w:kern w:val="0"/>
                <w:sz w:val="22"/>
              </w:rPr>
            </w:pPr>
            <w:r>
              <w:rPr>
                <w:rFonts w:hint="eastAsia" w:ascii="宋体" w:hAnsi="宋体" w:eastAsia="宋体" w:cs="Arial"/>
                <w:color w:val="auto"/>
                <w:kern w:val="0"/>
                <w:sz w:val="22"/>
              </w:rPr>
              <w:t>为行业用户提供基于无人机机库以及云端的人工智能软件产品。</w:t>
            </w:r>
          </w:p>
        </w:tc>
      </w:tr>
      <w:tr>
        <w:tblPrEx>
          <w:tblCellMar>
            <w:top w:w="0" w:type="dxa"/>
            <w:left w:w="108" w:type="dxa"/>
            <w:bottom w:w="0" w:type="dxa"/>
            <w:right w:w="108" w:type="dxa"/>
          </w:tblCellMar>
        </w:tblPrEx>
        <w:trPr>
          <w:trHeight w:val="454" w:hRule="atLeast"/>
          <w:jc w:val="center"/>
        </w:trPr>
        <w:tc>
          <w:tcPr>
            <w:tcW w:w="704" w:type="dxa"/>
            <w:tcBorders>
              <w:top w:val="nil"/>
              <w:left w:val="single" w:color="auto" w:sz="4" w:space="0"/>
              <w:bottom w:val="single" w:color="auto" w:sz="4" w:space="0"/>
              <w:right w:val="single" w:color="auto" w:sz="4" w:space="0"/>
            </w:tcBorders>
            <w:vAlign w:val="center"/>
          </w:tcPr>
          <w:p>
            <w:pPr>
              <w:widowControl/>
              <w:jc w:val="center"/>
              <w:rPr>
                <w:rFonts w:hint="eastAsia" w:ascii="宋体" w:hAnsi="宋体" w:eastAsia="宋体" w:cs="Arial"/>
                <w:color w:val="auto"/>
                <w:kern w:val="0"/>
                <w:sz w:val="22"/>
              </w:rPr>
            </w:pPr>
            <w:r>
              <w:rPr>
                <w:rFonts w:hint="eastAsia" w:ascii="宋体" w:hAnsi="宋体" w:eastAsia="宋体" w:cs="Arial"/>
                <w:color w:val="auto"/>
                <w:kern w:val="0"/>
                <w:sz w:val="22"/>
              </w:rPr>
              <w:t>4</w:t>
            </w:r>
          </w:p>
        </w:tc>
        <w:tc>
          <w:tcPr>
            <w:tcW w:w="1418" w:type="dxa"/>
            <w:tcBorders>
              <w:top w:val="nil"/>
              <w:left w:val="nil"/>
              <w:bottom w:val="single" w:color="auto" w:sz="4" w:space="0"/>
              <w:right w:val="single" w:color="auto" w:sz="4" w:space="0"/>
            </w:tcBorders>
            <w:vAlign w:val="center"/>
          </w:tcPr>
          <w:p>
            <w:pPr>
              <w:widowControl/>
              <w:jc w:val="center"/>
              <w:rPr>
                <w:rFonts w:hint="eastAsia" w:ascii="宋体" w:hAnsi="宋体" w:eastAsia="宋体" w:cs="Arial"/>
                <w:color w:val="auto"/>
                <w:kern w:val="0"/>
                <w:sz w:val="22"/>
              </w:rPr>
            </w:pPr>
            <w:r>
              <w:rPr>
                <w:rFonts w:hint="eastAsia" w:ascii="宋体" w:hAnsi="宋体" w:eastAsia="宋体" w:cs="Arial"/>
                <w:color w:val="auto"/>
                <w:kern w:val="0"/>
                <w:sz w:val="22"/>
              </w:rPr>
              <w:t>起降设施</w:t>
            </w:r>
          </w:p>
        </w:tc>
        <w:tc>
          <w:tcPr>
            <w:tcW w:w="2976" w:type="dxa"/>
            <w:tcBorders>
              <w:top w:val="nil"/>
              <w:left w:val="nil"/>
              <w:bottom w:val="single" w:color="auto" w:sz="4" w:space="0"/>
              <w:right w:val="single" w:color="auto" w:sz="4" w:space="0"/>
            </w:tcBorders>
            <w:vAlign w:val="center"/>
          </w:tcPr>
          <w:p>
            <w:pPr>
              <w:widowControl/>
              <w:jc w:val="center"/>
              <w:rPr>
                <w:rFonts w:hint="eastAsia" w:ascii="宋体" w:hAnsi="宋体" w:eastAsia="宋体" w:cs="Arial"/>
                <w:color w:val="auto"/>
                <w:kern w:val="0"/>
                <w:sz w:val="22"/>
              </w:rPr>
            </w:pPr>
            <w:r>
              <w:rPr>
                <w:rFonts w:hint="eastAsia" w:ascii="宋体" w:hAnsi="宋体" w:eastAsia="宋体" w:cs="Arial"/>
                <w:color w:val="auto"/>
                <w:kern w:val="0"/>
                <w:sz w:val="22"/>
              </w:rPr>
              <w:t>合肥德智航创科技有限公司</w:t>
            </w:r>
          </w:p>
        </w:tc>
        <w:tc>
          <w:tcPr>
            <w:tcW w:w="1418" w:type="dxa"/>
            <w:tcBorders>
              <w:top w:val="nil"/>
              <w:left w:val="nil"/>
              <w:bottom w:val="single" w:color="auto" w:sz="4" w:space="0"/>
              <w:right w:val="single" w:color="auto" w:sz="4" w:space="0"/>
            </w:tcBorders>
            <w:vAlign w:val="center"/>
          </w:tcPr>
          <w:p>
            <w:pPr>
              <w:widowControl/>
              <w:jc w:val="center"/>
              <w:rPr>
                <w:rFonts w:hint="eastAsia" w:ascii="宋体" w:hAnsi="宋体" w:eastAsia="宋体" w:cs="Arial"/>
                <w:color w:val="auto"/>
                <w:kern w:val="0"/>
                <w:sz w:val="22"/>
              </w:rPr>
            </w:pPr>
            <w:r>
              <w:rPr>
                <w:rFonts w:hint="eastAsia" w:ascii="宋体" w:hAnsi="宋体" w:eastAsia="宋体" w:cs="Arial"/>
                <w:color w:val="auto"/>
                <w:kern w:val="0"/>
                <w:sz w:val="22"/>
              </w:rPr>
              <w:t>安徽合肥</w:t>
            </w:r>
          </w:p>
        </w:tc>
        <w:tc>
          <w:tcPr>
            <w:tcW w:w="7513" w:type="dxa"/>
            <w:tcBorders>
              <w:top w:val="nil"/>
              <w:left w:val="nil"/>
              <w:bottom w:val="single" w:color="auto" w:sz="4" w:space="0"/>
              <w:right w:val="single" w:color="auto" w:sz="4" w:space="0"/>
            </w:tcBorders>
            <w:vAlign w:val="center"/>
          </w:tcPr>
          <w:p>
            <w:pPr>
              <w:widowControl/>
              <w:jc w:val="left"/>
              <w:rPr>
                <w:rFonts w:hint="eastAsia" w:ascii="宋体" w:hAnsi="宋体" w:eastAsia="宋体" w:cs="Arial"/>
                <w:color w:val="auto"/>
                <w:kern w:val="0"/>
                <w:sz w:val="22"/>
              </w:rPr>
            </w:pPr>
            <w:r>
              <w:rPr>
                <w:rFonts w:hint="eastAsia" w:ascii="宋体" w:hAnsi="宋体" w:eastAsia="宋体" w:cs="Arial"/>
                <w:color w:val="auto"/>
                <w:kern w:val="0"/>
                <w:sz w:val="22"/>
              </w:rPr>
              <w:t>主要研发中大型垂直起降无人机整机及面向专业客户需求的各类型解决方案。轻型无人机场，适配大疆系列机型。</w:t>
            </w:r>
          </w:p>
        </w:tc>
      </w:tr>
      <w:tr>
        <w:tblPrEx>
          <w:tblCellMar>
            <w:top w:w="0" w:type="dxa"/>
            <w:left w:w="108" w:type="dxa"/>
            <w:bottom w:w="0" w:type="dxa"/>
            <w:right w:w="108" w:type="dxa"/>
          </w:tblCellMar>
        </w:tblPrEx>
        <w:trPr>
          <w:trHeight w:val="454" w:hRule="atLeast"/>
          <w:jc w:val="center"/>
        </w:trPr>
        <w:tc>
          <w:tcPr>
            <w:tcW w:w="704" w:type="dxa"/>
            <w:tcBorders>
              <w:top w:val="nil"/>
              <w:left w:val="single" w:color="auto" w:sz="4" w:space="0"/>
              <w:bottom w:val="single" w:color="auto" w:sz="4" w:space="0"/>
              <w:right w:val="single" w:color="auto" w:sz="4" w:space="0"/>
            </w:tcBorders>
            <w:vAlign w:val="center"/>
          </w:tcPr>
          <w:p>
            <w:pPr>
              <w:widowControl/>
              <w:jc w:val="center"/>
              <w:rPr>
                <w:rFonts w:hint="eastAsia" w:ascii="宋体" w:hAnsi="宋体" w:eastAsia="宋体" w:cs="Arial"/>
                <w:color w:val="auto"/>
                <w:kern w:val="0"/>
                <w:sz w:val="22"/>
              </w:rPr>
            </w:pPr>
            <w:r>
              <w:rPr>
                <w:rFonts w:hint="eastAsia" w:ascii="宋体" w:hAnsi="宋体" w:eastAsia="宋体" w:cs="Arial"/>
                <w:color w:val="auto"/>
                <w:kern w:val="0"/>
                <w:sz w:val="22"/>
              </w:rPr>
              <w:t>5</w:t>
            </w:r>
          </w:p>
        </w:tc>
        <w:tc>
          <w:tcPr>
            <w:tcW w:w="1418" w:type="dxa"/>
            <w:tcBorders>
              <w:top w:val="nil"/>
              <w:left w:val="nil"/>
              <w:bottom w:val="single" w:color="auto" w:sz="4" w:space="0"/>
              <w:right w:val="single" w:color="auto" w:sz="4" w:space="0"/>
            </w:tcBorders>
            <w:vAlign w:val="center"/>
          </w:tcPr>
          <w:p>
            <w:pPr>
              <w:widowControl/>
              <w:jc w:val="center"/>
              <w:rPr>
                <w:rFonts w:hint="eastAsia" w:ascii="宋体" w:hAnsi="宋体" w:eastAsia="宋体" w:cs="Arial"/>
                <w:color w:val="auto"/>
                <w:kern w:val="0"/>
                <w:sz w:val="22"/>
              </w:rPr>
            </w:pPr>
            <w:r>
              <w:rPr>
                <w:rFonts w:hint="eastAsia" w:ascii="宋体" w:hAnsi="宋体" w:eastAsia="宋体" w:cs="Arial"/>
                <w:color w:val="auto"/>
                <w:kern w:val="0"/>
                <w:sz w:val="22"/>
              </w:rPr>
              <w:t>信息设施</w:t>
            </w:r>
          </w:p>
        </w:tc>
        <w:tc>
          <w:tcPr>
            <w:tcW w:w="2976" w:type="dxa"/>
            <w:tcBorders>
              <w:top w:val="nil"/>
              <w:left w:val="nil"/>
              <w:bottom w:val="single" w:color="auto" w:sz="4" w:space="0"/>
              <w:right w:val="single" w:color="auto" w:sz="4" w:space="0"/>
            </w:tcBorders>
            <w:vAlign w:val="center"/>
          </w:tcPr>
          <w:p>
            <w:pPr>
              <w:widowControl/>
              <w:jc w:val="center"/>
              <w:rPr>
                <w:rFonts w:hint="eastAsia" w:ascii="宋体" w:hAnsi="宋体" w:eastAsia="宋体" w:cs="Arial"/>
                <w:color w:val="auto"/>
                <w:kern w:val="0"/>
                <w:sz w:val="22"/>
              </w:rPr>
            </w:pPr>
            <w:r>
              <w:rPr>
                <w:rFonts w:hint="eastAsia" w:ascii="宋体" w:hAnsi="宋体" w:eastAsia="宋体" w:cs="Arial"/>
                <w:color w:val="auto"/>
                <w:kern w:val="0"/>
                <w:sz w:val="22"/>
              </w:rPr>
              <w:t>四川九洲电器集团有限责任公司</w:t>
            </w:r>
          </w:p>
        </w:tc>
        <w:tc>
          <w:tcPr>
            <w:tcW w:w="1418" w:type="dxa"/>
            <w:tcBorders>
              <w:top w:val="nil"/>
              <w:left w:val="nil"/>
              <w:bottom w:val="single" w:color="auto" w:sz="4" w:space="0"/>
              <w:right w:val="single" w:color="auto" w:sz="4" w:space="0"/>
            </w:tcBorders>
            <w:vAlign w:val="center"/>
          </w:tcPr>
          <w:p>
            <w:pPr>
              <w:widowControl/>
              <w:jc w:val="center"/>
              <w:rPr>
                <w:rFonts w:hint="eastAsia" w:ascii="宋体" w:hAnsi="宋体" w:eastAsia="宋体" w:cs="Arial"/>
                <w:color w:val="auto"/>
                <w:kern w:val="0"/>
                <w:sz w:val="22"/>
              </w:rPr>
            </w:pPr>
            <w:r>
              <w:rPr>
                <w:rFonts w:hint="eastAsia" w:ascii="宋体" w:hAnsi="宋体" w:eastAsia="宋体" w:cs="Arial"/>
                <w:color w:val="auto"/>
                <w:kern w:val="0"/>
                <w:sz w:val="22"/>
              </w:rPr>
              <w:t>四川绵阳</w:t>
            </w:r>
          </w:p>
        </w:tc>
        <w:tc>
          <w:tcPr>
            <w:tcW w:w="7513" w:type="dxa"/>
            <w:tcBorders>
              <w:top w:val="nil"/>
              <w:left w:val="nil"/>
              <w:bottom w:val="single" w:color="auto" w:sz="4" w:space="0"/>
              <w:right w:val="single" w:color="auto" w:sz="4" w:space="0"/>
            </w:tcBorders>
            <w:vAlign w:val="center"/>
          </w:tcPr>
          <w:p>
            <w:pPr>
              <w:widowControl/>
              <w:jc w:val="left"/>
              <w:rPr>
                <w:rFonts w:hint="eastAsia" w:ascii="宋体" w:hAnsi="宋体" w:eastAsia="宋体" w:cs="Arial"/>
                <w:color w:val="auto"/>
                <w:kern w:val="0"/>
                <w:sz w:val="22"/>
              </w:rPr>
            </w:pPr>
            <w:r>
              <w:rPr>
                <w:rFonts w:hint="eastAsia" w:ascii="宋体" w:hAnsi="宋体" w:eastAsia="宋体" w:cs="Arial"/>
                <w:color w:val="auto"/>
                <w:kern w:val="0"/>
                <w:sz w:val="22"/>
              </w:rPr>
              <w:t>提供低空监视雷达及空管二次雷达产品，覆盖通信、导航全流程。空管产品已在四川省低空试点开展应用，积累了丰富的行业经验。</w:t>
            </w:r>
          </w:p>
        </w:tc>
      </w:tr>
      <w:tr>
        <w:tblPrEx>
          <w:tblCellMar>
            <w:top w:w="0" w:type="dxa"/>
            <w:left w:w="108" w:type="dxa"/>
            <w:bottom w:w="0" w:type="dxa"/>
            <w:right w:w="108" w:type="dxa"/>
          </w:tblCellMar>
        </w:tblPrEx>
        <w:trPr>
          <w:trHeight w:val="454" w:hRule="atLeast"/>
          <w:jc w:val="center"/>
        </w:trPr>
        <w:tc>
          <w:tcPr>
            <w:tcW w:w="704" w:type="dxa"/>
            <w:tcBorders>
              <w:top w:val="nil"/>
              <w:left w:val="single" w:color="auto" w:sz="4" w:space="0"/>
              <w:bottom w:val="single" w:color="auto" w:sz="4" w:space="0"/>
              <w:right w:val="single" w:color="auto" w:sz="4" w:space="0"/>
            </w:tcBorders>
            <w:vAlign w:val="center"/>
          </w:tcPr>
          <w:p>
            <w:pPr>
              <w:widowControl/>
              <w:jc w:val="center"/>
              <w:rPr>
                <w:rFonts w:hint="eastAsia" w:ascii="宋体" w:hAnsi="宋体" w:eastAsia="宋体" w:cs="Arial"/>
                <w:color w:val="auto"/>
                <w:kern w:val="0"/>
                <w:sz w:val="22"/>
              </w:rPr>
            </w:pPr>
            <w:r>
              <w:rPr>
                <w:rFonts w:hint="eastAsia" w:ascii="宋体" w:hAnsi="宋体" w:eastAsia="宋体" w:cs="Arial"/>
                <w:color w:val="auto"/>
                <w:kern w:val="0"/>
                <w:sz w:val="22"/>
              </w:rPr>
              <w:t>6</w:t>
            </w:r>
          </w:p>
        </w:tc>
        <w:tc>
          <w:tcPr>
            <w:tcW w:w="1418" w:type="dxa"/>
            <w:tcBorders>
              <w:top w:val="nil"/>
              <w:left w:val="nil"/>
              <w:bottom w:val="single" w:color="auto" w:sz="4" w:space="0"/>
              <w:right w:val="single" w:color="auto" w:sz="4" w:space="0"/>
            </w:tcBorders>
            <w:vAlign w:val="center"/>
          </w:tcPr>
          <w:p>
            <w:pPr>
              <w:widowControl/>
              <w:jc w:val="center"/>
              <w:rPr>
                <w:rFonts w:hint="eastAsia" w:ascii="宋体" w:hAnsi="宋体" w:eastAsia="宋体" w:cs="Arial"/>
                <w:color w:val="auto"/>
                <w:kern w:val="0"/>
                <w:sz w:val="22"/>
              </w:rPr>
            </w:pPr>
            <w:r>
              <w:rPr>
                <w:rFonts w:hint="eastAsia" w:ascii="宋体" w:hAnsi="宋体" w:eastAsia="宋体" w:cs="Arial"/>
                <w:color w:val="auto"/>
                <w:kern w:val="0"/>
                <w:sz w:val="22"/>
              </w:rPr>
              <w:t>信息设施</w:t>
            </w:r>
          </w:p>
        </w:tc>
        <w:tc>
          <w:tcPr>
            <w:tcW w:w="2976" w:type="dxa"/>
            <w:tcBorders>
              <w:top w:val="nil"/>
              <w:left w:val="nil"/>
              <w:bottom w:val="single" w:color="auto" w:sz="4" w:space="0"/>
              <w:right w:val="single" w:color="auto" w:sz="4" w:space="0"/>
            </w:tcBorders>
            <w:vAlign w:val="center"/>
          </w:tcPr>
          <w:p>
            <w:pPr>
              <w:widowControl/>
              <w:jc w:val="center"/>
              <w:rPr>
                <w:rFonts w:hint="eastAsia" w:ascii="宋体" w:hAnsi="宋体" w:eastAsia="宋体" w:cs="Arial"/>
                <w:color w:val="auto"/>
                <w:kern w:val="0"/>
                <w:sz w:val="22"/>
              </w:rPr>
            </w:pPr>
            <w:r>
              <w:rPr>
                <w:rFonts w:hint="eastAsia" w:ascii="宋体" w:hAnsi="宋体" w:eastAsia="宋体" w:cs="Arial"/>
                <w:color w:val="auto"/>
                <w:kern w:val="0"/>
                <w:sz w:val="22"/>
              </w:rPr>
              <w:t>南京莱斯信息技术股份有限公司</w:t>
            </w:r>
          </w:p>
        </w:tc>
        <w:tc>
          <w:tcPr>
            <w:tcW w:w="1418" w:type="dxa"/>
            <w:tcBorders>
              <w:top w:val="nil"/>
              <w:left w:val="nil"/>
              <w:bottom w:val="single" w:color="auto" w:sz="4" w:space="0"/>
              <w:right w:val="single" w:color="auto" w:sz="4" w:space="0"/>
            </w:tcBorders>
            <w:vAlign w:val="center"/>
          </w:tcPr>
          <w:p>
            <w:pPr>
              <w:widowControl/>
              <w:jc w:val="center"/>
              <w:rPr>
                <w:rFonts w:hint="eastAsia" w:ascii="宋体" w:hAnsi="宋体" w:eastAsia="宋体" w:cs="Arial"/>
                <w:color w:val="auto"/>
                <w:kern w:val="0"/>
                <w:sz w:val="22"/>
              </w:rPr>
            </w:pPr>
            <w:r>
              <w:rPr>
                <w:rFonts w:hint="eastAsia" w:ascii="宋体" w:hAnsi="宋体" w:eastAsia="宋体" w:cs="Arial"/>
                <w:color w:val="auto"/>
                <w:kern w:val="0"/>
                <w:sz w:val="22"/>
              </w:rPr>
              <w:t>江苏南京</w:t>
            </w:r>
          </w:p>
        </w:tc>
        <w:tc>
          <w:tcPr>
            <w:tcW w:w="7513" w:type="dxa"/>
            <w:tcBorders>
              <w:top w:val="nil"/>
              <w:left w:val="nil"/>
              <w:bottom w:val="single" w:color="auto" w:sz="4" w:space="0"/>
              <w:right w:val="single" w:color="auto" w:sz="4" w:space="0"/>
            </w:tcBorders>
            <w:vAlign w:val="center"/>
          </w:tcPr>
          <w:p>
            <w:pPr>
              <w:widowControl/>
              <w:jc w:val="left"/>
              <w:rPr>
                <w:rFonts w:hint="eastAsia" w:ascii="宋体" w:hAnsi="宋体" w:eastAsia="宋体" w:cs="Arial"/>
                <w:color w:val="auto"/>
                <w:kern w:val="0"/>
                <w:sz w:val="22"/>
              </w:rPr>
            </w:pPr>
            <w:r>
              <w:rPr>
                <w:rFonts w:hint="eastAsia" w:ascii="宋体" w:hAnsi="宋体" w:eastAsia="宋体" w:cs="Arial"/>
                <w:color w:val="auto"/>
                <w:kern w:val="0"/>
                <w:sz w:val="22"/>
              </w:rPr>
              <w:t>空管自动化系统市占率第一，开发无人机管控系统及数据处理平台，支持国家级低空监管，覆盖无人机飞行申报与数据支持。</w:t>
            </w:r>
          </w:p>
        </w:tc>
      </w:tr>
      <w:tr>
        <w:tblPrEx>
          <w:tblCellMar>
            <w:top w:w="0" w:type="dxa"/>
            <w:left w:w="108" w:type="dxa"/>
            <w:bottom w:w="0" w:type="dxa"/>
            <w:right w:w="108" w:type="dxa"/>
          </w:tblCellMar>
        </w:tblPrEx>
        <w:trPr>
          <w:trHeight w:val="454" w:hRule="atLeast"/>
          <w:jc w:val="center"/>
        </w:trPr>
        <w:tc>
          <w:tcPr>
            <w:tcW w:w="704" w:type="dxa"/>
            <w:tcBorders>
              <w:top w:val="nil"/>
              <w:left w:val="single" w:color="auto" w:sz="4" w:space="0"/>
              <w:bottom w:val="single" w:color="auto" w:sz="4" w:space="0"/>
              <w:right w:val="single" w:color="auto" w:sz="4" w:space="0"/>
            </w:tcBorders>
            <w:vAlign w:val="center"/>
          </w:tcPr>
          <w:p>
            <w:pPr>
              <w:widowControl/>
              <w:jc w:val="center"/>
              <w:rPr>
                <w:rFonts w:hint="eastAsia" w:ascii="宋体" w:hAnsi="宋体" w:eastAsia="宋体" w:cs="Arial"/>
                <w:color w:val="auto"/>
                <w:kern w:val="0"/>
                <w:sz w:val="22"/>
              </w:rPr>
            </w:pPr>
            <w:r>
              <w:rPr>
                <w:rFonts w:hint="eastAsia" w:ascii="宋体" w:hAnsi="宋体" w:eastAsia="宋体" w:cs="Arial"/>
                <w:color w:val="auto"/>
                <w:kern w:val="0"/>
                <w:sz w:val="22"/>
              </w:rPr>
              <w:t>7</w:t>
            </w:r>
          </w:p>
        </w:tc>
        <w:tc>
          <w:tcPr>
            <w:tcW w:w="1418" w:type="dxa"/>
            <w:tcBorders>
              <w:top w:val="nil"/>
              <w:left w:val="nil"/>
              <w:bottom w:val="single" w:color="auto" w:sz="4" w:space="0"/>
              <w:right w:val="single" w:color="auto" w:sz="4" w:space="0"/>
            </w:tcBorders>
            <w:vAlign w:val="center"/>
          </w:tcPr>
          <w:p>
            <w:pPr>
              <w:widowControl/>
              <w:jc w:val="center"/>
              <w:rPr>
                <w:rFonts w:hint="eastAsia" w:ascii="宋体" w:hAnsi="宋体" w:eastAsia="宋体" w:cs="Arial"/>
                <w:color w:val="auto"/>
                <w:kern w:val="0"/>
                <w:sz w:val="22"/>
              </w:rPr>
            </w:pPr>
            <w:r>
              <w:rPr>
                <w:rFonts w:hint="eastAsia" w:ascii="宋体" w:hAnsi="宋体" w:eastAsia="宋体" w:cs="Arial"/>
                <w:color w:val="auto"/>
                <w:kern w:val="0"/>
                <w:sz w:val="22"/>
              </w:rPr>
              <w:t>信息设施</w:t>
            </w:r>
          </w:p>
        </w:tc>
        <w:tc>
          <w:tcPr>
            <w:tcW w:w="2976" w:type="dxa"/>
            <w:tcBorders>
              <w:top w:val="nil"/>
              <w:left w:val="nil"/>
              <w:bottom w:val="single" w:color="auto" w:sz="4" w:space="0"/>
              <w:right w:val="single" w:color="auto" w:sz="4" w:space="0"/>
            </w:tcBorders>
            <w:vAlign w:val="center"/>
          </w:tcPr>
          <w:p>
            <w:pPr>
              <w:widowControl/>
              <w:jc w:val="center"/>
              <w:rPr>
                <w:rFonts w:hint="eastAsia" w:ascii="宋体" w:hAnsi="宋体" w:eastAsia="宋体" w:cs="Arial"/>
                <w:color w:val="auto"/>
                <w:kern w:val="0"/>
                <w:sz w:val="22"/>
              </w:rPr>
            </w:pPr>
            <w:r>
              <w:rPr>
                <w:rFonts w:hint="eastAsia" w:ascii="宋体" w:hAnsi="宋体" w:eastAsia="宋体" w:cs="Arial"/>
                <w:color w:val="auto"/>
                <w:kern w:val="0"/>
                <w:sz w:val="22"/>
              </w:rPr>
              <w:t>国睿科技股份有限公司</w:t>
            </w:r>
          </w:p>
        </w:tc>
        <w:tc>
          <w:tcPr>
            <w:tcW w:w="1418" w:type="dxa"/>
            <w:tcBorders>
              <w:top w:val="nil"/>
              <w:left w:val="nil"/>
              <w:bottom w:val="single" w:color="auto" w:sz="4" w:space="0"/>
              <w:right w:val="single" w:color="auto" w:sz="4" w:space="0"/>
            </w:tcBorders>
            <w:vAlign w:val="center"/>
          </w:tcPr>
          <w:p>
            <w:pPr>
              <w:widowControl/>
              <w:jc w:val="center"/>
              <w:rPr>
                <w:rFonts w:hint="eastAsia" w:ascii="宋体" w:hAnsi="宋体" w:eastAsia="宋体" w:cs="Arial"/>
                <w:color w:val="auto"/>
                <w:kern w:val="0"/>
                <w:sz w:val="22"/>
              </w:rPr>
            </w:pPr>
            <w:r>
              <w:rPr>
                <w:rFonts w:hint="eastAsia" w:ascii="宋体" w:hAnsi="宋体" w:eastAsia="宋体" w:cs="Arial"/>
                <w:color w:val="auto"/>
                <w:kern w:val="0"/>
                <w:sz w:val="22"/>
              </w:rPr>
              <w:t>江苏南京</w:t>
            </w:r>
          </w:p>
        </w:tc>
        <w:tc>
          <w:tcPr>
            <w:tcW w:w="7513" w:type="dxa"/>
            <w:tcBorders>
              <w:top w:val="nil"/>
              <w:left w:val="nil"/>
              <w:bottom w:val="single" w:color="auto" w:sz="4" w:space="0"/>
              <w:right w:val="single" w:color="auto" w:sz="4" w:space="0"/>
            </w:tcBorders>
            <w:vAlign w:val="center"/>
          </w:tcPr>
          <w:p>
            <w:pPr>
              <w:widowControl/>
              <w:jc w:val="left"/>
              <w:rPr>
                <w:rFonts w:hint="eastAsia" w:ascii="宋体" w:hAnsi="宋体" w:eastAsia="宋体" w:cs="Arial"/>
                <w:color w:val="auto"/>
                <w:kern w:val="0"/>
                <w:sz w:val="22"/>
              </w:rPr>
            </w:pPr>
            <w:r>
              <w:rPr>
                <w:rFonts w:hint="eastAsia" w:ascii="宋体" w:hAnsi="宋体" w:eastAsia="宋体" w:cs="Arial"/>
                <w:color w:val="auto"/>
                <w:kern w:val="0"/>
                <w:sz w:val="22"/>
              </w:rPr>
              <w:t>雷达技术龙头企业，产品包括气象雷达和空管设备，支撑低空气象监测网络。</w:t>
            </w:r>
          </w:p>
        </w:tc>
      </w:tr>
      <w:tr>
        <w:tblPrEx>
          <w:tblCellMar>
            <w:top w:w="0" w:type="dxa"/>
            <w:left w:w="108" w:type="dxa"/>
            <w:bottom w:w="0" w:type="dxa"/>
            <w:right w:w="108" w:type="dxa"/>
          </w:tblCellMar>
        </w:tblPrEx>
        <w:trPr>
          <w:trHeight w:val="454" w:hRule="atLeast"/>
          <w:jc w:val="center"/>
        </w:trPr>
        <w:tc>
          <w:tcPr>
            <w:tcW w:w="704" w:type="dxa"/>
            <w:tcBorders>
              <w:top w:val="nil"/>
              <w:left w:val="single" w:color="auto" w:sz="4" w:space="0"/>
              <w:bottom w:val="single" w:color="auto" w:sz="4" w:space="0"/>
              <w:right w:val="single" w:color="auto" w:sz="4" w:space="0"/>
            </w:tcBorders>
            <w:vAlign w:val="center"/>
          </w:tcPr>
          <w:p>
            <w:pPr>
              <w:widowControl/>
              <w:jc w:val="center"/>
              <w:rPr>
                <w:rFonts w:hint="eastAsia" w:ascii="宋体" w:hAnsi="宋体" w:eastAsia="宋体" w:cs="Arial"/>
                <w:color w:val="auto"/>
                <w:kern w:val="0"/>
                <w:sz w:val="22"/>
              </w:rPr>
            </w:pPr>
            <w:r>
              <w:rPr>
                <w:rFonts w:hint="eastAsia" w:ascii="宋体" w:hAnsi="宋体" w:eastAsia="宋体" w:cs="Arial"/>
                <w:color w:val="auto"/>
                <w:kern w:val="0"/>
                <w:sz w:val="22"/>
              </w:rPr>
              <w:t>8</w:t>
            </w:r>
          </w:p>
        </w:tc>
        <w:tc>
          <w:tcPr>
            <w:tcW w:w="1418" w:type="dxa"/>
            <w:tcBorders>
              <w:top w:val="nil"/>
              <w:left w:val="nil"/>
              <w:bottom w:val="single" w:color="auto" w:sz="4" w:space="0"/>
              <w:right w:val="single" w:color="auto" w:sz="4" w:space="0"/>
            </w:tcBorders>
            <w:vAlign w:val="center"/>
          </w:tcPr>
          <w:p>
            <w:pPr>
              <w:widowControl/>
              <w:jc w:val="center"/>
              <w:rPr>
                <w:rFonts w:hint="eastAsia" w:ascii="宋体" w:hAnsi="宋体" w:eastAsia="宋体" w:cs="Arial"/>
                <w:color w:val="auto"/>
                <w:kern w:val="0"/>
                <w:sz w:val="22"/>
              </w:rPr>
            </w:pPr>
            <w:r>
              <w:rPr>
                <w:rFonts w:hint="eastAsia" w:ascii="宋体" w:hAnsi="宋体" w:eastAsia="宋体" w:cs="Arial"/>
                <w:color w:val="auto"/>
                <w:kern w:val="0"/>
                <w:sz w:val="22"/>
              </w:rPr>
              <w:t>信息设施</w:t>
            </w:r>
          </w:p>
        </w:tc>
        <w:tc>
          <w:tcPr>
            <w:tcW w:w="2976" w:type="dxa"/>
            <w:tcBorders>
              <w:top w:val="nil"/>
              <w:left w:val="nil"/>
              <w:bottom w:val="single" w:color="auto" w:sz="4" w:space="0"/>
              <w:right w:val="single" w:color="auto" w:sz="4" w:space="0"/>
            </w:tcBorders>
            <w:vAlign w:val="center"/>
          </w:tcPr>
          <w:p>
            <w:pPr>
              <w:widowControl/>
              <w:jc w:val="center"/>
              <w:rPr>
                <w:rFonts w:hint="eastAsia" w:ascii="宋体" w:hAnsi="宋体" w:eastAsia="宋体" w:cs="Arial"/>
                <w:color w:val="auto"/>
                <w:kern w:val="0"/>
                <w:sz w:val="22"/>
              </w:rPr>
            </w:pPr>
            <w:r>
              <w:rPr>
                <w:rFonts w:hint="eastAsia" w:ascii="宋体" w:hAnsi="宋体" w:eastAsia="宋体" w:cs="Arial"/>
                <w:color w:val="auto"/>
                <w:kern w:val="0"/>
                <w:sz w:val="22"/>
              </w:rPr>
              <w:t>广东纳睿雷达科技股份有限公司</w:t>
            </w:r>
          </w:p>
        </w:tc>
        <w:tc>
          <w:tcPr>
            <w:tcW w:w="1418" w:type="dxa"/>
            <w:tcBorders>
              <w:top w:val="nil"/>
              <w:left w:val="nil"/>
              <w:bottom w:val="single" w:color="auto" w:sz="4" w:space="0"/>
              <w:right w:val="single" w:color="auto" w:sz="4" w:space="0"/>
            </w:tcBorders>
            <w:vAlign w:val="center"/>
          </w:tcPr>
          <w:p>
            <w:pPr>
              <w:widowControl/>
              <w:jc w:val="center"/>
              <w:rPr>
                <w:rFonts w:hint="eastAsia" w:ascii="宋体" w:hAnsi="宋体" w:eastAsia="宋体" w:cs="Arial"/>
                <w:color w:val="auto"/>
                <w:kern w:val="0"/>
                <w:sz w:val="22"/>
              </w:rPr>
            </w:pPr>
            <w:r>
              <w:rPr>
                <w:rFonts w:hint="eastAsia" w:ascii="宋体" w:hAnsi="宋体" w:eastAsia="宋体" w:cs="Arial"/>
                <w:color w:val="auto"/>
                <w:kern w:val="0"/>
                <w:sz w:val="22"/>
              </w:rPr>
              <w:t>广东珠海</w:t>
            </w:r>
          </w:p>
        </w:tc>
        <w:tc>
          <w:tcPr>
            <w:tcW w:w="7513" w:type="dxa"/>
            <w:tcBorders>
              <w:top w:val="nil"/>
              <w:left w:val="nil"/>
              <w:bottom w:val="single" w:color="auto" w:sz="4" w:space="0"/>
              <w:right w:val="single" w:color="auto" w:sz="4" w:space="0"/>
            </w:tcBorders>
            <w:vAlign w:val="center"/>
          </w:tcPr>
          <w:p>
            <w:pPr>
              <w:widowControl/>
              <w:jc w:val="left"/>
              <w:rPr>
                <w:rFonts w:hint="eastAsia" w:ascii="宋体" w:hAnsi="宋体" w:eastAsia="宋体" w:cs="Arial"/>
                <w:color w:val="auto"/>
                <w:kern w:val="0"/>
                <w:sz w:val="22"/>
              </w:rPr>
            </w:pPr>
            <w:r>
              <w:rPr>
                <w:rFonts w:hint="eastAsia" w:ascii="宋体" w:hAnsi="宋体" w:eastAsia="宋体" w:cs="Arial"/>
                <w:color w:val="auto"/>
                <w:kern w:val="0"/>
                <w:sz w:val="22"/>
              </w:rPr>
              <w:t>自主研发的全极化多功能相控阵雷达采用多功能一体化设计，致力于解决空管气象预警、“低慢小”飞行物监测预警、航空器主动探测识别和追踪等问题。</w:t>
            </w:r>
          </w:p>
        </w:tc>
      </w:tr>
      <w:tr>
        <w:tblPrEx>
          <w:tblCellMar>
            <w:top w:w="0" w:type="dxa"/>
            <w:left w:w="108" w:type="dxa"/>
            <w:bottom w:w="0" w:type="dxa"/>
            <w:right w:w="108" w:type="dxa"/>
          </w:tblCellMar>
        </w:tblPrEx>
        <w:trPr>
          <w:trHeight w:val="454" w:hRule="atLeast"/>
          <w:jc w:val="center"/>
        </w:trPr>
        <w:tc>
          <w:tcPr>
            <w:tcW w:w="704" w:type="dxa"/>
            <w:tcBorders>
              <w:top w:val="nil"/>
              <w:left w:val="single" w:color="auto" w:sz="4" w:space="0"/>
              <w:bottom w:val="single" w:color="auto" w:sz="4" w:space="0"/>
              <w:right w:val="single" w:color="auto" w:sz="4" w:space="0"/>
            </w:tcBorders>
            <w:vAlign w:val="center"/>
          </w:tcPr>
          <w:p>
            <w:pPr>
              <w:widowControl/>
              <w:jc w:val="center"/>
              <w:rPr>
                <w:rFonts w:hint="eastAsia" w:ascii="宋体" w:hAnsi="宋体" w:eastAsia="宋体" w:cs="Arial"/>
                <w:color w:val="auto"/>
                <w:kern w:val="0"/>
                <w:sz w:val="22"/>
              </w:rPr>
            </w:pPr>
            <w:r>
              <w:rPr>
                <w:rFonts w:hint="eastAsia" w:ascii="宋体" w:hAnsi="宋体" w:eastAsia="宋体" w:cs="Arial"/>
                <w:color w:val="auto"/>
                <w:kern w:val="0"/>
                <w:sz w:val="22"/>
              </w:rPr>
              <w:t>9</w:t>
            </w:r>
          </w:p>
        </w:tc>
        <w:tc>
          <w:tcPr>
            <w:tcW w:w="1418" w:type="dxa"/>
            <w:tcBorders>
              <w:top w:val="nil"/>
              <w:left w:val="nil"/>
              <w:bottom w:val="single" w:color="auto" w:sz="4" w:space="0"/>
              <w:right w:val="single" w:color="auto" w:sz="4" w:space="0"/>
            </w:tcBorders>
            <w:vAlign w:val="center"/>
          </w:tcPr>
          <w:p>
            <w:pPr>
              <w:widowControl/>
              <w:jc w:val="center"/>
              <w:rPr>
                <w:rFonts w:hint="eastAsia" w:ascii="宋体" w:hAnsi="宋体" w:eastAsia="宋体" w:cs="Arial"/>
                <w:color w:val="auto"/>
                <w:kern w:val="0"/>
                <w:sz w:val="22"/>
              </w:rPr>
            </w:pPr>
            <w:r>
              <w:rPr>
                <w:rFonts w:hint="eastAsia" w:ascii="宋体" w:hAnsi="宋体" w:eastAsia="宋体" w:cs="Arial"/>
                <w:color w:val="auto"/>
                <w:kern w:val="0"/>
                <w:sz w:val="22"/>
              </w:rPr>
              <w:t>信息设施</w:t>
            </w:r>
          </w:p>
        </w:tc>
        <w:tc>
          <w:tcPr>
            <w:tcW w:w="2976" w:type="dxa"/>
            <w:tcBorders>
              <w:top w:val="nil"/>
              <w:left w:val="nil"/>
              <w:bottom w:val="single" w:color="auto" w:sz="4" w:space="0"/>
              <w:right w:val="single" w:color="auto" w:sz="4" w:space="0"/>
            </w:tcBorders>
            <w:vAlign w:val="center"/>
          </w:tcPr>
          <w:p>
            <w:pPr>
              <w:widowControl/>
              <w:jc w:val="center"/>
              <w:rPr>
                <w:rFonts w:hint="eastAsia" w:ascii="宋体" w:hAnsi="宋体" w:eastAsia="宋体" w:cs="Arial"/>
                <w:color w:val="auto"/>
                <w:kern w:val="0"/>
                <w:sz w:val="22"/>
              </w:rPr>
            </w:pPr>
            <w:r>
              <w:rPr>
                <w:rFonts w:hint="eastAsia" w:ascii="宋体" w:hAnsi="宋体" w:eastAsia="宋体" w:cs="Arial"/>
                <w:color w:val="auto"/>
                <w:kern w:val="0"/>
                <w:sz w:val="22"/>
              </w:rPr>
              <w:t>四创电子股份有限公司</w:t>
            </w:r>
          </w:p>
        </w:tc>
        <w:tc>
          <w:tcPr>
            <w:tcW w:w="1418" w:type="dxa"/>
            <w:tcBorders>
              <w:top w:val="nil"/>
              <w:left w:val="nil"/>
              <w:bottom w:val="single" w:color="auto" w:sz="4" w:space="0"/>
              <w:right w:val="single" w:color="auto" w:sz="4" w:space="0"/>
            </w:tcBorders>
            <w:vAlign w:val="center"/>
          </w:tcPr>
          <w:p>
            <w:pPr>
              <w:widowControl/>
              <w:jc w:val="center"/>
              <w:rPr>
                <w:rFonts w:hint="eastAsia" w:ascii="宋体" w:hAnsi="宋体" w:eastAsia="宋体" w:cs="Arial"/>
                <w:color w:val="auto"/>
                <w:kern w:val="0"/>
                <w:sz w:val="22"/>
              </w:rPr>
            </w:pPr>
            <w:r>
              <w:rPr>
                <w:rFonts w:hint="eastAsia" w:ascii="宋体" w:hAnsi="宋体" w:eastAsia="宋体" w:cs="Arial"/>
                <w:color w:val="auto"/>
                <w:kern w:val="0"/>
                <w:sz w:val="22"/>
              </w:rPr>
              <w:t>安徽合肥</w:t>
            </w:r>
          </w:p>
        </w:tc>
        <w:tc>
          <w:tcPr>
            <w:tcW w:w="7513" w:type="dxa"/>
            <w:tcBorders>
              <w:top w:val="nil"/>
              <w:left w:val="nil"/>
              <w:bottom w:val="single" w:color="auto" w:sz="4" w:space="0"/>
              <w:right w:val="single" w:color="auto" w:sz="4" w:space="0"/>
            </w:tcBorders>
            <w:vAlign w:val="center"/>
          </w:tcPr>
          <w:p>
            <w:pPr>
              <w:widowControl/>
              <w:jc w:val="left"/>
              <w:rPr>
                <w:rFonts w:hint="eastAsia" w:ascii="宋体" w:hAnsi="宋体" w:eastAsia="宋体" w:cs="Arial"/>
                <w:color w:val="auto"/>
                <w:kern w:val="0"/>
                <w:sz w:val="22"/>
              </w:rPr>
            </w:pPr>
            <w:r>
              <w:rPr>
                <w:rFonts w:hint="eastAsia" w:ascii="宋体" w:hAnsi="宋体" w:eastAsia="宋体" w:cs="Arial"/>
                <w:color w:val="auto"/>
                <w:kern w:val="0"/>
                <w:sz w:val="22"/>
              </w:rPr>
              <w:t>公司作为中国电科低空经济牵头单位之一，利用北斗、</w:t>
            </w:r>
            <w:r>
              <w:rPr>
                <w:rFonts w:ascii="Arial" w:hAnsi="Arial" w:eastAsia="宋体" w:cs="Arial"/>
                <w:color w:val="auto"/>
                <w:kern w:val="0"/>
                <w:sz w:val="22"/>
              </w:rPr>
              <w:t>ADS-BU</w:t>
            </w:r>
            <w:r>
              <w:rPr>
                <w:rFonts w:hint="eastAsia" w:ascii="宋体" w:hAnsi="宋体" w:eastAsia="宋体" w:cs="Arial"/>
                <w:color w:val="auto"/>
                <w:kern w:val="0"/>
                <w:sz w:val="22"/>
              </w:rPr>
              <w:t>、雷达、星基增强等技术打通通信、导航、监视链路，打造低空飞行管理服务平台，构建设施互联、信息互通的</w:t>
            </w:r>
            <w:r>
              <w:rPr>
                <w:rFonts w:ascii="Arial" w:hAnsi="Arial" w:eastAsia="宋体" w:cs="Arial"/>
                <w:color w:val="auto"/>
                <w:kern w:val="0"/>
                <w:sz w:val="22"/>
              </w:rPr>
              <w:t>“</w:t>
            </w:r>
            <w:r>
              <w:rPr>
                <w:rFonts w:hint="eastAsia" w:ascii="宋体" w:hAnsi="宋体" w:eastAsia="宋体" w:cs="Arial"/>
                <w:color w:val="auto"/>
                <w:kern w:val="0"/>
                <w:sz w:val="22"/>
              </w:rPr>
              <w:t>低空安全走廊</w:t>
            </w:r>
            <w:r>
              <w:rPr>
                <w:rFonts w:ascii="Arial" w:hAnsi="Arial" w:eastAsia="宋体" w:cs="Arial"/>
                <w:color w:val="auto"/>
                <w:kern w:val="0"/>
                <w:sz w:val="22"/>
              </w:rPr>
              <w:t>”</w:t>
            </w:r>
            <w:r>
              <w:rPr>
                <w:rFonts w:hint="eastAsia" w:ascii="宋体" w:hAnsi="宋体" w:eastAsia="宋体" w:cs="Arial"/>
                <w:color w:val="auto"/>
                <w:kern w:val="0"/>
                <w:sz w:val="22"/>
              </w:rPr>
              <w:t>。</w:t>
            </w:r>
          </w:p>
        </w:tc>
      </w:tr>
      <w:tr>
        <w:tblPrEx>
          <w:tblCellMar>
            <w:top w:w="0" w:type="dxa"/>
            <w:left w:w="108" w:type="dxa"/>
            <w:bottom w:w="0" w:type="dxa"/>
            <w:right w:w="108" w:type="dxa"/>
          </w:tblCellMar>
        </w:tblPrEx>
        <w:trPr>
          <w:trHeight w:val="454" w:hRule="atLeast"/>
          <w:jc w:val="center"/>
        </w:trPr>
        <w:tc>
          <w:tcPr>
            <w:tcW w:w="704" w:type="dxa"/>
            <w:tcBorders>
              <w:top w:val="nil"/>
              <w:left w:val="single" w:color="auto" w:sz="4" w:space="0"/>
              <w:bottom w:val="single" w:color="auto" w:sz="4" w:space="0"/>
              <w:right w:val="single" w:color="auto" w:sz="4" w:space="0"/>
            </w:tcBorders>
            <w:vAlign w:val="center"/>
          </w:tcPr>
          <w:p>
            <w:pPr>
              <w:widowControl/>
              <w:jc w:val="center"/>
              <w:rPr>
                <w:rFonts w:hint="eastAsia" w:ascii="宋体" w:hAnsi="宋体" w:eastAsia="宋体" w:cs="Arial"/>
                <w:color w:val="auto"/>
                <w:kern w:val="0"/>
                <w:sz w:val="22"/>
              </w:rPr>
            </w:pPr>
            <w:r>
              <w:rPr>
                <w:rFonts w:hint="eastAsia" w:ascii="宋体" w:hAnsi="宋体" w:eastAsia="宋体" w:cs="Arial"/>
                <w:color w:val="auto"/>
                <w:kern w:val="0"/>
                <w:sz w:val="22"/>
              </w:rPr>
              <w:t>10</w:t>
            </w:r>
          </w:p>
        </w:tc>
        <w:tc>
          <w:tcPr>
            <w:tcW w:w="1418" w:type="dxa"/>
            <w:tcBorders>
              <w:top w:val="nil"/>
              <w:left w:val="nil"/>
              <w:bottom w:val="single" w:color="auto" w:sz="4" w:space="0"/>
              <w:right w:val="single" w:color="auto" w:sz="4" w:space="0"/>
            </w:tcBorders>
            <w:vAlign w:val="center"/>
          </w:tcPr>
          <w:p>
            <w:pPr>
              <w:widowControl/>
              <w:jc w:val="center"/>
              <w:rPr>
                <w:rFonts w:hint="eastAsia" w:ascii="宋体" w:hAnsi="宋体" w:eastAsia="宋体" w:cs="Arial"/>
                <w:color w:val="auto"/>
                <w:kern w:val="0"/>
                <w:sz w:val="22"/>
              </w:rPr>
            </w:pPr>
            <w:r>
              <w:rPr>
                <w:rFonts w:hint="eastAsia" w:ascii="宋体" w:hAnsi="宋体" w:eastAsia="宋体" w:cs="Arial"/>
                <w:color w:val="auto"/>
                <w:kern w:val="0"/>
                <w:sz w:val="22"/>
              </w:rPr>
              <w:t>信息设施</w:t>
            </w:r>
          </w:p>
        </w:tc>
        <w:tc>
          <w:tcPr>
            <w:tcW w:w="2976" w:type="dxa"/>
            <w:tcBorders>
              <w:top w:val="nil"/>
              <w:left w:val="nil"/>
              <w:bottom w:val="single" w:color="auto" w:sz="4" w:space="0"/>
              <w:right w:val="single" w:color="auto" w:sz="4" w:space="0"/>
            </w:tcBorders>
            <w:vAlign w:val="center"/>
          </w:tcPr>
          <w:p>
            <w:pPr>
              <w:widowControl/>
              <w:jc w:val="center"/>
              <w:rPr>
                <w:rFonts w:hint="eastAsia" w:ascii="宋体" w:hAnsi="宋体" w:eastAsia="宋体" w:cs="Arial"/>
                <w:color w:val="auto"/>
                <w:kern w:val="0"/>
                <w:sz w:val="22"/>
              </w:rPr>
            </w:pPr>
            <w:r>
              <w:rPr>
                <w:rFonts w:hint="eastAsia" w:ascii="宋体" w:hAnsi="宋体" w:eastAsia="宋体" w:cs="Arial"/>
                <w:color w:val="auto"/>
                <w:kern w:val="0"/>
                <w:sz w:val="22"/>
              </w:rPr>
              <w:t>四川川大智胜软件股份有限公司</w:t>
            </w:r>
          </w:p>
        </w:tc>
        <w:tc>
          <w:tcPr>
            <w:tcW w:w="1418" w:type="dxa"/>
            <w:tcBorders>
              <w:top w:val="nil"/>
              <w:left w:val="nil"/>
              <w:bottom w:val="single" w:color="auto" w:sz="4" w:space="0"/>
              <w:right w:val="single" w:color="auto" w:sz="4" w:space="0"/>
            </w:tcBorders>
            <w:vAlign w:val="center"/>
          </w:tcPr>
          <w:p>
            <w:pPr>
              <w:widowControl/>
              <w:jc w:val="center"/>
              <w:rPr>
                <w:rFonts w:hint="eastAsia" w:ascii="宋体" w:hAnsi="宋体" w:eastAsia="宋体" w:cs="Arial"/>
                <w:color w:val="auto"/>
                <w:kern w:val="0"/>
                <w:sz w:val="22"/>
              </w:rPr>
            </w:pPr>
            <w:r>
              <w:rPr>
                <w:rFonts w:hint="eastAsia" w:ascii="宋体" w:hAnsi="宋体" w:eastAsia="宋体" w:cs="Arial"/>
                <w:color w:val="auto"/>
                <w:kern w:val="0"/>
                <w:sz w:val="22"/>
              </w:rPr>
              <w:t>四川成都</w:t>
            </w:r>
          </w:p>
        </w:tc>
        <w:tc>
          <w:tcPr>
            <w:tcW w:w="7513" w:type="dxa"/>
            <w:tcBorders>
              <w:top w:val="nil"/>
              <w:left w:val="nil"/>
              <w:bottom w:val="single" w:color="auto" w:sz="4" w:space="0"/>
              <w:right w:val="single" w:color="auto" w:sz="4" w:space="0"/>
            </w:tcBorders>
            <w:vAlign w:val="center"/>
          </w:tcPr>
          <w:p>
            <w:pPr>
              <w:widowControl/>
              <w:jc w:val="left"/>
              <w:rPr>
                <w:rFonts w:hint="eastAsia" w:ascii="宋体" w:hAnsi="宋体" w:eastAsia="宋体" w:cs="Arial"/>
                <w:color w:val="auto"/>
                <w:kern w:val="0"/>
                <w:sz w:val="22"/>
              </w:rPr>
            </w:pPr>
            <w:r>
              <w:rPr>
                <w:rFonts w:hint="eastAsia" w:ascii="宋体" w:hAnsi="宋体" w:eastAsia="宋体" w:cs="Arial"/>
                <w:color w:val="auto"/>
                <w:kern w:val="0"/>
                <w:sz w:val="22"/>
              </w:rPr>
              <w:t>自主研发针对低空安全管控需求研制的低空监视雷达系统等。</w:t>
            </w:r>
          </w:p>
        </w:tc>
      </w:tr>
      <w:tr>
        <w:tblPrEx>
          <w:tblCellMar>
            <w:top w:w="0" w:type="dxa"/>
            <w:left w:w="108" w:type="dxa"/>
            <w:bottom w:w="0" w:type="dxa"/>
            <w:right w:w="108" w:type="dxa"/>
          </w:tblCellMar>
        </w:tblPrEx>
        <w:trPr>
          <w:trHeight w:val="454" w:hRule="atLeast"/>
          <w:jc w:val="center"/>
        </w:trPr>
        <w:tc>
          <w:tcPr>
            <w:tcW w:w="704" w:type="dxa"/>
            <w:tcBorders>
              <w:top w:val="nil"/>
              <w:left w:val="single" w:color="auto" w:sz="4" w:space="0"/>
              <w:bottom w:val="single" w:color="auto" w:sz="4" w:space="0"/>
              <w:right w:val="single" w:color="auto" w:sz="4" w:space="0"/>
            </w:tcBorders>
            <w:vAlign w:val="center"/>
          </w:tcPr>
          <w:p>
            <w:pPr>
              <w:widowControl/>
              <w:jc w:val="center"/>
              <w:rPr>
                <w:rFonts w:hint="eastAsia" w:ascii="宋体" w:hAnsi="宋体" w:eastAsia="宋体" w:cs="Arial"/>
                <w:color w:val="auto"/>
                <w:kern w:val="0"/>
                <w:sz w:val="22"/>
              </w:rPr>
            </w:pPr>
            <w:r>
              <w:rPr>
                <w:rFonts w:hint="eastAsia" w:ascii="宋体" w:hAnsi="宋体" w:eastAsia="宋体" w:cs="Arial"/>
                <w:color w:val="auto"/>
                <w:kern w:val="0"/>
                <w:sz w:val="22"/>
              </w:rPr>
              <w:t>11</w:t>
            </w:r>
          </w:p>
        </w:tc>
        <w:tc>
          <w:tcPr>
            <w:tcW w:w="1418" w:type="dxa"/>
            <w:tcBorders>
              <w:top w:val="nil"/>
              <w:left w:val="nil"/>
              <w:bottom w:val="single" w:color="auto" w:sz="4" w:space="0"/>
              <w:right w:val="single" w:color="auto" w:sz="4" w:space="0"/>
            </w:tcBorders>
            <w:vAlign w:val="center"/>
          </w:tcPr>
          <w:p>
            <w:pPr>
              <w:widowControl/>
              <w:jc w:val="center"/>
              <w:rPr>
                <w:rFonts w:hint="eastAsia" w:ascii="宋体" w:hAnsi="宋体" w:eastAsia="宋体" w:cs="Arial"/>
                <w:color w:val="auto"/>
                <w:kern w:val="0"/>
                <w:sz w:val="22"/>
              </w:rPr>
            </w:pPr>
            <w:r>
              <w:rPr>
                <w:rFonts w:hint="eastAsia" w:ascii="宋体" w:hAnsi="宋体" w:eastAsia="宋体" w:cs="Arial"/>
                <w:color w:val="auto"/>
                <w:kern w:val="0"/>
                <w:sz w:val="22"/>
              </w:rPr>
              <w:t>信息设施</w:t>
            </w:r>
          </w:p>
        </w:tc>
        <w:tc>
          <w:tcPr>
            <w:tcW w:w="2976" w:type="dxa"/>
            <w:tcBorders>
              <w:top w:val="nil"/>
              <w:left w:val="nil"/>
              <w:bottom w:val="single" w:color="auto" w:sz="4" w:space="0"/>
              <w:right w:val="single" w:color="auto" w:sz="4" w:space="0"/>
            </w:tcBorders>
            <w:vAlign w:val="center"/>
          </w:tcPr>
          <w:p>
            <w:pPr>
              <w:widowControl/>
              <w:jc w:val="center"/>
              <w:rPr>
                <w:rFonts w:hint="eastAsia" w:ascii="宋体" w:hAnsi="宋体" w:eastAsia="宋体" w:cs="Arial"/>
                <w:color w:val="auto"/>
                <w:kern w:val="0"/>
                <w:sz w:val="22"/>
              </w:rPr>
            </w:pPr>
            <w:r>
              <w:rPr>
                <w:rFonts w:hint="eastAsia" w:ascii="宋体" w:hAnsi="宋体" w:eastAsia="宋体" w:cs="Arial"/>
                <w:color w:val="auto"/>
                <w:kern w:val="0"/>
                <w:sz w:val="22"/>
              </w:rPr>
              <w:t>北京北斗星通导航技术股份有限公司</w:t>
            </w:r>
          </w:p>
        </w:tc>
        <w:tc>
          <w:tcPr>
            <w:tcW w:w="1418" w:type="dxa"/>
            <w:tcBorders>
              <w:top w:val="nil"/>
              <w:left w:val="nil"/>
              <w:bottom w:val="single" w:color="auto" w:sz="4" w:space="0"/>
              <w:right w:val="single" w:color="auto" w:sz="4" w:space="0"/>
            </w:tcBorders>
            <w:vAlign w:val="center"/>
          </w:tcPr>
          <w:p>
            <w:pPr>
              <w:widowControl/>
              <w:jc w:val="center"/>
              <w:rPr>
                <w:rFonts w:hint="eastAsia" w:ascii="宋体" w:hAnsi="宋体" w:eastAsia="宋体" w:cs="Arial"/>
                <w:color w:val="auto"/>
                <w:kern w:val="0"/>
                <w:sz w:val="22"/>
              </w:rPr>
            </w:pPr>
            <w:r>
              <w:rPr>
                <w:rFonts w:hint="eastAsia" w:ascii="宋体" w:hAnsi="宋体" w:eastAsia="宋体" w:cs="Arial"/>
                <w:color w:val="auto"/>
                <w:kern w:val="0"/>
                <w:sz w:val="22"/>
              </w:rPr>
              <w:t>北京海淀</w:t>
            </w:r>
          </w:p>
        </w:tc>
        <w:tc>
          <w:tcPr>
            <w:tcW w:w="7513" w:type="dxa"/>
            <w:tcBorders>
              <w:top w:val="nil"/>
              <w:left w:val="nil"/>
              <w:bottom w:val="single" w:color="auto" w:sz="4" w:space="0"/>
              <w:right w:val="single" w:color="auto" w:sz="4" w:space="0"/>
            </w:tcBorders>
            <w:vAlign w:val="center"/>
          </w:tcPr>
          <w:p>
            <w:pPr>
              <w:widowControl/>
              <w:jc w:val="left"/>
              <w:rPr>
                <w:rFonts w:hint="eastAsia" w:ascii="宋体" w:hAnsi="宋体" w:eastAsia="宋体" w:cs="Arial"/>
                <w:color w:val="auto"/>
                <w:kern w:val="0"/>
                <w:sz w:val="22"/>
              </w:rPr>
            </w:pPr>
            <w:r>
              <w:rPr>
                <w:rFonts w:hint="eastAsia" w:ascii="宋体" w:hAnsi="宋体" w:eastAsia="宋体" w:cs="Arial"/>
                <w:color w:val="auto"/>
                <w:kern w:val="0"/>
                <w:sz w:val="22"/>
              </w:rPr>
              <w:t>北斗导航系统核心服务商，为低空飞行提供高精度定位支持。</w:t>
            </w:r>
          </w:p>
        </w:tc>
      </w:tr>
      <w:tr>
        <w:tblPrEx>
          <w:tblCellMar>
            <w:top w:w="0" w:type="dxa"/>
            <w:left w:w="108" w:type="dxa"/>
            <w:bottom w:w="0" w:type="dxa"/>
            <w:right w:w="108" w:type="dxa"/>
          </w:tblCellMar>
        </w:tblPrEx>
        <w:trPr>
          <w:trHeight w:val="454" w:hRule="atLeast"/>
          <w:jc w:val="center"/>
        </w:trPr>
        <w:tc>
          <w:tcPr>
            <w:tcW w:w="704" w:type="dxa"/>
            <w:tcBorders>
              <w:top w:val="nil"/>
              <w:left w:val="single" w:color="auto" w:sz="4" w:space="0"/>
              <w:bottom w:val="single" w:color="auto" w:sz="4" w:space="0"/>
              <w:right w:val="single" w:color="auto" w:sz="4" w:space="0"/>
            </w:tcBorders>
            <w:vAlign w:val="center"/>
          </w:tcPr>
          <w:p>
            <w:pPr>
              <w:widowControl/>
              <w:jc w:val="center"/>
              <w:rPr>
                <w:rFonts w:hint="eastAsia" w:ascii="宋体" w:hAnsi="宋体" w:eastAsia="宋体" w:cs="Arial"/>
                <w:color w:val="auto"/>
                <w:kern w:val="0"/>
                <w:sz w:val="22"/>
              </w:rPr>
            </w:pPr>
            <w:r>
              <w:rPr>
                <w:rFonts w:hint="eastAsia" w:ascii="宋体" w:hAnsi="宋体" w:eastAsia="宋体" w:cs="Arial"/>
                <w:color w:val="auto"/>
                <w:kern w:val="0"/>
                <w:sz w:val="22"/>
              </w:rPr>
              <w:t>12</w:t>
            </w:r>
          </w:p>
        </w:tc>
        <w:tc>
          <w:tcPr>
            <w:tcW w:w="1418" w:type="dxa"/>
            <w:tcBorders>
              <w:top w:val="nil"/>
              <w:left w:val="nil"/>
              <w:bottom w:val="single" w:color="auto" w:sz="4" w:space="0"/>
              <w:right w:val="single" w:color="auto" w:sz="4" w:space="0"/>
            </w:tcBorders>
            <w:vAlign w:val="center"/>
          </w:tcPr>
          <w:p>
            <w:pPr>
              <w:widowControl/>
              <w:jc w:val="center"/>
              <w:rPr>
                <w:rFonts w:hint="eastAsia" w:ascii="宋体" w:hAnsi="宋体" w:eastAsia="宋体" w:cs="Arial"/>
                <w:color w:val="auto"/>
                <w:kern w:val="0"/>
                <w:sz w:val="22"/>
              </w:rPr>
            </w:pPr>
            <w:r>
              <w:rPr>
                <w:rFonts w:hint="eastAsia" w:ascii="宋体" w:hAnsi="宋体" w:eastAsia="宋体" w:cs="Arial"/>
                <w:color w:val="auto"/>
                <w:kern w:val="0"/>
                <w:sz w:val="22"/>
              </w:rPr>
              <w:t>信息设施</w:t>
            </w:r>
          </w:p>
        </w:tc>
        <w:tc>
          <w:tcPr>
            <w:tcW w:w="2976" w:type="dxa"/>
            <w:tcBorders>
              <w:top w:val="nil"/>
              <w:left w:val="nil"/>
              <w:bottom w:val="single" w:color="auto" w:sz="4" w:space="0"/>
              <w:right w:val="single" w:color="auto" w:sz="4" w:space="0"/>
            </w:tcBorders>
            <w:vAlign w:val="center"/>
          </w:tcPr>
          <w:p>
            <w:pPr>
              <w:widowControl/>
              <w:jc w:val="center"/>
              <w:rPr>
                <w:rFonts w:hint="eastAsia" w:ascii="宋体" w:hAnsi="宋体" w:eastAsia="宋体" w:cs="Arial"/>
                <w:color w:val="auto"/>
                <w:kern w:val="0"/>
                <w:sz w:val="22"/>
              </w:rPr>
            </w:pPr>
            <w:r>
              <w:rPr>
                <w:rFonts w:hint="eastAsia" w:ascii="宋体" w:hAnsi="宋体" w:eastAsia="宋体" w:cs="Arial"/>
                <w:color w:val="auto"/>
                <w:kern w:val="0"/>
                <w:sz w:val="22"/>
              </w:rPr>
              <w:t>广州海格通信集团股份有限公司</w:t>
            </w:r>
          </w:p>
        </w:tc>
        <w:tc>
          <w:tcPr>
            <w:tcW w:w="1418" w:type="dxa"/>
            <w:tcBorders>
              <w:top w:val="nil"/>
              <w:left w:val="nil"/>
              <w:bottom w:val="single" w:color="auto" w:sz="4" w:space="0"/>
              <w:right w:val="single" w:color="auto" w:sz="4" w:space="0"/>
            </w:tcBorders>
            <w:vAlign w:val="center"/>
          </w:tcPr>
          <w:p>
            <w:pPr>
              <w:widowControl/>
              <w:jc w:val="center"/>
              <w:rPr>
                <w:rFonts w:hint="eastAsia" w:ascii="宋体" w:hAnsi="宋体" w:eastAsia="宋体" w:cs="Arial"/>
                <w:color w:val="auto"/>
                <w:kern w:val="0"/>
                <w:sz w:val="22"/>
              </w:rPr>
            </w:pPr>
            <w:r>
              <w:rPr>
                <w:rFonts w:hint="eastAsia" w:ascii="宋体" w:hAnsi="宋体" w:eastAsia="宋体" w:cs="Arial"/>
                <w:color w:val="auto"/>
                <w:kern w:val="0"/>
                <w:sz w:val="22"/>
              </w:rPr>
              <w:t>广东广州</w:t>
            </w:r>
          </w:p>
        </w:tc>
        <w:tc>
          <w:tcPr>
            <w:tcW w:w="7513" w:type="dxa"/>
            <w:tcBorders>
              <w:top w:val="nil"/>
              <w:left w:val="nil"/>
              <w:bottom w:val="single" w:color="auto" w:sz="4" w:space="0"/>
              <w:right w:val="single" w:color="auto" w:sz="4" w:space="0"/>
            </w:tcBorders>
            <w:vAlign w:val="center"/>
          </w:tcPr>
          <w:p>
            <w:pPr>
              <w:widowControl/>
              <w:jc w:val="left"/>
              <w:rPr>
                <w:rFonts w:hint="eastAsia" w:ascii="宋体" w:hAnsi="宋体" w:eastAsia="宋体" w:cs="Arial"/>
                <w:color w:val="auto"/>
                <w:kern w:val="0"/>
                <w:sz w:val="22"/>
              </w:rPr>
            </w:pPr>
            <w:r>
              <w:rPr>
                <w:rFonts w:hint="eastAsia" w:ascii="宋体" w:hAnsi="宋体" w:eastAsia="宋体" w:cs="Arial"/>
                <w:color w:val="auto"/>
                <w:kern w:val="0"/>
                <w:sz w:val="22"/>
              </w:rPr>
              <w:t>国内业界领先的国产化民航通导设备供应商。开发低空飞行管控系统，支持多场景飞行任务协同调度。</w:t>
            </w:r>
          </w:p>
        </w:tc>
      </w:tr>
      <w:tr>
        <w:tblPrEx>
          <w:tblCellMar>
            <w:top w:w="0" w:type="dxa"/>
            <w:left w:w="108" w:type="dxa"/>
            <w:bottom w:w="0" w:type="dxa"/>
            <w:right w:w="108" w:type="dxa"/>
          </w:tblCellMar>
        </w:tblPrEx>
        <w:trPr>
          <w:trHeight w:val="454" w:hRule="atLeast"/>
          <w:jc w:val="center"/>
        </w:trPr>
        <w:tc>
          <w:tcPr>
            <w:tcW w:w="704" w:type="dxa"/>
            <w:tcBorders>
              <w:top w:val="nil"/>
              <w:left w:val="single" w:color="auto" w:sz="4" w:space="0"/>
              <w:bottom w:val="single" w:color="auto" w:sz="4" w:space="0"/>
              <w:right w:val="single" w:color="auto" w:sz="4" w:space="0"/>
            </w:tcBorders>
            <w:vAlign w:val="center"/>
          </w:tcPr>
          <w:p>
            <w:pPr>
              <w:widowControl/>
              <w:jc w:val="center"/>
              <w:rPr>
                <w:rFonts w:hint="eastAsia" w:ascii="宋体" w:hAnsi="宋体" w:eastAsia="宋体" w:cs="Arial"/>
                <w:color w:val="auto"/>
                <w:kern w:val="0"/>
                <w:sz w:val="22"/>
              </w:rPr>
            </w:pPr>
            <w:r>
              <w:rPr>
                <w:rFonts w:hint="eastAsia" w:ascii="宋体" w:hAnsi="宋体" w:eastAsia="宋体" w:cs="Arial"/>
                <w:color w:val="auto"/>
                <w:kern w:val="0"/>
                <w:sz w:val="22"/>
              </w:rPr>
              <w:t>13</w:t>
            </w:r>
          </w:p>
        </w:tc>
        <w:tc>
          <w:tcPr>
            <w:tcW w:w="1418" w:type="dxa"/>
            <w:tcBorders>
              <w:top w:val="nil"/>
              <w:left w:val="nil"/>
              <w:bottom w:val="single" w:color="auto" w:sz="4" w:space="0"/>
              <w:right w:val="single" w:color="auto" w:sz="4" w:space="0"/>
            </w:tcBorders>
            <w:vAlign w:val="center"/>
          </w:tcPr>
          <w:p>
            <w:pPr>
              <w:widowControl/>
              <w:jc w:val="center"/>
              <w:rPr>
                <w:rFonts w:hint="eastAsia" w:ascii="宋体" w:hAnsi="宋体" w:eastAsia="宋体" w:cs="Arial"/>
                <w:color w:val="auto"/>
                <w:kern w:val="0"/>
                <w:sz w:val="22"/>
              </w:rPr>
            </w:pPr>
            <w:r>
              <w:rPr>
                <w:rFonts w:hint="eastAsia" w:ascii="宋体" w:hAnsi="宋体" w:eastAsia="宋体" w:cs="Arial"/>
                <w:color w:val="auto"/>
                <w:kern w:val="0"/>
                <w:sz w:val="22"/>
              </w:rPr>
              <w:t>信息设施</w:t>
            </w:r>
          </w:p>
        </w:tc>
        <w:tc>
          <w:tcPr>
            <w:tcW w:w="2976" w:type="dxa"/>
            <w:tcBorders>
              <w:top w:val="nil"/>
              <w:left w:val="nil"/>
              <w:bottom w:val="single" w:color="auto" w:sz="4" w:space="0"/>
              <w:right w:val="single" w:color="auto" w:sz="4" w:space="0"/>
            </w:tcBorders>
            <w:vAlign w:val="center"/>
          </w:tcPr>
          <w:p>
            <w:pPr>
              <w:widowControl/>
              <w:jc w:val="center"/>
              <w:rPr>
                <w:rFonts w:hint="eastAsia" w:ascii="宋体" w:hAnsi="宋体" w:eastAsia="宋体" w:cs="Arial"/>
                <w:color w:val="auto"/>
                <w:kern w:val="0"/>
                <w:sz w:val="22"/>
              </w:rPr>
            </w:pPr>
            <w:r>
              <w:rPr>
                <w:rFonts w:hint="eastAsia" w:ascii="宋体" w:hAnsi="宋体" w:eastAsia="宋体" w:cs="Arial"/>
                <w:color w:val="auto"/>
                <w:kern w:val="0"/>
                <w:sz w:val="22"/>
              </w:rPr>
              <w:t>上海华测导航技术股份有限公司</w:t>
            </w:r>
          </w:p>
        </w:tc>
        <w:tc>
          <w:tcPr>
            <w:tcW w:w="1418" w:type="dxa"/>
            <w:tcBorders>
              <w:top w:val="nil"/>
              <w:left w:val="nil"/>
              <w:bottom w:val="single" w:color="auto" w:sz="4" w:space="0"/>
              <w:right w:val="single" w:color="auto" w:sz="4" w:space="0"/>
            </w:tcBorders>
            <w:vAlign w:val="center"/>
          </w:tcPr>
          <w:p>
            <w:pPr>
              <w:widowControl/>
              <w:jc w:val="center"/>
              <w:rPr>
                <w:rFonts w:hint="eastAsia" w:ascii="宋体" w:hAnsi="宋体" w:eastAsia="宋体" w:cs="Arial"/>
                <w:color w:val="auto"/>
                <w:kern w:val="0"/>
                <w:sz w:val="22"/>
              </w:rPr>
            </w:pPr>
            <w:r>
              <w:rPr>
                <w:rFonts w:hint="eastAsia" w:ascii="宋体" w:hAnsi="宋体" w:eastAsia="宋体" w:cs="Arial"/>
                <w:color w:val="auto"/>
                <w:kern w:val="0"/>
                <w:sz w:val="22"/>
              </w:rPr>
              <w:t>上海青浦</w:t>
            </w:r>
          </w:p>
        </w:tc>
        <w:tc>
          <w:tcPr>
            <w:tcW w:w="7513" w:type="dxa"/>
            <w:tcBorders>
              <w:top w:val="nil"/>
              <w:left w:val="nil"/>
              <w:bottom w:val="single" w:color="auto" w:sz="4" w:space="0"/>
              <w:right w:val="single" w:color="auto" w:sz="4" w:space="0"/>
            </w:tcBorders>
            <w:vAlign w:val="center"/>
          </w:tcPr>
          <w:p>
            <w:pPr>
              <w:widowControl/>
              <w:jc w:val="left"/>
              <w:rPr>
                <w:rFonts w:hint="eastAsia" w:ascii="宋体" w:hAnsi="宋体" w:eastAsia="宋体" w:cs="Arial"/>
                <w:color w:val="auto"/>
                <w:kern w:val="0"/>
                <w:sz w:val="22"/>
              </w:rPr>
            </w:pPr>
            <w:r>
              <w:rPr>
                <w:rFonts w:hint="eastAsia" w:ascii="宋体" w:hAnsi="宋体" w:eastAsia="宋体" w:cs="Arial"/>
                <w:color w:val="auto"/>
                <w:kern w:val="0"/>
                <w:sz w:val="22"/>
              </w:rPr>
              <w:t>高精度导航定位技术的研发、制造及产业化推广，为无人机飞行提供定位和导航服务。</w:t>
            </w:r>
          </w:p>
        </w:tc>
      </w:tr>
      <w:tr>
        <w:tblPrEx>
          <w:tblCellMar>
            <w:top w:w="0" w:type="dxa"/>
            <w:left w:w="108" w:type="dxa"/>
            <w:bottom w:w="0" w:type="dxa"/>
            <w:right w:w="108" w:type="dxa"/>
          </w:tblCellMar>
        </w:tblPrEx>
        <w:trPr>
          <w:trHeight w:val="454" w:hRule="atLeast"/>
          <w:jc w:val="center"/>
        </w:trPr>
        <w:tc>
          <w:tcPr>
            <w:tcW w:w="704" w:type="dxa"/>
            <w:tcBorders>
              <w:top w:val="nil"/>
              <w:left w:val="single" w:color="auto" w:sz="4" w:space="0"/>
              <w:bottom w:val="single" w:color="auto" w:sz="4" w:space="0"/>
              <w:right w:val="single" w:color="auto" w:sz="4" w:space="0"/>
            </w:tcBorders>
            <w:vAlign w:val="center"/>
          </w:tcPr>
          <w:p>
            <w:pPr>
              <w:widowControl/>
              <w:jc w:val="center"/>
              <w:rPr>
                <w:rFonts w:hint="eastAsia" w:ascii="宋体" w:hAnsi="宋体" w:eastAsia="宋体" w:cs="Arial"/>
                <w:color w:val="auto"/>
                <w:kern w:val="0"/>
                <w:sz w:val="22"/>
              </w:rPr>
            </w:pPr>
            <w:r>
              <w:rPr>
                <w:rFonts w:hint="eastAsia" w:ascii="宋体" w:hAnsi="宋体" w:eastAsia="宋体" w:cs="Arial"/>
                <w:color w:val="auto"/>
                <w:kern w:val="0"/>
                <w:sz w:val="22"/>
              </w:rPr>
              <w:t>14</w:t>
            </w:r>
          </w:p>
        </w:tc>
        <w:tc>
          <w:tcPr>
            <w:tcW w:w="1418" w:type="dxa"/>
            <w:tcBorders>
              <w:top w:val="nil"/>
              <w:left w:val="nil"/>
              <w:bottom w:val="single" w:color="auto" w:sz="4" w:space="0"/>
              <w:right w:val="single" w:color="auto" w:sz="4" w:space="0"/>
            </w:tcBorders>
            <w:vAlign w:val="center"/>
          </w:tcPr>
          <w:p>
            <w:pPr>
              <w:widowControl/>
              <w:jc w:val="center"/>
              <w:rPr>
                <w:rFonts w:hint="eastAsia" w:ascii="宋体" w:hAnsi="宋体" w:eastAsia="宋体" w:cs="Arial"/>
                <w:color w:val="auto"/>
                <w:kern w:val="0"/>
                <w:sz w:val="22"/>
              </w:rPr>
            </w:pPr>
            <w:r>
              <w:rPr>
                <w:rFonts w:hint="eastAsia" w:ascii="宋体" w:hAnsi="宋体" w:eastAsia="宋体" w:cs="Arial"/>
                <w:color w:val="auto"/>
                <w:kern w:val="0"/>
                <w:sz w:val="22"/>
              </w:rPr>
              <w:t>信息设施</w:t>
            </w:r>
          </w:p>
        </w:tc>
        <w:tc>
          <w:tcPr>
            <w:tcW w:w="2976" w:type="dxa"/>
            <w:tcBorders>
              <w:top w:val="nil"/>
              <w:left w:val="nil"/>
              <w:bottom w:val="single" w:color="auto" w:sz="4" w:space="0"/>
              <w:right w:val="single" w:color="auto" w:sz="4" w:space="0"/>
            </w:tcBorders>
            <w:vAlign w:val="center"/>
          </w:tcPr>
          <w:p>
            <w:pPr>
              <w:widowControl/>
              <w:jc w:val="center"/>
              <w:rPr>
                <w:rFonts w:hint="eastAsia" w:ascii="宋体" w:hAnsi="宋体" w:eastAsia="宋体" w:cs="Arial"/>
                <w:color w:val="auto"/>
                <w:kern w:val="0"/>
                <w:sz w:val="22"/>
              </w:rPr>
            </w:pPr>
            <w:r>
              <w:rPr>
                <w:rFonts w:hint="eastAsia" w:ascii="宋体" w:hAnsi="宋体" w:eastAsia="宋体" w:cs="Arial"/>
                <w:color w:val="auto"/>
                <w:kern w:val="0"/>
                <w:sz w:val="22"/>
              </w:rPr>
              <w:t>中国卫通集团股份有限公司</w:t>
            </w:r>
          </w:p>
        </w:tc>
        <w:tc>
          <w:tcPr>
            <w:tcW w:w="1418" w:type="dxa"/>
            <w:tcBorders>
              <w:top w:val="nil"/>
              <w:left w:val="nil"/>
              <w:bottom w:val="single" w:color="auto" w:sz="4" w:space="0"/>
              <w:right w:val="single" w:color="auto" w:sz="4" w:space="0"/>
            </w:tcBorders>
            <w:vAlign w:val="center"/>
          </w:tcPr>
          <w:p>
            <w:pPr>
              <w:widowControl/>
              <w:jc w:val="center"/>
              <w:rPr>
                <w:rFonts w:hint="eastAsia" w:ascii="宋体" w:hAnsi="宋体" w:eastAsia="宋体" w:cs="Arial"/>
                <w:color w:val="auto"/>
                <w:kern w:val="0"/>
                <w:sz w:val="22"/>
              </w:rPr>
            </w:pPr>
            <w:r>
              <w:rPr>
                <w:rFonts w:hint="eastAsia" w:ascii="宋体" w:hAnsi="宋体" w:eastAsia="宋体" w:cs="Arial"/>
                <w:color w:val="auto"/>
                <w:kern w:val="0"/>
                <w:sz w:val="22"/>
              </w:rPr>
              <w:t>北京海淀</w:t>
            </w:r>
          </w:p>
        </w:tc>
        <w:tc>
          <w:tcPr>
            <w:tcW w:w="7513" w:type="dxa"/>
            <w:tcBorders>
              <w:top w:val="nil"/>
              <w:left w:val="nil"/>
              <w:bottom w:val="single" w:color="auto" w:sz="4" w:space="0"/>
              <w:right w:val="single" w:color="auto" w:sz="4" w:space="0"/>
            </w:tcBorders>
            <w:vAlign w:val="center"/>
          </w:tcPr>
          <w:p>
            <w:pPr>
              <w:widowControl/>
              <w:jc w:val="left"/>
              <w:rPr>
                <w:rFonts w:ascii="Arial" w:hAnsi="Arial" w:eastAsia="宋体" w:cs="Arial"/>
                <w:color w:val="auto"/>
                <w:kern w:val="0"/>
                <w:sz w:val="22"/>
              </w:rPr>
            </w:pPr>
            <w:r>
              <w:rPr>
                <w:rFonts w:hint="eastAsia" w:ascii="宋体" w:hAnsi="宋体" w:eastAsia="宋体" w:cs="Arial"/>
                <w:color w:val="auto"/>
                <w:kern w:val="0"/>
                <w:sz w:val="22"/>
              </w:rPr>
              <w:t>提供北斗</w:t>
            </w:r>
            <w:r>
              <w:rPr>
                <w:rFonts w:ascii="Arial" w:hAnsi="Arial" w:eastAsia="宋体" w:cs="Arial"/>
                <w:color w:val="auto"/>
                <w:kern w:val="0"/>
                <w:sz w:val="22"/>
              </w:rPr>
              <w:t>/GNSS</w:t>
            </w:r>
            <w:r>
              <w:rPr>
                <w:rFonts w:hint="eastAsia" w:ascii="宋体" w:hAnsi="宋体" w:eastAsia="宋体" w:cs="Arial"/>
                <w:color w:val="auto"/>
                <w:kern w:val="0"/>
                <w:sz w:val="22"/>
              </w:rPr>
              <w:t>导航服务，支持低空航空器的导航和定位。</w:t>
            </w:r>
          </w:p>
        </w:tc>
      </w:tr>
      <w:tr>
        <w:tblPrEx>
          <w:tblCellMar>
            <w:top w:w="0" w:type="dxa"/>
            <w:left w:w="108" w:type="dxa"/>
            <w:bottom w:w="0" w:type="dxa"/>
            <w:right w:w="108" w:type="dxa"/>
          </w:tblCellMar>
        </w:tblPrEx>
        <w:trPr>
          <w:trHeight w:val="454" w:hRule="atLeast"/>
          <w:jc w:val="center"/>
        </w:trPr>
        <w:tc>
          <w:tcPr>
            <w:tcW w:w="704" w:type="dxa"/>
            <w:tcBorders>
              <w:top w:val="nil"/>
              <w:left w:val="single" w:color="auto" w:sz="4" w:space="0"/>
              <w:bottom w:val="single" w:color="auto" w:sz="4" w:space="0"/>
              <w:right w:val="single" w:color="auto" w:sz="4" w:space="0"/>
            </w:tcBorders>
            <w:vAlign w:val="center"/>
          </w:tcPr>
          <w:p>
            <w:pPr>
              <w:widowControl/>
              <w:jc w:val="center"/>
              <w:rPr>
                <w:rFonts w:hint="eastAsia" w:ascii="宋体" w:hAnsi="宋体" w:eastAsia="宋体" w:cs="Arial"/>
                <w:color w:val="auto"/>
                <w:kern w:val="0"/>
                <w:sz w:val="22"/>
              </w:rPr>
            </w:pPr>
            <w:r>
              <w:rPr>
                <w:rFonts w:hint="eastAsia" w:ascii="宋体" w:hAnsi="宋体" w:eastAsia="宋体" w:cs="Arial"/>
                <w:color w:val="auto"/>
                <w:kern w:val="0"/>
                <w:sz w:val="22"/>
              </w:rPr>
              <w:t>15</w:t>
            </w:r>
          </w:p>
        </w:tc>
        <w:tc>
          <w:tcPr>
            <w:tcW w:w="1418" w:type="dxa"/>
            <w:tcBorders>
              <w:top w:val="nil"/>
              <w:left w:val="nil"/>
              <w:bottom w:val="single" w:color="auto" w:sz="4" w:space="0"/>
              <w:right w:val="single" w:color="auto" w:sz="4" w:space="0"/>
            </w:tcBorders>
            <w:vAlign w:val="center"/>
          </w:tcPr>
          <w:p>
            <w:pPr>
              <w:widowControl/>
              <w:jc w:val="center"/>
              <w:rPr>
                <w:rFonts w:hint="eastAsia" w:ascii="宋体" w:hAnsi="宋体" w:eastAsia="宋体" w:cs="Arial"/>
                <w:color w:val="auto"/>
                <w:kern w:val="0"/>
                <w:sz w:val="22"/>
              </w:rPr>
            </w:pPr>
            <w:r>
              <w:rPr>
                <w:rFonts w:hint="eastAsia" w:ascii="宋体" w:hAnsi="宋体" w:eastAsia="宋体" w:cs="Arial"/>
                <w:color w:val="auto"/>
                <w:kern w:val="0"/>
                <w:sz w:val="22"/>
              </w:rPr>
              <w:t>信息设施</w:t>
            </w:r>
          </w:p>
        </w:tc>
        <w:tc>
          <w:tcPr>
            <w:tcW w:w="2976" w:type="dxa"/>
            <w:tcBorders>
              <w:top w:val="nil"/>
              <w:left w:val="nil"/>
              <w:bottom w:val="single" w:color="auto" w:sz="4" w:space="0"/>
              <w:right w:val="single" w:color="auto" w:sz="4" w:space="0"/>
            </w:tcBorders>
            <w:vAlign w:val="center"/>
          </w:tcPr>
          <w:p>
            <w:pPr>
              <w:widowControl/>
              <w:jc w:val="center"/>
              <w:rPr>
                <w:rFonts w:hint="eastAsia" w:ascii="宋体" w:hAnsi="宋体" w:eastAsia="宋体" w:cs="Arial"/>
                <w:color w:val="auto"/>
                <w:kern w:val="0"/>
                <w:sz w:val="22"/>
              </w:rPr>
            </w:pPr>
            <w:r>
              <w:rPr>
                <w:rFonts w:hint="eastAsia" w:ascii="宋体" w:hAnsi="宋体" w:eastAsia="宋体" w:cs="Arial"/>
                <w:color w:val="auto"/>
                <w:kern w:val="0"/>
                <w:sz w:val="22"/>
              </w:rPr>
              <w:t>中兴通讯股份有限公司</w:t>
            </w:r>
          </w:p>
        </w:tc>
        <w:tc>
          <w:tcPr>
            <w:tcW w:w="1418" w:type="dxa"/>
            <w:tcBorders>
              <w:top w:val="nil"/>
              <w:left w:val="nil"/>
              <w:bottom w:val="single" w:color="auto" w:sz="4" w:space="0"/>
              <w:right w:val="single" w:color="auto" w:sz="4" w:space="0"/>
            </w:tcBorders>
            <w:vAlign w:val="center"/>
          </w:tcPr>
          <w:p>
            <w:pPr>
              <w:widowControl/>
              <w:jc w:val="center"/>
              <w:rPr>
                <w:rFonts w:hint="eastAsia" w:ascii="宋体" w:hAnsi="宋体" w:eastAsia="宋体" w:cs="Arial"/>
                <w:color w:val="auto"/>
                <w:kern w:val="0"/>
                <w:sz w:val="22"/>
              </w:rPr>
            </w:pPr>
            <w:r>
              <w:rPr>
                <w:rFonts w:hint="eastAsia" w:ascii="宋体" w:hAnsi="宋体" w:eastAsia="宋体" w:cs="Arial"/>
                <w:color w:val="auto"/>
                <w:kern w:val="0"/>
                <w:sz w:val="22"/>
              </w:rPr>
              <w:t>广东深圳</w:t>
            </w:r>
          </w:p>
        </w:tc>
        <w:tc>
          <w:tcPr>
            <w:tcW w:w="7513" w:type="dxa"/>
            <w:tcBorders>
              <w:top w:val="nil"/>
              <w:left w:val="nil"/>
              <w:bottom w:val="single" w:color="auto" w:sz="4" w:space="0"/>
              <w:right w:val="single" w:color="auto" w:sz="4" w:space="0"/>
            </w:tcBorders>
            <w:vAlign w:val="center"/>
          </w:tcPr>
          <w:p>
            <w:pPr>
              <w:widowControl/>
              <w:jc w:val="left"/>
              <w:rPr>
                <w:rFonts w:ascii="Arial" w:hAnsi="Arial" w:eastAsia="宋体" w:cs="Arial"/>
                <w:color w:val="auto"/>
                <w:kern w:val="0"/>
                <w:sz w:val="22"/>
              </w:rPr>
            </w:pPr>
            <w:r>
              <w:rPr>
                <w:rFonts w:hint="eastAsia" w:ascii="宋体" w:hAnsi="宋体" w:eastAsia="宋体" w:cs="Arial"/>
                <w:color w:val="auto"/>
                <w:kern w:val="0"/>
                <w:sz w:val="22"/>
              </w:rPr>
              <w:t>依托</w:t>
            </w:r>
            <w:r>
              <w:rPr>
                <w:rFonts w:ascii="Arial" w:hAnsi="Arial" w:eastAsia="宋体" w:cs="Arial"/>
                <w:color w:val="auto"/>
                <w:kern w:val="0"/>
                <w:sz w:val="22"/>
              </w:rPr>
              <w:t>5G-A</w:t>
            </w:r>
            <w:r>
              <w:rPr>
                <w:rFonts w:hint="eastAsia" w:ascii="宋体" w:hAnsi="宋体" w:eastAsia="宋体" w:cs="Arial"/>
                <w:color w:val="auto"/>
                <w:kern w:val="0"/>
                <w:sz w:val="22"/>
              </w:rPr>
              <w:t>通感算智一体化技术构建低空智联网，参与平台建设。</w:t>
            </w:r>
          </w:p>
        </w:tc>
      </w:tr>
      <w:tr>
        <w:tblPrEx>
          <w:tblCellMar>
            <w:top w:w="0" w:type="dxa"/>
            <w:left w:w="108" w:type="dxa"/>
            <w:bottom w:w="0" w:type="dxa"/>
            <w:right w:w="108" w:type="dxa"/>
          </w:tblCellMar>
        </w:tblPrEx>
        <w:trPr>
          <w:trHeight w:val="454" w:hRule="atLeast"/>
          <w:jc w:val="center"/>
        </w:trPr>
        <w:tc>
          <w:tcPr>
            <w:tcW w:w="704" w:type="dxa"/>
            <w:tcBorders>
              <w:top w:val="nil"/>
              <w:left w:val="single" w:color="auto" w:sz="4" w:space="0"/>
              <w:bottom w:val="single" w:color="auto" w:sz="4" w:space="0"/>
              <w:right w:val="single" w:color="auto" w:sz="4" w:space="0"/>
            </w:tcBorders>
            <w:vAlign w:val="center"/>
          </w:tcPr>
          <w:p>
            <w:pPr>
              <w:widowControl/>
              <w:jc w:val="center"/>
              <w:rPr>
                <w:rFonts w:hint="eastAsia" w:ascii="宋体" w:hAnsi="宋体" w:eastAsia="宋体" w:cs="Arial"/>
                <w:color w:val="auto"/>
                <w:kern w:val="0"/>
                <w:sz w:val="22"/>
              </w:rPr>
            </w:pPr>
            <w:r>
              <w:rPr>
                <w:rFonts w:hint="eastAsia" w:ascii="宋体" w:hAnsi="宋体" w:eastAsia="宋体" w:cs="Arial"/>
                <w:color w:val="auto"/>
                <w:kern w:val="0"/>
                <w:sz w:val="22"/>
              </w:rPr>
              <w:t>16</w:t>
            </w:r>
          </w:p>
        </w:tc>
        <w:tc>
          <w:tcPr>
            <w:tcW w:w="1418" w:type="dxa"/>
            <w:tcBorders>
              <w:top w:val="nil"/>
              <w:left w:val="nil"/>
              <w:bottom w:val="single" w:color="auto" w:sz="4" w:space="0"/>
              <w:right w:val="single" w:color="auto" w:sz="4" w:space="0"/>
            </w:tcBorders>
            <w:vAlign w:val="center"/>
          </w:tcPr>
          <w:p>
            <w:pPr>
              <w:widowControl/>
              <w:jc w:val="center"/>
              <w:rPr>
                <w:rFonts w:hint="eastAsia" w:ascii="宋体" w:hAnsi="宋体" w:eastAsia="宋体" w:cs="Arial"/>
                <w:color w:val="auto"/>
                <w:kern w:val="0"/>
                <w:sz w:val="22"/>
              </w:rPr>
            </w:pPr>
            <w:r>
              <w:rPr>
                <w:rFonts w:hint="eastAsia"/>
                <w:color w:val="auto"/>
              </w:rPr>
              <w:t>信息设施</w:t>
            </w:r>
          </w:p>
        </w:tc>
        <w:tc>
          <w:tcPr>
            <w:tcW w:w="2976" w:type="dxa"/>
            <w:tcBorders>
              <w:top w:val="nil"/>
              <w:left w:val="nil"/>
              <w:bottom w:val="single" w:color="auto" w:sz="4" w:space="0"/>
              <w:right w:val="single" w:color="auto" w:sz="4" w:space="0"/>
            </w:tcBorders>
            <w:vAlign w:val="center"/>
          </w:tcPr>
          <w:p>
            <w:pPr>
              <w:widowControl/>
              <w:jc w:val="center"/>
              <w:rPr>
                <w:rFonts w:hint="eastAsia" w:ascii="宋体" w:hAnsi="宋体" w:eastAsia="宋体" w:cs="Arial"/>
                <w:color w:val="auto"/>
                <w:kern w:val="0"/>
                <w:sz w:val="22"/>
              </w:rPr>
            </w:pPr>
            <w:r>
              <w:rPr>
                <w:rFonts w:hint="eastAsia"/>
                <w:color w:val="auto"/>
              </w:rPr>
              <w:t>北京星网宇达科技股份有限公司</w:t>
            </w:r>
          </w:p>
        </w:tc>
        <w:tc>
          <w:tcPr>
            <w:tcW w:w="1418" w:type="dxa"/>
            <w:tcBorders>
              <w:top w:val="nil"/>
              <w:left w:val="nil"/>
              <w:bottom w:val="single" w:color="auto" w:sz="4" w:space="0"/>
              <w:right w:val="single" w:color="auto" w:sz="4" w:space="0"/>
            </w:tcBorders>
            <w:vAlign w:val="center"/>
          </w:tcPr>
          <w:p>
            <w:pPr>
              <w:widowControl/>
              <w:jc w:val="center"/>
              <w:rPr>
                <w:rFonts w:hint="eastAsia" w:ascii="宋体" w:hAnsi="宋体" w:eastAsia="宋体" w:cs="Arial"/>
                <w:color w:val="auto"/>
                <w:kern w:val="0"/>
                <w:sz w:val="22"/>
              </w:rPr>
            </w:pPr>
            <w:r>
              <w:rPr>
                <w:rFonts w:hint="eastAsia"/>
                <w:color w:val="auto"/>
              </w:rPr>
              <w:t>北京亦庄</w:t>
            </w:r>
          </w:p>
        </w:tc>
        <w:tc>
          <w:tcPr>
            <w:tcW w:w="7513" w:type="dxa"/>
            <w:tcBorders>
              <w:top w:val="nil"/>
              <w:left w:val="nil"/>
              <w:bottom w:val="single" w:color="auto" w:sz="4" w:space="0"/>
              <w:right w:val="single" w:color="auto" w:sz="4" w:space="0"/>
            </w:tcBorders>
            <w:vAlign w:val="center"/>
          </w:tcPr>
          <w:p>
            <w:pPr>
              <w:widowControl/>
              <w:jc w:val="center"/>
              <w:rPr>
                <w:rFonts w:hint="eastAsia" w:ascii="宋体" w:hAnsi="宋体" w:eastAsia="宋体" w:cs="Arial"/>
                <w:color w:val="auto"/>
                <w:kern w:val="0"/>
                <w:sz w:val="22"/>
              </w:rPr>
            </w:pPr>
            <w:r>
              <w:rPr>
                <w:rFonts w:hint="eastAsia"/>
                <w:color w:val="auto"/>
              </w:rPr>
              <w:t>惯性组合导航、移动卫星通信、无源电子对抗、智能无人系统四大业务板块。</w:t>
            </w:r>
          </w:p>
        </w:tc>
      </w:tr>
      <w:tr>
        <w:tblPrEx>
          <w:tblCellMar>
            <w:top w:w="0" w:type="dxa"/>
            <w:left w:w="108" w:type="dxa"/>
            <w:bottom w:w="0" w:type="dxa"/>
            <w:right w:w="108" w:type="dxa"/>
          </w:tblCellMar>
        </w:tblPrEx>
        <w:trPr>
          <w:trHeight w:val="454" w:hRule="atLeast"/>
          <w:jc w:val="center"/>
        </w:trPr>
        <w:tc>
          <w:tcPr>
            <w:tcW w:w="704" w:type="dxa"/>
            <w:tcBorders>
              <w:top w:val="nil"/>
              <w:left w:val="single" w:color="auto" w:sz="4" w:space="0"/>
              <w:bottom w:val="single" w:color="auto" w:sz="4" w:space="0"/>
              <w:right w:val="single" w:color="auto" w:sz="4" w:space="0"/>
            </w:tcBorders>
            <w:vAlign w:val="center"/>
          </w:tcPr>
          <w:p>
            <w:pPr>
              <w:widowControl/>
              <w:jc w:val="center"/>
              <w:rPr>
                <w:rFonts w:hint="eastAsia" w:ascii="宋体" w:hAnsi="宋体" w:eastAsia="宋体" w:cs="Arial"/>
                <w:color w:val="auto"/>
                <w:kern w:val="0"/>
                <w:sz w:val="22"/>
              </w:rPr>
            </w:pPr>
            <w:r>
              <w:rPr>
                <w:rFonts w:hint="eastAsia" w:ascii="宋体" w:hAnsi="宋体" w:eastAsia="宋体" w:cs="Arial"/>
                <w:color w:val="auto"/>
                <w:kern w:val="0"/>
                <w:sz w:val="22"/>
              </w:rPr>
              <w:t>17</w:t>
            </w:r>
          </w:p>
        </w:tc>
        <w:tc>
          <w:tcPr>
            <w:tcW w:w="1418" w:type="dxa"/>
            <w:tcBorders>
              <w:top w:val="nil"/>
              <w:left w:val="nil"/>
              <w:bottom w:val="single" w:color="auto" w:sz="4" w:space="0"/>
              <w:right w:val="single" w:color="auto" w:sz="4" w:space="0"/>
            </w:tcBorders>
            <w:vAlign w:val="center"/>
          </w:tcPr>
          <w:p>
            <w:pPr>
              <w:widowControl/>
              <w:jc w:val="center"/>
              <w:rPr>
                <w:rFonts w:hint="eastAsia" w:ascii="宋体" w:hAnsi="宋体" w:eastAsia="宋体" w:cs="Arial"/>
                <w:color w:val="auto"/>
                <w:kern w:val="0"/>
                <w:sz w:val="22"/>
              </w:rPr>
            </w:pPr>
            <w:r>
              <w:rPr>
                <w:rFonts w:hint="eastAsia"/>
                <w:color w:val="auto"/>
              </w:rPr>
              <w:t>信息设施</w:t>
            </w:r>
          </w:p>
        </w:tc>
        <w:tc>
          <w:tcPr>
            <w:tcW w:w="2976" w:type="dxa"/>
            <w:tcBorders>
              <w:top w:val="nil"/>
              <w:left w:val="nil"/>
              <w:bottom w:val="single" w:color="auto" w:sz="4" w:space="0"/>
              <w:right w:val="single" w:color="auto" w:sz="4" w:space="0"/>
            </w:tcBorders>
            <w:vAlign w:val="center"/>
          </w:tcPr>
          <w:p>
            <w:pPr>
              <w:widowControl/>
              <w:jc w:val="center"/>
              <w:rPr>
                <w:rFonts w:hint="eastAsia" w:ascii="宋体" w:hAnsi="宋体" w:eastAsia="宋体" w:cs="Arial"/>
                <w:color w:val="auto"/>
                <w:kern w:val="0"/>
                <w:sz w:val="22"/>
              </w:rPr>
            </w:pPr>
            <w:r>
              <w:rPr>
                <w:rFonts w:hint="eastAsia"/>
                <w:color w:val="auto"/>
              </w:rPr>
              <w:t>北京声迅电子股份有限公司官网</w:t>
            </w:r>
          </w:p>
        </w:tc>
        <w:tc>
          <w:tcPr>
            <w:tcW w:w="1418" w:type="dxa"/>
            <w:tcBorders>
              <w:top w:val="nil"/>
              <w:left w:val="nil"/>
              <w:bottom w:val="single" w:color="auto" w:sz="4" w:space="0"/>
              <w:right w:val="single" w:color="auto" w:sz="4" w:space="0"/>
            </w:tcBorders>
            <w:vAlign w:val="center"/>
          </w:tcPr>
          <w:p>
            <w:pPr>
              <w:widowControl/>
              <w:jc w:val="center"/>
              <w:rPr>
                <w:rFonts w:hint="eastAsia" w:ascii="宋体" w:hAnsi="宋体" w:eastAsia="宋体" w:cs="Arial"/>
                <w:color w:val="auto"/>
                <w:kern w:val="0"/>
                <w:sz w:val="22"/>
              </w:rPr>
            </w:pPr>
            <w:r>
              <w:rPr>
                <w:rFonts w:hint="eastAsia"/>
                <w:color w:val="auto"/>
              </w:rPr>
              <w:t>北京海淀</w:t>
            </w:r>
          </w:p>
        </w:tc>
        <w:tc>
          <w:tcPr>
            <w:tcW w:w="7513" w:type="dxa"/>
            <w:tcBorders>
              <w:top w:val="nil"/>
              <w:left w:val="nil"/>
              <w:bottom w:val="single" w:color="auto" w:sz="4" w:space="0"/>
              <w:right w:val="single" w:color="auto" w:sz="4" w:space="0"/>
            </w:tcBorders>
            <w:vAlign w:val="center"/>
          </w:tcPr>
          <w:p>
            <w:pPr>
              <w:widowControl/>
              <w:rPr>
                <w:rFonts w:hint="eastAsia" w:ascii="宋体" w:hAnsi="宋体" w:eastAsia="宋体" w:cs="Arial"/>
                <w:color w:val="auto"/>
                <w:kern w:val="0"/>
                <w:sz w:val="22"/>
              </w:rPr>
            </w:pPr>
            <w:r>
              <w:rPr>
                <w:rFonts w:hint="eastAsia"/>
                <w:color w:val="auto"/>
              </w:rPr>
              <w:t>为用户提供智能化、数字化的综合安防解决方案和安防运营服务。</w:t>
            </w:r>
          </w:p>
        </w:tc>
      </w:tr>
      <w:tr>
        <w:tblPrEx>
          <w:tblCellMar>
            <w:top w:w="0" w:type="dxa"/>
            <w:left w:w="108" w:type="dxa"/>
            <w:bottom w:w="0" w:type="dxa"/>
            <w:right w:w="108" w:type="dxa"/>
          </w:tblCellMar>
        </w:tblPrEx>
        <w:trPr>
          <w:trHeight w:val="454" w:hRule="atLeast"/>
          <w:jc w:val="center"/>
        </w:trPr>
        <w:tc>
          <w:tcPr>
            <w:tcW w:w="704" w:type="dxa"/>
            <w:tcBorders>
              <w:top w:val="nil"/>
              <w:left w:val="single" w:color="auto" w:sz="4" w:space="0"/>
              <w:bottom w:val="single" w:color="auto" w:sz="4" w:space="0"/>
              <w:right w:val="single" w:color="auto" w:sz="4" w:space="0"/>
            </w:tcBorders>
            <w:vAlign w:val="center"/>
          </w:tcPr>
          <w:p>
            <w:pPr>
              <w:widowControl/>
              <w:jc w:val="center"/>
              <w:rPr>
                <w:rFonts w:hint="eastAsia" w:ascii="宋体" w:hAnsi="宋体" w:eastAsia="宋体" w:cs="Arial"/>
                <w:color w:val="auto"/>
                <w:kern w:val="0"/>
                <w:sz w:val="22"/>
              </w:rPr>
            </w:pPr>
            <w:r>
              <w:rPr>
                <w:rFonts w:hint="eastAsia" w:ascii="宋体" w:hAnsi="宋体" w:eastAsia="宋体" w:cs="Arial"/>
                <w:color w:val="auto"/>
                <w:kern w:val="0"/>
                <w:sz w:val="22"/>
              </w:rPr>
              <w:t>18</w:t>
            </w:r>
          </w:p>
        </w:tc>
        <w:tc>
          <w:tcPr>
            <w:tcW w:w="1418" w:type="dxa"/>
            <w:tcBorders>
              <w:top w:val="nil"/>
              <w:left w:val="nil"/>
              <w:bottom w:val="single" w:color="auto" w:sz="4" w:space="0"/>
              <w:right w:val="single" w:color="auto" w:sz="4" w:space="0"/>
            </w:tcBorders>
            <w:vAlign w:val="center"/>
          </w:tcPr>
          <w:p>
            <w:pPr>
              <w:widowControl/>
              <w:jc w:val="center"/>
              <w:rPr>
                <w:rFonts w:hint="eastAsia" w:ascii="宋体" w:hAnsi="宋体" w:eastAsia="宋体" w:cs="Arial"/>
                <w:color w:val="auto"/>
                <w:kern w:val="0"/>
                <w:sz w:val="22"/>
              </w:rPr>
            </w:pPr>
            <w:r>
              <w:rPr>
                <w:rFonts w:hint="eastAsia" w:ascii="宋体" w:hAnsi="宋体" w:eastAsia="宋体" w:cs="Arial"/>
                <w:color w:val="auto"/>
                <w:kern w:val="0"/>
                <w:sz w:val="22"/>
              </w:rPr>
              <w:t>数字化服务</w:t>
            </w:r>
          </w:p>
        </w:tc>
        <w:tc>
          <w:tcPr>
            <w:tcW w:w="2976" w:type="dxa"/>
            <w:tcBorders>
              <w:top w:val="nil"/>
              <w:left w:val="nil"/>
              <w:bottom w:val="single" w:color="auto" w:sz="4" w:space="0"/>
              <w:right w:val="single" w:color="auto" w:sz="4" w:space="0"/>
            </w:tcBorders>
            <w:vAlign w:val="center"/>
          </w:tcPr>
          <w:p>
            <w:pPr>
              <w:widowControl/>
              <w:jc w:val="center"/>
              <w:rPr>
                <w:rFonts w:hint="eastAsia" w:ascii="宋体" w:hAnsi="宋体" w:eastAsia="宋体" w:cs="Arial"/>
                <w:color w:val="auto"/>
                <w:kern w:val="0"/>
                <w:sz w:val="22"/>
              </w:rPr>
            </w:pPr>
            <w:r>
              <w:rPr>
                <w:rFonts w:hint="eastAsia" w:ascii="宋体" w:hAnsi="宋体" w:eastAsia="宋体" w:cs="Arial"/>
                <w:color w:val="auto"/>
                <w:kern w:val="0"/>
                <w:sz w:val="22"/>
              </w:rPr>
              <w:t>中科星图股份有限公司</w:t>
            </w:r>
          </w:p>
        </w:tc>
        <w:tc>
          <w:tcPr>
            <w:tcW w:w="1418" w:type="dxa"/>
            <w:tcBorders>
              <w:top w:val="nil"/>
              <w:left w:val="nil"/>
              <w:bottom w:val="single" w:color="auto" w:sz="4" w:space="0"/>
              <w:right w:val="single" w:color="auto" w:sz="4" w:space="0"/>
            </w:tcBorders>
            <w:vAlign w:val="center"/>
          </w:tcPr>
          <w:p>
            <w:pPr>
              <w:widowControl/>
              <w:jc w:val="center"/>
              <w:rPr>
                <w:rFonts w:hint="eastAsia" w:ascii="宋体" w:hAnsi="宋体" w:eastAsia="宋体" w:cs="Arial"/>
                <w:color w:val="auto"/>
                <w:kern w:val="0"/>
                <w:sz w:val="22"/>
              </w:rPr>
            </w:pPr>
            <w:r>
              <w:rPr>
                <w:rFonts w:hint="eastAsia" w:ascii="宋体" w:hAnsi="宋体" w:eastAsia="宋体" w:cs="Arial"/>
                <w:color w:val="auto"/>
                <w:kern w:val="0"/>
                <w:sz w:val="22"/>
              </w:rPr>
              <w:t>北京顺义</w:t>
            </w:r>
          </w:p>
        </w:tc>
        <w:tc>
          <w:tcPr>
            <w:tcW w:w="7513" w:type="dxa"/>
            <w:tcBorders>
              <w:top w:val="nil"/>
              <w:left w:val="nil"/>
              <w:bottom w:val="single" w:color="auto" w:sz="4" w:space="0"/>
              <w:right w:val="single" w:color="auto" w:sz="4" w:space="0"/>
            </w:tcBorders>
            <w:vAlign w:val="center"/>
          </w:tcPr>
          <w:p>
            <w:pPr>
              <w:widowControl/>
              <w:jc w:val="left"/>
              <w:rPr>
                <w:rFonts w:hint="eastAsia" w:ascii="宋体" w:hAnsi="宋体" w:eastAsia="宋体" w:cs="Arial"/>
                <w:color w:val="auto"/>
                <w:kern w:val="0"/>
                <w:sz w:val="22"/>
              </w:rPr>
            </w:pPr>
            <w:r>
              <w:rPr>
                <w:rFonts w:hint="eastAsia" w:ascii="宋体" w:hAnsi="宋体" w:eastAsia="宋体" w:cs="Arial"/>
                <w:color w:val="auto"/>
                <w:kern w:val="0"/>
                <w:sz w:val="22"/>
              </w:rPr>
              <w:t>低空服务基础平台产品，提供空天地一体化数字孪生技术，优化航路动态管理。</w:t>
            </w:r>
          </w:p>
        </w:tc>
      </w:tr>
      <w:tr>
        <w:tblPrEx>
          <w:tblCellMar>
            <w:top w:w="0" w:type="dxa"/>
            <w:left w:w="108" w:type="dxa"/>
            <w:bottom w:w="0" w:type="dxa"/>
            <w:right w:w="108" w:type="dxa"/>
          </w:tblCellMar>
        </w:tblPrEx>
        <w:trPr>
          <w:trHeight w:val="454" w:hRule="atLeast"/>
          <w:jc w:val="center"/>
        </w:trPr>
        <w:tc>
          <w:tcPr>
            <w:tcW w:w="704" w:type="dxa"/>
            <w:tcBorders>
              <w:top w:val="nil"/>
              <w:left w:val="single" w:color="auto" w:sz="4" w:space="0"/>
              <w:bottom w:val="single" w:color="auto" w:sz="4" w:space="0"/>
              <w:right w:val="single" w:color="auto" w:sz="4" w:space="0"/>
            </w:tcBorders>
            <w:vAlign w:val="center"/>
          </w:tcPr>
          <w:p>
            <w:pPr>
              <w:widowControl/>
              <w:jc w:val="center"/>
              <w:rPr>
                <w:rFonts w:hint="eastAsia" w:ascii="宋体" w:hAnsi="宋体" w:eastAsia="宋体" w:cs="Arial"/>
                <w:color w:val="auto"/>
                <w:kern w:val="0"/>
                <w:sz w:val="22"/>
              </w:rPr>
            </w:pPr>
            <w:r>
              <w:rPr>
                <w:rFonts w:hint="eastAsia" w:ascii="宋体" w:hAnsi="宋体" w:eastAsia="宋体" w:cs="Arial"/>
                <w:color w:val="auto"/>
                <w:kern w:val="0"/>
                <w:sz w:val="22"/>
              </w:rPr>
              <w:t>1</w:t>
            </w:r>
            <w:r>
              <w:rPr>
                <w:rFonts w:ascii="宋体" w:hAnsi="宋体" w:eastAsia="宋体" w:cs="Arial"/>
                <w:color w:val="auto"/>
                <w:kern w:val="0"/>
                <w:sz w:val="22"/>
              </w:rPr>
              <w:t>9</w:t>
            </w:r>
          </w:p>
        </w:tc>
        <w:tc>
          <w:tcPr>
            <w:tcW w:w="1418" w:type="dxa"/>
            <w:tcBorders>
              <w:top w:val="nil"/>
              <w:left w:val="nil"/>
              <w:bottom w:val="single" w:color="auto" w:sz="4" w:space="0"/>
              <w:right w:val="single" w:color="auto" w:sz="4" w:space="0"/>
            </w:tcBorders>
            <w:vAlign w:val="center"/>
          </w:tcPr>
          <w:p>
            <w:pPr>
              <w:widowControl/>
              <w:jc w:val="center"/>
              <w:rPr>
                <w:rFonts w:hint="eastAsia" w:ascii="宋体" w:hAnsi="宋体" w:eastAsia="宋体" w:cs="Arial"/>
                <w:color w:val="auto"/>
                <w:kern w:val="0"/>
                <w:sz w:val="22"/>
              </w:rPr>
            </w:pPr>
            <w:r>
              <w:rPr>
                <w:rFonts w:hint="eastAsia" w:ascii="宋体" w:hAnsi="宋体" w:eastAsia="宋体" w:cs="Arial"/>
                <w:color w:val="auto"/>
                <w:kern w:val="0"/>
                <w:sz w:val="22"/>
              </w:rPr>
              <w:t>数字化服务</w:t>
            </w:r>
          </w:p>
        </w:tc>
        <w:tc>
          <w:tcPr>
            <w:tcW w:w="2976" w:type="dxa"/>
            <w:tcBorders>
              <w:top w:val="nil"/>
              <w:left w:val="nil"/>
              <w:bottom w:val="single" w:color="auto" w:sz="4" w:space="0"/>
              <w:right w:val="single" w:color="auto" w:sz="4" w:space="0"/>
            </w:tcBorders>
            <w:vAlign w:val="center"/>
          </w:tcPr>
          <w:p>
            <w:pPr>
              <w:widowControl/>
              <w:jc w:val="center"/>
              <w:rPr>
                <w:rFonts w:hint="eastAsia" w:ascii="宋体" w:hAnsi="宋体" w:eastAsia="宋体" w:cs="Arial"/>
                <w:color w:val="auto"/>
                <w:kern w:val="0"/>
                <w:sz w:val="22"/>
              </w:rPr>
            </w:pPr>
            <w:r>
              <w:rPr>
                <w:rFonts w:hint="eastAsia" w:ascii="宋体" w:hAnsi="宋体" w:eastAsia="宋体" w:cs="Arial"/>
                <w:color w:val="auto"/>
                <w:kern w:val="0"/>
                <w:sz w:val="22"/>
              </w:rPr>
              <w:t>新晨科技股份有限公司</w:t>
            </w:r>
          </w:p>
        </w:tc>
        <w:tc>
          <w:tcPr>
            <w:tcW w:w="1418" w:type="dxa"/>
            <w:tcBorders>
              <w:top w:val="nil"/>
              <w:left w:val="nil"/>
              <w:bottom w:val="single" w:color="auto" w:sz="4" w:space="0"/>
              <w:right w:val="single" w:color="auto" w:sz="4" w:space="0"/>
            </w:tcBorders>
            <w:vAlign w:val="center"/>
          </w:tcPr>
          <w:p>
            <w:pPr>
              <w:widowControl/>
              <w:jc w:val="center"/>
              <w:rPr>
                <w:rFonts w:hint="eastAsia" w:ascii="宋体" w:hAnsi="宋体" w:eastAsia="宋体" w:cs="Arial"/>
                <w:color w:val="auto"/>
                <w:kern w:val="0"/>
                <w:sz w:val="22"/>
              </w:rPr>
            </w:pPr>
            <w:r>
              <w:rPr>
                <w:rFonts w:hint="eastAsia" w:ascii="宋体" w:hAnsi="宋体" w:eastAsia="宋体" w:cs="Arial"/>
                <w:color w:val="auto"/>
                <w:kern w:val="0"/>
                <w:sz w:val="22"/>
              </w:rPr>
              <w:t>北京海淀</w:t>
            </w:r>
          </w:p>
        </w:tc>
        <w:tc>
          <w:tcPr>
            <w:tcW w:w="7513" w:type="dxa"/>
            <w:tcBorders>
              <w:top w:val="nil"/>
              <w:left w:val="nil"/>
              <w:bottom w:val="single" w:color="auto" w:sz="4" w:space="0"/>
              <w:right w:val="single" w:color="auto" w:sz="4" w:space="0"/>
            </w:tcBorders>
            <w:vAlign w:val="center"/>
          </w:tcPr>
          <w:p>
            <w:pPr>
              <w:widowControl/>
              <w:jc w:val="left"/>
              <w:rPr>
                <w:rFonts w:hint="eastAsia" w:ascii="宋体" w:hAnsi="宋体" w:eastAsia="宋体" w:cs="Arial"/>
                <w:color w:val="auto"/>
                <w:kern w:val="0"/>
                <w:sz w:val="22"/>
              </w:rPr>
            </w:pPr>
            <w:r>
              <w:rPr>
                <w:rFonts w:hint="eastAsia" w:ascii="宋体" w:hAnsi="宋体" w:eastAsia="宋体" w:cs="Arial"/>
                <w:color w:val="auto"/>
                <w:kern w:val="0"/>
                <w:sz w:val="22"/>
              </w:rPr>
              <w:t>开发低空综合监视系统，探索智能航路规划与空域调配。已初步形成低空防务整体解决方案规划。</w:t>
            </w:r>
          </w:p>
        </w:tc>
      </w:tr>
      <w:tr>
        <w:tblPrEx>
          <w:tblCellMar>
            <w:top w:w="0" w:type="dxa"/>
            <w:left w:w="108" w:type="dxa"/>
            <w:bottom w:w="0" w:type="dxa"/>
            <w:right w:w="108" w:type="dxa"/>
          </w:tblCellMar>
        </w:tblPrEx>
        <w:trPr>
          <w:trHeight w:val="454"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eastAsia="宋体" w:cs="Arial"/>
                <w:color w:val="auto"/>
                <w:kern w:val="0"/>
                <w:sz w:val="22"/>
              </w:rPr>
            </w:pPr>
            <w:r>
              <w:rPr>
                <w:rFonts w:hint="eastAsia" w:ascii="宋体" w:hAnsi="宋体" w:eastAsia="宋体" w:cs="Arial"/>
                <w:color w:val="auto"/>
                <w:kern w:val="0"/>
                <w:sz w:val="22"/>
              </w:rPr>
              <w:t>2</w:t>
            </w:r>
            <w:r>
              <w:rPr>
                <w:rFonts w:ascii="宋体" w:hAnsi="宋体" w:eastAsia="宋体" w:cs="Arial"/>
                <w:color w:val="auto"/>
                <w:kern w:val="0"/>
                <w:sz w:val="22"/>
              </w:rPr>
              <w:t>0</w:t>
            </w:r>
          </w:p>
        </w:tc>
        <w:tc>
          <w:tcPr>
            <w:tcW w:w="1418" w:type="dxa"/>
            <w:tcBorders>
              <w:top w:val="nil"/>
              <w:left w:val="nil"/>
              <w:bottom w:val="single" w:color="auto" w:sz="4" w:space="0"/>
              <w:right w:val="single" w:color="auto" w:sz="4" w:space="0"/>
            </w:tcBorders>
            <w:vAlign w:val="center"/>
          </w:tcPr>
          <w:p>
            <w:pPr>
              <w:widowControl/>
              <w:jc w:val="center"/>
              <w:rPr>
                <w:rFonts w:hint="eastAsia" w:ascii="宋体" w:hAnsi="宋体" w:eastAsia="宋体" w:cs="Arial"/>
                <w:color w:val="auto"/>
                <w:kern w:val="0"/>
                <w:sz w:val="22"/>
              </w:rPr>
            </w:pPr>
            <w:r>
              <w:rPr>
                <w:rFonts w:hint="eastAsia" w:ascii="宋体" w:hAnsi="宋体" w:eastAsia="宋体" w:cs="Arial"/>
                <w:color w:val="auto"/>
                <w:kern w:val="0"/>
                <w:sz w:val="22"/>
              </w:rPr>
              <w:t>数字化服务</w:t>
            </w:r>
          </w:p>
        </w:tc>
        <w:tc>
          <w:tcPr>
            <w:tcW w:w="2976" w:type="dxa"/>
            <w:tcBorders>
              <w:top w:val="nil"/>
              <w:left w:val="nil"/>
              <w:bottom w:val="single" w:color="auto" w:sz="4" w:space="0"/>
              <w:right w:val="single" w:color="auto" w:sz="4" w:space="0"/>
            </w:tcBorders>
            <w:vAlign w:val="center"/>
          </w:tcPr>
          <w:p>
            <w:pPr>
              <w:widowControl/>
              <w:jc w:val="center"/>
              <w:rPr>
                <w:rFonts w:hint="eastAsia" w:ascii="宋体" w:hAnsi="宋体" w:eastAsia="宋体" w:cs="Arial"/>
                <w:color w:val="auto"/>
                <w:kern w:val="0"/>
                <w:sz w:val="22"/>
              </w:rPr>
            </w:pPr>
            <w:r>
              <w:rPr>
                <w:rFonts w:hint="eastAsia" w:cs="Arial"/>
                <w:color w:val="auto"/>
                <w:sz w:val="22"/>
              </w:rPr>
              <w:t>北京恒赢智航科技有限公司</w:t>
            </w:r>
          </w:p>
        </w:tc>
        <w:tc>
          <w:tcPr>
            <w:tcW w:w="1418" w:type="dxa"/>
            <w:tcBorders>
              <w:top w:val="nil"/>
              <w:left w:val="nil"/>
              <w:bottom w:val="single" w:color="auto" w:sz="4" w:space="0"/>
              <w:right w:val="single" w:color="auto" w:sz="4" w:space="0"/>
            </w:tcBorders>
            <w:vAlign w:val="center"/>
          </w:tcPr>
          <w:p>
            <w:pPr>
              <w:widowControl/>
              <w:jc w:val="center"/>
              <w:rPr>
                <w:rFonts w:hint="eastAsia" w:ascii="宋体" w:hAnsi="宋体" w:eastAsia="宋体" w:cs="Arial"/>
                <w:color w:val="auto"/>
                <w:kern w:val="0"/>
                <w:sz w:val="22"/>
              </w:rPr>
            </w:pPr>
            <w:r>
              <w:rPr>
                <w:rFonts w:hint="eastAsia" w:cs="Arial"/>
                <w:color w:val="auto"/>
                <w:sz w:val="22"/>
              </w:rPr>
              <w:t>北京朝阳</w:t>
            </w:r>
          </w:p>
        </w:tc>
        <w:tc>
          <w:tcPr>
            <w:tcW w:w="7513" w:type="dxa"/>
            <w:tcBorders>
              <w:top w:val="nil"/>
              <w:left w:val="nil"/>
              <w:bottom w:val="single" w:color="auto" w:sz="4" w:space="0"/>
              <w:right w:val="single" w:color="auto" w:sz="4" w:space="0"/>
            </w:tcBorders>
            <w:vAlign w:val="center"/>
          </w:tcPr>
          <w:p>
            <w:pPr>
              <w:widowControl/>
              <w:jc w:val="left"/>
              <w:rPr>
                <w:rFonts w:hint="eastAsia" w:ascii="宋体" w:hAnsi="宋体" w:eastAsia="宋体" w:cs="Arial"/>
                <w:color w:val="auto"/>
                <w:kern w:val="0"/>
                <w:sz w:val="22"/>
              </w:rPr>
            </w:pPr>
            <w:r>
              <w:rPr>
                <w:rFonts w:hint="eastAsia" w:cs="Arial"/>
                <w:color w:val="auto"/>
                <w:sz w:val="22"/>
              </w:rPr>
              <w:t>专注服务于民航业，为航空公司、机场、管理局等航空企业及航空院校提供信息化咨询、开发实施、开源化推进、</w:t>
            </w:r>
            <w:r>
              <w:rPr>
                <w:rFonts w:ascii="Arial" w:hAnsi="Arial" w:cs="Arial"/>
                <w:color w:val="auto"/>
                <w:sz w:val="22"/>
              </w:rPr>
              <w:t>IT</w:t>
            </w:r>
            <w:r>
              <w:rPr>
                <w:rFonts w:hint="eastAsia" w:cs="Arial"/>
                <w:color w:val="auto"/>
                <w:sz w:val="22"/>
              </w:rPr>
              <w:t>系统管理、业务流程外包等服务。</w:t>
            </w:r>
          </w:p>
        </w:tc>
      </w:tr>
      <w:tr>
        <w:tblPrEx>
          <w:tblCellMar>
            <w:top w:w="0" w:type="dxa"/>
            <w:left w:w="108" w:type="dxa"/>
            <w:bottom w:w="0" w:type="dxa"/>
            <w:right w:w="108" w:type="dxa"/>
          </w:tblCellMar>
        </w:tblPrEx>
        <w:trPr>
          <w:trHeight w:val="454"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eastAsia="宋体" w:cs="Arial"/>
                <w:color w:val="auto"/>
                <w:kern w:val="0"/>
                <w:sz w:val="22"/>
              </w:rPr>
            </w:pPr>
            <w:r>
              <w:rPr>
                <w:rFonts w:hint="eastAsia" w:ascii="宋体" w:hAnsi="宋体" w:eastAsia="宋体" w:cs="Arial"/>
                <w:color w:val="auto"/>
                <w:kern w:val="0"/>
                <w:sz w:val="22"/>
              </w:rPr>
              <w:t>2</w:t>
            </w:r>
            <w:r>
              <w:rPr>
                <w:rFonts w:ascii="宋体" w:hAnsi="宋体" w:eastAsia="宋体" w:cs="Arial"/>
                <w:color w:val="auto"/>
                <w:kern w:val="0"/>
                <w:sz w:val="22"/>
              </w:rPr>
              <w:t>1</w:t>
            </w:r>
          </w:p>
        </w:tc>
        <w:tc>
          <w:tcPr>
            <w:tcW w:w="1418" w:type="dxa"/>
            <w:tcBorders>
              <w:top w:val="single" w:color="auto" w:sz="4" w:space="0"/>
              <w:left w:val="nil"/>
              <w:bottom w:val="single" w:color="auto" w:sz="4" w:space="0"/>
              <w:right w:val="single" w:color="auto" w:sz="4" w:space="0"/>
            </w:tcBorders>
            <w:vAlign w:val="center"/>
          </w:tcPr>
          <w:p>
            <w:pPr>
              <w:widowControl/>
              <w:jc w:val="center"/>
              <w:rPr>
                <w:rFonts w:hint="eastAsia" w:ascii="宋体" w:hAnsi="宋体" w:eastAsia="宋体" w:cs="Arial"/>
                <w:color w:val="auto"/>
                <w:kern w:val="0"/>
                <w:sz w:val="22"/>
              </w:rPr>
            </w:pPr>
            <w:r>
              <w:rPr>
                <w:rFonts w:hint="eastAsia" w:ascii="宋体" w:hAnsi="宋体" w:eastAsia="宋体" w:cs="Arial"/>
                <w:color w:val="auto"/>
                <w:kern w:val="0"/>
                <w:sz w:val="22"/>
              </w:rPr>
              <w:t>数字化服务</w:t>
            </w:r>
          </w:p>
        </w:tc>
        <w:tc>
          <w:tcPr>
            <w:tcW w:w="2976" w:type="dxa"/>
            <w:tcBorders>
              <w:top w:val="single" w:color="auto" w:sz="4" w:space="0"/>
              <w:left w:val="nil"/>
              <w:bottom w:val="single" w:color="auto" w:sz="4" w:space="0"/>
              <w:right w:val="single" w:color="auto" w:sz="4" w:space="0"/>
            </w:tcBorders>
            <w:vAlign w:val="center"/>
          </w:tcPr>
          <w:p>
            <w:pPr>
              <w:widowControl/>
              <w:jc w:val="center"/>
              <w:rPr>
                <w:rFonts w:hint="eastAsia" w:ascii="宋体" w:hAnsi="宋体" w:eastAsia="宋体" w:cs="Arial"/>
                <w:color w:val="auto"/>
                <w:kern w:val="0"/>
                <w:sz w:val="22"/>
              </w:rPr>
            </w:pPr>
            <w:r>
              <w:rPr>
                <w:rFonts w:hint="eastAsia" w:ascii="宋体" w:hAnsi="宋体" w:eastAsia="宋体" w:cs="Arial"/>
                <w:color w:val="auto"/>
                <w:kern w:val="0"/>
                <w:sz w:val="22"/>
              </w:rPr>
              <w:t>深圳市城市交通规划设计研究中心股份有限公司</w:t>
            </w:r>
          </w:p>
        </w:tc>
        <w:tc>
          <w:tcPr>
            <w:tcW w:w="1418" w:type="dxa"/>
            <w:tcBorders>
              <w:top w:val="single" w:color="auto" w:sz="4" w:space="0"/>
              <w:left w:val="nil"/>
              <w:bottom w:val="single" w:color="auto" w:sz="4" w:space="0"/>
              <w:right w:val="single" w:color="auto" w:sz="4" w:space="0"/>
            </w:tcBorders>
            <w:vAlign w:val="center"/>
          </w:tcPr>
          <w:p>
            <w:pPr>
              <w:widowControl/>
              <w:jc w:val="center"/>
              <w:rPr>
                <w:rFonts w:hint="eastAsia" w:ascii="宋体" w:hAnsi="宋体" w:eastAsia="宋体" w:cs="Arial"/>
                <w:color w:val="auto"/>
                <w:kern w:val="0"/>
                <w:sz w:val="22"/>
              </w:rPr>
            </w:pPr>
            <w:r>
              <w:rPr>
                <w:rFonts w:hint="eastAsia" w:ascii="宋体" w:hAnsi="宋体" w:eastAsia="宋体" w:cs="Arial"/>
                <w:color w:val="auto"/>
                <w:kern w:val="0"/>
                <w:sz w:val="22"/>
              </w:rPr>
              <w:t>广东深圳</w:t>
            </w:r>
          </w:p>
        </w:tc>
        <w:tc>
          <w:tcPr>
            <w:tcW w:w="7513" w:type="dxa"/>
            <w:tcBorders>
              <w:top w:val="single" w:color="auto" w:sz="4" w:space="0"/>
              <w:left w:val="nil"/>
              <w:bottom w:val="single" w:color="auto" w:sz="4" w:space="0"/>
              <w:right w:val="single" w:color="auto" w:sz="4" w:space="0"/>
            </w:tcBorders>
            <w:vAlign w:val="center"/>
          </w:tcPr>
          <w:p>
            <w:pPr>
              <w:widowControl/>
              <w:jc w:val="left"/>
              <w:rPr>
                <w:rFonts w:hint="eastAsia" w:ascii="宋体" w:hAnsi="宋体" w:eastAsia="宋体" w:cs="Arial"/>
                <w:color w:val="auto"/>
                <w:kern w:val="0"/>
                <w:sz w:val="22"/>
              </w:rPr>
            </w:pPr>
            <w:r>
              <w:rPr>
                <w:rFonts w:hint="eastAsia" w:ascii="宋体" w:hAnsi="宋体" w:eastAsia="宋体" w:cs="Arial"/>
                <w:color w:val="auto"/>
                <w:kern w:val="0"/>
                <w:sz w:val="22"/>
              </w:rPr>
              <w:t>通过数字孪生技术设计智慧低空交通路线，支撑深圳航路网试点。</w:t>
            </w:r>
          </w:p>
        </w:tc>
      </w:tr>
    </w:tbl>
    <w:p>
      <w:pPr>
        <w:widowControl/>
        <w:jc w:val="left"/>
        <w:rPr>
          <w:rFonts w:hint="eastAsia" w:ascii="黑体" w:hAnsi="黑体" w:eastAsia="黑体" w:cs="Arial"/>
          <w:color w:val="auto"/>
          <w:kern w:val="0"/>
          <w:sz w:val="24"/>
        </w:rPr>
      </w:pPr>
      <w:r>
        <w:rPr>
          <w:rFonts w:ascii="黑体" w:hAnsi="黑体" w:eastAsia="黑体" w:cs="Arial"/>
          <w:color w:val="auto"/>
          <w:kern w:val="0"/>
          <w:sz w:val="24"/>
        </w:rPr>
        <w:br w:type="page"/>
      </w:r>
    </w:p>
    <w:bookmarkEnd w:id="300"/>
    <w:p>
      <w:pPr>
        <w:widowControl/>
        <w:adjustRightInd w:val="0"/>
        <w:snapToGrid w:val="0"/>
        <w:spacing w:line="560" w:lineRule="exact"/>
        <w:ind w:firstLine="641"/>
        <w:outlineLvl w:val="1"/>
        <w:rPr>
          <w:rFonts w:hint="eastAsia" w:ascii="黑体" w:hAnsi="黑体" w:eastAsia="黑体" w:cs="Segoe UI"/>
          <w:bCs/>
          <w:color w:val="auto"/>
          <w:kern w:val="0"/>
          <w:sz w:val="32"/>
          <w:szCs w:val="32"/>
        </w:rPr>
      </w:pPr>
      <w:bookmarkStart w:id="303" w:name="_Toc220270506"/>
      <w:bookmarkStart w:id="304" w:name="_Toc32643"/>
      <w:bookmarkStart w:id="305" w:name="_Toc196760069"/>
      <w:r>
        <w:rPr>
          <w:rFonts w:ascii="黑体" w:hAnsi="黑体" w:eastAsia="黑体" w:cs="Segoe UI"/>
          <w:bCs/>
          <w:color w:val="auto"/>
          <w:kern w:val="0"/>
          <w:sz w:val="32"/>
          <w:szCs w:val="32"/>
        </w:rPr>
        <w:t>四、低空配套业招商信息表</w:t>
      </w:r>
      <w:bookmarkEnd w:id="303"/>
      <w:r>
        <w:rPr>
          <w:rFonts w:hint="eastAsia" w:ascii="黑体" w:hAnsi="黑体" w:eastAsia="黑体" w:cs="Segoe UI"/>
          <w:bCs/>
          <w:color w:val="auto"/>
          <w:kern w:val="0"/>
          <w:sz w:val="32"/>
          <w:szCs w:val="32"/>
        </w:rPr>
        <w:t>（拟）</w:t>
      </w:r>
      <w:bookmarkEnd w:id="304"/>
    </w:p>
    <w:p>
      <w:pPr>
        <w:spacing w:before="312" w:beforeLines="100" w:after="156" w:afterLines="50"/>
        <w:jc w:val="center"/>
        <w:outlineLvl w:val="2"/>
        <w:rPr>
          <w:rFonts w:hint="eastAsia" w:ascii="黑体" w:hAnsi="黑体" w:eastAsia="黑体"/>
          <w:color w:val="auto"/>
          <w:sz w:val="24"/>
        </w:rPr>
      </w:pPr>
      <w:bookmarkStart w:id="306" w:name="_Toc220270507"/>
      <w:bookmarkStart w:id="307" w:name="_Toc27409"/>
      <w:r>
        <w:rPr>
          <w:rFonts w:hint="eastAsia" w:ascii="黑体" w:hAnsi="黑体" w:eastAsia="黑体"/>
          <w:color w:val="auto"/>
          <w:sz w:val="24"/>
        </w:rPr>
        <w:t>表4</w:t>
      </w:r>
      <w:r>
        <w:rPr>
          <w:rFonts w:ascii="黑体" w:hAnsi="黑体" w:eastAsia="黑体"/>
          <w:color w:val="auto"/>
          <w:sz w:val="24"/>
        </w:rPr>
        <w:t>-</w:t>
      </w:r>
      <w:r>
        <w:rPr>
          <w:rFonts w:hint="eastAsia" w:ascii="黑体" w:hAnsi="黑体" w:eastAsia="黑体"/>
          <w:color w:val="auto"/>
          <w:sz w:val="24"/>
        </w:rPr>
        <w:t>1  教育培训业主要企业</w:t>
      </w:r>
      <w:bookmarkEnd w:id="250"/>
      <w:bookmarkEnd w:id="251"/>
      <w:bookmarkEnd w:id="252"/>
      <w:bookmarkEnd w:id="305"/>
      <w:bookmarkEnd w:id="306"/>
      <w:bookmarkEnd w:id="307"/>
    </w:p>
    <w:tbl>
      <w:tblPr>
        <w:tblStyle w:val="23"/>
        <w:tblW w:w="141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6"/>
        <w:gridCol w:w="1426"/>
        <w:gridCol w:w="3543"/>
        <w:gridCol w:w="1560"/>
        <w:gridCol w:w="68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696" w:type="dxa"/>
            <w:noWrap/>
            <w:vAlign w:val="center"/>
          </w:tcPr>
          <w:p>
            <w:pPr>
              <w:widowControl/>
              <w:jc w:val="center"/>
              <w:rPr>
                <w:rFonts w:hint="eastAsia" w:ascii="黑体" w:hAnsi="黑体" w:eastAsia="黑体" w:cs="宋体"/>
                <w:color w:val="auto"/>
                <w:kern w:val="0"/>
                <w:sz w:val="22"/>
              </w:rPr>
            </w:pPr>
            <w:r>
              <w:rPr>
                <w:rFonts w:hint="eastAsia" w:ascii="黑体" w:hAnsi="黑体" w:eastAsia="黑体" w:cs="宋体"/>
                <w:color w:val="auto"/>
                <w:kern w:val="0"/>
                <w:sz w:val="22"/>
              </w:rPr>
              <w:t>序号</w:t>
            </w:r>
          </w:p>
        </w:tc>
        <w:tc>
          <w:tcPr>
            <w:tcW w:w="1426" w:type="dxa"/>
            <w:vAlign w:val="center"/>
          </w:tcPr>
          <w:p>
            <w:pPr>
              <w:widowControl/>
              <w:jc w:val="center"/>
              <w:rPr>
                <w:rFonts w:hint="eastAsia" w:ascii="黑体" w:hAnsi="黑体" w:eastAsia="黑体" w:cs="宋体"/>
                <w:color w:val="auto"/>
                <w:kern w:val="0"/>
                <w:sz w:val="22"/>
              </w:rPr>
            </w:pPr>
            <w:r>
              <w:rPr>
                <w:rFonts w:hint="eastAsia" w:ascii="黑体" w:hAnsi="黑体" w:eastAsia="黑体" w:cs="宋体"/>
                <w:color w:val="auto"/>
                <w:kern w:val="0"/>
                <w:sz w:val="22"/>
              </w:rPr>
              <w:t>主要领域</w:t>
            </w:r>
          </w:p>
        </w:tc>
        <w:tc>
          <w:tcPr>
            <w:tcW w:w="3543" w:type="dxa"/>
            <w:noWrap/>
            <w:vAlign w:val="center"/>
          </w:tcPr>
          <w:p>
            <w:pPr>
              <w:widowControl/>
              <w:jc w:val="center"/>
              <w:rPr>
                <w:rFonts w:hint="eastAsia" w:ascii="黑体" w:hAnsi="黑体" w:eastAsia="黑体" w:cs="宋体"/>
                <w:color w:val="auto"/>
                <w:kern w:val="0"/>
                <w:sz w:val="22"/>
              </w:rPr>
            </w:pPr>
            <w:r>
              <w:rPr>
                <w:rFonts w:hint="eastAsia" w:ascii="黑体" w:hAnsi="黑体" w:eastAsia="黑体" w:cs="宋体"/>
                <w:color w:val="auto"/>
                <w:kern w:val="0"/>
                <w:sz w:val="22"/>
              </w:rPr>
              <w:t>企业名称</w:t>
            </w:r>
          </w:p>
        </w:tc>
        <w:tc>
          <w:tcPr>
            <w:tcW w:w="1560" w:type="dxa"/>
            <w:noWrap/>
            <w:vAlign w:val="center"/>
          </w:tcPr>
          <w:p>
            <w:pPr>
              <w:widowControl/>
              <w:jc w:val="center"/>
              <w:rPr>
                <w:rFonts w:hint="eastAsia" w:ascii="黑体" w:hAnsi="黑体" w:eastAsia="黑体" w:cs="宋体"/>
                <w:color w:val="auto"/>
                <w:kern w:val="0"/>
                <w:sz w:val="22"/>
              </w:rPr>
            </w:pPr>
            <w:r>
              <w:rPr>
                <w:rFonts w:hint="eastAsia" w:ascii="黑体" w:hAnsi="黑体" w:eastAsia="黑体" w:cs="宋体"/>
                <w:color w:val="auto"/>
                <w:kern w:val="0"/>
                <w:sz w:val="22"/>
              </w:rPr>
              <w:t>总部所在地</w:t>
            </w:r>
          </w:p>
        </w:tc>
        <w:tc>
          <w:tcPr>
            <w:tcW w:w="6885" w:type="dxa"/>
            <w:noWrap/>
            <w:vAlign w:val="center"/>
          </w:tcPr>
          <w:p>
            <w:pPr>
              <w:widowControl/>
              <w:jc w:val="center"/>
              <w:rPr>
                <w:rFonts w:hint="eastAsia" w:ascii="黑体" w:hAnsi="黑体" w:eastAsia="黑体" w:cs="宋体"/>
                <w:color w:val="auto"/>
                <w:kern w:val="0"/>
                <w:sz w:val="22"/>
              </w:rPr>
            </w:pPr>
            <w:r>
              <w:rPr>
                <w:rFonts w:hint="eastAsia" w:ascii="黑体" w:hAnsi="黑体" w:eastAsia="黑体" w:cs="宋体"/>
                <w:color w:val="auto"/>
                <w:kern w:val="0"/>
                <w:sz w:val="22"/>
              </w:rPr>
              <w:t>企业简介/主营方向/产品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696"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1</w:t>
            </w:r>
          </w:p>
        </w:tc>
        <w:tc>
          <w:tcPr>
            <w:tcW w:w="1426"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低空飞行</w:t>
            </w:r>
          </w:p>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培训</w:t>
            </w:r>
          </w:p>
        </w:tc>
        <w:tc>
          <w:tcPr>
            <w:tcW w:w="3543"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广州腾云航空科技有限公司</w:t>
            </w:r>
          </w:p>
        </w:tc>
        <w:tc>
          <w:tcPr>
            <w:tcW w:w="156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广东广州</w:t>
            </w:r>
          </w:p>
        </w:tc>
        <w:tc>
          <w:tcPr>
            <w:tcW w:w="6885" w:type="dxa"/>
            <w:tcBorders>
              <w:top w:val="single" w:color="auto" w:sz="4" w:space="0"/>
              <w:left w:val="single" w:color="auto" w:sz="4" w:space="0"/>
              <w:bottom w:val="single" w:color="auto" w:sz="4" w:space="0"/>
              <w:right w:val="single" w:color="auto" w:sz="4" w:space="0"/>
            </w:tcBorders>
            <w:noWrap/>
            <w:vAlign w:val="center"/>
          </w:tcPr>
          <w:p>
            <w:pPr>
              <w:widowControl/>
              <w:rPr>
                <w:rFonts w:hint="eastAsia" w:ascii="宋体" w:hAnsi="宋体" w:eastAsia="宋体" w:cs="宋体"/>
                <w:color w:val="auto"/>
                <w:kern w:val="0"/>
                <w:sz w:val="22"/>
              </w:rPr>
            </w:pPr>
            <w:r>
              <w:rPr>
                <w:rFonts w:hint="eastAsia" w:ascii="宋体" w:hAnsi="宋体" w:eastAsia="宋体" w:cs="宋体"/>
                <w:color w:val="auto"/>
                <w:kern w:val="0"/>
                <w:sz w:val="22"/>
              </w:rPr>
              <w:t>无人驾驶航空器操作员培训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696"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2</w:t>
            </w:r>
          </w:p>
        </w:tc>
        <w:tc>
          <w:tcPr>
            <w:tcW w:w="1426"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低空飞行</w:t>
            </w:r>
          </w:p>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培训</w:t>
            </w:r>
          </w:p>
        </w:tc>
        <w:tc>
          <w:tcPr>
            <w:tcW w:w="3543"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广东大湾无人机技术有限公司</w:t>
            </w:r>
          </w:p>
        </w:tc>
        <w:tc>
          <w:tcPr>
            <w:tcW w:w="156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广东广州</w:t>
            </w:r>
          </w:p>
        </w:tc>
        <w:tc>
          <w:tcPr>
            <w:tcW w:w="6885" w:type="dxa"/>
            <w:tcBorders>
              <w:top w:val="single" w:color="auto" w:sz="4" w:space="0"/>
              <w:left w:val="single" w:color="auto" w:sz="4" w:space="0"/>
              <w:bottom w:val="single" w:color="auto" w:sz="4" w:space="0"/>
              <w:right w:val="single" w:color="auto" w:sz="4" w:space="0"/>
            </w:tcBorders>
            <w:noWrap/>
            <w:vAlign w:val="center"/>
          </w:tcPr>
          <w:p>
            <w:pPr>
              <w:widowControl/>
              <w:rPr>
                <w:rFonts w:hint="eastAsia" w:ascii="宋体" w:hAnsi="宋体" w:eastAsia="宋体" w:cs="宋体"/>
                <w:color w:val="auto"/>
                <w:kern w:val="0"/>
                <w:sz w:val="22"/>
              </w:rPr>
            </w:pPr>
            <w:r>
              <w:rPr>
                <w:rFonts w:hint="eastAsia" w:ascii="宋体" w:hAnsi="宋体" w:eastAsia="宋体" w:cs="宋体"/>
                <w:color w:val="auto"/>
                <w:kern w:val="0"/>
                <w:sz w:val="22"/>
              </w:rPr>
              <w:t>无人驾驶航空器操作员培训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696"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3</w:t>
            </w:r>
          </w:p>
        </w:tc>
        <w:tc>
          <w:tcPr>
            <w:tcW w:w="1426"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低空飞行培训</w:t>
            </w:r>
          </w:p>
        </w:tc>
        <w:tc>
          <w:tcPr>
            <w:tcW w:w="3543"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广州迪飞无人机科技有限公司</w:t>
            </w:r>
          </w:p>
        </w:tc>
        <w:tc>
          <w:tcPr>
            <w:tcW w:w="156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广东广州</w:t>
            </w:r>
          </w:p>
        </w:tc>
        <w:tc>
          <w:tcPr>
            <w:tcW w:w="6885" w:type="dxa"/>
            <w:tcBorders>
              <w:top w:val="single" w:color="auto" w:sz="4" w:space="0"/>
              <w:left w:val="single" w:color="auto" w:sz="4" w:space="0"/>
              <w:bottom w:val="single" w:color="auto" w:sz="4" w:space="0"/>
              <w:right w:val="single" w:color="auto" w:sz="4" w:space="0"/>
            </w:tcBorders>
            <w:noWrap/>
            <w:vAlign w:val="center"/>
          </w:tcPr>
          <w:p>
            <w:pPr>
              <w:widowControl/>
              <w:rPr>
                <w:rFonts w:hint="eastAsia" w:ascii="宋体" w:hAnsi="宋体" w:eastAsia="宋体" w:cs="宋体"/>
                <w:color w:val="auto"/>
                <w:kern w:val="0"/>
                <w:sz w:val="22"/>
              </w:rPr>
            </w:pPr>
            <w:r>
              <w:rPr>
                <w:rFonts w:hint="eastAsia" w:ascii="宋体" w:hAnsi="宋体" w:eastAsia="宋体" w:cs="宋体"/>
                <w:color w:val="auto"/>
                <w:kern w:val="0"/>
                <w:sz w:val="22"/>
              </w:rPr>
              <w:t>无人驾驶航空器操作员培训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696"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Arial"/>
                <w:color w:val="auto"/>
                <w:sz w:val="22"/>
              </w:rPr>
              <w:t>4</w:t>
            </w:r>
          </w:p>
        </w:tc>
        <w:tc>
          <w:tcPr>
            <w:tcW w:w="1426"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低空飞行培训</w:t>
            </w:r>
          </w:p>
        </w:tc>
        <w:tc>
          <w:tcPr>
            <w:tcW w:w="3543"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olor w:val="auto"/>
                <w:sz w:val="22"/>
              </w:rPr>
              <w:t>广州市鑫广飞信息科技有限公司</w:t>
            </w:r>
          </w:p>
        </w:tc>
        <w:tc>
          <w:tcPr>
            <w:tcW w:w="156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olor w:val="auto"/>
                <w:sz w:val="22"/>
              </w:rPr>
              <w:t>广东广州</w:t>
            </w:r>
          </w:p>
        </w:tc>
        <w:tc>
          <w:tcPr>
            <w:tcW w:w="6885" w:type="dxa"/>
            <w:tcBorders>
              <w:top w:val="single" w:color="auto" w:sz="4" w:space="0"/>
              <w:left w:val="single" w:color="auto" w:sz="4" w:space="0"/>
              <w:bottom w:val="single" w:color="auto" w:sz="4" w:space="0"/>
              <w:right w:val="single" w:color="auto" w:sz="4" w:space="0"/>
            </w:tcBorders>
            <w:noWrap/>
            <w:vAlign w:val="center"/>
          </w:tcPr>
          <w:p>
            <w:pPr>
              <w:widowControl/>
              <w:rPr>
                <w:rFonts w:hint="eastAsia" w:ascii="宋体" w:hAnsi="宋体" w:eastAsia="宋体" w:cs="宋体"/>
                <w:color w:val="auto"/>
                <w:kern w:val="0"/>
                <w:sz w:val="22"/>
              </w:rPr>
            </w:pPr>
            <w:r>
              <w:rPr>
                <w:rFonts w:hint="eastAsia" w:ascii="宋体" w:hAnsi="宋体" w:eastAsia="宋体"/>
                <w:color w:val="auto"/>
                <w:sz w:val="22"/>
              </w:rPr>
              <w:t>专注无人机创客教育、职业技能应用教育和行业应用开发的高技术企业。主要有无人机教育，包括中小学无人机创客教育、中高职院校无人机应用技能教育；针对环保、水务、河道巡航等方面的技术无人机应用服务。已成功开发了无人机教育应用平台、课堂系统、考核评估系统、机智能监测综合应用平台、无人机河道巡航系统、无人机手机M&amp;C软件（APP）、机载负载监测系统、无线数据采集设备等产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696"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olor w:val="auto"/>
                <w:sz w:val="22"/>
              </w:rPr>
            </w:pPr>
            <w:r>
              <w:rPr>
                <w:rFonts w:hint="eastAsia" w:ascii="宋体" w:hAnsi="宋体" w:eastAsia="宋体"/>
                <w:color w:val="auto"/>
                <w:sz w:val="22"/>
              </w:rPr>
              <w:t>5</w:t>
            </w:r>
          </w:p>
        </w:tc>
        <w:tc>
          <w:tcPr>
            <w:tcW w:w="1426"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低空飞行培训</w:t>
            </w:r>
          </w:p>
        </w:tc>
        <w:tc>
          <w:tcPr>
            <w:tcW w:w="3543"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olor w:val="auto"/>
                <w:sz w:val="22"/>
              </w:rPr>
            </w:pPr>
            <w:r>
              <w:rPr>
                <w:rFonts w:hint="eastAsia" w:ascii="宋体" w:hAnsi="宋体" w:eastAsia="宋体"/>
                <w:color w:val="auto"/>
                <w:sz w:val="22"/>
              </w:rPr>
              <w:t>广州亿通智航技术有限公司</w:t>
            </w:r>
          </w:p>
        </w:tc>
        <w:tc>
          <w:tcPr>
            <w:tcW w:w="156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olor w:val="auto"/>
                <w:sz w:val="22"/>
              </w:rPr>
            </w:pPr>
            <w:r>
              <w:rPr>
                <w:rFonts w:hint="eastAsia" w:ascii="宋体" w:hAnsi="宋体" w:eastAsia="宋体"/>
                <w:color w:val="auto"/>
                <w:sz w:val="22"/>
              </w:rPr>
              <w:t>广东广州</w:t>
            </w:r>
          </w:p>
        </w:tc>
        <w:tc>
          <w:tcPr>
            <w:tcW w:w="6885" w:type="dxa"/>
            <w:tcBorders>
              <w:top w:val="single" w:color="auto" w:sz="4" w:space="0"/>
              <w:left w:val="single" w:color="auto" w:sz="4" w:space="0"/>
              <w:bottom w:val="single" w:color="auto" w:sz="4" w:space="0"/>
              <w:right w:val="single" w:color="auto" w:sz="4" w:space="0"/>
            </w:tcBorders>
            <w:noWrap/>
            <w:vAlign w:val="center"/>
          </w:tcPr>
          <w:p>
            <w:pPr>
              <w:widowControl/>
              <w:rPr>
                <w:rFonts w:hint="eastAsia" w:ascii="宋体" w:hAnsi="宋体" w:eastAsia="宋体"/>
                <w:color w:val="auto"/>
                <w:sz w:val="22"/>
              </w:rPr>
            </w:pPr>
            <w:r>
              <w:rPr>
                <w:rFonts w:hint="eastAsia" w:ascii="宋体" w:hAnsi="宋体" w:eastAsia="宋体"/>
                <w:color w:val="auto"/>
                <w:sz w:val="22"/>
              </w:rPr>
              <w:t>从事科技推广和应用服务业为主的企业，业务涉及数据处理和存储支持服务、航空运营支持服务、卫星遥感数据处理、飞行训练、通用航空服务、测绘服务、商业非运输、私用大型航空器运营人、航空器代管人运行业务、飞行签派员培训、城市配送运输服务、民用航空器驾驶员培训等领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696"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olor w:val="auto"/>
                <w:sz w:val="22"/>
              </w:rPr>
            </w:pPr>
            <w:r>
              <w:rPr>
                <w:rFonts w:hint="eastAsia" w:ascii="宋体" w:hAnsi="宋体" w:eastAsia="宋体" w:cs="Arial"/>
                <w:color w:val="auto"/>
                <w:sz w:val="22"/>
              </w:rPr>
              <w:t>6</w:t>
            </w:r>
          </w:p>
        </w:tc>
        <w:tc>
          <w:tcPr>
            <w:tcW w:w="1426"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低空飞行培训</w:t>
            </w:r>
          </w:p>
        </w:tc>
        <w:tc>
          <w:tcPr>
            <w:tcW w:w="3543"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olor w:val="auto"/>
                <w:sz w:val="22"/>
              </w:rPr>
            </w:pPr>
            <w:r>
              <w:rPr>
                <w:rFonts w:hint="eastAsia" w:ascii="宋体" w:hAnsi="宋体" w:eastAsia="宋体"/>
                <w:color w:val="auto"/>
                <w:sz w:val="22"/>
              </w:rPr>
              <w:t>广州开发区低空产业发展有限公司</w:t>
            </w:r>
          </w:p>
        </w:tc>
        <w:tc>
          <w:tcPr>
            <w:tcW w:w="156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olor w:val="auto"/>
                <w:sz w:val="22"/>
              </w:rPr>
            </w:pPr>
            <w:r>
              <w:rPr>
                <w:rFonts w:hint="eastAsia" w:ascii="宋体" w:hAnsi="宋体" w:eastAsia="宋体"/>
                <w:color w:val="auto"/>
                <w:sz w:val="22"/>
              </w:rPr>
              <w:t>广东广州</w:t>
            </w:r>
          </w:p>
        </w:tc>
        <w:tc>
          <w:tcPr>
            <w:tcW w:w="6885" w:type="dxa"/>
            <w:tcBorders>
              <w:top w:val="single" w:color="auto" w:sz="4" w:space="0"/>
              <w:left w:val="single" w:color="auto" w:sz="4" w:space="0"/>
              <w:bottom w:val="single" w:color="auto" w:sz="4" w:space="0"/>
              <w:right w:val="single" w:color="auto" w:sz="4" w:space="0"/>
            </w:tcBorders>
            <w:noWrap/>
            <w:vAlign w:val="center"/>
          </w:tcPr>
          <w:p>
            <w:pPr>
              <w:widowControl/>
              <w:rPr>
                <w:rFonts w:hint="eastAsia" w:ascii="宋体" w:hAnsi="宋体" w:eastAsia="宋体"/>
                <w:color w:val="auto"/>
                <w:sz w:val="22"/>
              </w:rPr>
            </w:pPr>
            <w:r>
              <w:rPr>
                <w:rFonts w:hint="eastAsia" w:ascii="宋体" w:hAnsi="宋体" w:eastAsia="宋体"/>
                <w:color w:val="auto"/>
                <w:sz w:val="22"/>
              </w:rPr>
              <w:t>航空运营支持服务，智能无人飞行器销售；信息系统集成服务；信息系统运行维护服务；卫星通信、气象信息服务；国际货物运输代理；保税物流中心经营；通用航空服务；民用机场经营；民用航空器维修；民用航空器驾驶员培训；检验检测服务；安全生产检验检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696"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olor w:val="auto"/>
                <w:sz w:val="22"/>
              </w:rPr>
            </w:pPr>
            <w:r>
              <w:rPr>
                <w:rFonts w:hint="eastAsia" w:ascii="宋体" w:hAnsi="宋体" w:eastAsia="宋体"/>
                <w:color w:val="auto"/>
                <w:sz w:val="22"/>
              </w:rPr>
              <w:t>7</w:t>
            </w:r>
          </w:p>
        </w:tc>
        <w:tc>
          <w:tcPr>
            <w:tcW w:w="1426"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低空飞行培训</w:t>
            </w:r>
          </w:p>
        </w:tc>
        <w:tc>
          <w:tcPr>
            <w:tcW w:w="3543"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olor w:val="auto"/>
                <w:sz w:val="22"/>
              </w:rPr>
            </w:pPr>
            <w:r>
              <w:rPr>
                <w:rFonts w:hint="eastAsia" w:ascii="宋体" w:hAnsi="宋体" w:eastAsia="宋体" w:cs="宋体"/>
                <w:color w:val="auto"/>
                <w:kern w:val="0"/>
                <w:sz w:val="22"/>
              </w:rPr>
              <w:t>四川珠峰通航科技有限公司</w:t>
            </w:r>
          </w:p>
        </w:tc>
        <w:tc>
          <w:tcPr>
            <w:tcW w:w="156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olor w:val="auto"/>
                <w:sz w:val="22"/>
              </w:rPr>
            </w:pPr>
            <w:r>
              <w:rPr>
                <w:rFonts w:hint="eastAsia" w:ascii="宋体" w:hAnsi="宋体" w:eastAsia="宋体" w:cs="宋体"/>
                <w:color w:val="auto"/>
                <w:kern w:val="0"/>
                <w:sz w:val="22"/>
              </w:rPr>
              <w:t>四川成都</w:t>
            </w:r>
          </w:p>
        </w:tc>
        <w:tc>
          <w:tcPr>
            <w:tcW w:w="6885" w:type="dxa"/>
            <w:tcBorders>
              <w:top w:val="single" w:color="auto" w:sz="4" w:space="0"/>
              <w:left w:val="single" w:color="auto" w:sz="4" w:space="0"/>
              <w:bottom w:val="single" w:color="auto" w:sz="4" w:space="0"/>
              <w:right w:val="single" w:color="auto" w:sz="4" w:space="0"/>
            </w:tcBorders>
            <w:noWrap/>
            <w:vAlign w:val="center"/>
          </w:tcPr>
          <w:p>
            <w:pPr>
              <w:widowControl/>
              <w:rPr>
                <w:rFonts w:hint="eastAsia" w:ascii="宋体" w:hAnsi="宋体" w:eastAsia="宋体"/>
                <w:color w:val="auto"/>
                <w:sz w:val="22"/>
              </w:rPr>
            </w:pPr>
            <w:r>
              <w:rPr>
                <w:rFonts w:hint="eastAsia" w:ascii="宋体" w:hAnsi="宋体" w:eastAsia="宋体" w:cs="宋体"/>
                <w:color w:val="auto"/>
                <w:kern w:val="0"/>
                <w:sz w:val="22"/>
              </w:rPr>
              <w:t>无人机销售、社会化服务、无人机驾驶员培训及无人机应用解决方案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696"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olor w:val="auto"/>
                <w:sz w:val="22"/>
              </w:rPr>
            </w:pPr>
            <w:r>
              <w:rPr>
                <w:rFonts w:hint="eastAsia" w:ascii="宋体" w:hAnsi="宋体" w:eastAsia="宋体"/>
                <w:color w:val="auto"/>
                <w:sz w:val="22"/>
              </w:rPr>
              <w:t>8</w:t>
            </w:r>
          </w:p>
        </w:tc>
        <w:tc>
          <w:tcPr>
            <w:tcW w:w="1426"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低空飞行培训</w:t>
            </w:r>
          </w:p>
        </w:tc>
        <w:tc>
          <w:tcPr>
            <w:tcW w:w="3543"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南京新航线教育咨询有限公司</w:t>
            </w:r>
          </w:p>
        </w:tc>
        <w:tc>
          <w:tcPr>
            <w:tcW w:w="156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江苏南京</w:t>
            </w:r>
          </w:p>
        </w:tc>
        <w:tc>
          <w:tcPr>
            <w:tcW w:w="6885" w:type="dxa"/>
            <w:tcBorders>
              <w:top w:val="single" w:color="auto" w:sz="4" w:space="0"/>
              <w:left w:val="single" w:color="auto" w:sz="4" w:space="0"/>
              <w:bottom w:val="single" w:color="auto" w:sz="4" w:space="0"/>
              <w:right w:val="single" w:color="auto" w:sz="4" w:space="0"/>
            </w:tcBorders>
            <w:noWrap/>
          </w:tcPr>
          <w:p>
            <w:pPr>
              <w:widowControl/>
              <w:rPr>
                <w:rFonts w:hint="eastAsia" w:ascii="宋体" w:hAnsi="宋体" w:eastAsia="宋体" w:cs="宋体"/>
                <w:color w:val="auto"/>
                <w:kern w:val="0"/>
                <w:sz w:val="22"/>
              </w:rPr>
            </w:pPr>
            <w:r>
              <w:rPr>
                <w:rFonts w:hint="eastAsia" w:ascii="宋体" w:hAnsi="宋体" w:eastAsia="宋体" w:cs="宋体"/>
                <w:color w:val="auto"/>
                <w:kern w:val="0"/>
                <w:sz w:val="22"/>
              </w:rPr>
              <w:t>隶属于新航线集团，业务范围包括无人机人才培养、无人机科技服务、无人机产教融合、职业技能培训、供应链智慧集成、高科技职业体验、民用航空器制造与销售等领域。</w:t>
            </w:r>
          </w:p>
        </w:tc>
      </w:tr>
    </w:tbl>
    <w:p>
      <w:pPr>
        <w:spacing w:before="312" w:beforeLines="100" w:after="156" w:afterLines="50"/>
        <w:jc w:val="center"/>
        <w:outlineLvl w:val="2"/>
        <w:rPr>
          <w:rFonts w:hint="eastAsia" w:ascii="黑体" w:hAnsi="黑体" w:eastAsia="黑体"/>
          <w:color w:val="auto"/>
          <w:sz w:val="24"/>
        </w:rPr>
      </w:pPr>
      <w:bookmarkStart w:id="308" w:name="_Toc191998631"/>
      <w:bookmarkStart w:id="309" w:name="_Toc196760058"/>
      <w:bookmarkStart w:id="310" w:name="_Toc192950332"/>
      <w:bookmarkStart w:id="311" w:name="_Toc220270508"/>
      <w:bookmarkStart w:id="312" w:name="_Toc192950392"/>
      <w:bookmarkStart w:id="313" w:name="_Toc856"/>
      <w:r>
        <w:rPr>
          <w:rFonts w:hint="eastAsia" w:ascii="黑体" w:hAnsi="黑体" w:eastAsia="黑体"/>
          <w:color w:val="auto"/>
          <w:sz w:val="24"/>
        </w:rPr>
        <w:t xml:space="preserve">表4-2 </w:t>
      </w:r>
      <w:r>
        <w:rPr>
          <w:rFonts w:ascii="黑体" w:hAnsi="黑体" w:eastAsia="黑体"/>
          <w:color w:val="auto"/>
          <w:sz w:val="24"/>
        </w:rPr>
        <w:t xml:space="preserve"> </w:t>
      </w:r>
      <w:r>
        <w:rPr>
          <w:rFonts w:hint="eastAsia" w:ascii="黑体" w:hAnsi="黑体" w:eastAsia="黑体"/>
          <w:color w:val="auto"/>
          <w:sz w:val="24"/>
        </w:rPr>
        <w:t>检验检测</w:t>
      </w:r>
      <w:bookmarkEnd w:id="308"/>
      <w:bookmarkEnd w:id="309"/>
      <w:bookmarkEnd w:id="310"/>
      <w:bookmarkEnd w:id="311"/>
      <w:bookmarkEnd w:id="312"/>
      <w:r>
        <w:rPr>
          <w:rFonts w:hint="eastAsia" w:ascii="黑体" w:hAnsi="黑体" w:eastAsia="黑体"/>
          <w:color w:val="auto"/>
          <w:sz w:val="24"/>
        </w:rPr>
        <w:t>类机构、企业</w:t>
      </w:r>
      <w:bookmarkEnd w:id="313"/>
    </w:p>
    <w:tbl>
      <w:tblPr>
        <w:tblStyle w:val="23"/>
        <w:tblW w:w="140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0"/>
        <w:gridCol w:w="4277"/>
        <w:gridCol w:w="1417"/>
        <w:gridCol w:w="76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680" w:type="dxa"/>
            <w:noWrap/>
            <w:vAlign w:val="center"/>
          </w:tcPr>
          <w:p>
            <w:pPr>
              <w:widowControl/>
              <w:jc w:val="center"/>
              <w:rPr>
                <w:rFonts w:hint="eastAsia" w:ascii="黑体" w:hAnsi="黑体" w:eastAsia="黑体" w:cs="宋体"/>
                <w:color w:val="auto"/>
                <w:kern w:val="0"/>
                <w:sz w:val="22"/>
              </w:rPr>
            </w:pPr>
            <w:r>
              <w:rPr>
                <w:rFonts w:hint="eastAsia" w:ascii="黑体" w:hAnsi="黑体" w:eastAsia="黑体" w:cs="宋体"/>
                <w:color w:val="auto"/>
                <w:kern w:val="0"/>
                <w:sz w:val="22"/>
              </w:rPr>
              <w:t>序号</w:t>
            </w:r>
          </w:p>
        </w:tc>
        <w:tc>
          <w:tcPr>
            <w:tcW w:w="4277" w:type="dxa"/>
            <w:noWrap/>
            <w:vAlign w:val="center"/>
          </w:tcPr>
          <w:p>
            <w:pPr>
              <w:widowControl/>
              <w:jc w:val="center"/>
              <w:rPr>
                <w:rFonts w:hint="eastAsia" w:ascii="黑体" w:hAnsi="黑体" w:eastAsia="黑体" w:cs="宋体"/>
                <w:color w:val="auto"/>
                <w:kern w:val="0"/>
                <w:sz w:val="22"/>
              </w:rPr>
            </w:pPr>
            <w:r>
              <w:rPr>
                <w:rFonts w:hint="eastAsia" w:ascii="黑体" w:hAnsi="黑体" w:eastAsia="黑体" w:cs="宋体"/>
                <w:color w:val="auto"/>
                <w:kern w:val="0"/>
                <w:sz w:val="22"/>
              </w:rPr>
              <w:t>机构名称</w:t>
            </w:r>
          </w:p>
        </w:tc>
        <w:tc>
          <w:tcPr>
            <w:tcW w:w="1417" w:type="dxa"/>
            <w:noWrap/>
            <w:vAlign w:val="center"/>
          </w:tcPr>
          <w:p>
            <w:pPr>
              <w:widowControl/>
              <w:jc w:val="center"/>
              <w:rPr>
                <w:rFonts w:hint="eastAsia" w:ascii="黑体" w:hAnsi="黑体" w:eastAsia="黑体" w:cs="宋体"/>
                <w:color w:val="auto"/>
                <w:kern w:val="0"/>
                <w:sz w:val="22"/>
              </w:rPr>
            </w:pPr>
            <w:r>
              <w:rPr>
                <w:rFonts w:hint="eastAsia" w:ascii="黑体" w:hAnsi="黑体" w:eastAsia="黑体" w:cs="宋体"/>
                <w:color w:val="auto"/>
                <w:kern w:val="0"/>
                <w:sz w:val="22"/>
              </w:rPr>
              <w:t>场所地址</w:t>
            </w:r>
          </w:p>
        </w:tc>
        <w:tc>
          <w:tcPr>
            <w:tcW w:w="7655" w:type="dxa"/>
            <w:noWrap/>
            <w:vAlign w:val="center"/>
          </w:tcPr>
          <w:p>
            <w:pPr>
              <w:widowControl/>
              <w:jc w:val="center"/>
              <w:rPr>
                <w:rFonts w:hint="eastAsia" w:ascii="黑体" w:hAnsi="黑体" w:eastAsia="黑体" w:cs="宋体"/>
                <w:color w:val="auto"/>
                <w:kern w:val="0"/>
                <w:sz w:val="22"/>
              </w:rPr>
            </w:pPr>
            <w:r>
              <w:rPr>
                <w:rFonts w:hint="eastAsia" w:ascii="黑体" w:hAnsi="黑体" w:eastAsia="黑体" w:cs="宋体"/>
                <w:color w:val="auto"/>
                <w:kern w:val="0"/>
                <w:sz w:val="22"/>
              </w:rPr>
              <w:t>覆盖标准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80" w:type="dxa"/>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1</w:t>
            </w:r>
          </w:p>
        </w:tc>
        <w:tc>
          <w:tcPr>
            <w:tcW w:w="4277" w:type="dxa"/>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北京中认检测技术服务有限公司</w:t>
            </w:r>
          </w:p>
        </w:tc>
        <w:tc>
          <w:tcPr>
            <w:tcW w:w="1417" w:type="dxa"/>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北京</w:t>
            </w:r>
          </w:p>
        </w:tc>
        <w:tc>
          <w:tcPr>
            <w:tcW w:w="7655" w:type="dxa"/>
            <w:noWrap/>
            <w:vAlign w:val="center"/>
          </w:tcPr>
          <w:p>
            <w:pPr>
              <w:widowControl/>
              <w:jc w:val="left"/>
              <w:rPr>
                <w:rFonts w:hint="eastAsia" w:ascii="宋体" w:hAnsi="宋体" w:eastAsia="宋体" w:cs="宋体"/>
                <w:color w:val="auto"/>
                <w:kern w:val="0"/>
                <w:sz w:val="22"/>
              </w:rPr>
            </w:pPr>
            <w:r>
              <w:rPr>
                <w:rFonts w:hint="eastAsia" w:ascii="宋体" w:hAnsi="宋体" w:eastAsia="宋体" w:cs="宋体"/>
                <w:color w:val="auto"/>
                <w:kern w:val="0"/>
                <w:sz w:val="22"/>
              </w:rPr>
              <w:t>民用无人驾驶航空器系统安全要求(GB 42590-2023)，民用轻小型无人机系统电磁兼容性要求与试验方法(GB/T 38909-2020)，民用无人机唯一产品识别码(GB/T 41300-2022)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80" w:type="dxa"/>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2</w:t>
            </w:r>
          </w:p>
        </w:tc>
        <w:tc>
          <w:tcPr>
            <w:tcW w:w="4277" w:type="dxa"/>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中国电子技术标准化研究院（赛西实验室）</w:t>
            </w:r>
          </w:p>
        </w:tc>
        <w:tc>
          <w:tcPr>
            <w:tcW w:w="1417" w:type="dxa"/>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北京</w:t>
            </w:r>
          </w:p>
        </w:tc>
        <w:tc>
          <w:tcPr>
            <w:tcW w:w="7655" w:type="dxa"/>
            <w:noWrap/>
            <w:vAlign w:val="center"/>
          </w:tcPr>
          <w:p>
            <w:pPr>
              <w:widowControl/>
              <w:jc w:val="left"/>
              <w:rPr>
                <w:rFonts w:hint="eastAsia" w:ascii="宋体" w:hAnsi="宋体" w:eastAsia="宋体" w:cs="宋体"/>
                <w:color w:val="auto"/>
                <w:kern w:val="0"/>
                <w:sz w:val="22"/>
              </w:rPr>
            </w:pPr>
            <w:r>
              <w:rPr>
                <w:rFonts w:hint="eastAsia" w:ascii="宋体" w:hAnsi="宋体" w:eastAsia="宋体" w:cs="宋体"/>
                <w:color w:val="auto"/>
                <w:kern w:val="0"/>
                <w:sz w:val="22"/>
              </w:rPr>
              <w:t>民用无人驾驶航空器系统安全要求(GB 42590-2023)，民用多旋翼无人机系统试验方法(GB/T 38058-2019)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80" w:type="dxa"/>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3</w:t>
            </w:r>
          </w:p>
        </w:tc>
        <w:tc>
          <w:tcPr>
            <w:tcW w:w="4277" w:type="dxa"/>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北京泰瑞特检测技术服务有限责任公司</w:t>
            </w:r>
          </w:p>
        </w:tc>
        <w:tc>
          <w:tcPr>
            <w:tcW w:w="1417" w:type="dxa"/>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北京</w:t>
            </w:r>
          </w:p>
        </w:tc>
        <w:tc>
          <w:tcPr>
            <w:tcW w:w="7655" w:type="dxa"/>
            <w:noWrap/>
            <w:vAlign w:val="center"/>
          </w:tcPr>
          <w:p>
            <w:pPr>
              <w:widowControl/>
              <w:jc w:val="left"/>
              <w:rPr>
                <w:rFonts w:hint="eastAsia" w:ascii="宋体" w:hAnsi="宋体" w:eastAsia="宋体" w:cs="宋体"/>
                <w:color w:val="auto"/>
                <w:kern w:val="0"/>
                <w:sz w:val="22"/>
              </w:rPr>
            </w:pPr>
            <w:r>
              <w:rPr>
                <w:rFonts w:hint="eastAsia" w:ascii="宋体" w:hAnsi="宋体" w:eastAsia="宋体" w:cs="宋体"/>
                <w:color w:val="auto"/>
                <w:kern w:val="0"/>
                <w:sz w:val="22"/>
              </w:rPr>
              <w:t>民用无人驾驶航空器系统安全要求(GB 42590-2023)，民用轻小型无人机系统电磁兼容性要求与试验方法(GB/T 38909-2020)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80" w:type="dxa"/>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4</w:t>
            </w:r>
          </w:p>
        </w:tc>
        <w:tc>
          <w:tcPr>
            <w:tcW w:w="4277" w:type="dxa"/>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方圆广电检验检测股份有限公司</w:t>
            </w:r>
          </w:p>
        </w:tc>
        <w:tc>
          <w:tcPr>
            <w:tcW w:w="1417" w:type="dxa"/>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天津</w:t>
            </w:r>
          </w:p>
        </w:tc>
        <w:tc>
          <w:tcPr>
            <w:tcW w:w="7655" w:type="dxa"/>
            <w:noWrap/>
            <w:vAlign w:val="center"/>
          </w:tcPr>
          <w:p>
            <w:pPr>
              <w:widowControl/>
              <w:jc w:val="left"/>
              <w:rPr>
                <w:rFonts w:hint="eastAsia" w:ascii="宋体" w:hAnsi="宋体" w:eastAsia="宋体" w:cs="宋体"/>
                <w:color w:val="auto"/>
                <w:kern w:val="0"/>
                <w:sz w:val="22"/>
              </w:rPr>
            </w:pPr>
            <w:r>
              <w:rPr>
                <w:rFonts w:hint="eastAsia" w:ascii="宋体" w:hAnsi="宋体" w:eastAsia="宋体" w:cs="宋体"/>
                <w:color w:val="auto"/>
                <w:kern w:val="0"/>
                <w:sz w:val="22"/>
              </w:rPr>
              <w:t>民用无人驾驶航空器系统安全要求(GB 42590-2023)，民用轻小型无人机系统抗风性要求及试验方法(GB/T 38930-2020)，民用轻小型无人机系统电磁兼容性要求与试验方法(GB/T 38909-2020)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80" w:type="dxa"/>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5</w:t>
            </w:r>
          </w:p>
        </w:tc>
        <w:tc>
          <w:tcPr>
            <w:tcW w:w="4277" w:type="dxa"/>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中认英泰检测技术有限公司</w:t>
            </w:r>
          </w:p>
        </w:tc>
        <w:tc>
          <w:tcPr>
            <w:tcW w:w="1417" w:type="dxa"/>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江苏 苏州</w:t>
            </w:r>
          </w:p>
        </w:tc>
        <w:tc>
          <w:tcPr>
            <w:tcW w:w="7655" w:type="dxa"/>
            <w:noWrap/>
            <w:vAlign w:val="center"/>
          </w:tcPr>
          <w:p>
            <w:pPr>
              <w:widowControl/>
              <w:jc w:val="left"/>
              <w:rPr>
                <w:rFonts w:hint="eastAsia" w:ascii="宋体" w:hAnsi="宋体" w:eastAsia="宋体" w:cs="宋体"/>
                <w:color w:val="auto"/>
                <w:kern w:val="0"/>
                <w:sz w:val="22"/>
              </w:rPr>
            </w:pPr>
            <w:r>
              <w:rPr>
                <w:rFonts w:hint="eastAsia" w:ascii="宋体" w:hAnsi="宋体" w:eastAsia="宋体" w:cs="宋体"/>
                <w:color w:val="auto"/>
                <w:kern w:val="0"/>
                <w:sz w:val="22"/>
              </w:rPr>
              <w:t>民用无人驾驶航空器系统安全要求(GB 42590-2023)，民用轻小型无人机系统电磁兼容性要求与试验方法(GB/T 38909-2020)，无人机系统通用要求(GJB 5433-2005)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80" w:type="dxa"/>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6</w:t>
            </w:r>
          </w:p>
        </w:tc>
        <w:tc>
          <w:tcPr>
            <w:tcW w:w="4277" w:type="dxa"/>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中汽研汽车检验中心（广州）有限公司</w:t>
            </w:r>
          </w:p>
        </w:tc>
        <w:tc>
          <w:tcPr>
            <w:tcW w:w="1417" w:type="dxa"/>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广东 广州</w:t>
            </w:r>
          </w:p>
        </w:tc>
        <w:tc>
          <w:tcPr>
            <w:tcW w:w="7655" w:type="dxa"/>
            <w:noWrap/>
            <w:vAlign w:val="center"/>
          </w:tcPr>
          <w:p>
            <w:pPr>
              <w:widowControl/>
              <w:jc w:val="left"/>
              <w:rPr>
                <w:rFonts w:hint="eastAsia" w:ascii="宋体" w:hAnsi="宋体" w:eastAsia="宋体" w:cs="宋体"/>
                <w:color w:val="auto"/>
                <w:kern w:val="0"/>
                <w:sz w:val="22"/>
              </w:rPr>
            </w:pPr>
            <w:r>
              <w:rPr>
                <w:rFonts w:hint="eastAsia" w:ascii="宋体" w:hAnsi="宋体" w:eastAsia="宋体" w:cs="宋体"/>
                <w:color w:val="auto"/>
                <w:kern w:val="0"/>
                <w:sz w:val="22"/>
              </w:rPr>
              <w:t>民用轻小型无人机系统环境试验方法(GB/T 38924-2020)，民用多旋翼无人机系统试验方法(GB/T 38058-2019)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80" w:type="dxa"/>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7</w:t>
            </w:r>
          </w:p>
        </w:tc>
        <w:tc>
          <w:tcPr>
            <w:tcW w:w="4277" w:type="dxa"/>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中国电子产品可靠性与环境试验研究所(（工业和信息化部电子第五研究所）（中国赛宝实验室）)</w:t>
            </w:r>
          </w:p>
        </w:tc>
        <w:tc>
          <w:tcPr>
            <w:tcW w:w="1417" w:type="dxa"/>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广东 广州</w:t>
            </w:r>
          </w:p>
        </w:tc>
        <w:tc>
          <w:tcPr>
            <w:tcW w:w="7655" w:type="dxa"/>
            <w:noWrap/>
            <w:vAlign w:val="center"/>
          </w:tcPr>
          <w:p>
            <w:pPr>
              <w:widowControl/>
              <w:jc w:val="left"/>
              <w:rPr>
                <w:rFonts w:hint="eastAsia" w:ascii="宋体" w:hAnsi="宋体" w:eastAsia="宋体" w:cs="宋体"/>
                <w:color w:val="auto"/>
                <w:kern w:val="0"/>
                <w:sz w:val="22"/>
              </w:rPr>
            </w:pPr>
            <w:r>
              <w:rPr>
                <w:rFonts w:hint="eastAsia" w:ascii="宋体" w:hAnsi="宋体" w:eastAsia="宋体" w:cs="宋体"/>
                <w:color w:val="auto"/>
                <w:kern w:val="0"/>
                <w:sz w:val="22"/>
              </w:rPr>
              <w:t>民用无人驾驶航空器系统安全要求(GB 42590-2023)，民用轻小型无人机系统环境试验方法(GB/T 38924-2020)，民用多旋翼无人机系统试验方法(GB/T 38058-2019)，警用无人驾驶航空器系统(GA/T 1411-2017)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80" w:type="dxa"/>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8</w:t>
            </w:r>
          </w:p>
        </w:tc>
        <w:tc>
          <w:tcPr>
            <w:tcW w:w="4277" w:type="dxa"/>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威凯检测技术有限公司</w:t>
            </w:r>
          </w:p>
        </w:tc>
        <w:tc>
          <w:tcPr>
            <w:tcW w:w="1417" w:type="dxa"/>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广东 广州</w:t>
            </w:r>
          </w:p>
        </w:tc>
        <w:tc>
          <w:tcPr>
            <w:tcW w:w="7655" w:type="dxa"/>
            <w:noWrap/>
            <w:vAlign w:val="center"/>
          </w:tcPr>
          <w:p>
            <w:pPr>
              <w:widowControl/>
              <w:jc w:val="left"/>
              <w:rPr>
                <w:rFonts w:hint="eastAsia" w:ascii="宋体" w:hAnsi="宋体" w:eastAsia="宋体" w:cs="宋体"/>
                <w:color w:val="auto"/>
                <w:kern w:val="0"/>
                <w:sz w:val="22"/>
              </w:rPr>
            </w:pPr>
            <w:r>
              <w:rPr>
                <w:rFonts w:hint="eastAsia" w:ascii="宋体" w:hAnsi="宋体" w:eastAsia="宋体" w:cs="宋体"/>
                <w:color w:val="auto"/>
                <w:kern w:val="0"/>
                <w:sz w:val="22"/>
              </w:rPr>
              <w:t>民用轻小型无人机系统环境试验方法(GB/T 38924-2020)，民用多旋翼无人机系统试验方法(GB/T 38058-2019)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80" w:type="dxa"/>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9</w:t>
            </w:r>
          </w:p>
        </w:tc>
        <w:tc>
          <w:tcPr>
            <w:tcW w:w="4277" w:type="dxa"/>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威凯（深圳）检测技术有限公司</w:t>
            </w:r>
          </w:p>
        </w:tc>
        <w:tc>
          <w:tcPr>
            <w:tcW w:w="1417" w:type="dxa"/>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广东 深圳</w:t>
            </w:r>
          </w:p>
        </w:tc>
        <w:tc>
          <w:tcPr>
            <w:tcW w:w="7655" w:type="dxa"/>
            <w:noWrap/>
            <w:vAlign w:val="center"/>
          </w:tcPr>
          <w:p>
            <w:pPr>
              <w:widowControl/>
              <w:jc w:val="left"/>
              <w:rPr>
                <w:rFonts w:hint="eastAsia" w:ascii="宋体" w:hAnsi="宋体" w:eastAsia="宋体" w:cs="宋体"/>
                <w:color w:val="auto"/>
                <w:kern w:val="0"/>
                <w:sz w:val="22"/>
              </w:rPr>
            </w:pPr>
            <w:r>
              <w:rPr>
                <w:rFonts w:hint="eastAsia" w:ascii="宋体" w:hAnsi="宋体" w:eastAsia="宋体" w:cs="宋体"/>
                <w:color w:val="auto"/>
                <w:kern w:val="0"/>
                <w:sz w:val="22"/>
              </w:rPr>
              <w:t>民用无人驾驶航空器系统安全要求(GB 42590-2023)，民用轻小型无人机系统电磁兼容性要求与试验方法(GB/T 38909-2020)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80" w:type="dxa"/>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10</w:t>
            </w:r>
          </w:p>
        </w:tc>
        <w:tc>
          <w:tcPr>
            <w:tcW w:w="4277" w:type="dxa"/>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重庆信息通信研究院</w:t>
            </w:r>
          </w:p>
        </w:tc>
        <w:tc>
          <w:tcPr>
            <w:tcW w:w="1417" w:type="dxa"/>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重庆</w:t>
            </w:r>
          </w:p>
        </w:tc>
        <w:tc>
          <w:tcPr>
            <w:tcW w:w="7655" w:type="dxa"/>
            <w:noWrap/>
            <w:vAlign w:val="center"/>
          </w:tcPr>
          <w:p>
            <w:pPr>
              <w:widowControl/>
              <w:jc w:val="left"/>
              <w:rPr>
                <w:rFonts w:hint="eastAsia" w:ascii="宋体" w:hAnsi="宋体" w:eastAsia="宋体" w:cs="宋体"/>
                <w:color w:val="auto"/>
                <w:kern w:val="0"/>
                <w:sz w:val="22"/>
              </w:rPr>
            </w:pPr>
            <w:r>
              <w:rPr>
                <w:rFonts w:hint="eastAsia" w:ascii="宋体" w:hAnsi="宋体" w:eastAsia="宋体" w:cs="宋体"/>
                <w:color w:val="auto"/>
                <w:kern w:val="0"/>
                <w:sz w:val="22"/>
              </w:rPr>
              <w:t>民用轻小型无人机系统电磁兼容性要求与试验方法(GB/T 38909-2020)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80" w:type="dxa"/>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11</w:t>
            </w:r>
          </w:p>
        </w:tc>
        <w:tc>
          <w:tcPr>
            <w:tcW w:w="4277" w:type="dxa"/>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重庆凯瑞机器人技术有限公司</w:t>
            </w:r>
          </w:p>
        </w:tc>
        <w:tc>
          <w:tcPr>
            <w:tcW w:w="1417" w:type="dxa"/>
            <w:noWrap/>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重庆</w:t>
            </w:r>
          </w:p>
        </w:tc>
        <w:tc>
          <w:tcPr>
            <w:tcW w:w="7655" w:type="dxa"/>
            <w:noWrap/>
            <w:vAlign w:val="center"/>
          </w:tcPr>
          <w:p>
            <w:pPr>
              <w:widowControl/>
              <w:jc w:val="left"/>
              <w:rPr>
                <w:rFonts w:hint="eastAsia" w:ascii="宋体" w:hAnsi="宋体" w:eastAsia="宋体" w:cs="宋体"/>
                <w:color w:val="auto"/>
                <w:kern w:val="0"/>
                <w:sz w:val="22"/>
              </w:rPr>
            </w:pPr>
            <w:r>
              <w:rPr>
                <w:rFonts w:hint="eastAsia" w:ascii="宋体" w:hAnsi="宋体" w:eastAsia="宋体" w:cs="宋体"/>
                <w:color w:val="auto"/>
                <w:kern w:val="0"/>
                <w:sz w:val="22"/>
              </w:rPr>
              <w:t>民用无人驾驶航空器系统安全要求(GB 42590-2023)，民用轻小型无人机系统环境试验方法(GB/T 38924-2020)，民用轻小型无人机系统抗风性要求及试验方法(GB/T 38930-2020)，民用轻小型无人机系统电磁兼容性要求与试验方法(GB/T 38909-2020)，民用轻小型无人机系统安全性通用要求(GB/T 38931-2020)，民用多旋翼无人机系统试验方法(GB/T 38058-2019)，警用无人驾驶航空器系统(GA/T 1411-2017)，植保无人飞机 质量评价技术规范(NY/T 3213-2018)，架空电力线路多旋翼无人机巡检系统(DL/T 1578-2021)，民用无人机唯一产品识别码(GB/T 41300-2022)</w:t>
            </w:r>
          </w:p>
        </w:tc>
      </w:tr>
    </w:tbl>
    <w:p>
      <w:pPr>
        <w:spacing w:before="312" w:beforeLines="100" w:after="156" w:afterLines="50"/>
        <w:jc w:val="center"/>
        <w:outlineLvl w:val="2"/>
        <w:rPr>
          <w:rFonts w:hint="eastAsia" w:ascii="黑体" w:hAnsi="黑体" w:eastAsia="黑体"/>
          <w:color w:val="auto"/>
          <w:sz w:val="24"/>
        </w:rPr>
      </w:pPr>
      <w:bookmarkStart w:id="314" w:name="_Toc220270509"/>
      <w:bookmarkStart w:id="315" w:name="_Toc192950363"/>
      <w:bookmarkStart w:id="316" w:name="_Toc19097"/>
      <w:bookmarkStart w:id="317" w:name="_Toc191998659"/>
      <w:bookmarkStart w:id="318" w:name="_Toc192950423"/>
      <w:bookmarkStart w:id="319" w:name="_Toc196760070"/>
      <w:r>
        <w:rPr>
          <w:rFonts w:hint="eastAsia" w:ascii="黑体" w:hAnsi="黑体" w:eastAsia="黑体"/>
          <w:color w:val="auto"/>
          <w:sz w:val="24"/>
        </w:rPr>
        <w:t>表4</w:t>
      </w:r>
      <w:r>
        <w:rPr>
          <w:rFonts w:ascii="黑体" w:hAnsi="黑体" w:eastAsia="黑体"/>
          <w:color w:val="auto"/>
          <w:sz w:val="24"/>
        </w:rPr>
        <w:t>-</w:t>
      </w:r>
      <w:r>
        <w:rPr>
          <w:rFonts w:hint="eastAsia" w:ascii="黑体" w:hAnsi="黑体" w:eastAsia="黑体"/>
          <w:color w:val="auto"/>
          <w:sz w:val="24"/>
        </w:rPr>
        <w:t>3</w:t>
      </w:r>
      <w:r>
        <w:rPr>
          <w:rFonts w:ascii="黑体" w:hAnsi="黑体" w:eastAsia="黑体"/>
          <w:color w:val="auto"/>
          <w:sz w:val="24"/>
        </w:rPr>
        <w:t xml:space="preserve">  </w:t>
      </w:r>
      <w:r>
        <w:rPr>
          <w:rFonts w:hint="eastAsia" w:ascii="黑体" w:hAnsi="黑体" w:eastAsia="黑体"/>
          <w:color w:val="auto"/>
          <w:sz w:val="24"/>
        </w:rPr>
        <w:t>金融租赁业主要企业</w:t>
      </w:r>
      <w:bookmarkEnd w:id="314"/>
      <w:bookmarkEnd w:id="315"/>
      <w:bookmarkEnd w:id="316"/>
      <w:bookmarkEnd w:id="317"/>
      <w:bookmarkEnd w:id="318"/>
      <w:bookmarkEnd w:id="319"/>
    </w:p>
    <w:tbl>
      <w:tblPr>
        <w:tblStyle w:val="24"/>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9"/>
        <w:gridCol w:w="1305"/>
        <w:gridCol w:w="2522"/>
        <w:gridCol w:w="1418"/>
        <w:gridCol w:w="80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709" w:type="dxa"/>
            <w:noWrap/>
            <w:vAlign w:val="center"/>
          </w:tcPr>
          <w:p>
            <w:pPr>
              <w:pStyle w:val="9"/>
              <w:jc w:val="center"/>
              <w:rPr>
                <w:rFonts w:hint="eastAsia" w:ascii="黑体" w:hAnsi="黑体" w:eastAsia="黑体"/>
                <w:color w:val="auto"/>
                <w:sz w:val="22"/>
                <w:lang w:val="en-US"/>
              </w:rPr>
            </w:pPr>
            <w:r>
              <w:rPr>
                <w:rFonts w:hint="eastAsia" w:ascii="黑体" w:hAnsi="黑体" w:eastAsia="黑体"/>
                <w:color w:val="auto"/>
                <w:sz w:val="22"/>
                <w:lang w:val="en-US"/>
              </w:rPr>
              <w:t>序号</w:t>
            </w:r>
          </w:p>
        </w:tc>
        <w:tc>
          <w:tcPr>
            <w:tcW w:w="1305" w:type="dxa"/>
            <w:vAlign w:val="center"/>
          </w:tcPr>
          <w:p>
            <w:pPr>
              <w:pStyle w:val="9"/>
              <w:jc w:val="center"/>
              <w:rPr>
                <w:rFonts w:hint="eastAsia" w:ascii="黑体" w:hAnsi="黑体" w:eastAsia="黑体"/>
                <w:color w:val="auto"/>
                <w:sz w:val="22"/>
                <w:lang w:val="en-US"/>
              </w:rPr>
            </w:pPr>
            <w:r>
              <w:rPr>
                <w:rFonts w:hint="eastAsia" w:ascii="黑体" w:hAnsi="黑体" w:eastAsia="黑体"/>
                <w:color w:val="auto"/>
                <w:sz w:val="22"/>
                <w:lang w:val="en-US"/>
              </w:rPr>
              <w:t>主要领域</w:t>
            </w:r>
          </w:p>
        </w:tc>
        <w:tc>
          <w:tcPr>
            <w:tcW w:w="2522" w:type="dxa"/>
            <w:noWrap/>
            <w:vAlign w:val="center"/>
          </w:tcPr>
          <w:p>
            <w:pPr>
              <w:pStyle w:val="9"/>
              <w:jc w:val="center"/>
              <w:rPr>
                <w:rFonts w:hint="eastAsia" w:ascii="黑体" w:hAnsi="黑体" w:eastAsia="黑体"/>
                <w:color w:val="auto"/>
                <w:sz w:val="22"/>
                <w:lang w:val="en-US"/>
              </w:rPr>
            </w:pPr>
            <w:r>
              <w:rPr>
                <w:rFonts w:hint="eastAsia" w:ascii="黑体" w:hAnsi="黑体" w:eastAsia="黑体"/>
                <w:color w:val="auto"/>
                <w:sz w:val="22"/>
                <w:lang w:val="en-US"/>
              </w:rPr>
              <w:t>企业名称</w:t>
            </w:r>
          </w:p>
        </w:tc>
        <w:tc>
          <w:tcPr>
            <w:tcW w:w="1418" w:type="dxa"/>
            <w:noWrap/>
            <w:vAlign w:val="center"/>
          </w:tcPr>
          <w:p>
            <w:pPr>
              <w:pStyle w:val="9"/>
              <w:jc w:val="center"/>
              <w:rPr>
                <w:rFonts w:hint="eastAsia" w:ascii="黑体" w:hAnsi="黑体" w:eastAsia="黑体"/>
                <w:color w:val="auto"/>
                <w:sz w:val="22"/>
                <w:lang w:val="en-US"/>
              </w:rPr>
            </w:pPr>
            <w:r>
              <w:rPr>
                <w:rFonts w:hint="eastAsia" w:ascii="黑体" w:hAnsi="黑体" w:eastAsia="黑体"/>
                <w:color w:val="auto"/>
                <w:sz w:val="22"/>
                <w:lang w:val="en-US"/>
              </w:rPr>
              <w:t>总部所在地</w:t>
            </w:r>
          </w:p>
        </w:tc>
        <w:tc>
          <w:tcPr>
            <w:tcW w:w="8043" w:type="dxa"/>
            <w:noWrap/>
            <w:vAlign w:val="center"/>
          </w:tcPr>
          <w:p>
            <w:pPr>
              <w:pStyle w:val="9"/>
              <w:jc w:val="center"/>
              <w:rPr>
                <w:rFonts w:hint="eastAsia" w:ascii="黑体" w:hAnsi="黑体" w:eastAsia="黑体"/>
                <w:color w:val="auto"/>
                <w:sz w:val="22"/>
                <w:lang w:val="en-US"/>
              </w:rPr>
            </w:pPr>
            <w:r>
              <w:rPr>
                <w:rFonts w:hint="eastAsia" w:ascii="黑体" w:hAnsi="黑体" w:eastAsia="黑体"/>
                <w:color w:val="auto"/>
                <w:sz w:val="22"/>
                <w:lang w:val="en-US"/>
              </w:rPr>
              <w:t>企业简介/主营方向/产品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noWrap/>
            <w:vAlign w:val="center"/>
          </w:tcPr>
          <w:p>
            <w:pPr>
              <w:pStyle w:val="9"/>
              <w:jc w:val="center"/>
              <w:rPr>
                <w:rFonts w:hint="eastAsia" w:ascii="宋体" w:hAnsi="宋体" w:eastAsia="宋体"/>
                <w:color w:val="auto"/>
                <w:sz w:val="22"/>
                <w:lang w:val="en-US"/>
              </w:rPr>
            </w:pPr>
            <w:r>
              <w:rPr>
                <w:rFonts w:hint="eastAsia" w:ascii="宋体" w:hAnsi="宋体" w:eastAsia="宋体"/>
                <w:color w:val="auto"/>
                <w:sz w:val="22"/>
                <w:lang w:val="en-US"/>
              </w:rPr>
              <w:t>1</w:t>
            </w:r>
          </w:p>
        </w:tc>
        <w:tc>
          <w:tcPr>
            <w:tcW w:w="1305" w:type="dxa"/>
            <w:vAlign w:val="center"/>
          </w:tcPr>
          <w:p>
            <w:pPr>
              <w:pStyle w:val="9"/>
              <w:jc w:val="center"/>
              <w:rPr>
                <w:rFonts w:hint="eastAsia" w:ascii="宋体" w:hAnsi="宋体" w:eastAsia="宋体"/>
                <w:color w:val="auto"/>
                <w:sz w:val="22"/>
                <w:lang w:val="en-US"/>
              </w:rPr>
            </w:pPr>
            <w:r>
              <w:rPr>
                <w:rFonts w:hint="eastAsia" w:ascii="宋体" w:hAnsi="宋体" w:eastAsia="宋体"/>
                <w:color w:val="auto"/>
                <w:sz w:val="22"/>
                <w:lang w:val="en-US"/>
              </w:rPr>
              <w:t>租赁服务</w:t>
            </w:r>
          </w:p>
        </w:tc>
        <w:tc>
          <w:tcPr>
            <w:tcW w:w="2522" w:type="dxa"/>
            <w:noWrap/>
            <w:vAlign w:val="center"/>
          </w:tcPr>
          <w:p>
            <w:pPr>
              <w:pStyle w:val="9"/>
              <w:jc w:val="center"/>
              <w:rPr>
                <w:rFonts w:hint="eastAsia" w:ascii="宋体" w:hAnsi="宋体" w:eastAsia="宋体"/>
                <w:color w:val="auto"/>
                <w:sz w:val="22"/>
                <w:lang w:val="en-US"/>
              </w:rPr>
            </w:pPr>
            <w:r>
              <w:rPr>
                <w:rFonts w:hint="eastAsia" w:ascii="宋体" w:hAnsi="宋体" w:eastAsia="宋体"/>
                <w:color w:val="auto"/>
                <w:sz w:val="22"/>
                <w:lang w:val="en-US"/>
              </w:rPr>
              <w:t>杭州早稻科技有限公司</w:t>
            </w:r>
          </w:p>
        </w:tc>
        <w:tc>
          <w:tcPr>
            <w:tcW w:w="1418" w:type="dxa"/>
            <w:noWrap/>
            <w:vAlign w:val="center"/>
          </w:tcPr>
          <w:p>
            <w:pPr>
              <w:pStyle w:val="9"/>
              <w:jc w:val="center"/>
              <w:rPr>
                <w:rFonts w:hint="eastAsia" w:ascii="宋体" w:hAnsi="宋体" w:eastAsia="宋体"/>
                <w:color w:val="auto"/>
                <w:sz w:val="22"/>
                <w:lang w:val="en-US"/>
              </w:rPr>
            </w:pPr>
            <w:r>
              <w:rPr>
                <w:rFonts w:hint="eastAsia" w:ascii="宋体" w:hAnsi="宋体" w:eastAsia="宋体"/>
                <w:color w:val="auto"/>
                <w:sz w:val="22"/>
                <w:lang w:val="en-US"/>
              </w:rPr>
              <w:t>浙江杭州</w:t>
            </w:r>
          </w:p>
        </w:tc>
        <w:tc>
          <w:tcPr>
            <w:tcW w:w="8043" w:type="dxa"/>
            <w:noWrap/>
            <w:vAlign w:val="center"/>
          </w:tcPr>
          <w:p>
            <w:pPr>
              <w:pStyle w:val="9"/>
              <w:rPr>
                <w:rFonts w:hint="eastAsia" w:ascii="宋体" w:hAnsi="宋体" w:eastAsia="宋体"/>
                <w:color w:val="auto"/>
                <w:sz w:val="22"/>
                <w:lang w:val="en-US"/>
              </w:rPr>
            </w:pPr>
            <w:r>
              <w:rPr>
                <w:rFonts w:hint="eastAsia" w:ascii="宋体" w:hAnsi="宋体" w:eastAsia="宋体"/>
                <w:color w:val="auto"/>
                <w:sz w:val="22"/>
                <w:lang w:val="en-US"/>
              </w:rPr>
              <w:t>杭州早稻科技有限公司旗下品牌,是国内首家实现“租赁-维修-回收”全闭环的免押金智能终端租赁平台,也是行业内融资最快,金额最高的信用租赁平台,处于行业领先地位。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noWrap/>
            <w:vAlign w:val="center"/>
          </w:tcPr>
          <w:p>
            <w:pPr>
              <w:pStyle w:val="9"/>
              <w:jc w:val="center"/>
              <w:rPr>
                <w:rFonts w:hint="eastAsia" w:ascii="宋体" w:hAnsi="宋体" w:eastAsia="宋体"/>
                <w:color w:val="auto"/>
                <w:sz w:val="22"/>
                <w:lang w:val="en-US"/>
              </w:rPr>
            </w:pPr>
            <w:r>
              <w:rPr>
                <w:rFonts w:hint="eastAsia" w:ascii="宋体" w:hAnsi="宋体" w:eastAsia="宋体"/>
                <w:color w:val="auto"/>
                <w:sz w:val="22"/>
                <w:lang w:val="en-US"/>
              </w:rPr>
              <w:t>2</w:t>
            </w:r>
          </w:p>
        </w:tc>
        <w:tc>
          <w:tcPr>
            <w:tcW w:w="1305" w:type="dxa"/>
            <w:vAlign w:val="center"/>
          </w:tcPr>
          <w:p>
            <w:pPr>
              <w:pStyle w:val="9"/>
              <w:jc w:val="center"/>
              <w:rPr>
                <w:rFonts w:hint="eastAsia" w:ascii="宋体" w:hAnsi="宋体" w:eastAsia="宋体"/>
                <w:color w:val="auto"/>
                <w:sz w:val="22"/>
                <w:lang w:val="en-US"/>
              </w:rPr>
            </w:pPr>
            <w:r>
              <w:rPr>
                <w:rFonts w:hint="eastAsia" w:ascii="宋体" w:hAnsi="宋体" w:eastAsia="宋体"/>
                <w:color w:val="auto"/>
                <w:sz w:val="22"/>
                <w:lang w:val="en-US"/>
              </w:rPr>
              <w:t>租赁服务</w:t>
            </w:r>
          </w:p>
        </w:tc>
        <w:tc>
          <w:tcPr>
            <w:tcW w:w="2522" w:type="dxa"/>
            <w:noWrap/>
            <w:vAlign w:val="center"/>
          </w:tcPr>
          <w:p>
            <w:pPr>
              <w:pStyle w:val="9"/>
              <w:jc w:val="center"/>
              <w:rPr>
                <w:rFonts w:hint="eastAsia" w:ascii="宋体" w:hAnsi="宋体" w:eastAsia="宋体"/>
                <w:color w:val="auto"/>
                <w:sz w:val="22"/>
                <w:lang w:val="en-US"/>
              </w:rPr>
            </w:pPr>
            <w:r>
              <w:rPr>
                <w:rFonts w:hint="eastAsia" w:ascii="宋体" w:hAnsi="宋体" w:eastAsia="宋体"/>
                <w:color w:val="auto"/>
                <w:sz w:val="22"/>
                <w:lang w:val="en-US"/>
              </w:rPr>
              <w:t>中航国际融资租赁有限公司</w:t>
            </w:r>
          </w:p>
        </w:tc>
        <w:tc>
          <w:tcPr>
            <w:tcW w:w="1418" w:type="dxa"/>
            <w:noWrap/>
            <w:vAlign w:val="center"/>
          </w:tcPr>
          <w:p>
            <w:pPr>
              <w:pStyle w:val="9"/>
              <w:jc w:val="center"/>
              <w:rPr>
                <w:rFonts w:hint="eastAsia" w:ascii="宋体" w:hAnsi="宋体" w:eastAsia="宋体"/>
                <w:color w:val="auto"/>
                <w:sz w:val="22"/>
                <w:lang w:val="en-US"/>
              </w:rPr>
            </w:pPr>
            <w:r>
              <w:rPr>
                <w:rFonts w:hint="eastAsia" w:ascii="宋体" w:hAnsi="宋体" w:eastAsia="宋体"/>
                <w:color w:val="auto"/>
                <w:sz w:val="22"/>
                <w:lang w:val="en-US"/>
              </w:rPr>
              <w:t>上海</w:t>
            </w:r>
          </w:p>
        </w:tc>
        <w:tc>
          <w:tcPr>
            <w:tcW w:w="8043" w:type="dxa"/>
            <w:noWrap/>
            <w:vAlign w:val="center"/>
          </w:tcPr>
          <w:p>
            <w:pPr>
              <w:pStyle w:val="9"/>
              <w:rPr>
                <w:rFonts w:hint="eastAsia" w:ascii="宋体" w:hAnsi="宋体" w:eastAsia="宋体"/>
                <w:color w:val="auto"/>
                <w:sz w:val="22"/>
                <w:lang w:val="en-US"/>
              </w:rPr>
            </w:pPr>
            <w:r>
              <w:rPr>
                <w:rFonts w:hint="eastAsia" w:ascii="宋体" w:hAnsi="宋体" w:eastAsia="宋体"/>
                <w:color w:val="auto"/>
                <w:sz w:val="22"/>
                <w:lang w:val="en-US"/>
              </w:rPr>
              <w:t>商务部和国家税务总局批准成立的国内首批融资租赁试点企业之一。1993年在上海浦东新区注册成立，目前经营地在上海，并在北京、爱尔兰等地设立业务网点和办事处，现有客户遍布全国30多个省市。公司隶属于中国航空工业集团有限公司，控股方中航工业产融控股股份有限公司是国内资本市场首家直接上市的金融控股上市公司。公司以“为民机产业提供金融支持、为非航空民品提供技术改造和产品促销的融资服务、开拓市场化业务、提高市场竞争力”为已任，成为国内融资租赁行业中不可忽视的力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noWrap/>
            <w:vAlign w:val="center"/>
          </w:tcPr>
          <w:p>
            <w:pPr>
              <w:pStyle w:val="9"/>
              <w:jc w:val="center"/>
              <w:rPr>
                <w:rFonts w:hint="eastAsia" w:ascii="宋体" w:hAnsi="宋体" w:eastAsia="宋体"/>
                <w:color w:val="auto"/>
                <w:sz w:val="22"/>
                <w:lang w:val="en-US"/>
              </w:rPr>
            </w:pPr>
            <w:r>
              <w:rPr>
                <w:rFonts w:hint="eastAsia" w:ascii="宋体" w:hAnsi="宋体" w:eastAsia="宋体"/>
                <w:color w:val="auto"/>
                <w:sz w:val="22"/>
              </w:rPr>
              <w:t>3</w:t>
            </w:r>
          </w:p>
        </w:tc>
        <w:tc>
          <w:tcPr>
            <w:tcW w:w="1305" w:type="dxa"/>
            <w:vAlign w:val="center"/>
          </w:tcPr>
          <w:p>
            <w:pPr>
              <w:pStyle w:val="9"/>
              <w:jc w:val="center"/>
              <w:rPr>
                <w:rFonts w:hint="eastAsia" w:ascii="宋体" w:hAnsi="宋体" w:eastAsia="宋体"/>
                <w:color w:val="auto"/>
                <w:sz w:val="22"/>
                <w:lang w:val="en-US"/>
              </w:rPr>
            </w:pPr>
            <w:r>
              <w:rPr>
                <w:rFonts w:hint="eastAsia" w:ascii="宋体" w:hAnsi="宋体" w:eastAsia="宋体" w:cs="宋体"/>
                <w:color w:val="auto"/>
                <w:kern w:val="0"/>
                <w:sz w:val="22"/>
              </w:rPr>
              <w:t>租赁服务</w:t>
            </w:r>
          </w:p>
        </w:tc>
        <w:tc>
          <w:tcPr>
            <w:tcW w:w="2522" w:type="dxa"/>
            <w:noWrap/>
            <w:vAlign w:val="center"/>
          </w:tcPr>
          <w:p>
            <w:pPr>
              <w:pStyle w:val="9"/>
              <w:jc w:val="center"/>
              <w:rPr>
                <w:rFonts w:hint="eastAsia" w:ascii="宋体" w:hAnsi="宋体" w:eastAsia="宋体"/>
                <w:color w:val="auto"/>
                <w:sz w:val="22"/>
                <w:lang w:val="en-US"/>
              </w:rPr>
            </w:pPr>
            <w:r>
              <w:rPr>
                <w:rFonts w:hint="eastAsia" w:ascii="宋体" w:hAnsi="宋体" w:eastAsia="宋体" w:cs="宋体"/>
                <w:color w:val="auto"/>
                <w:kern w:val="0"/>
                <w:sz w:val="22"/>
              </w:rPr>
              <w:t>浙江星空翔业通用航空服务有限公司</w:t>
            </w:r>
          </w:p>
        </w:tc>
        <w:tc>
          <w:tcPr>
            <w:tcW w:w="1418" w:type="dxa"/>
            <w:noWrap/>
            <w:vAlign w:val="center"/>
          </w:tcPr>
          <w:p>
            <w:pPr>
              <w:pStyle w:val="9"/>
              <w:jc w:val="center"/>
              <w:rPr>
                <w:rFonts w:hint="eastAsia" w:ascii="宋体" w:hAnsi="宋体" w:eastAsia="宋体"/>
                <w:color w:val="auto"/>
                <w:sz w:val="22"/>
                <w:lang w:val="en-US"/>
              </w:rPr>
            </w:pPr>
            <w:r>
              <w:rPr>
                <w:rFonts w:hint="eastAsia" w:ascii="宋体" w:hAnsi="宋体" w:eastAsia="宋体" w:cs="宋体"/>
                <w:color w:val="auto"/>
                <w:kern w:val="0"/>
                <w:sz w:val="22"/>
              </w:rPr>
              <w:t>浙江德清</w:t>
            </w:r>
          </w:p>
        </w:tc>
        <w:tc>
          <w:tcPr>
            <w:tcW w:w="8043" w:type="dxa"/>
            <w:noWrap/>
            <w:vAlign w:val="center"/>
          </w:tcPr>
          <w:p>
            <w:pPr>
              <w:pStyle w:val="9"/>
              <w:rPr>
                <w:rFonts w:hint="eastAsia" w:ascii="宋体" w:hAnsi="宋体" w:eastAsia="宋体"/>
                <w:color w:val="auto"/>
                <w:sz w:val="22"/>
                <w:lang w:val="en-US"/>
              </w:rPr>
            </w:pPr>
            <w:r>
              <w:rPr>
                <w:rFonts w:hint="eastAsia" w:ascii="宋体" w:hAnsi="宋体" w:eastAsia="宋体" w:cs="宋体"/>
                <w:color w:val="auto"/>
                <w:kern w:val="0"/>
                <w:sz w:val="22"/>
              </w:rPr>
              <w:t>提供飞行体验、私照培训、飞机租赁、飞机产权共享、飞机销售及托管等在内的一体化服务，并通过定期举办形式各样、内容丰富的主题活动，倾力打造私人飞行圈层的高端社交平台。</w:t>
            </w:r>
          </w:p>
        </w:tc>
      </w:tr>
    </w:tbl>
    <w:p>
      <w:pPr>
        <w:spacing w:before="312" w:beforeLines="100" w:after="156" w:afterLines="50"/>
        <w:jc w:val="center"/>
        <w:outlineLvl w:val="2"/>
        <w:rPr>
          <w:rFonts w:hint="eastAsia" w:ascii="黑体" w:hAnsi="黑体" w:eastAsia="黑体"/>
          <w:color w:val="auto"/>
          <w:sz w:val="24"/>
        </w:rPr>
      </w:pPr>
      <w:bookmarkStart w:id="320" w:name="_Toc192950424"/>
      <w:bookmarkStart w:id="321" w:name="_Toc192950364"/>
      <w:bookmarkStart w:id="322" w:name="_Toc220270510"/>
      <w:bookmarkStart w:id="323" w:name="_Toc196760071"/>
      <w:bookmarkStart w:id="324" w:name="_Toc191998660"/>
      <w:bookmarkStart w:id="325" w:name="_Toc8647"/>
      <w:r>
        <w:rPr>
          <w:rFonts w:hint="eastAsia" w:ascii="黑体" w:hAnsi="黑体" w:eastAsia="黑体"/>
          <w:color w:val="auto"/>
          <w:sz w:val="24"/>
        </w:rPr>
        <w:t>表4</w:t>
      </w:r>
      <w:r>
        <w:rPr>
          <w:rFonts w:ascii="黑体" w:hAnsi="黑体" w:eastAsia="黑体"/>
          <w:color w:val="auto"/>
          <w:sz w:val="24"/>
        </w:rPr>
        <w:t>-</w:t>
      </w:r>
      <w:r>
        <w:rPr>
          <w:rFonts w:hint="eastAsia" w:ascii="黑体" w:hAnsi="黑体" w:eastAsia="黑体"/>
          <w:color w:val="auto"/>
          <w:sz w:val="24"/>
        </w:rPr>
        <w:t xml:space="preserve">4 </w:t>
      </w:r>
      <w:r>
        <w:rPr>
          <w:rFonts w:ascii="黑体" w:hAnsi="黑体" w:eastAsia="黑体"/>
          <w:color w:val="auto"/>
          <w:sz w:val="24"/>
        </w:rPr>
        <w:t xml:space="preserve"> </w:t>
      </w:r>
      <w:r>
        <w:rPr>
          <w:rFonts w:hint="eastAsia" w:ascii="黑体" w:hAnsi="黑体" w:eastAsia="黑体"/>
          <w:color w:val="auto"/>
          <w:sz w:val="24"/>
        </w:rPr>
        <w:t>保险业主要企业</w:t>
      </w:r>
      <w:bookmarkEnd w:id="320"/>
      <w:bookmarkEnd w:id="321"/>
      <w:bookmarkEnd w:id="322"/>
      <w:bookmarkEnd w:id="323"/>
      <w:bookmarkEnd w:id="324"/>
      <w:bookmarkEnd w:id="325"/>
    </w:p>
    <w:tbl>
      <w:tblPr>
        <w:tblStyle w:val="24"/>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9"/>
        <w:gridCol w:w="1305"/>
        <w:gridCol w:w="2522"/>
        <w:gridCol w:w="1418"/>
        <w:gridCol w:w="80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709" w:type="dxa"/>
            <w:noWrap/>
            <w:vAlign w:val="center"/>
          </w:tcPr>
          <w:p>
            <w:pPr>
              <w:pStyle w:val="9"/>
              <w:jc w:val="center"/>
              <w:rPr>
                <w:rFonts w:hint="eastAsia" w:ascii="黑体" w:hAnsi="黑体" w:eastAsia="黑体"/>
                <w:color w:val="auto"/>
                <w:sz w:val="22"/>
                <w:lang w:val="en-US"/>
              </w:rPr>
            </w:pPr>
            <w:r>
              <w:rPr>
                <w:rFonts w:hint="eastAsia" w:ascii="黑体" w:hAnsi="黑体" w:eastAsia="黑体"/>
                <w:color w:val="auto"/>
                <w:sz w:val="22"/>
                <w:lang w:val="en-US"/>
              </w:rPr>
              <w:t>序号</w:t>
            </w:r>
          </w:p>
        </w:tc>
        <w:tc>
          <w:tcPr>
            <w:tcW w:w="1305" w:type="dxa"/>
            <w:vAlign w:val="center"/>
          </w:tcPr>
          <w:p>
            <w:pPr>
              <w:pStyle w:val="9"/>
              <w:jc w:val="center"/>
              <w:rPr>
                <w:rFonts w:hint="eastAsia" w:ascii="黑体" w:hAnsi="黑体" w:eastAsia="黑体"/>
                <w:color w:val="auto"/>
                <w:sz w:val="22"/>
                <w:lang w:val="en-US"/>
              </w:rPr>
            </w:pPr>
            <w:r>
              <w:rPr>
                <w:rFonts w:hint="eastAsia" w:ascii="黑体" w:hAnsi="黑体" w:eastAsia="黑体"/>
                <w:color w:val="auto"/>
                <w:sz w:val="22"/>
                <w:lang w:val="en-US"/>
              </w:rPr>
              <w:t>主要领域</w:t>
            </w:r>
          </w:p>
        </w:tc>
        <w:tc>
          <w:tcPr>
            <w:tcW w:w="2522" w:type="dxa"/>
            <w:noWrap/>
            <w:vAlign w:val="center"/>
          </w:tcPr>
          <w:p>
            <w:pPr>
              <w:pStyle w:val="9"/>
              <w:jc w:val="center"/>
              <w:rPr>
                <w:rFonts w:hint="eastAsia" w:ascii="黑体" w:hAnsi="黑体" w:eastAsia="黑体"/>
                <w:color w:val="auto"/>
                <w:sz w:val="22"/>
                <w:lang w:val="en-US"/>
              </w:rPr>
            </w:pPr>
            <w:r>
              <w:rPr>
                <w:rFonts w:hint="eastAsia" w:ascii="黑体" w:hAnsi="黑体" w:eastAsia="黑体"/>
                <w:color w:val="auto"/>
                <w:sz w:val="22"/>
                <w:lang w:val="en-US"/>
              </w:rPr>
              <w:t>企业名称</w:t>
            </w:r>
          </w:p>
        </w:tc>
        <w:tc>
          <w:tcPr>
            <w:tcW w:w="1418" w:type="dxa"/>
            <w:noWrap/>
            <w:vAlign w:val="center"/>
          </w:tcPr>
          <w:p>
            <w:pPr>
              <w:pStyle w:val="9"/>
              <w:jc w:val="center"/>
              <w:rPr>
                <w:rFonts w:hint="eastAsia" w:ascii="黑体" w:hAnsi="黑体" w:eastAsia="黑体"/>
                <w:color w:val="auto"/>
                <w:sz w:val="22"/>
                <w:lang w:val="en-US"/>
              </w:rPr>
            </w:pPr>
            <w:r>
              <w:rPr>
                <w:rFonts w:hint="eastAsia" w:ascii="黑体" w:hAnsi="黑体" w:eastAsia="黑体"/>
                <w:color w:val="auto"/>
                <w:sz w:val="22"/>
                <w:lang w:val="en-US"/>
              </w:rPr>
              <w:t>总部所在地</w:t>
            </w:r>
          </w:p>
        </w:tc>
        <w:tc>
          <w:tcPr>
            <w:tcW w:w="8043" w:type="dxa"/>
            <w:noWrap/>
            <w:vAlign w:val="center"/>
          </w:tcPr>
          <w:p>
            <w:pPr>
              <w:pStyle w:val="9"/>
              <w:jc w:val="center"/>
              <w:rPr>
                <w:rFonts w:hint="eastAsia" w:ascii="黑体" w:hAnsi="黑体" w:eastAsia="黑体"/>
                <w:color w:val="auto"/>
                <w:sz w:val="22"/>
                <w:lang w:val="en-US"/>
              </w:rPr>
            </w:pPr>
            <w:r>
              <w:rPr>
                <w:rFonts w:hint="eastAsia" w:ascii="黑体" w:hAnsi="黑体" w:eastAsia="黑体"/>
                <w:color w:val="auto"/>
                <w:sz w:val="22"/>
                <w:lang w:val="en-US"/>
              </w:rPr>
              <w:t>企业简介/主营方向/产品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noWrap/>
            <w:vAlign w:val="center"/>
          </w:tcPr>
          <w:p>
            <w:pPr>
              <w:pStyle w:val="9"/>
              <w:jc w:val="center"/>
              <w:rPr>
                <w:rFonts w:hint="eastAsia" w:ascii="宋体" w:hAnsi="宋体" w:eastAsia="宋体"/>
                <w:color w:val="auto"/>
                <w:sz w:val="22"/>
                <w:lang w:val="en-US"/>
              </w:rPr>
            </w:pPr>
            <w:r>
              <w:rPr>
                <w:rFonts w:hint="eastAsia" w:ascii="宋体" w:hAnsi="宋体" w:eastAsia="宋体"/>
                <w:color w:val="auto"/>
                <w:sz w:val="22"/>
                <w:lang w:val="en-US"/>
              </w:rPr>
              <w:t>1</w:t>
            </w:r>
          </w:p>
        </w:tc>
        <w:tc>
          <w:tcPr>
            <w:tcW w:w="1305" w:type="dxa"/>
            <w:vAlign w:val="center"/>
          </w:tcPr>
          <w:p>
            <w:pPr>
              <w:pStyle w:val="9"/>
              <w:jc w:val="center"/>
              <w:rPr>
                <w:rFonts w:hint="eastAsia" w:ascii="宋体" w:hAnsi="宋体" w:eastAsia="宋体"/>
                <w:color w:val="auto"/>
                <w:sz w:val="22"/>
                <w:lang w:val="en-US"/>
              </w:rPr>
            </w:pPr>
            <w:r>
              <w:rPr>
                <w:rFonts w:hint="eastAsia" w:ascii="宋体" w:hAnsi="宋体" w:eastAsia="宋体"/>
                <w:color w:val="auto"/>
                <w:sz w:val="22"/>
                <w:lang w:val="en-US"/>
              </w:rPr>
              <w:t>金融保险</w:t>
            </w:r>
          </w:p>
        </w:tc>
        <w:tc>
          <w:tcPr>
            <w:tcW w:w="2522" w:type="dxa"/>
            <w:noWrap/>
            <w:vAlign w:val="center"/>
          </w:tcPr>
          <w:p>
            <w:pPr>
              <w:pStyle w:val="9"/>
              <w:jc w:val="center"/>
              <w:rPr>
                <w:rFonts w:hint="eastAsia" w:ascii="宋体" w:hAnsi="宋体" w:eastAsia="宋体"/>
                <w:color w:val="auto"/>
                <w:sz w:val="22"/>
                <w:lang w:val="en-US"/>
              </w:rPr>
            </w:pPr>
            <w:r>
              <w:rPr>
                <w:rFonts w:hint="eastAsia" w:ascii="宋体" w:hAnsi="宋体" w:eastAsia="宋体"/>
                <w:color w:val="auto"/>
                <w:sz w:val="22"/>
                <w:lang w:val="en-US"/>
              </w:rPr>
              <w:t>航联保险经纪有限公司</w:t>
            </w:r>
          </w:p>
        </w:tc>
        <w:tc>
          <w:tcPr>
            <w:tcW w:w="1418" w:type="dxa"/>
            <w:noWrap/>
            <w:vAlign w:val="center"/>
          </w:tcPr>
          <w:p>
            <w:pPr>
              <w:pStyle w:val="9"/>
              <w:jc w:val="center"/>
              <w:rPr>
                <w:rFonts w:hint="eastAsia" w:ascii="宋体" w:hAnsi="宋体" w:eastAsia="宋体"/>
                <w:color w:val="auto"/>
                <w:sz w:val="22"/>
                <w:lang w:val="en-US"/>
              </w:rPr>
            </w:pPr>
            <w:r>
              <w:rPr>
                <w:rFonts w:hint="eastAsia" w:ascii="宋体" w:hAnsi="宋体" w:eastAsia="宋体"/>
                <w:color w:val="auto"/>
                <w:sz w:val="22"/>
                <w:lang w:val="en-US"/>
              </w:rPr>
              <w:t>北京</w:t>
            </w:r>
          </w:p>
        </w:tc>
        <w:tc>
          <w:tcPr>
            <w:tcW w:w="8043" w:type="dxa"/>
            <w:noWrap/>
            <w:vAlign w:val="center"/>
          </w:tcPr>
          <w:p>
            <w:pPr>
              <w:pStyle w:val="9"/>
              <w:rPr>
                <w:rFonts w:hint="eastAsia" w:ascii="宋体" w:hAnsi="宋体" w:eastAsia="宋体"/>
                <w:color w:val="auto"/>
                <w:sz w:val="22"/>
                <w:lang w:val="en-US"/>
              </w:rPr>
            </w:pPr>
            <w:r>
              <w:rPr>
                <w:rFonts w:hint="eastAsia" w:ascii="宋体" w:hAnsi="宋体" w:eastAsia="宋体"/>
                <w:color w:val="auto"/>
                <w:sz w:val="22"/>
                <w:lang w:val="en-US"/>
              </w:rPr>
              <w:t>2004年成立的中外合资企业，在上海、广州、成都、深圳、昆明、西安等城市拥有分支机构。公司在通用航空、航空制造、飞机租赁等领域的保险及风险管理有着丰富的从业经验。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noWrap/>
            <w:vAlign w:val="center"/>
          </w:tcPr>
          <w:p>
            <w:pPr>
              <w:pStyle w:val="9"/>
              <w:jc w:val="center"/>
              <w:rPr>
                <w:rFonts w:hint="eastAsia" w:ascii="宋体" w:hAnsi="宋体" w:eastAsia="宋体"/>
                <w:color w:val="auto"/>
                <w:sz w:val="22"/>
                <w:lang w:val="en-US"/>
              </w:rPr>
            </w:pPr>
            <w:r>
              <w:rPr>
                <w:rFonts w:hint="eastAsia" w:ascii="宋体" w:hAnsi="宋体" w:eastAsia="宋体"/>
                <w:color w:val="auto"/>
                <w:sz w:val="22"/>
                <w:lang w:val="en-US"/>
              </w:rPr>
              <w:t>2</w:t>
            </w:r>
          </w:p>
        </w:tc>
        <w:tc>
          <w:tcPr>
            <w:tcW w:w="1305" w:type="dxa"/>
            <w:vAlign w:val="center"/>
          </w:tcPr>
          <w:p>
            <w:pPr>
              <w:pStyle w:val="9"/>
              <w:jc w:val="center"/>
              <w:rPr>
                <w:rFonts w:hint="eastAsia" w:ascii="宋体" w:hAnsi="宋体" w:eastAsia="宋体"/>
                <w:color w:val="auto"/>
                <w:sz w:val="22"/>
                <w:lang w:val="en-US"/>
              </w:rPr>
            </w:pPr>
            <w:r>
              <w:rPr>
                <w:rFonts w:hint="eastAsia" w:ascii="宋体" w:hAnsi="宋体" w:eastAsia="宋体"/>
                <w:color w:val="auto"/>
                <w:sz w:val="22"/>
                <w:lang w:val="en-US"/>
              </w:rPr>
              <w:t>金融保险</w:t>
            </w:r>
          </w:p>
        </w:tc>
        <w:tc>
          <w:tcPr>
            <w:tcW w:w="2522" w:type="dxa"/>
            <w:noWrap/>
            <w:vAlign w:val="center"/>
          </w:tcPr>
          <w:p>
            <w:pPr>
              <w:pStyle w:val="9"/>
              <w:jc w:val="center"/>
              <w:rPr>
                <w:rFonts w:hint="eastAsia" w:ascii="宋体" w:hAnsi="宋体" w:eastAsia="宋体"/>
                <w:color w:val="auto"/>
                <w:sz w:val="22"/>
                <w:lang w:val="en-US"/>
              </w:rPr>
            </w:pPr>
            <w:r>
              <w:rPr>
                <w:rFonts w:hint="eastAsia" w:ascii="宋体" w:hAnsi="宋体" w:eastAsia="宋体"/>
                <w:color w:val="auto"/>
                <w:sz w:val="22"/>
                <w:lang w:val="en-US"/>
              </w:rPr>
              <w:t>中航工业产融控股股份有限公司</w:t>
            </w:r>
          </w:p>
        </w:tc>
        <w:tc>
          <w:tcPr>
            <w:tcW w:w="1418" w:type="dxa"/>
            <w:noWrap/>
            <w:vAlign w:val="center"/>
          </w:tcPr>
          <w:p>
            <w:pPr>
              <w:pStyle w:val="9"/>
              <w:jc w:val="center"/>
              <w:rPr>
                <w:rFonts w:hint="eastAsia" w:ascii="宋体" w:hAnsi="宋体" w:eastAsia="宋体"/>
                <w:color w:val="auto"/>
                <w:sz w:val="22"/>
                <w:lang w:val="en-US"/>
              </w:rPr>
            </w:pPr>
            <w:r>
              <w:rPr>
                <w:rFonts w:hint="eastAsia" w:ascii="宋体" w:hAnsi="宋体" w:eastAsia="宋体"/>
                <w:color w:val="auto"/>
                <w:sz w:val="22"/>
                <w:lang w:val="en-US"/>
              </w:rPr>
              <w:t>北京</w:t>
            </w:r>
          </w:p>
        </w:tc>
        <w:tc>
          <w:tcPr>
            <w:tcW w:w="8043" w:type="dxa"/>
            <w:noWrap/>
            <w:vAlign w:val="center"/>
          </w:tcPr>
          <w:p>
            <w:pPr>
              <w:pStyle w:val="9"/>
              <w:rPr>
                <w:rFonts w:hint="eastAsia" w:ascii="宋体" w:hAnsi="宋体" w:eastAsia="宋体"/>
                <w:color w:val="auto"/>
                <w:sz w:val="22"/>
                <w:lang w:val="en-US"/>
              </w:rPr>
            </w:pPr>
            <w:r>
              <w:rPr>
                <w:rFonts w:hint="eastAsia" w:ascii="宋体" w:hAnsi="宋体" w:eastAsia="宋体"/>
                <w:color w:val="auto"/>
                <w:sz w:val="22"/>
                <w:lang w:val="en-US"/>
              </w:rPr>
              <w:t>是中国航空工业集团有限公司（简称航空工业）控股的金融控股类上市公司，担负着发挥产融结合优势、探索航空产业发展模式的重要使命。通过股权划转与托管方式，将证券公司、财务公司、租赁公司、信托公司、期货公司、产业基金、保险公司置入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noWrap/>
            <w:vAlign w:val="center"/>
          </w:tcPr>
          <w:p>
            <w:pPr>
              <w:pStyle w:val="9"/>
              <w:jc w:val="center"/>
              <w:rPr>
                <w:rFonts w:hint="eastAsia" w:ascii="宋体" w:hAnsi="宋体" w:eastAsia="宋体"/>
                <w:color w:val="auto"/>
                <w:sz w:val="22"/>
                <w:lang w:val="en-US"/>
              </w:rPr>
            </w:pPr>
            <w:r>
              <w:rPr>
                <w:rFonts w:hint="eastAsia" w:ascii="宋体" w:hAnsi="宋体" w:eastAsia="宋体"/>
                <w:color w:val="auto"/>
                <w:sz w:val="22"/>
                <w:lang w:val="en-US"/>
              </w:rPr>
              <w:t>3</w:t>
            </w:r>
          </w:p>
        </w:tc>
        <w:tc>
          <w:tcPr>
            <w:tcW w:w="1305" w:type="dxa"/>
            <w:vAlign w:val="center"/>
          </w:tcPr>
          <w:p>
            <w:pPr>
              <w:pStyle w:val="9"/>
              <w:jc w:val="center"/>
              <w:rPr>
                <w:rFonts w:hint="eastAsia" w:ascii="宋体" w:hAnsi="宋体" w:eastAsia="宋体"/>
                <w:color w:val="auto"/>
                <w:sz w:val="22"/>
                <w:lang w:val="en-US"/>
              </w:rPr>
            </w:pPr>
            <w:r>
              <w:rPr>
                <w:rFonts w:hint="eastAsia" w:ascii="宋体" w:hAnsi="宋体" w:eastAsia="宋体"/>
                <w:color w:val="auto"/>
                <w:sz w:val="22"/>
                <w:lang w:val="en-US"/>
              </w:rPr>
              <w:t>金融保险</w:t>
            </w:r>
          </w:p>
        </w:tc>
        <w:tc>
          <w:tcPr>
            <w:tcW w:w="2522" w:type="dxa"/>
            <w:noWrap/>
            <w:vAlign w:val="center"/>
          </w:tcPr>
          <w:p>
            <w:pPr>
              <w:pStyle w:val="9"/>
              <w:jc w:val="center"/>
              <w:rPr>
                <w:rFonts w:hint="eastAsia" w:ascii="宋体" w:hAnsi="宋体" w:eastAsia="宋体"/>
                <w:color w:val="auto"/>
                <w:sz w:val="22"/>
                <w:lang w:val="en-US"/>
              </w:rPr>
            </w:pPr>
            <w:r>
              <w:rPr>
                <w:rFonts w:hint="eastAsia" w:ascii="宋体" w:hAnsi="宋体" w:eastAsia="宋体"/>
                <w:color w:val="auto"/>
                <w:sz w:val="22"/>
                <w:lang w:val="en-US"/>
              </w:rPr>
              <w:t>永诚财产保险股份有限公司</w:t>
            </w:r>
          </w:p>
        </w:tc>
        <w:tc>
          <w:tcPr>
            <w:tcW w:w="1418" w:type="dxa"/>
            <w:noWrap/>
            <w:vAlign w:val="center"/>
          </w:tcPr>
          <w:p>
            <w:pPr>
              <w:pStyle w:val="9"/>
              <w:jc w:val="center"/>
              <w:rPr>
                <w:rFonts w:hint="eastAsia" w:ascii="宋体" w:hAnsi="宋体" w:eastAsia="宋体"/>
                <w:color w:val="auto"/>
                <w:sz w:val="22"/>
                <w:lang w:val="en-US"/>
              </w:rPr>
            </w:pPr>
            <w:r>
              <w:rPr>
                <w:rFonts w:hint="eastAsia" w:ascii="宋体" w:hAnsi="宋体" w:eastAsia="宋体"/>
                <w:color w:val="auto"/>
                <w:sz w:val="22"/>
                <w:lang w:val="en-US"/>
              </w:rPr>
              <w:t>上海</w:t>
            </w:r>
          </w:p>
        </w:tc>
        <w:tc>
          <w:tcPr>
            <w:tcW w:w="8043" w:type="dxa"/>
            <w:noWrap/>
            <w:vAlign w:val="center"/>
          </w:tcPr>
          <w:p>
            <w:pPr>
              <w:pStyle w:val="9"/>
              <w:rPr>
                <w:rFonts w:hint="eastAsia" w:ascii="宋体" w:hAnsi="宋体" w:eastAsia="宋体"/>
                <w:color w:val="auto"/>
                <w:sz w:val="22"/>
                <w:lang w:val="en-US"/>
              </w:rPr>
            </w:pPr>
            <w:r>
              <w:rPr>
                <w:rFonts w:hint="eastAsia" w:ascii="宋体" w:hAnsi="宋体" w:eastAsia="宋体"/>
                <w:color w:val="auto"/>
                <w:sz w:val="22"/>
                <w:lang w:val="en-US"/>
              </w:rPr>
              <w:t>永诚财产保险股份有限公司联合四川帆陌科技有限公司重磅推出针对无人机的商业保险，保险涵盖多旋翼、直升机、固定翼全无人机机型，提供机身损失险及第三者责任险，是国内首个真正实现全机型覆盖的保险产品。</w:t>
            </w:r>
          </w:p>
        </w:tc>
      </w:tr>
    </w:tbl>
    <w:p>
      <w:pPr>
        <w:spacing w:before="312" w:beforeLines="100" w:after="156" w:afterLines="50"/>
        <w:jc w:val="center"/>
        <w:rPr>
          <w:rFonts w:hint="eastAsia" w:ascii="黑体" w:hAnsi="黑体" w:eastAsia="黑体"/>
          <w:color w:val="auto"/>
          <w:sz w:val="24"/>
        </w:rPr>
      </w:pPr>
      <w:bookmarkStart w:id="326" w:name="_Toc192950366"/>
      <w:bookmarkStart w:id="327" w:name="_Toc191998662"/>
      <w:bookmarkStart w:id="328" w:name="_Toc196760073"/>
      <w:bookmarkStart w:id="329" w:name="_Toc192950426"/>
    </w:p>
    <w:p>
      <w:pPr>
        <w:widowControl/>
        <w:jc w:val="left"/>
        <w:rPr>
          <w:rFonts w:hint="eastAsia" w:ascii="黑体" w:hAnsi="黑体" w:eastAsia="黑体"/>
          <w:color w:val="auto"/>
          <w:sz w:val="24"/>
        </w:rPr>
      </w:pPr>
      <w:r>
        <w:rPr>
          <w:rFonts w:ascii="黑体" w:hAnsi="黑体" w:eastAsia="黑体"/>
          <w:color w:val="auto"/>
          <w:sz w:val="24"/>
        </w:rPr>
        <w:br w:type="page"/>
      </w:r>
    </w:p>
    <w:p>
      <w:pPr>
        <w:spacing w:before="312" w:beforeLines="100" w:after="156" w:afterLines="50"/>
        <w:jc w:val="center"/>
        <w:outlineLvl w:val="2"/>
        <w:rPr>
          <w:rFonts w:hint="eastAsia" w:ascii="黑体" w:hAnsi="黑体" w:eastAsia="黑体"/>
          <w:color w:val="auto"/>
          <w:sz w:val="24"/>
        </w:rPr>
      </w:pPr>
      <w:bookmarkStart w:id="330" w:name="_Toc220270511"/>
      <w:bookmarkStart w:id="331" w:name="_Toc15838"/>
      <w:r>
        <w:rPr>
          <w:rFonts w:hint="eastAsia" w:ascii="黑体" w:hAnsi="黑体" w:eastAsia="黑体"/>
          <w:color w:val="auto"/>
          <w:sz w:val="24"/>
        </w:rPr>
        <w:t>表4</w:t>
      </w:r>
      <w:r>
        <w:rPr>
          <w:rFonts w:ascii="黑体" w:hAnsi="黑体" w:eastAsia="黑体"/>
          <w:color w:val="auto"/>
          <w:sz w:val="24"/>
        </w:rPr>
        <w:t>-</w:t>
      </w:r>
      <w:r>
        <w:rPr>
          <w:rFonts w:hint="eastAsia" w:ascii="黑体" w:hAnsi="黑体" w:eastAsia="黑体"/>
          <w:color w:val="auto"/>
          <w:sz w:val="24"/>
        </w:rPr>
        <w:t xml:space="preserve">5 </w:t>
      </w:r>
      <w:r>
        <w:rPr>
          <w:rFonts w:ascii="黑体" w:hAnsi="黑体" w:eastAsia="黑体"/>
          <w:color w:val="auto"/>
          <w:sz w:val="24"/>
        </w:rPr>
        <w:t xml:space="preserve"> </w:t>
      </w:r>
      <w:r>
        <w:rPr>
          <w:rFonts w:hint="eastAsia" w:ascii="黑体" w:hAnsi="黑体" w:eastAsia="黑体"/>
          <w:color w:val="auto"/>
          <w:sz w:val="24"/>
        </w:rPr>
        <w:t>传媒与科普业主要企业</w:t>
      </w:r>
      <w:bookmarkEnd w:id="326"/>
      <w:bookmarkEnd w:id="327"/>
      <w:bookmarkEnd w:id="328"/>
      <w:bookmarkEnd w:id="329"/>
      <w:bookmarkEnd w:id="330"/>
      <w:bookmarkEnd w:id="331"/>
    </w:p>
    <w:tbl>
      <w:tblPr>
        <w:tblStyle w:val="24"/>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9"/>
        <w:gridCol w:w="1305"/>
        <w:gridCol w:w="2522"/>
        <w:gridCol w:w="1418"/>
        <w:gridCol w:w="80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709" w:type="dxa"/>
            <w:noWrap/>
            <w:vAlign w:val="center"/>
          </w:tcPr>
          <w:p>
            <w:pPr>
              <w:pStyle w:val="9"/>
              <w:jc w:val="center"/>
              <w:rPr>
                <w:rFonts w:hint="eastAsia" w:ascii="黑体" w:hAnsi="黑体" w:eastAsia="黑体"/>
                <w:color w:val="auto"/>
                <w:sz w:val="22"/>
                <w:lang w:val="en-US"/>
              </w:rPr>
            </w:pPr>
            <w:r>
              <w:rPr>
                <w:rFonts w:hint="eastAsia" w:ascii="黑体" w:hAnsi="黑体" w:eastAsia="黑体"/>
                <w:color w:val="auto"/>
                <w:sz w:val="22"/>
                <w:lang w:val="en-US"/>
              </w:rPr>
              <w:t>序号</w:t>
            </w:r>
          </w:p>
        </w:tc>
        <w:tc>
          <w:tcPr>
            <w:tcW w:w="1305" w:type="dxa"/>
            <w:vAlign w:val="center"/>
          </w:tcPr>
          <w:p>
            <w:pPr>
              <w:pStyle w:val="9"/>
              <w:jc w:val="center"/>
              <w:rPr>
                <w:rFonts w:hint="eastAsia" w:ascii="黑体" w:hAnsi="黑体" w:eastAsia="黑体"/>
                <w:color w:val="auto"/>
                <w:sz w:val="22"/>
                <w:lang w:val="en-US"/>
              </w:rPr>
            </w:pPr>
            <w:r>
              <w:rPr>
                <w:rFonts w:hint="eastAsia" w:ascii="黑体" w:hAnsi="黑体" w:eastAsia="黑体"/>
                <w:color w:val="auto"/>
                <w:sz w:val="22"/>
                <w:lang w:val="en-US"/>
              </w:rPr>
              <w:t>主要领域</w:t>
            </w:r>
          </w:p>
        </w:tc>
        <w:tc>
          <w:tcPr>
            <w:tcW w:w="2522" w:type="dxa"/>
            <w:noWrap/>
            <w:vAlign w:val="center"/>
          </w:tcPr>
          <w:p>
            <w:pPr>
              <w:pStyle w:val="9"/>
              <w:jc w:val="center"/>
              <w:rPr>
                <w:rFonts w:hint="eastAsia" w:ascii="黑体" w:hAnsi="黑体" w:eastAsia="黑体"/>
                <w:color w:val="auto"/>
                <w:sz w:val="22"/>
                <w:lang w:val="en-US"/>
              </w:rPr>
            </w:pPr>
            <w:r>
              <w:rPr>
                <w:rFonts w:hint="eastAsia" w:ascii="黑体" w:hAnsi="黑体" w:eastAsia="黑体"/>
                <w:color w:val="auto"/>
                <w:sz w:val="22"/>
                <w:lang w:val="en-US"/>
              </w:rPr>
              <w:t>企业名称</w:t>
            </w:r>
          </w:p>
        </w:tc>
        <w:tc>
          <w:tcPr>
            <w:tcW w:w="1418" w:type="dxa"/>
            <w:noWrap/>
            <w:vAlign w:val="center"/>
          </w:tcPr>
          <w:p>
            <w:pPr>
              <w:pStyle w:val="9"/>
              <w:jc w:val="center"/>
              <w:rPr>
                <w:rFonts w:hint="eastAsia" w:ascii="黑体" w:hAnsi="黑体" w:eastAsia="黑体"/>
                <w:color w:val="auto"/>
                <w:sz w:val="22"/>
                <w:lang w:val="en-US"/>
              </w:rPr>
            </w:pPr>
            <w:r>
              <w:rPr>
                <w:rFonts w:hint="eastAsia" w:ascii="黑体" w:hAnsi="黑体" w:eastAsia="黑体"/>
                <w:color w:val="auto"/>
                <w:sz w:val="22"/>
                <w:lang w:val="en-US"/>
              </w:rPr>
              <w:t>总部所在地</w:t>
            </w:r>
          </w:p>
        </w:tc>
        <w:tc>
          <w:tcPr>
            <w:tcW w:w="8043" w:type="dxa"/>
            <w:noWrap/>
            <w:vAlign w:val="center"/>
          </w:tcPr>
          <w:p>
            <w:pPr>
              <w:pStyle w:val="9"/>
              <w:jc w:val="center"/>
              <w:rPr>
                <w:rFonts w:hint="eastAsia" w:ascii="黑体" w:hAnsi="黑体" w:eastAsia="黑体"/>
                <w:color w:val="auto"/>
                <w:sz w:val="22"/>
                <w:lang w:val="en-US"/>
              </w:rPr>
            </w:pPr>
            <w:r>
              <w:rPr>
                <w:rFonts w:hint="eastAsia" w:ascii="黑体" w:hAnsi="黑体" w:eastAsia="黑体"/>
                <w:color w:val="auto"/>
                <w:sz w:val="22"/>
                <w:lang w:val="en-US"/>
              </w:rPr>
              <w:t>企业简介/主营方向/产品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9" w:type="dxa"/>
            <w:noWrap/>
            <w:vAlign w:val="center"/>
          </w:tcPr>
          <w:p>
            <w:pPr>
              <w:pStyle w:val="9"/>
              <w:jc w:val="center"/>
              <w:rPr>
                <w:rFonts w:hint="eastAsia" w:ascii="宋体" w:hAnsi="宋体" w:eastAsia="宋体"/>
                <w:color w:val="auto"/>
                <w:sz w:val="22"/>
                <w:lang w:val="en-US"/>
              </w:rPr>
            </w:pPr>
            <w:r>
              <w:rPr>
                <w:rFonts w:hint="eastAsia" w:ascii="宋体" w:hAnsi="宋体" w:eastAsia="宋体"/>
                <w:color w:val="auto"/>
                <w:sz w:val="22"/>
                <w:lang w:val="en-US"/>
              </w:rPr>
              <w:t>1</w:t>
            </w:r>
          </w:p>
        </w:tc>
        <w:tc>
          <w:tcPr>
            <w:tcW w:w="1305" w:type="dxa"/>
            <w:vAlign w:val="center"/>
          </w:tcPr>
          <w:p>
            <w:pPr>
              <w:pStyle w:val="9"/>
              <w:jc w:val="center"/>
              <w:rPr>
                <w:rFonts w:hint="eastAsia" w:ascii="宋体" w:hAnsi="宋体" w:eastAsia="宋体"/>
                <w:color w:val="auto"/>
                <w:sz w:val="22"/>
                <w:lang w:val="en-US"/>
              </w:rPr>
            </w:pPr>
            <w:r>
              <w:rPr>
                <w:rFonts w:hint="eastAsia" w:ascii="宋体" w:hAnsi="宋体" w:eastAsia="宋体"/>
                <w:color w:val="auto"/>
                <w:sz w:val="22"/>
                <w:lang w:val="en-US"/>
              </w:rPr>
              <w:t>传媒与科普</w:t>
            </w:r>
          </w:p>
        </w:tc>
        <w:tc>
          <w:tcPr>
            <w:tcW w:w="2522" w:type="dxa"/>
            <w:noWrap/>
            <w:vAlign w:val="center"/>
          </w:tcPr>
          <w:p>
            <w:pPr>
              <w:pStyle w:val="9"/>
              <w:jc w:val="center"/>
              <w:rPr>
                <w:rFonts w:hint="eastAsia" w:ascii="宋体" w:hAnsi="宋体" w:eastAsia="宋体"/>
                <w:color w:val="auto"/>
                <w:sz w:val="22"/>
                <w:lang w:val="en-US"/>
              </w:rPr>
            </w:pPr>
            <w:r>
              <w:rPr>
                <w:rFonts w:hint="eastAsia" w:ascii="宋体" w:hAnsi="宋体" w:eastAsia="宋体"/>
                <w:color w:val="auto"/>
                <w:sz w:val="22"/>
                <w:lang w:val="en-US"/>
              </w:rPr>
              <w:t>爱飞客航空文化传播有限公司</w:t>
            </w:r>
          </w:p>
        </w:tc>
        <w:tc>
          <w:tcPr>
            <w:tcW w:w="1418" w:type="dxa"/>
            <w:noWrap/>
            <w:vAlign w:val="center"/>
          </w:tcPr>
          <w:p>
            <w:pPr>
              <w:pStyle w:val="9"/>
              <w:jc w:val="center"/>
              <w:rPr>
                <w:rFonts w:hint="eastAsia" w:ascii="宋体" w:hAnsi="宋体" w:eastAsia="宋体"/>
                <w:color w:val="auto"/>
                <w:sz w:val="22"/>
                <w:lang w:val="en-US"/>
              </w:rPr>
            </w:pPr>
            <w:r>
              <w:rPr>
                <w:rFonts w:hint="eastAsia" w:ascii="宋体" w:hAnsi="宋体" w:eastAsia="宋体"/>
                <w:color w:val="auto"/>
                <w:sz w:val="22"/>
                <w:lang w:val="en-US"/>
              </w:rPr>
              <w:t>北京</w:t>
            </w:r>
          </w:p>
        </w:tc>
        <w:tc>
          <w:tcPr>
            <w:tcW w:w="8043" w:type="dxa"/>
            <w:noWrap/>
            <w:vAlign w:val="center"/>
          </w:tcPr>
          <w:p>
            <w:pPr>
              <w:pStyle w:val="9"/>
              <w:rPr>
                <w:rFonts w:hint="eastAsia" w:ascii="宋体" w:hAnsi="宋体" w:eastAsia="宋体"/>
                <w:color w:val="auto"/>
                <w:sz w:val="22"/>
                <w:lang w:val="en-US"/>
              </w:rPr>
            </w:pPr>
            <w:r>
              <w:rPr>
                <w:rFonts w:hint="eastAsia" w:ascii="宋体" w:hAnsi="宋体" w:eastAsia="宋体"/>
                <w:color w:val="auto"/>
                <w:sz w:val="22"/>
                <w:lang w:val="en-US"/>
              </w:rPr>
              <w:t>爱飞客航空文化传播有限公司是落实中航工业“两融、三新、五化、万亿”战略，融入地方经济、创新发展模式、品牌化打造通用航空，实践创意经济增长方式的经营性平台，业务涵盖通航会展、飞行表演、品牌经营、创意产品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9" w:type="dxa"/>
            <w:noWrap/>
            <w:vAlign w:val="center"/>
          </w:tcPr>
          <w:p>
            <w:pPr>
              <w:pStyle w:val="9"/>
              <w:jc w:val="center"/>
              <w:rPr>
                <w:rFonts w:hint="eastAsia" w:ascii="宋体" w:hAnsi="宋体" w:eastAsia="宋体"/>
                <w:color w:val="auto"/>
                <w:sz w:val="22"/>
                <w:lang w:val="en-US"/>
              </w:rPr>
            </w:pPr>
            <w:r>
              <w:rPr>
                <w:rFonts w:hint="eastAsia" w:ascii="宋体" w:hAnsi="宋体" w:eastAsia="宋体"/>
                <w:color w:val="auto"/>
                <w:sz w:val="22"/>
                <w:lang w:val="en-US"/>
              </w:rPr>
              <w:t>2</w:t>
            </w:r>
          </w:p>
        </w:tc>
        <w:tc>
          <w:tcPr>
            <w:tcW w:w="1305" w:type="dxa"/>
            <w:vAlign w:val="center"/>
          </w:tcPr>
          <w:p>
            <w:pPr>
              <w:pStyle w:val="9"/>
              <w:jc w:val="center"/>
              <w:rPr>
                <w:rFonts w:hint="eastAsia" w:ascii="宋体" w:hAnsi="宋体" w:eastAsia="宋体"/>
                <w:color w:val="auto"/>
                <w:sz w:val="22"/>
                <w:lang w:val="en-US"/>
              </w:rPr>
            </w:pPr>
            <w:r>
              <w:rPr>
                <w:rFonts w:hint="eastAsia" w:ascii="宋体" w:hAnsi="宋体" w:eastAsia="宋体"/>
                <w:color w:val="auto"/>
                <w:sz w:val="22"/>
                <w:lang w:val="en-US"/>
              </w:rPr>
              <w:t>传媒与科普</w:t>
            </w:r>
          </w:p>
        </w:tc>
        <w:tc>
          <w:tcPr>
            <w:tcW w:w="2522" w:type="dxa"/>
            <w:noWrap/>
            <w:vAlign w:val="center"/>
          </w:tcPr>
          <w:p>
            <w:pPr>
              <w:pStyle w:val="9"/>
              <w:jc w:val="center"/>
              <w:rPr>
                <w:rFonts w:hint="eastAsia" w:ascii="宋体" w:hAnsi="宋体" w:eastAsia="宋体"/>
                <w:color w:val="auto"/>
                <w:sz w:val="22"/>
                <w:lang w:val="en-US"/>
              </w:rPr>
            </w:pPr>
            <w:r>
              <w:rPr>
                <w:rFonts w:hint="eastAsia" w:ascii="宋体" w:hAnsi="宋体" w:eastAsia="宋体"/>
                <w:color w:val="auto"/>
                <w:sz w:val="22"/>
                <w:lang w:val="en-US"/>
              </w:rPr>
              <w:t>广州市尚得尔航空俱乐部有限公司</w:t>
            </w:r>
          </w:p>
        </w:tc>
        <w:tc>
          <w:tcPr>
            <w:tcW w:w="1418" w:type="dxa"/>
            <w:noWrap/>
            <w:vAlign w:val="center"/>
          </w:tcPr>
          <w:p>
            <w:pPr>
              <w:pStyle w:val="9"/>
              <w:jc w:val="center"/>
              <w:rPr>
                <w:rFonts w:hint="eastAsia" w:ascii="宋体" w:hAnsi="宋体" w:eastAsia="宋体"/>
                <w:color w:val="auto"/>
                <w:sz w:val="22"/>
                <w:lang w:val="en-US"/>
              </w:rPr>
            </w:pPr>
            <w:r>
              <w:rPr>
                <w:rFonts w:hint="eastAsia" w:ascii="宋体" w:hAnsi="宋体" w:eastAsia="宋体"/>
                <w:color w:val="auto"/>
                <w:sz w:val="22"/>
                <w:lang w:val="en-US"/>
              </w:rPr>
              <w:t>广东广州</w:t>
            </w:r>
          </w:p>
        </w:tc>
        <w:tc>
          <w:tcPr>
            <w:tcW w:w="8043" w:type="dxa"/>
            <w:noWrap/>
            <w:vAlign w:val="center"/>
          </w:tcPr>
          <w:p>
            <w:pPr>
              <w:pStyle w:val="9"/>
              <w:rPr>
                <w:rFonts w:hint="eastAsia" w:ascii="宋体" w:hAnsi="宋体" w:eastAsia="宋体"/>
                <w:color w:val="auto"/>
                <w:sz w:val="22"/>
                <w:lang w:val="en-US"/>
              </w:rPr>
            </w:pPr>
            <w:r>
              <w:rPr>
                <w:rFonts w:hint="eastAsia" w:ascii="宋体" w:hAnsi="宋体" w:eastAsia="宋体"/>
                <w:color w:val="auto"/>
                <w:sz w:val="22"/>
                <w:lang w:val="en-US"/>
              </w:rPr>
              <w:t>文化场馆管理服务；航空商务服务；航空运输设备销售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9" w:type="dxa"/>
            <w:noWrap/>
            <w:vAlign w:val="center"/>
          </w:tcPr>
          <w:p>
            <w:pPr>
              <w:pStyle w:val="9"/>
              <w:jc w:val="center"/>
              <w:rPr>
                <w:rFonts w:hint="eastAsia" w:ascii="宋体" w:hAnsi="宋体" w:eastAsia="宋体"/>
                <w:color w:val="auto"/>
                <w:sz w:val="22"/>
                <w:lang w:val="en-US"/>
              </w:rPr>
            </w:pPr>
            <w:r>
              <w:rPr>
                <w:rFonts w:hint="eastAsia" w:ascii="宋体" w:hAnsi="宋体" w:eastAsia="宋体"/>
                <w:color w:val="auto"/>
                <w:sz w:val="22"/>
                <w:lang w:val="en-US"/>
              </w:rPr>
              <w:t>3</w:t>
            </w:r>
          </w:p>
        </w:tc>
        <w:tc>
          <w:tcPr>
            <w:tcW w:w="1305" w:type="dxa"/>
            <w:vAlign w:val="center"/>
          </w:tcPr>
          <w:p>
            <w:pPr>
              <w:pStyle w:val="9"/>
              <w:jc w:val="center"/>
              <w:rPr>
                <w:rFonts w:hint="eastAsia" w:ascii="宋体" w:hAnsi="宋体" w:eastAsia="宋体"/>
                <w:color w:val="auto"/>
                <w:sz w:val="22"/>
                <w:lang w:val="en-US"/>
              </w:rPr>
            </w:pPr>
            <w:r>
              <w:rPr>
                <w:rFonts w:hint="eastAsia" w:ascii="宋体" w:hAnsi="宋体" w:eastAsia="宋体"/>
                <w:color w:val="auto"/>
                <w:sz w:val="22"/>
                <w:lang w:val="en-US"/>
              </w:rPr>
              <w:t>传媒与科普</w:t>
            </w:r>
          </w:p>
        </w:tc>
        <w:tc>
          <w:tcPr>
            <w:tcW w:w="2522" w:type="dxa"/>
            <w:noWrap/>
            <w:vAlign w:val="center"/>
          </w:tcPr>
          <w:p>
            <w:pPr>
              <w:pStyle w:val="9"/>
              <w:jc w:val="center"/>
              <w:rPr>
                <w:rFonts w:hint="eastAsia" w:ascii="宋体" w:hAnsi="宋体" w:eastAsia="宋体"/>
                <w:color w:val="auto"/>
                <w:sz w:val="22"/>
                <w:lang w:val="en-US"/>
              </w:rPr>
            </w:pPr>
            <w:r>
              <w:rPr>
                <w:rFonts w:hint="eastAsia" w:ascii="宋体" w:hAnsi="宋体" w:eastAsia="宋体"/>
                <w:color w:val="auto"/>
                <w:sz w:val="22"/>
                <w:lang w:val="en-US"/>
              </w:rPr>
              <w:t>广州亿通智航技术有限公司</w:t>
            </w:r>
          </w:p>
        </w:tc>
        <w:tc>
          <w:tcPr>
            <w:tcW w:w="1418" w:type="dxa"/>
            <w:noWrap/>
            <w:vAlign w:val="center"/>
          </w:tcPr>
          <w:p>
            <w:pPr>
              <w:pStyle w:val="9"/>
              <w:jc w:val="center"/>
              <w:rPr>
                <w:rFonts w:hint="eastAsia" w:ascii="宋体" w:hAnsi="宋体" w:eastAsia="宋体"/>
                <w:color w:val="auto"/>
                <w:sz w:val="22"/>
                <w:lang w:val="en-US"/>
              </w:rPr>
            </w:pPr>
            <w:r>
              <w:rPr>
                <w:rFonts w:hint="eastAsia" w:ascii="宋体" w:hAnsi="宋体" w:eastAsia="宋体"/>
                <w:color w:val="auto"/>
                <w:sz w:val="22"/>
                <w:lang w:val="en-US"/>
              </w:rPr>
              <w:t>广东广州</w:t>
            </w:r>
          </w:p>
        </w:tc>
        <w:tc>
          <w:tcPr>
            <w:tcW w:w="8043" w:type="dxa"/>
            <w:noWrap/>
            <w:vAlign w:val="center"/>
          </w:tcPr>
          <w:p>
            <w:pPr>
              <w:pStyle w:val="9"/>
              <w:rPr>
                <w:rFonts w:hint="eastAsia" w:ascii="宋体" w:hAnsi="宋体" w:eastAsia="宋体"/>
                <w:color w:val="auto"/>
                <w:sz w:val="22"/>
                <w:lang w:val="en-US"/>
              </w:rPr>
            </w:pPr>
            <w:r>
              <w:rPr>
                <w:rFonts w:hint="eastAsia" w:ascii="宋体" w:hAnsi="宋体" w:eastAsia="宋体"/>
                <w:color w:val="auto"/>
                <w:sz w:val="22"/>
                <w:lang w:val="en-US"/>
              </w:rPr>
              <w:t>从事科技推广和应用服务业为主的企业，业务涉及数据处理和存储支持服务、航空运营支持服务、卫星遥感数据处理、飞行训练、通用航空服务、测绘服务、商业非运输、私用大型航空器运营人、航空器代管人运行业务、飞行签派员培训、城市配送运输服务、民用航空器驾驶员培训等领域。</w:t>
            </w:r>
          </w:p>
        </w:tc>
      </w:tr>
    </w:tbl>
    <w:p>
      <w:pPr>
        <w:spacing w:line="560" w:lineRule="exact"/>
        <w:rPr>
          <w:rFonts w:ascii="Times New Roman" w:hAnsi="Times New Roman" w:cs="Times New Roman"/>
          <w:color w:val="auto"/>
          <w:sz w:val="30"/>
          <w:szCs w:val="30"/>
        </w:rPr>
        <w:sectPr>
          <w:pgSz w:w="16838" w:h="11906" w:orient="landscape"/>
          <w:pgMar w:top="1701" w:right="1418" w:bottom="1701" w:left="1418" w:header="851" w:footer="992" w:gutter="0"/>
          <w:cols w:space="425" w:num="1"/>
          <w:docGrid w:type="lines" w:linePitch="312" w:charSpace="0"/>
        </w:sectPr>
      </w:pPr>
    </w:p>
    <w:p>
      <w:pPr>
        <w:rPr>
          <w:rFonts w:ascii="Times New Roman" w:hAnsi="Times New Roman" w:eastAsia="宋体" w:cs="Times New Roman"/>
          <w:color w:val="auto"/>
          <w:sz w:val="32"/>
          <w:szCs w:val="32"/>
          <w:shd w:val="clear" w:color="auto" w:fill="FFFFFF"/>
        </w:rPr>
      </w:pPr>
    </w:p>
    <w:sectPr>
      <w:pgSz w:w="16838" w:h="11906" w:orient="landscape"/>
      <w:pgMar w:top="1587" w:right="2098" w:bottom="1474" w:left="198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方正仿宋_GBK">
    <w:panose1 w:val="02000000000000000000"/>
    <w:charset w:val="86"/>
    <w:family w:val="script"/>
    <w:pitch w:val="default"/>
    <w:sig w:usb0="A00002BF" w:usb1="38CF7CFA" w:usb2="00082016" w:usb3="00000000" w:csb0="00040001" w:csb1="00000000"/>
  </w:font>
  <w:font w:name="Cambria">
    <w:panose1 w:val="02040503050406030204"/>
    <w:charset w:val="00"/>
    <w:family w:val="roman"/>
    <w:pitch w:val="default"/>
    <w:sig w:usb0="A00002EF" w:usb1="4000004B" w:usb2="00000000" w:usb3="00000000" w:csb0="2000009F" w:csb1="00000000"/>
  </w:font>
  <w:font w:name="小标宋">
    <w:altName w:val="微软雅黑"/>
    <w:panose1 w:val="00000000000000000000"/>
    <w:charset w:val="86"/>
    <w:family w:val="script"/>
    <w:pitch w:val="default"/>
    <w:sig w:usb0="00000000" w:usb1="00000000" w:usb2="00000010" w:usb3="00000000" w:csb0="00040000"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80F3C52" w:usb2="00000016" w:usb3="00000000" w:csb0="0004001F" w:csb1="00000000"/>
  </w:font>
  <w:font w:name="华文中宋">
    <w:altName w:val="汉仪中宋简"/>
    <w:panose1 w:val="02010600040101010101"/>
    <w:charset w:val="86"/>
    <w:family w:val="auto"/>
    <w:pitch w:val="default"/>
    <w:sig w:usb0="00000000" w:usb1="00000000" w:usb2="00000010" w:usb3="00000000" w:csb0="0004009F" w:csb1="00000000"/>
  </w:font>
  <w:font w:name="楷体_GB2312">
    <w:panose1 w:val="02010609030101010101"/>
    <w:charset w:val="86"/>
    <w:family w:val="modern"/>
    <w:pitch w:val="default"/>
    <w:sig w:usb0="00000001" w:usb1="080E0000" w:usb2="00000000" w:usb3="00000000" w:csb0="00040000" w:csb1="00000000"/>
  </w:font>
  <w:font w:name="等线 Light">
    <w:panose1 w:val="02010600030101010101"/>
    <w:charset w:val="86"/>
    <w:family w:val="auto"/>
    <w:pitch w:val="default"/>
    <w:sig w:usb0="A00002BF" w:usb1="38CF7CFA" w:usb2="00000016" w:usb3="00000000" w:csb0="0004000F" w:csb1="00000000"/>
  </w:font>
  <w:font w:name="方正小标宋简体">
    <w:panose1 w:val="03000509000000000000"/>
    <w:charset w:val="86"/>
    <w:family w:val="script"/>
    <w:pitch w:val="default"/>
    <w:sig w:usb0="00000001" w:usb1="080E0000" w:usb2="00000000" w:usb3="00000000" w:csb0="00040000" w:csb1="00000000"/>
  </w:font>
  <w:font w:name="Cambria Math">
    <w:panose1 w:val="02040503050406030204"/>
    <w:charset w:val="00"/>
    <w:family w:val="roman"/>
    <w:pitch w:val="default"/>
    <w:sig w:usb0="A00002EF" w:usb1="420020EB" w:usb2="00000000" w:usb3="00000000" w:csb0="2000009F" w:csb1="00000000"/>
  </w:font>
  <w:font w:name="Segoe UI">
    <w:panose1 w:val="020B0502040204020203"/>
    <w:charset w:val="00"/>
    <w:family w:val="swiss"/>
    <w:pitch w:val="default"/>
    <w:sig w:usb0="E10022FF" w:usb1="C000E47F" w:usb2="00000029" w:usb3="00000000" w:csb0="200001DF" w:csb1="20000000"/>
  </w:font>
  <w:font w:name="DFKai-SB">
    <w:panose1 w:val="03000509000000000000"/>
    <w:charset w:val="88"/>
    <w:family w:val="auto"/>
    <w:pitch w:val="default"/>
    <w:sig w:usb0="00000003" w:usb1="082E0000" w:usb2="00000016" w:usb3="00000000" w:csb0="00100001" w:csb1="00000000"/>
  </w:font>
  <w:font w:name="方正宋体S-超大字符集">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tabs>
        <w:tab w:val="center" w:pos="4422"/>
        <w:tab w:val="clear" w:pos="4153"/>
      </w:tabs>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-1270</wp:posOffset>
              </wp:positionV>
              <wp:extent cx="1143000" cy="1828800"/>
              <wp:effectExtent l="0" t="0" r="0" b="4445"/>
              <wp:wrapNone/>
              <wp:docPr id="3" name="文本框 3"/>
              <wp:cNvGraphicFramePr/>
              <a:graphic xmlns:a="http://schemas.openxmlformats.org/drawingml/2006/main">
                <a:graphicData uri="http://schemas.microsoft.com/office/word/2010/wordprocessingShape">
                  <wps:wsp>
                    <wps:cNvSpPr txBox="true"/>
                    <wps:spPr>
                      <a:xfrm>
                        <a:off x="0" y="0"/>
                        <a:ext cx="11430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ascii="宋体" w:hAnsi="宋体" w:eastAsia="宋体" w:cs="宋体"/>
                              <w:sz w:val="28"/>
                              <w:szCs w:val="28"/>
                            </w:rPr>
                            <w:t>IV</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p>
                          <w:pPr>
                            <w:pStyle w:val="13"/>
                          </w:pPr>
                        </w:p>
                      </w:txbxContent>
                    </wps:txbx>
                    <wps:bodyPr rot="0" spcFirstLastPara="0" vertOverflow="overflow" horzOverflow="overflow" vert="horz" wrap="square" lIns="0" tIns="0" rIns="0" bIns="0" numCol="1" spcCol="0" rtlCol="0" fromWordArt="false" anchor="t" anchorCtr="false" forceAA="false" compatLnSpc="true">
                      <a:spAutoFit/>
                    </wps:bodyPr>
                  </wps:wsp>
                </a:graphicData>
              </a:graphic>
            </wp:anchor>
          </w:drawing>
        </mc:Choice>
        <mc:Fallback>
          <w:pict>
            <v:shape id="_x0000_s1026" o:spid="_x0000_s1026" o:spt="202" type="#_x0000_t202" style="position:absolute;left:0pt;margin-top:-0.1pt;height:144pt;width:90pt;mso-position-horizontal:center;mso-position-horizontal-relative:margin;z-index:251659264;mso-width-relative:page;mso-height-relative:page;" filled="f" stroked="f" coordsize="21600,21600" o:gfxdata="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BYAAABkcnMvUEsBAhQA&#10;FAAAAAgAh07iQAF5ghDUAAAABgEAAA8AAAAAAAAAAQAgAAAAOAAAAGRycy9kb3ducmV2LnhtbFBL&#10;AQIUABQAAAAIAIdO4kCYH5d7HQIAABsEAAAOAAAAAAAAAAEAIAAAADkBAABkcnMvZTJvRG9jLnht&#10;bFBLBQYAAAAABgAGAFkBAADIBQAAAAA=&#10;">
              <v:fill on="f" focussize="0,0"/>
              <v:stroke on="f" weight="0.5pt"/>
              <v:imagedata o:title=""/>
              <o:lock v:ext="edit" aspectratio="f"/>
              <v:textbox inset="0mm,0mm,0mm,0mm" style="mso-fit-shape-to-text:t;">
                <w:txbxContent>
                  <w:p>
                    <w:pPr>
                      <w:jc w:val="cente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ascii="宋体" w:hAnsi="宋体" w:eastAsia="宋体" w:cs="宋体"/>
                        <w:sz w:val="28"/>
                        <w:szCs w:val="28"/>
                      </w:rPr>
                      <w:t>IV</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p>
                    <w:pPr>
                      <w:pStyle w:val="13"/>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tabs>
        <w:tab w:val="center" w:pos="4422"/>
        <w:tab w:val="clear" w:pos="4153"/>
      </w:tabs>
    </w:pPr>
    <w:r>
      <mc:AlternateContent>
        <mc:Choice Requires="wps">
          <w:drawing>
            <wp:anchor distT="0" distB="0" distL="114300" distR="114300" simplePos="0" relativeHeight="251660288" behindDoc="0" locked="0" layoutInCell="1" allowOverlap="1">
              <wp:simplePos x="0" y="0"/>
              <wp:positionH relativeFrom="margin">
                <wp:posOffset>2535555</wp:posOffset>
              </wp:positionH>
              <wp:positionV relativeFrom="paragraph">
                <wp:posOffset>-1270</wp:posOffset>
              </wp:positionV>
              <wp:extent cx="1607820" cy="1828800"/>
              <wp:effectExtent l="0" t="0" r="11430" b="4445"/>
              <wp:wrapNone/>
              <wp:docPr id="4" name="文本框 4"/>
              <wp:cNvGraphicFramePr/>
              <a:graphic xmlns:a="http://schemas.openxmlformats.org/drawingml/2006/main">
                <a:graphicData uri="http://schemas.microsoft.com/office/word/2010/wordprocessingShape">
                  <wps:wsp>
                    <wps:cNvSpPr txBox="true"/>
                    <wps:spPr>
                      <a:xfrm>
                        <a:off x="0" y="0"/>
                        <a:ext cx="160782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7"/>
                            <w:tabs>
                              <w:tab w:val="center" w:pos="4153"/>
                              <w:tab w:val="right" w:pos="8306"/>
                            </w:tabs>
                            <w:ind w:firstLine="0" w:firstLineChars="0"/>
                          </w:pPr>
                          <w:r>
                            <w:rPr>
                              <w:rFonts w:hint="eastAsia" w:cs="Times New Roman"/>
                              <w:sz w:val="28"/>
                              <w:szCs w:val="28"/>
                            </w:rPr>
                            <w:t xml:space="preserve">— </w:t>
                          </w:r>
                          <w:r>
                            <w:rPr>
                              <w:rFonts w:cs="Times New Roman"/>
                              <w:sz w:val="28"/>
                              <w:szCs w:val="28"/>
                            </w:rPr>
                            <w:fldChar w:fldCharType="begin"/>
                          </w:r>
                          <w:r>
                            <w:rPr>
                              <w:rFonts w:cs="Times New Roman"/>
                              <w:sz w:val="28"/>
                              <w:szCs w:val="28"/>
                            </w:rPr>
                            <w:instrText xml:space="preserve"> PAGE  \* MERGEFORMAT </w:instrText>
                          </w:r>
                          <w:r>
                            <w:rPr>
                              <w:rFonts w:cs="Times New Roman"/>
                              <w:sz w:val="28"/>
                              <w:szCs w:val="28"/>
                            </w:rPr>
                            <w:fldChar w:fldCharType="separate"/>
                          </w:r>
                          <w:r>
                            <w:rPr>
                              <w:rFonts w:cs="Times New Roman"/>
                              <w:sz w:val="28"/>
                              <w:szCs w:val="28"/>
                            </w:rPr>
                            <w:t>108</w:t>
                          </w:r>
                          <w:r>
                            <w:rPr>
                              <w:rFonts w:cs="Times New Roman"/>
                              <w:sz w:val="28"/>
                              <w:szCs w:val="28"/>
                            </w:rPr>
                            <w:fldChar w:fldCharType="end"/>
                          </w:r>
                          <w:r>
                            <w:rPr>
                              <w:rFonts w:hint="eastAsia" w:cs="Times New Roman"/>
                              <w:sz w:val="28"/>
                              <w:szCs w:val="28"/>
                            </w:rPr>
                            <w:t xml:space="preserve"> —</w:t>
                          </w:r>
                        </w:p>
                      </w:txbxContent>
                    </wps:txbx>
                    <wps:bodyPr rot="0" spcFirstLastPara="0" vertOverflow="overflow" horzOverflow="overflow" vert="horz" wrap="square" lIns="0" tIns="0" rIns="0" bIns="0" numCol="1" spcCol="0" rtlCol="0" fromWordArt="false" anchor="t" anchorCtr="false" forceAA="false" compatLnSpc="true">
                      <a:spAutoFit/>
                    </wps:bodyPr>
                  </wps:wsp>
                </a:graphicData>
              </a:graphic>
            </wp:anchor>
          </w:drawing>
        </mc:Choice>
        <mc:Fallback>
          <w:pict>
            <v:shape id="_x0000_s1026" o:spid="_x0000_s1026" o:spt="202" type="#_x0000_t202" style="position:absolute;left:0pt;margin-left:199.65pt;margin-top:-0.1pt;height:144pt;width:126.6pt;mso-position-horizontal-relative:margin;z-index:251660288;mso-width-relative:page;mso-height-relative:page;" filled="f" stroked="f" coordsize="21600,21600" o:gfxdata="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WAAAAZHJzL1BL&#10;AQIUABQAAAAIAIdO4kDmP4aL2QAAAAkBAAAPAAAAAAAAAAEAIAAAADgAAABkcnMvZG93bnJldi54&#10;bWxQSwECFAAUAAAACACHTuJAHyMElxwCAAAbBAAADgAAAAAAAAABACAAAAA+AQAAZHJzL2Uyb0Rv&#10;Yy54bWxQSwUGAAAAAAYABgBZAQAAzAUAAAAA&#10;">
              <v:fill on="f" focussize="0,0"/>
              <v:stroke on="f" weight="0.5pt"/>
              <v:imagedata o:title=""/>
              <o:lock v:ext="edit" aspectratio="f"/>
              <v:textbox inset="0mm,0mm,0mm,0mm" style="mso-fit-shape-to-text:t;">
                <w:txbxContent>
                  <w:p>
                    <w:pPr>
                      <w:pStyle w:val="37"/>
                      <w:tabs>
                        <w:tab w:val="center" w:pos="4153"/>
                        <w:tab w:val="right" w:pos="8306"/>
                      </w:tabs>
                      <w:ind w:firstLine="0" w:firstLineChars="0"/>
                    </w:pPr>
                    <w:r>
                      <w:rPr>
                        <w:rFonts w:hint="eastAsia" w:cs="Times New Roman"/>
                        <w:sz w:val="28"/>
                        <w:szCs w:val="28"/>
                      </w:rPr>
                      <w:t xml:space="preserve">— </w:t>
                    </w:r>
                    <w:r>
                      <w:rPr>
                        <w:rFonts w:cs="Times New Roman"/>
                        <w:sz w:val="28"/>
                        <w:szCs w:val="28"/>
                      </w:rPr>
                      <w:fldChar w:fldCharType="begin"/>
                    </w:r>
                    <w:r>
                      <w:rPr>
                        <w:rFonts w:cs="Times New Roman"/>
                        <w:sz w:val="28"/>
                        <w:szCs w:val="28"/>
                      </w:rPr>
                      <w:instrText xml:space="preserve"> PAGE  \* MERGEFORMAT </w:instrText>
                    </w:r>
                    <w:r>
                      <w:rPr>
                        <w:rFonts w:cs="Times New Roman"/>
                        <w:sz w:val="28"/>
                        <w:szCs w:val="28"/>
                      </w:rPr>
                      <w:fldChar w:fldCharType="separate"/>
                    </w:r>
                    <w:r>
                      <w:rPr>
                        <w:rFonts w:cs="Times New Roman"/>
                        <w:sz w:val="28"/>
                        <w:szCs w:val="28"/>
                      </w:rPr>
                      <w:t>108</w:t>
                    </w:r>
                    <w:r>
                      <w:rPr>
                        <w:rFonts w:cs="Times New Roman"/>
                        <w:sz w:val="28"/>
                        <w:szCs w:val="28"/>
                      </w:rPr>
                      <w:fldChar w:fldCharType="end"/>
                    </w:r>
                    <w:r>
                      <w:rPr>
                        <w:rFonts w:hint="eastAsia" w:cs="Times New Roman"/>
                        <w:sz w:val="28"/>
                        <w:szCs w:val="28"/>
                      </w:rPr>
                      <w:t xml:space="preserve"> —</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hint="eastAsia" w:ascii="仿宋_GB2312" w:eastAsia="仿宋_GB2312"/>
        <w:sz w:val="28"/>
      </w:rPr>
      <w:id w:val="-79841562"/>
    </w:sdtPr>
    <w:sdtEndPr>
      <w:rPr>
        <w:rFonts w:hint="eastAsia" w:ascii="仿宋_GB2312" w:eastAsia="仿宋_GB2312"/>
        <w:sz w:val="28"/>
      </w:rPr>
    </w:sdtEndPr>
    <w:sdtContent>
      <w:p>
        <w:pPr>
          <w:pStyle w:val="13"/>
          <w:jc w:val="center"/>
          <w:rPr>
            <w:rFonts w:ascii="仿宋_GB2312" w:eastAsia="仿宋_GB2312"/>
            <w:sz w:val="28"/>
          </w:rPr>
        </w:pPr>
        <w:r>
          <w:rPr>
            <w:rFonts w:hint="eastAsia" w:ascii="仿宋_GB2312" w:eastAsia="仿宋_GB2312"/>
            <w:sz w:val="28"/>
          </w:rPr>
          <w:t xml:space="preserve">— </w:t>
        </w:r>
        <w:r>
          <w:rPr>
            <w:rFonts w:hint="eastAsia" w:ascii="仿宋_GB2312" w:eastAsia="仿宋_GB2312"/>
            <w:sz w:val="28"/>
          </w:rPr>
          <w:fldChar w:fldCharType="begin"/>
        </w:r>
        <w:r>
          <w:rPr>
            <w:rFonts w:hint="eastAsia" w:ascii="仿宋_GB2312" w:eastAsia="仿宋_GB2312"/>
            <w:sz w:val="28"/>
          </w:rPr>
          <w:instrText xml:space="preserve">PAGE   \* MERGEFORMAT</w:instrText>
        </w:r>
        <w:r>
          <w:rPr>
            <w:rFonts w:hint="eastAsia" w:ascii="仿宋_GB2312" w:eastAsia="仿宋_GB2312"/>
            <w:sz w:val="28"/>
          </w:rPr>
          <w:fldChar w:fldCharType="separate"/>
        </w:r>
        <w:r>
          <w:rPr>
            <w:rFonts w:ascii="仿宋_GB2312" w:eastAsia="仿宋_GB2312"/>
            <w:sz w:val="28"/>
            <w:lang w:val="zh-CN"/>
          </w:rPr>
          <w:t>142</w:t>
        </w:r>
        <w:r>
          <w:rPr>
            <w:rFonts w:hint="eastAsia" w:ascii="仿宋_GB2312" w:eastAsia="仿宋_GB2312"/>
            <w:sz w:val="28"/>
          </w:rPr>
          <w:fldChar w:fldCharType="end"/>
        </w:r>
        <w:r>
          <w:rPr>
            <w:rFonts w:ascii="仿宋_GB2312" w:eastAsia="仿宋_GB2312"/>
            <w:sz w:val="28"/>
          </w:rPr>
          <w:t xml:space="preserve"> </w:t>
        </w:r>
        <w:r>
          <w:rPr>
            <w:rFonts w:hint="eastAsia" w:ascii="仿宋_GB2312" w:eastAsia="仿宋_GB2312"/>
            <w:sz w:val="28"/>
          </w:rPr>
          <w:t>—</w:t>
        </w:r>
      </w:p>
    </w:sdtContent>
  </w:sdt>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TrueTypeFonts/>
  <w:embedSystemFonts/>
  <w:hideSpellingErrors/>
  <w:trackRevisions w:val="true"/>
  <w:documentProtection w:enforcement="0"/>
  <w:defaultTabStop w:val="420"/>
  <w:drawingGridHorizontalSpacing w:val="105"/>
  <w:drawingGridVerticalSpacing w:val="156"/>
  <w:noPunctuationKerning w:val="true"/>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1016"/>
    <w:rsid w:val="00014A4C"/>
    <w:rsid w:val="00026002"/>
    <w:rsid w:val="00031A2C"/>
    <w:rsid w:val="00035984"/>
    <w:rsid w:val="00054F01"/>
    <w:rsid w:val="00056588"/>
    <w:rsid w:val="00080F1F"/>
    <w:rsid w:val="00080F88"/>
    <w:rsid w:val="00087BB4"/>
    <w:rsid w:val="00094C9E"/>
    <w:rsid w:val="000B2285"/>
    <w:rsid w:val="000C06A0"/>
    <w:rsid w:val="000C7725"/>
    <w:rsid w:val="000D55F2"/>
    <w:rsid w:val="000F275D"/>
    <w:rsid w:val="001048C7"/>
    <w:rsid w:val="00124C28"/>
    <w:rsid w:val="00125A7C"/>
    <w:rsid w:val="001424CC"/>
    <w:rsid w:val="00143831"/>
    <w:rsid w:val="00150D50"/>
    <w:rsid w:val="00174969"/>
    <w:rsid w:val="00176DC4"/>
    <w:rsid w:val="00176DC8"/>
    <w:rsid w:val="00187930"/>
    <w:rsid w:val="0019579E"/>
    <w:rsid w:val="001C228A"/>
    <w:rsid w:val="001C6D64"/>
    <w:rsid w:val="001D3145"/>
    <w:rsid w:val="00201C37"/>
    <w:rsid w:val="002023C3"/>
    <w:rsid w:val="0021046F"/>
    <w:rsid w:val="00211119"/>
    <w:rsid w:val="00212F37"/>
    <w:rsid w:val="00213C63"/>
    <w:rsid w:val="002163A1"/>
    <w:rsid w:val="0022427B"/>
    <w:rsid w:val="00230A1E"/>
    <w:rsid w:val="002410F1"/>
    <w:rsid w:val="00243166"/>
    <w:rsid w:val="00243EBC"/>
    <w:rsid w:val="00247A38"/>
    <w:rsid w:val="00257C8F"/>
    <w:rsid w:val="002640E4"/>
    <w:rsid w:val="00264937"/>
    <w:rsid w:val="00276935"/>
    <w:rsid w:val="00282D26"/>
    <w:rsid w:val="002A385A"/>
    <w:rsid w:val="002B569B"/>
    <w:rsid w:val="002B7845"/>
    <w:rsid w:val="002D0020"/>
    <w:rsid w:val="002F1CEB"/>
    <w:rsid w:val="002F7162"/>
    <w:rsid w:val="00304F9A"/>
    <w:rsid w:val="0033100D"/>
    <w:rsid w:val="003502BC"/>
    <w:rsid w:val="0037532E"/>
    <w:rsid w:val="00376EF8"/>
    <w:rsid w:val="003878A1"/>
    <w:rsid w:val="003A0E16"/>
    <w:rsid w:val="003A3D90"/>
    <w:rsid w:val="003B06FE"/>
    <w:rsid w:val="003B2DA2"/>
    <w:rsid w:val="003B6373"/>
    <w:rsid w:val="003E4139"/>
    <w:rsid w:val="003F76DC"/>
    <w:rsid w:val="00402039"/>
    <w:rsid w:val="00420B56"/>
    <w:rsid w:val="00427FE8"/>
    <w:rsid w:val="0043367F"/>
    <w:rsid w:val="00434A18"/>
    <w:rsid w:val="0044052A"/>
    <w:rsid w:val="0045080C"/>
    <w:rsid w:val="00452987"/>
    <w:rsid w:val="00456D87"/>
    <w:rsid w:val="004611C0"/>
    <w:rsid w:val="00462773"/>
    <w:rsid w:val="004654E5"/>
    <w:rsid w:val="00467820"/>
    <w:rsid w:val="004A719E"/>
    <w:rsid w:val="004C0A1B"/>
    <w:rsid w:val="004C52C7"/>
    <w:rsid w:val="004C68DC"/>
    <w:rsid w:val="004E7C56"/>
    <w:rsid w:val="004E7E2E"/>
    <w:rsid w:val="005105AE"/>
    <w:rsid w:val="005405BB"/>
    <w:rsid w:val="00546BCD"/>
    <w:rsid w:val="005506C0"/>
    <w:rsid w:val="00552129"/>
    <w:rsid w:val="00556815"/>
    <w:rsid w:val="0057122E"/>
    <w:rsid w:val="00576639"/>
    <w:rsid w:val="00576995"/>
    <w:rsid w:val="00586913"/>
    <w:rsid w:val="005965B5"/>
    <w:rsid w:val="00597021"/>
    <w:rsid w:val="005B4B2B"/>
    <w:rsid w:val="005C2B8B"/>
    <w:rsid w:val="005D3562"/>
    <w:rsid w:val="005D51AE"/>
    <w:rsid w:val="005E395D"/>
    <w:rsid w:val="00603DAB"/>
    <w:rsid w:val="006179E0"/>
    <w:rsid w:val="00622C50"/>
    <w:rsid w:val="006264FB"/>
    <w:rsid w:val="006308D6"/>
    <w:rsid w:val="00636D50"/>
    <w:rsid w:val="00641F66"/>
    <w:rsid w:val="006521B9"/>
    <w:rsid w:val="00655F7D"/>
    <w:rsid w:val="00680669"/>
    <w:rsid w:val="006868C3"/>
    <w:rsid w:val="006A2801"/>
    <w:rsid w:val="006C2912"/>
    <w:rsid w:val="006E43CA"/>
    <w:rsid w:val="007078F0"/>
    <w:rsid w:val="00714928"/>
    <w:rsid w:val="007208DF"/>
    <w:rsid w:val="0072242C"/>
    <w:rsid w:val="00722613"/>
    <w:rsid w:val="007353BC"/>
    <w:rsid w:val="00740234"/>
    <w:rsid w:val="007461F2"/>
    <w:rsid w:val="0075068B"/>
    <w:rsid w:val="00754A24"/>
    <w:rsid w:val="007B0AF5"/>
    <w:rsid w:val="007F6A88"/>
    <w:rsid w:val="008073A6"/>
    <w:rsid w:val="00813651"/>
    <w:rsid w:val="008152E0"/>
    <w:rsid w:val="0082132C"/>
    <w:rsid w:val="00823D1A"/>
    <w:rsid w:val="00826CB8"/>
    <w:rsid w:val="008370EC"/>
    <w:rsid w:val="00850CE5"/>
    <w:rsid w:val="0085158A"/>
    <w:rsid w:val="00860CD9"/>
    <w:rsid w:val="00861025"/>
    <w:rsid w:val="008738B6"/>
    <w:rsid w:val="00887311"/>
    <w:rsid w:val="008A2671"/>
    <w:rsid w:val="008C3693"/>
    <w:rsid w:val="008C3820"/>
    <w:rsid w:val="008D3E86"/>
    <w:rsid w:val="008D72CB"/>
    <w:rsid w:val="008E3438"/>
    <w:rsid w:val="008F5B8D"/>
    <w:rsid w:val="009107D3"/>
    <w:rsid w:val="009322DC"/>
    <w:rsid w:val="00932753"/>
    <w:rsid w:val="0095301F"/>
    <w:rsid w:val="00954EFD"/>
    <w:rsid w:val="0095713E"/>
    <w:rsid w:val="00960100"/>
    <w:rsid w:val="0097376E"/>
    <w:rsid w:val="009747B0"/>
    <w:rsid w:val="00980251"/>
    <w:rsid w:val="009821A5"/>
    <w:rsid w:val="009A1C00"/>
    <w:rsid w:val="009A4E10"/>
    <w:rsid w:val="009A76B3"/>
    <w:rsid w:val="009B5E75"/>
    <w:rsid w:val="009C5F38"/>
    <w:rsid w:val="009F1236"/>
    <w:rsid w:val="00A0284B"/>
    <w:rsid w:val="00A10E6A"/>
    <w:rsid w:val="00A179F4"/>
    <w:rsid w:val="00A24EF1"/>
    <w:rsid w:val="00A35DDC"/>
    <w:rsid w:val="00A3713A"/>
    <w:rsid w:val="00A509A0"/>
    <w:rsid w:val="00A51A8E"/>
    <w:rsid w:val="00A53AFE"/>
    <w:rsid w:val="00A6245F"/>
    <w:rsid w:val="00A71676"/>
    <w:rsid w:val="00AA7DFB"/>
    <w:rsid w:val="00AB1016"/>
    <w:rsid w:val="00AE289D"/>
    <w:rsid w:val="00AF6019"/>
    <w:rsid w:val="00B000B9"/>
    <w:rsid w:val="00B02A82"/>
    <w:rsid w:val="00B06032"/>
    <w:rsid w:val="00B1136E"/>
    <w:rsid w:val="00B11951"/>
    <w:rsid w:val="00B300D3"/>
    <w:rsid w:val="00B31CB4"/>
    <w:rsid w:val="00B41527"/>
    <w:rsid w:val="00B4505F"/>
    <w:rsid w:val="00B46064"/>
    <w:rsid w:val="00B505F0"/>
    <w:rsid w:val="00B531C3"/>
    <w:rsid w:val="00B62291"/>
    <w:rsid w:val="00B752B3"/>
    <w:rsid w:val="00B96A70"/>
    <w:rsid w:val="00BA6022"/>
    <w:rsid w:val="00BB75AB"/>
    <w:rsid w:val="00BC6077"/>
    <w:rsid w:val="00BD1C76"/>
    <w:rsid w:val="00BD3FB4"/>
    <w:rsid w:val="00BE66A4"/>
    <w:rsid w:val="00BF206C"/>
    <w:rsid w:val="00C3027F"/>
    <w:rsid w:val="00C444E4"/>
    <w:rsid w:val="00C52E49"/>
    <w:rsid w:val="00C56685"/>
    <w:rsid w:val="00C72F91"/>
    <w:rsid w:val="00C77755"/>
    <w:rsid w:val="00C82409"/>
    <w:rsid w:val="00CC6659"/>
    <w:rsid w:val="00D01F13"/>
    <w:rsid w:val="00D12DB6"/>
    <w:rsid w:val="00D234CB"/>
    <w:rsid w:val="00D24AD6"/>
    <w:rsid w:val="00D3609C"/>
    <w:rsid w:val="00D4172C"/>
    <w:rsid w:val="00D43A74"/>
    <w:rsid w:val="00D5428F"/>
    <w:rsid w:val="00D84C08"/>
    <w:rsid w:val="00DB1D8E"/>
    <w:rsid w:val="00DD4B1C"/>
    <w:rsid w:val="00DD7BF0"/>
    <w:rsid w:val="00DE45E0"/>
    <w:rsid w:val="00DF45DA"/>
    <w:rsid w:val="00E0066B"/>
    <w:rsid w:val="00E13D86"/>
    <w:rsid w:val="00E162C3"/>
    <w:rsid w:val="00E251C6"/>
    <w:rsid w:val="00E5528E"/>
    <w:rsid w:val="00E57B25"/>
    <w:rsid w:val="00E82A3F"/>
    <w:rsid w:val="00E87DC8"/>
    <w:rsid w:val="00E87EA8"/>
    <w:rsid w:val="00E90AAA"/>
    <w:rsid w:val="00EB4666"/>
    <w:rsid w:val="00EB647D"/>
    <w:rsid w:val="00ED4199"/>
    <w:rsid w:val="00EE4068"/>
    <w:rsid w:val="00F23721"/>
    <w:rsid w:val="00F504B4"/>
    <w:rsid w:val="00F56371"/>
    <w:rsid w:val="00F73374"/>
    <w:rsid w:val="00F73F47"/>
    <w:rsid w:val="00F94836"/>
    <w:rsid w:val="00F94B60"/>
    <w:rsid w:val="00F975D6"/>
    <w:rsid w:val="00FA460F"/>
    <w:rsid w:val="00FB0583"/>
    <w:rsid w:val="00FC229A"/>
    <w:rsid w:val="00FC236B"/>
    <w:rsid w:val="00FD37CA"/>
    <w:rsid w:val="00FD7917"/>
    <w:rsid w:val="00FF1152"/>
    <w:rsid w:val="00FF3B51"/>
    <w:rsid w:val="00FF7999"/>
    <w:rsid w:val="01094653"/>
    <w:rsid w:val="012E466A"/>
    <w:rsid w:val="0136557F"/>
    <w:rsid w:val="016A6DA0"/>
    <w:rsid w:val="018E7169"/>
    <w:rsid w:val="01A138CC"/>
    <w:rsid w:val="01A92BB7"/>
    <w:rsid w:val="01DB4675"/>
    <w:rsid w:val="02D01EA2"/>
    <w:rsid w:val="0328714A"/>
    <w:rsid w:val="03500260"/>
    <w:rsid w:val="035E55FE"/>
    <w:rsid w:val="03823150"/>
    <w:rsid w:val="0385634A"/>
    <w:rsid w:val="03D435E7"/>
    <w:rsid w:val="041D4259"/>
    <w:rsid w:val="04296AF1"/>
    <w:rsid w:val="045E1710"/>
    <w:rsid w:val="047648DD"/>
    <w:rsid w:val="04AE73E4"/>
    <w:rsid w:val="04D56E5D"/>
    <w:rsid w:val="052B2F14"/>
    <w:rsid w:val="056F72B2"/>
    <w:rsid w:val="0573545D"/>
    <w:rsid w:val="05C67E67"/>
    <w:rsid w:val="05E82BC0"/>
    <w:rsid w:val="060A70A7"/>
    <w:rsid w:val="064C0A65"/>
    <w:rsid w:val="067B11C0"/>
    <w:rsid w:val="068C5762"/>
    <w:rsid w:val="069A72E4"/>
    <w:rsid w:val="07196590"/>
    <w:rsid w:val="072444E5"/>
    <w:rsid w:val="0726298E"/>
    <w:rsid w:val="072638ED"/>
    <w:rsid w:val="07653B0B"/>
    <w:rsid w:val="078B5EF9"/>
    <w:rsid w:val="07D42AA3"/>
    <w:rsid w:val="07D540C1"/>
    <w:rsid w:val="08236FF3"/>
    <w:rsid w:val="08997829"/>
    <w:rsid w:val="08B12E81"/>
    <w:rsid w:val="08E63247"/>
    <w:rsid w:val="09020348"/>
    <w:rsid w:val="09403496"/>
    <w:rsid w:val="09647219"/>
    <w:rsid w:val="098826F0"/>
    <w:rsid w:val="099E04B4"/>
    <w:rsid w:val="09B51B61"/>
    <w:rsid w:val="09DF1412"/>
    <w:rsid w:val="09E10052"/>
    <w:rsid w:val="0A6767AA"/>
    <w:rsid w:val="0A876E4C"/>
    <w:rsid w:val="0AF93466"/>
    <w:rsid w:val="0B673A93"/>
    <w:rsid w:val="0B772A1C"/>
    <w:rsid w:val="0BA457DB"/>
    <w:rsid w:val="0BCD5F45"/>
    <w:rsid w:val="0C4C4BFA"/>
    <w:rsid w:val="0C8925FB"/>
    <w:rsid w:val="0D705975"/>
    <w:rsid w:val="0DF82399"/>
    <w:rsid w:val="0E022C34"/>
    <w:rsid w:val="0E0D1B45"/>
    <w:rsid w:val="0E547045"/>
    <w:rsid w:val="0E68540D"/>
    <w:rsid w:val="0E7917D2"/>
    <w:rsid w:val="0E8518F4"/>
    <w:rsid w:val="0F1775B4"/>
    <w:rsid w:val="0FA70040"/>
    <w:rsid w:val="0FA813C0"/>
    <w:rsid w:val="0FF9034F"/>
    <w:rsid w:val="104306D6"/>
    <w:rsid w:val="10521CAA"/>
    <w:rsid w:val="110006C9"/>
    <w:rsid w:val="116752E1"/>
    <w:rsid w:val="116E48C1"/>
    <w:rsid w:val="1190200E"/>
    <w:rsid w:val="11D64C17"/>
    <w:rsid w:val="11EB7E9A"/>
    <w:rsid w:val="11FA7541"/>
    <w:rsid w:val="12076CA5"/>
    <w:rsid w:val="120F3367"/>
    <w:rsid w:val="123C2A45"/>
    <w:rsid w:val="12407FAA"/>
    <w:rsid w:val="124A6D46"/>
    <w:rsid w:val="125D4A91"/>
    <w:rsid w:val="12B400C2"/>
    <w:rsid w:val="12BD15BF"/>
    <w:rsid w:val="13654854"/>
    <w:rsid w:val="138A0BB7"/>
    <w:rsid w:val="13F01035"/>
    <w:rsid w:val="15BE6DAC"/>
    <w:rsid w:val="166767A4"/>
    <w:rsid w:val="17D46660"/>
    <w:rsid w:val="17E77DC9"/>
    <w:rsid w:val="182244E5"/>
    <w:rsid w:val="183420DA"/>
    <w:rsid w:val="18583BD5"/>
    <w:rsid w:val="18586850"/>
    <w:rsid w:val="192D1C36"/>
    <w:rsid w:val="19670574"/>
    <w:rsid w:val="197A28E2"/>
    <w:rsid w:val="197E066E"/>
    <w:rsid w:val="1A703F17"/>
    <w:rsid w:val="1A886ACE"/>
    <w:rsid w:val="1A9A04D5"/>
    <w:rsid w:val="1ABF31AA"/>
    <w:rsid w:val="1B235307"/>
    <w:rsid w:val="1BE52249"/>
    <w:rsid w:val="1C0344CD"/>
    <w:rsid w:val="1C055D34"/>
    <w:rsid w:val="1C0E2EC8"/>
    <w:rsid w:val="1C124D24"/>
    <w:rsid w:val="1C47643B"/>
    <w:rsid w:val="1C5D61C2"/>
    <w:rsid w:val="1CC47A8B"/>
    <w:rsid w:val="1CC54EDE"/>
    <w:rsid w:val="1CDA0E35"/>
    <w:rsid w:val="1D1E6063"/>
    <w:rsid w:val="1D272DEB"/>
    <w:rsid w:val="1D281406"/>
    <w:rsid w:val="1D2B688B"/>
    <w:rsid w:val="1D615C7E"/>
    <w:rsid w:val="1D7278D3"/>
    <w:rsid w:val="1D785701"/>
    <w:rsid w:val="1DB119D4"/>
    <w:rsid w:val="1E18008F"/>
    <w:rsid w:val="1E413AA8"/>
    <w:rsid w:val="1EB666E9"/>
    <w:rsid w:val="1F3548F1"/>
    <w:rsid w:val="1F7A6206"/>
    <w:rsid w:val="1FB06153"/>
    <w:rsid w:val="1FB15454"/>
    <w:rsid w:val="1FB77FAC"/>
    <w:rsid w:val="1FBA3746"/>
    <w:rsid w:val="20110680"/>
    <w:rsid w:val="20461F18"/>
    <w:rsid w:val="2081449E"/>
    <w:rsid w:val="20C6696E"/>
    <w:rsid w:val="212B54E8"/>
    <w:rsid w:val="21332A32"/>
    <w:rsid w:val="21BF6A73"/>
    <w:rsid w:val="21DC5711"/>
    <w:rsid w:val="22193B23"/>
    <w:rsid w:val="22553C2E"/>
    <w:rsid w:val="229F6CCB"/>
    <w:rsid w:val="22C47BCB"/>
    <w:rsid w:val="22F31F3C"/>
    <w:rsid w:val="232476B9"/>
    <w:rsid w:val="232C0139"/>
    <w:rsid w:val="234341A0"/>
    <w:rsid w:val="234B4D5C"/>
    <w:rsid w:val="2358645D"/>
    <w:rsid w:val="23A0240A"/>
    <w:rsid w:val="23D762F6"/>
    <w:rsid w:val="23E1302D"/>
    <w:rsid w:val="241475D6"/>
    <w:rsid w:val="24480FA2"/>
    <w:rsid w:val="245E7561"/>
    <w:rsid w:val="24897F91"/>
    <w:rsid w:val="24A67D31"/>
    <w:rsid w:val="24DB640B"/>
    <w:rsid w:val="24FE5B05"/>
    <w:rsid w:val="255E7888"/>
    <w:rsid w:val="25EE4E2F"/>
    <w:rsid w:val="26802C3B"/>
    <w:rsid w:val="269107D4"/>
    <w:rsid w:val="269328C3"/>
    <w:rsid w:val="26AD77E2"/>
    <w:rsid w:val="26EB3E67"/>
    <w:rsid w:val="271B6840"/>
    <w:rsid w:val="271D04C4"/>
    <w:rsid w:val="27D41C77"/>
    <w:rsid w:val="28335AC5"/>
    <w:rsid w:val="28C11323"/>
    <w:rsid w:val="28FC2C67"/>
    <w:rsid w:val="29251A6C"/>
    <w:rsid w:val="295220BC"/>
    <w:rsid w:val="29AC03B5"/>
    <w:rsid w:val="29F51BA9"/>
    <w:rsid w:val="2A2132F4"/>
    <w:rsid w:val="2A351FC9"/>
    <w:rsid w:val="2A385C74"/>
    <w:rsid w:val="2A990488"/>
    <w:rsid w:val="2AF9470D"/>
    <w:rsid w:val="2B0E58B3"/>
    <w:rsid w:val="2B2A31B0"/>
    <w:rsid w:val="2B8F49DA"/>
    <w:rsid w:val="2BB056EB"/>
    <w:rsid w:val="2C8E4C42"/>
    <w:rsid w:val="2CAA0A5A"/>
    <w:rsid w:val="2CBE5D0E"/>
    <w:rsid w:val="2CE72BA6"/>
    <w:rsid w:val="2D9214E0"/>
    <w:rsid w:val="2DB8031C"/>
    <w:rsid w:val="2DD860DC"/>
    <w:rsid w:val="2E4074F1"/>
    <w:rsid w:val="2E5073D1"/>
    <w:rsid w:val="2EAC554A"/>
    <w:rsid w:val="2EDF7FDA"/>
    <w:rsid w:val="2F9C6646"/>
    <w:rsid w:val="302C66D5"/>
    <w:rsid w:val="30420F9B"/>
    <w:rsid w:val="307B4C03"/>
    <w:rsid w:val="30980F50"/>
    <w:rsid w:val="311B701D"/>
    <w:rsid w:val="31D24E54"/>
    <w:rsid w:val="321878BB"/>
    <w:rsid w:val="32691BD8"/>
    <w:rsid w:val="326A47D9"/>
    <w:rsid w:val="32B35E00"/>
    <w:rsid w:val="32D3479C"/>
    <w:rsid w:val="32E4633A"/>
    <w:rsid w:val="32E90CEF"/>
    <w:rsid w:val="32F01183"/>
    <w:rsid w:val="337C2A16"/>
    <w:rsid w:val="337E22EA"/>
    <w:rsid w:val="34482C4D"/>
    <w:rsid w:val="3479582F"/>
    <w:rsid w:val="348002E4"/>
    <w:rsid w:val="34801861"/>
    <w:rsid w:val="34B40E55"/>
    <w:rsid w:val="34C06933"/>
    <w:rsid w:val="35256776"/>
    <w:rsid w:val="354258EB"/>
    <w:rsid w:val="35543633"/>
    <w:rsid w:val="363E6B4A"/>
    <w:rsid w:val="36444420"/>
    <w:rsid w:val="367F5E2B"/>
    <w:rsid w:val="36D32098"/>
    <w:rsid w:val="37451BA0"/>
    <w:rsid w:val="37490A1E"/>
    <w:rsid w:val="375E6C8F"/>
    <w:rsid w:val="376665E7"/>
    <w:rsid w:val="376F634F"/>
    <w:rsid w:val="37740825"/>
    <w:rsid w:val="37873738"/>
    <w:rsid w:val="381B0A50"/>
    <w:rsid w:val="382611A3"/>
    <w:rsid w:val="38836865"/>
    <w:rsid w:val="388C7258"/>
    <w:rsid w:val="39074B30"/>
    <w:rsid w:val="39167469"/>
    <w:rsid w:val="392E1981"/>
    <w:rsid w:val="39316051"/>
    <w:rsid w:val="39C77313"/>
    <w:rsid w:val="39E95C7B"/>
    <w:rsid w:val="3A222605"/>
    <w:rsid w:val="3ADD143B"/>
    <w:rsid w:val="3B2110C0"/>
    <w:rsid w:val="3BFE11E7"/>
    <w:rsid w:val="3C091B7B"/>
    <w:rsid w:val="3C545B26"/>
    <w:rsid w:val="3C95467F"/>
    <w:rsid w:val="3CA408E8"/>
    <w:rsid w:val="3CB925E5"/>
    <w:rsid w:val="3D2802C1"/>
    <w:rsid w:val="3D3849EA"/>
    <w:rsid w:val="3D536400"/>
    <w:rsid w:val="3D9D0801"/>
    <w:rsid w:val="3DA36040"/>
    <w:rsid w:val="3DC47F4A"/>
    <w:rsid w:val="3DE51118"/>
    <w:rsid w:val="3E287A22"/>
    <w:rsid w:val="3EBD5A23"/>
    <w:rsid w:val="3ED324B7"/>
    <w:rsid w:val="3EE478AE"/>
    <w:rsid w:val="3EEE34B5"/>
    <w:rsid w:val="3F1221F7"/>
    <w:rsid w:val="3F6B44E7"/>
    <w:rsid w:val="40676A47"/>
    <w:rsid w:val="40741DAD"/>
    <w:rsid w:val="409E3F04"/>
    <w:rsid w:val="40C652D1"/>
    <w:rsid w:val="41032748"/>
    <w:rsid w:val="411C040B"/>
    <w:rsid w:val="417A786D"/>
    <w:rsid w:val="4181748A"/>
    <w:rsid w:val="419C45FD"/>
    <w:rsid w:val="41CE268F"/>
    <w:rsid w:val="423331B8"/>
    <w:rsid w:val="426F414B"/>
    <w:rsid w:val="42A00510"/>
    <w:rsid w:val="430B7913"/>
    <w:rsid w:val="43197979"/>
    <w:rsid w:val="432E070E"/>
    <w:rsid w:val="43370708"/>
    <w:rsid w:val="43B35DE1"/>
    <w:rsid w:val="43D30430"/>
    <w:rsid w:val="43EB307E"/>
    <w:rsid w:val="445E272C"/>
    <w:rsid w:val="447E7B86"/>
    <w:rsid w:val="44984C5D"/>
    <w:rsid w:val="44A65BEB"/>
    <w:rsid w:val="451064A2"/>
    <w:rsid w:val="4516491B"/>
    <w:rsid w:val="459F2A47"/>
    <w:rsid w:val="45CF69D6"/>
    <w:rsid w:val="461F08F2"/>
    <w:rsid w:val="463232A2"/>
    <w:rsid w:val="467F2053"/>
    <w:rsid w:val="46914611"/>
    <w:rsid w:val="469F0A9E"/>
    <w:rsid w:val="46F838A8"/>
    <w:rsid w:val="47370CD6"/>
    <w:rsid w:val="47574ED5"/>
    <w:rsid w:val="481826A5"/>
    <w:rsid w:val="485A280A"/>
    <w:rsid w:val="4872030E"/>
    <w:rsid w:val="48781284"/>
    <w:rsid w:val="48BE3F25"/>
    <w:rsid w:val="49060960"/>
    <w:rsid w:val="49125049"/>
    <w:rsid w:val="49615D80"/>
    <w:rsid w:val="498413E9"/>
    <w:rsid w:val="49F46D6C"/>
    <w:rsid w:val="4A161077"/>
    <w:rsid w:val="4A5910A7"/>
    <w:rsid w:val="4B026900"/>
    <w:rsid w:val="4B045842"/>
    <w:rsid w:val="4B200F08"/>
    <w:rsid w:val="4B2A1C81"/>
    <w:rsid w:val="4B376B82"/>
    <w:rsid w:val="4B723914"/>
    <w:rsid w:val="4BB072A9"/>
    <w:rsid w:val="4C1C659D"/>
    <w:rsid w:val="4C4334E7"/>
    <w:rsid w:val="4C577725"/>
    <w:rsid w:val="4C6C31D0"/>
    <w:rsid w:val="4D0F661B"/>
    <w:rsid w:val="4D2758DE"/>
    <w:rsid w:val="4D801712"/>
    <w:rsid w:val="4D8A3599"/>
    <w:rsid w:val="4DDA4EF5"/>
    <w:rsid w:val="4E116D2E"/>
    <w:rsid w:val="4E3E6DEE"/>
    <w:rsid w:val="4E54487A"/>
    <w:rsid w:val="4E696E03"/>
    <w:rsid w:val="4E7520E4"/>
    <w:rsid w:val="4E8567CB"/>
    <w:rsid w:val="4EA10132"/>
    <w:rsid w:val="4EAD187E"/>
    <w:rsid w:val="4EAF55F6"/>
    <w:rsid w:val="4EB42C0C"/>
    <w:rsid w:val="4FAE7319"/>
    <w:rsid w:val="5003209D"/>
    <w:rsid w:val="50032F9B"/>
    <w:rsid w:val="50173C3E"/>
    <w:rsid w:val="5046098C"/>
    <w:rsid w:val="50903205"/>
    <w:rsid w:val="50EE11C2"/>
    <w:rsid w:val="514C537E"/>
    <w:rsid w:val="515F70FE"/>
    <w:rsid w:val="516F72BF"/>
    <w:rsid w:val="5184518B"/>
    <w:rsid w:val="51CC64BF"/>
    <w:rsid w:val="51E51615"/>
    <w:rsid w:val="51ED564D"/>
    <w:rsid w:val="523A6198"/>
    <w:rsid w:val="52F01908"/>
    <w:rsid w:val="53931C74"/>
    <w:rsid w:val="540973E5"/>
    <w:rsid w:val="54C771CC"/>
    <w:rsid w:val="54D9543E"/>
    <w:rsid w:val="54DB7D24"/>
    <w:rsid w:val="54F31C6C"/>
    <w:rsid w:val="55175A1F"/>
    <w:rsid w:val="55321460"/>
    <w:rsid w:val="55A40040"/>
    <w:rsid w:val="55EF5E93"/>
    <w:rsid w:val="5617739C"/>
    <w:rsid w:val="563F4049"/>
    <w:rsid w:val="56933A4F"/>
    <w:rsid w:val="56B952F1"/>
    <w:rsid w:val="578C0BCA"/>
    <w:rsid w:val="57EC7AE2"/>
    <w:rsid w:val="5866766D"/>
    <w:rsid w:val="586C3850"/>
    <w:rsid w:val="589720B6"/>
    <w:rsid w:val="58BF28DA"/>
    <w:rsid w:val="58F92290"/>
    <w:rsid w:val="58FC3B2E"/>
    <w:rsid w:val="596E1E8F"/>
    <w:rsid w:val="59836092"/>
    <w:rsid w:val="59926240"/>
    <w:rsid w:val="59A9764B"/>
    <w:rsid w:val="59FF4E77"/>
    <w:rsid w:val="5A086B76"/>
    <w:rsid w:val="5A3A517B"/>
    <w:rsid w:val="5A4B6D23"/>
    <w:rsid w:val="5A5A56D2"/>
    <w:rsid w:val="5A640094"/>
    <w:rsid w:val="5A6C2FE9"/>
    <w:rsid w:val="5AAD0CC9"/>
    <w:rsid w:val="5AEE34C1"/>
    <w:rsid w:val="5B1E48EE"/>
    <w:rsid w:val="5B3A26EB"/>
    <w:rsid w:val="5B7D4A55"/>
    <w:rsid w:val="5BA220B9"/>
    <w:rsid w:val="5BAB2824"/>
    <w:rsid w:val="5BC07095"/>
    <w:rsid w:val="5BCB2C56"/>
    <w:rsid w:val="5C0C7B09"/>
    <w:rsid w:val="5C563555"/>
    <w:rsid w:val="5C742ECB"/>
    <w:rsid w:val="5C9A3482"/>
    <w:rsid w:val="5D2660FE"/>
    <w:rsid w:val="5D35760E"/>
    <w:rsid w:val="5DF23751"/>
    <w:rsid w:val="5E043498"/>
    <w:rsid w:val="5E0E75A4"/>
    <w:rsid w:val="5E2B2110"/>
    <w:rsid w:val="5EBF2DAC"/>
    <w:rsid w:val="5F3B285E"/>
    <w:rsid w:val="5F762002"/>
    <w:rsid w:val="5F853E5C"/>
    <w:rsid w:val="5FA35602"/>
    <w:rsid w:val="5FC01EE5"/>
    <w:rsid w:val="5FF169ED"/>
    <w:rsid w:val="5FF341C4"/>
    <w:rsid w:val="602446D4"/>
    <w:rsid w:val="60536729"/>
    <w:rsid w:val="60726D03"/>
    <w:rsid w:val="60BD73FF"/>
    <w:rsid w:val="611B3CDB"/>
    <w:rsid w:val="612A517C"/>
    <w:rsid w:val="61B2165D"/>
    <w:rsid w:val="62212560"/>
    <w:rsid w:val="62B070EA"/>
    <w:rsid w:val="62E31191"/>
    <w:rsid w:val="63133F4E"/>
    <w:rsid w:val="63203DE3"/>
    <w:rsid w:val="6327608E"/>
    <w:rsid w:val="63A7263F"/>
    <w:rsid w:val="64900A85"/>
    <w:rsid w:val="64927EA9"/>
    <w:rsid w:val="64B92960"/>
    <w:rsid w:val="64EB2B08"/>
    <w:rsid w:val="65206DF6"/>
    <w:rsid w:val="65575AF8"/>
    <w:rsid w:val="65BD20CA"/>
    <w:rsid w:val="65D209A1"/>
    <w:rsid w:val="663A7A43"/>
    <w:rsid w:val="66E624FD"/>
    <w:rsid w:val="66E875D9"/>
    <w:rsid w:val="670B1518"/>
    <w:rsid w:val="67852F40"/>
    <w:rsid w:val="67AC1177"/>
    <w:rsid w:val="688F2DFD"/>
    <w:rsid w:val="6892092C"/>
    <w:rsid w:val="68BE36F5"/>
    <w:rsid w:val="68F33602"/>
    <w:rsid w:val="692E3D88"/>
    <w:rsid w:val="694A5C72"/>
    <w:rsid w:val="6A356EA0"/>
    <w:rsid w:val="6A4B2240"/>
    <w:rsid w:val="6A796E0D"/>
    <w:rsid w:val="6A8D2838"/>
    <w:rsid w:val="6AA302AD"/>
    <w:rsid w:val="6AFB6C6A"/>
    <w:rsid w:val="6B197FDC"/>
    <w:rsid w:val="6B1B7E43"/>
    <w:rsid w:val="6B2F1B41"/>
    <w:rsid w:val="6BF8270E"/>
    <w:rsid w:val="6C20689A"/>
    <w:rsid w:val="6C2172F6"/>
    <w:rsid w:val="6C422B89"/>
    <w:rsid w:val="6C4C5815"/>
    <w:rsid w:val="6C816BBB"/>
    <w:rsid w:val="6C905D74"/>
    <w:rsid w:val="6C9A56E0"/>
    <w:rsid w:val="6D8D2CC3"/>
    <w:rsid w:val="6DB620A5"/>
    <w:rsid w:val="6DB81428"/>
    <w:rsid w:val="6DC05D8D"/>
    <w:rsid w:val="6DE55FEB"/>
    <w:rsid w:val="6DED797A"/>
    <w:rsid w:val="6E5042A8"/>
    <w:rsid w:val="6E8C581E"/>
    <w:rsid w:val="6E8E3022"/>
    <w:rsid w:val="6EE17A75"/>
    <w:rsid w:val="6F241860"/>
    <w:rsid w:val="6F5F735E"/>
    <w:rsid w:val="6F997739"/>
    <w:rsid w:val="6F9C351D"/>
    <w:rsid w:val="6FA06B69"/>
    <w:rsid w:val="6FDC292B"/>
    <w:rsid w:val="705C7F38"/>
    <w:rsid w:val="7070428E"/>
    <w:rsid w:val="708F7927"/>
    <w:rsid w:val="70E96EE2"/>
    <w:rsid w:val="70EC5FE7"/>
    <w:rsid w:val="71067406"/>
    <w:rsid w:val="711630E5"/>
    <w:rsid w:val="711F4406"/>
    <w:rsid w:val="71631F89"/>
    <w:rsid w:val="71B04208"/>
    <w:rsid w:val="71B66996"/>
    <w:rsid w:val="71EB2A4E"/>
    <w:rsid w:val="720A00F1"/>
    <w:rsid w:val="726A07F7"/>
    <w:rsid w:val="72E05808"/>
    <w:rsid w:val="73090C06"/>
    <w:rsid w:val="738D5656"/>
    <w:rsid w:val="73CA0659"/>
    <w:rsid w:val="74457086"/>
    <w:rsid w:val="746F7452"/>
    <w:rsid w:val="74B3425A"/>
    <w:rsid w:val="759233F8"/>
    <w:rsid w:val="75D45B21"/>
    <w:rsid w:val="75E41D5D"/>
    <w:rsid w:val="76504D7D"/>
    <w:rsid w:val="767174B1"/>
    <w:rsid w:val="7697757F"/>
    <w:rsid w:val="77106CCA"/>
    <w:rsid w:val="7717539F"/>
    <w:rsid w:val="778925D9"/>
    <w:rsid w:val="779A3713"/>
    <w:rsid w:val="77CA2161"/>
    <w:rsid w:val="77E141C3"/>
    <w:rsid w:val="78463590"/>
    <w:rsid w:val="784A5EBD"/>
    <w:rsid w:val="785C7CED"/>
    <w:rsid w:val="786400C0"/>
    <w:rsid w:val="795F5CE7"/>
    <w:rsid w:val="79664855"/>
    <w:rsid w:val="798E4CE5"/>
    <w:rsid w:val="79AE4579"/>
    <w:rsid w:val="79C66DCE"/>
    <w:rsid w:val="7A08012D"/>
    <w:rsid w:val="7A0C0D05"/>
    <w:rsid w:val="7A7607D1"/>
    <w:rsid w:val="7A9665BE"/>
    <w:rsid w:val="7AA5772A"/>
    <w:rsid w:val="7AA9455B"/>
    <w:rsid w:val="7ADB139D"/>
    <w:rsid w:val="7ADC7CF2"/>
    <w:rsid w:val="7AE06C7C"/>
    <w:rsid w:val="7B4430FC"/>
    <w:rsid w:val="7B505CF9"/>
    <w:rsid w:val="7B6273C9"/>
    <w:rsid w:val="7C60077C"/>
    <w:rsid w:val="7C857813"/>
    <w:rsid w:val="7C8D1210"/>
    <w:rsid w:val="7CFC15A2"/>
    <w:rsid w:val="7D171D18"/>
    <w:rsid w:val="7D6733BC"/>
    <w:rsid w:val="7D8E1B1D"/>
    <w:rsid w:val="7D963E0F"/>
    <w:rsid w:val="7E0C0769"/>
    <w:rsid w:val="7E5608C6"/>
    <w:rsid w:val="7E7FD519"/>
    <w:rsid w:val="7ECB6946"/>
    <w:rsid w:val="7F482D79"/>
    <w:rsid w:val="7F4E1AFF"/>
    <w:rsid w:val="7F7F1BAA"/>
    <w:rsid w:val="E2BF5D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nhideWhenUsed="0" w:uiPriority="9" w:semiHidden="0" w:name="heading 3"/>
    <w:lsdException w:qFormat="1" w:unhideWhenUsed="0"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qFormat="1"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nhideWhenUsed="0" w:uiPriority="99" w:semiHidden="0" w:name="footnote text"/>
    <w:lsdException w:qFormat="1" w:unhideWhenUsed="0" w:uiPriority="99" w:semiHidden="0" w:name="annotation text"/>
    <w:lsdException w:qFormat="1" w:unhideWhenUsed="0" w:uiPriority="99" w:semiHidden="0" w:name="header"/>
    <w:lsdException w:qFormat="1" w:uiPriority="99" w:semiHidden="0" w:name="footer"/>
    <w:lsdException w:unhideWhenUsed="0" w:uiPriority="0" w:semiHidden="0" w:name="index heading"/>
    <w:lsdException w:qFormat="1" w:unhideWhenUsed="0" w:uiPriority="99" w:semiHidden="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99"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99"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99"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51"/>
    <w:qFormat/>
    <w:uiPriority w:val="9"/>
    <w:pPr>
      <w:keepNext/>
      <w:keepLines/>
      <w:spacing w:line="560" w:lineRule="exact"/>
      <w:outlineLvl w:val="0"/>
    </w:pPr>
    <w:rPr>
      <w:rFonts w:ascii="Times New Roman" w:hAnsi="Times New Roman" w:eastAsia="黑体"/>
      <w:kern w:val="44"/>
      <w:sz w:val="32"/>
      <w:szCs w:val="44"/>
    </w:rPr>
  </w:style>
  <w:style w:type="paragraph" w:styleId="3">
    <w:name w:val="heading 2"/>
    <w:basedOn w:val="1"/>
    <w:next w:val="1"/>
    <w:link w:val="35"/>
    <w:unhideWhenUsed/>
    <w:qFormat/>
    <w:uiPriority w:val="9"/>
    <w:pPr>
      <w:spacing w:beforeAutospacing="1" w:afterAutospacing="1"/>
      <w:jc w:val="left"/>
      <w:outlineLvl w:val="1"/>
    </w:pPr>
    <w:rPr>
      <w:rFonts w:hint="eastAsia" w:ascii="宋体" w:hAnsi="宋体" w:eastAsia="宋体" w:cs="Times New Roman"/>
      <w:b/>
      <w:bCs/>
      <w:kern w:val="0"/>
      <w:sz w:val="36"/>
      <w:szCs w:val="36"/>
    </w:rPr>
  </w:style>
  <w:style w:type="paragraph" w:styleId="4">
    <w:name w:val="heading 3"/>
    <w:basedOn w:val="1"/>
    <w:next w:val="1"/>
    <w:link w:val="33"/>
    <w:qFormat/>
    <w:uiPriority w:val="9"/>
    <w:pPr>
      <w:keepNext/>
      <w:keepLines/>
      <w:spacing w:line="560" w:lineRule="exact"/>
      <w:jc w:val="left"/>
      <w:outlineLvl w:val="2"/>
    </w:pPr>
    <w:rPr>
      <w:rFonts w:ascii="仿宋_GB2312" w:hAnsi="仿宋_GB2312" w:eastAsia="仿宋_GB2312" w:cs="Times New Roman"/>
      <w:sz w:val="32"/>
    </w:rPr>
  </w:style>
  <w:style w:type="paragraph" w:styleId="5">
    <w:name w:val="heading 4"/>
    <w:basedOn w:val="4"/>
    <w:next w:val="1"/>
    <w:link w:val="47"/>
    <w:qFormat/>
    <w:uiPriority w:val="9"/>
    <w:pPr>
      <w:keepNext w:val="0"/>
      <w:keepLines w:val="0"/>
      <w:adjustRightInd w:val="0"/>
      <w:snapToGrid w:val="0"/>
      <w:spacing w:beforeLines="100" w:afterLines="50" w:line="360" w:lineRule="auto"/>
      <w:ind w:left="709" w:hanging="708"/>
      <w:jc w:val="both"/>
      <w:outlineLvl w:val="3"/>
    </w:pPr>
    <w:rPr>
      <w:rFonts w:eastAsia="仿宋" w:asciiTheme="minorHAnsi" w:hAnsiTheme="minorHAnsi" w:cstheme="minorBidi"/>
      <w:b/>
      <w:bCs/>
      <w:kern w:val="44"/>
      <w:sz w:val="21"/>
      <w:szCs w:val="32"/>
    </w:rPr>
  </w:style>
  <w:style w:type="character" w:default="1" w:styleId="25">
    <w:name w:val="Default Paragraph Font"/>
    <w:unhideWhenUsed/>
    <w:qFormat/>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6">
    <w:name w:val="Normal Indent"/>
    <w:basedOn w:val="1"/>
    <w:qFormat/>
    <w:uiPriority w:val="0"/>
    <w:pPr>
      <w:ind w:firstLine="420" w:firstLineChars="200"/>
    </w:pPr>
  </w:style>
  <w:style w:type="paragraph" w:styleId="7">
    <w:name w:val="caption"/>
    <w:basedOn w:val="1"/>
    <w:next w:val="1"/>
    <w:qFormat/>
    <w:uiPriority w:val="99"/>
    <w:pPr>
      <w:ind w:firstLine="880" w:firstLineChars="200"/>
    </w:pPr>
    <w:rPr>
      <w:rFonts w:ascii="Arial" w:hAnsi="Arial" w:eastAsia="宋体"/>
      <w:sz w:val="20"/>
      <w:szCs w:val="24"/>
    </w:rPr>
  </w:style>
  <w:style w:type="paragraph" w:styleId="8">
    <w:name w:val="annotation text"/>
    <w:basedOn w:val="1"/>
    <w:link w:val="122"/>
    <w:qFormat/>
    <w:uiPriority w:val="99"/>
    <w:pPr>
      <w:jc w:val="left"/>
    </w:pPr>
  </w:style>
  <w:style w:type="paragraph" w:styleId="9">
    <w:name w:val="Body Text"/>
    <w:basedOn w:val="1"/>
    <w:link w:val="50"/>
    <w:qFormat/>
    <w:uiPriority w:val="99"/>
    <w:rPr>
      <w:rFonts w:ascii="方正仿宋_GBK" w:hAnsi="方正仿宋_GBK" w:eastAsia="方正仿宋_GBK" w:cs="方正仿宋_GBK"/>
      <w:lang w:val="zh-CN" w:bidi="zh-CN"/>
    </w:rPr>
  </w:style>
  <w:style w:type="paragraph" w:styleId="10">
    <w:name w:val="Body Text Indent"/>
    <w:basedOn w:val="1"/>
    <w:next w:val="6"/>
    <w:link w:val="52"/>
    <w:qFormat/>
    <w:uiPriority w:val="99"/>
    <w:pPr>
      <w:spacing w:after="120"/>
      <w:ind w:left="420" w:leftChars="200"/>
    </w:pPr>
    <w:rPr>
      <w:rFonts w:hint="eastAsia"/>
      <w:sz w:val="22"/>
    </w:rPr>
  </w:style>
  <w:style w:type="paragraph" w:styleId="11">
    <w:name w:val="toc 5"/>
    <w:next w:val="1"/>
    <w:qFormat/>
    <w:uiPriority w:val="0"/>
    <w:pPr>
      <w:widowControl w:val="0"/>
      <w:ind w:left="1680"/>
      <w:jc w:val="both"/>
    </w:pPr>
    <w:rPr>
      <w:rFonts w:ascii="Times New Roman" w:hAnsi="Times New Roman" w:eastAsia="宋体" w:cs="Times New Roman"/>
      <w:kern w:val="2"/>
      <w:sz w:val="21"/>
      <w:szCs w:val="24"/>
      <w:lang w:val="en-US" w:eastAsia="zh-CN" w:bidi="ar-SA"/>
    </w:rPr>
  </w:style>
  <w:style w:type="paragraph" w:styleId="12">
    <w:name w:val="toc 3"/>
    <w:basedOn w:val="1"/>
    <w:next w:val="1"/>
    <w:qFormat/>
    <w:uiPriority w:val="39"/>
    <w:pPr>
      <w:ind w:left="840" w:leftChars="400"/>
    </w:pPr>
  </w:style>
  <w:style w:type="paragraph" w:styleId="13">
    <w:name w:val="footer"/>
    <w:basedOn w:val="1"/>
    <w:next w:val="1"/>
    <w:link w:val="53"/>
    <w:unhideWhenUsed/>
    <w:qFormat/>
    <w:uiPriority w:val="99"/>
    <w:pPr>
      <w:tabs>
        <w:tab w:val="center" w:pos="4153"/>
        <w:tab w:val="right" w:pos="8306"/>
      </w:tabs>
      <w:snapToGrid w:val="0"/>
      <w:jc w:val="left"/>
    </w:pPr>
    <w:rPr>
      <w:sz w:val="18"/>
      <w:szCs w:val="18"/>
    </w:rPr>
  </w:style>
  <w:style w:type="paragraph" w:styleId="14">
    <w:name w:val="header"/>
    <w:basedOn w:val="1"/>
    <w:link w:val="54"/>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5">
    <w:name w:val="toc 1"/>
    <w:basedOn w:val="1"/>
    <w:next w:val="1"/>
    <w:qFormat/>
    <w:uiPriority w:val="39"/>
  </w:style>
  <w:style w:type="paragraph" w:styleId="16">
    <w:name w:val="Subtitle"/>
    <w:basedOn w:val="1"/>
    <w:next w:val="1"/>
    <w:link w:val="55"/>
    <w:qFormat/>
    <w:uiPriority w:val="0"/>
    <w:pPr>
      <w:spacing w:before="240" w:after="60" w:line="312" w:lineRule="auto"/>
      <w:jc w:val="left"/>
      <w:outlineLvl w:val="1"/>
    </w:pPr>
    <w:rPr>
      <w:rFonts w:ascii="Cambria" w:hAnsi="Cambria"/>
      <w:b/>
      <w:bCs/>
      <w:kern w:val="28"/>
      <w:sz w:val="30"/>
    </w:rPr>
  </w:style>
  <w:style w:type="paragraph" w:styleId="17">
    <w:name w:val="footnote text"/>
    <w:basedOn w:val="1"/>
    <w:link w:val="48"/>
    <w:qFormat/>
    <w:uiPriority w:val="99"/>
    <w:pPr>
      <w:snapToGrid w:val="0"/>
      <w:jc w:val="left"/>
    </w:pPr>
    <w:rPr>
      <w:sz w:val="18"/>
      <w:szCs w:val="24"/>
    </w:rPr>
  </w:style>
  <w:style w:type="paragraph" w:styleId="18">
    <w:name w:val="toc 2"/>
    <w:basedOn w:val="1"/>
    <w:next w:val="1"/>
    <w:qFormat/>
    <w:uiPriority w:val="39"/>
    <w:pPr>
      <w:ind w:left="420" w:leftChars="200"/>
    </w:pPr>
  </w:style>
  <w:style w:type="paragraph" w:styleId="19">
    <w:name w:val="Normal (Web)"/>
    <w:basedOn w:val="1"/>
    <w:qFormat/>
    <w:uiPriority w:val="99"/>
    <w:pPr>
      <w:spacing w:beforeAutospacing="1" w:afterAutospacing="1"/>
      <w:jc w:val="left"/>
    </w:pPr>
    <w:rPr>
      <w:rFonts w:cs="Times New Roman"/>
      <w:kern w:val="0"/>
      <w:sz w:val="24"/>
    </w:rPr>
  </w:style>
  <w:style w:type="paragraph" w:styleId="20">
    <w:name w:val="Title"/>
    <w:basedOn w:val="1"/>
    <w:next w:val="1"/>
    <w:link w:val="56"/>
    <w:qFormat/>
    <w:uiPriority w:val="0"/>
    <w:pPr>
      <w:spacing w:before="240" w:after="60"/>
      <w:jc w:val="left"/>
      <w:outlineLvl w:val="0"/>
    </w:pPr>
    <w:rPr>
      <w:rFonts w:ascii="Cambria" w:hAnsi="Cambria"/>
      <w:b/>
      <w:bCs/>
    </w:rPr>
  </w:style>
  <w:style w:type="paragraph" w:styleId="21">
    <w:name w:val="Body Text First Indent"/>
    <w:basedOn w:val="9"/>
    <w:unhideWhenUsed/>
    <w:qFormat/>
    <w:uiPriority w:val="99"/>
    <w:pPr>
      <w:ind w:firstLine="420" w:firstLineChars="100"/>
    </w:pPr>
    <w:rPr>
      <w:rFonts w:eastAsia="宋体"/>
    </w:rPr>
  </w:style>
  <w:style w:type="paragraph" w:styleId="22">
    <w:name w:val="Body Text First Indent 2"/>
    <w:basedOn w:val="10"/>
    <w:next w:val="1"/>
    <w:link w:val="57"/>
    <w:qFormat/>
    <w:uiPriority w:val="99"/>
    <w:pPr>
      <w:ind w:firstLine="420" w:firstLineChars="200"/>
    </w:pPr>
  </w:style>
  <w:style w:type="table" w:styleId="24">
    <w:name w:val="Table Grid"/>
    <w:basedOn w:val="23"/>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Strong"/>
    <w:basedOn w:val="25"/>
    <w:qFormat/>
    <w:uiPriority w:val="22"/>
    <w:rPr>
      <w:b/>
    </w:rPr>
  </w:style>
  <w:style w:type="character" w:styleId="27">
    <w:name w:val="FollowedHyperlink"/>
    <w:basedOn w:val="25"/>
    <w:unhideWhenUsed/>
    <w:qFormat/>
    <w:uiPriority w:val="99"/>
    <w:rPr>
      <w:color w:val="800080"/>
      <w:u w:val="single"/>
    </w:rPr>
  </w:style>
  <w:style w:type="character" w:styleId="28">
    <w:name w:val="Emphasis"/>
    <w:basedOn w:val="25"/>
    <w:qFormat/>
    <w:uiPriority w:val="20"/>
    <w:rPr>
      <w:i/>
    </w:rPr>
  </w:style>
  <w:style w:type="character" w:styleId="29">
    <w:name w:val="Hyperlink"/>
    <w:basedOn w:val="25"/>
    <w:qFormat/>
    <w:uiPriority w:val="99"/>
    <w:rPr>
      <w:color w:val="0000FF"/>
      <w:u w:val="single"/>
    </w:rPr>
  </w:style>
  <w:style w:type="character" w:styleId="30">
    <w:name w:val="footnote reference"/>
    <w:basedOn w:val="25"/>
    <w:qFormat/>
    <w:uiPriority w:val="99"/>
    <w:rPr>
      <w:vertAlign w:val="superscript"/>
    </w:rPr>
  </w:style>
  <w:style w:type="paragraph" w:customStyle="1" w:styleId="31">
    <w:name w:val="正文2"/>
    <w:basedOn w:val="1"/>
    <w:next w:val="1"/>
    <w:qFormat/>
    <w:uiPriority w:val="0"/>
  </w:style>
  <w:style w:type="paragraph" w:customStyle="1" w:styleId="32">
    <w:name w:val="样式 (西文) Times New Roman (中文) 仿宋_GB2312 三号 行距: 固定值 28 磅 首行缩进:..."/>
    <w:basedOn w:val="1"/>
    <w:qFormat/>
    <w:uiPriority w:val="0"/>
    <w:pPr>
      <w:spacing w:line="560" w:lineRule="exact"/>
      <w:ind w:firstLine="640" w:firstLineChars="200"/>
    </w:pPr>
    <w:rPr>
      <w:rFonts w:ascii="仿宋_GB2312" w:hAnsi="Times New Roman" w:eastAsia="仿宋_GB2312" w:cs="宋体"/>
      <w:sz w:val="32"/>
      <w:szCs w:val="20"/>
    </w:rPr>
  </w:style>
  <w:style w:type="character" w:customStyle="1" w:styleId="33">
    <w:name w:val="标题 3 字符"/>
    <w:link w:val="4"/>
    <w:qFormat/>
    <w:uiPriority w:val="9"/>
    <w:rPr>
      <w:rFonts w:ascii="仿宋_GB2312" w:hAnsi="仿宋_GB2312" w:eastAsia="仿宋_GB2312" w:cs="Times New Roman"/>
      <w:sz w:val="32"/>
    </w:rPr>
  </w:style>
  <w:style w:type="paragraph" w:customStyle="1" w:styleId="34">
    <w:name w:val="标题1"/>
    <w:basedOn w:val="2"/>
    <w:qFormat/>
    <w:uiPriority w:val="0"/>
    <w:pPr>
      <w:keepNext w:val="0"/>
      <w:keepLines w:val="0"/>
      <w:autoSpaceDE w:val="0"/>
      <w:autoSpaceDN w:val="0"/>
    </w:pPr>
    <w:rPr>
      <w:rFonts w:ascii="小标宋" w:eastAsia="小标宋"/>
      <w:sz w:val="36"/>
      <w:szCs w:val="36"/>
    </w:rPr>
  </w:style>
  <w:style w:type="character" w:customStyle="1" w:styleId="35">
    <w:name w:val="标题 2 字符"/>
    <w:link w:val="3"/>
    <w:qFormat/>
    <w:uiPriority w:val="9"/>
    <w:rPr>
      <w:rFonts w:hint="eastAsia" w:ascii="宋体" w:hAnsi="宋体" w:eastAsia="宋体" w:cs="宋体"/>
      <w:b/>
      <w:bCs/>
      <w:kern w:val="0"/>
      <w:sz w:val="36"/>
      <w:szCs w:val="36"/>
      <w:lang w:val="en-US" w:eastAsia="zh-CN" w:bidi="ar"/>
    </w:rPr>
  </w:style>
  <w:style w:type="paragraph" w:customStyle="1" w:styleId="36">
    <w:name w:val="框内文字"/>
    <w:basedOn w:val="1"/>
    <w:qFormat/>
    <w:uiPriority w:val="0"/>
    <w:pPr>
      <w:spacing w:before="80" w:line="300" w:lineRule="auto"/>
    </w:pPr>
    <w:rPr>
      <w:color w:val="000000"/>
      <w:sz w:val="28"/>
    </w:rPr>
  </w:style>
  <w:style w:type="paragraph" w:styleId="37">
    <w:name w:val="List Paragraph"/>
    <w:basedOn w:val="1"/>
    <w:qFormat/>
    <w:uiPriority w:val="34"/>
    <w:pPr>
      <w:ind w:firstLine="420" w:firstLineChars="200"/>
    </w:pPr>
    <w:rPr>
      <w:rFonts w:ascii="Times New Roman" w:hAnsi="Times New Roman" w:eastAsia="宋体"/>
      <w:szCs w:val="21"/>
    </w:rPr>
  </w:style>
  <w:style w:type="paragraph" w:customStyle="1" w:styleId="38">
    <w:name w:val="1级-章"/>
    <w:basedOn w:val="1"/>
    <w:qFormat/>
    <w:uiPriority w:val="0"/>
    <w:pPr>
      <w:spacing w:beforeLines="50" w:afterLines="100"/>
      <w:jc w:val="center"/>
      <w:outlineLvl w:val="0"/>
    </w:pPr>
    <w:rPr>
      <w:rFonts w:ascii="黑体" w:eastAsia="黑体"/>
      <w:sz w:val="32"/>
    </w:rPr>
  </w:style>
  <w:style w:type="table" w:customStyle="1" w:styleId="39">
    <w:name w:val="网格型1"/>
    <w:basedOn w:val="23"/>
    <w:qFormat/>
    <w:uiPriority w:val="5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0">
    <w:name w:val="网格型2"/>
    <w:basedOn w:val="23"/>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41">
    <w:name w:val="修订1"/>
    <w:hidden/>
    <w:unhideWhenUsed/>
    <w:qFormat/>
    <w:uiPriority w:val="99"/>
    <w:rPr>
      <w:rFonts w:asciiTheme="minorHAnsi" w:hAnsiTheme="minorHAnsi" w:eastAsiaTheme="minorEastAsia" w:cstheme="minorBidi"/>
      <w:kern w:val="2"/>
      <w:sz w:val="21"/>
      <w:szCs w:val="22"/>
      <w:lang w:val="en-US" w:eastAsia="zh-CN" w:bidi="ar-SA"/>
    </w:rPr>
  </w:style>
  <w:style w:type="paragraph" w:customStyle="1" w:styleId="42">
    <w:name w:val="修订2"/>
    <w:hidden/>
    <w:unhideWhenUsed/>
    <w:qFormat/>
    <w:uiPriority w:val="99"/>
    <w:rPr>
      <w:rFonts w:asciiTheme="minorHAnsi" w:hAnsiTheme="minorHAnsi" w:eastAsiaTheme="minorEastAsia" w:cstheme="minorBidi"/>
      <w:kern w:val="2"/>
      <w:sz w:val="21"/>
      <w:szCs w:val="22"/>
      <w:lang w:val="en-US" w:eastAsia="zh-CN" w:bidi="ar-SA"/>
    </w:rPr>
  </w:style>
  <w:style w:type="paragraph" w:customStyle="1" w:styleId="43">
    <w:name w:val="修订3"/>
    <w:hidden/>
    <w:unhideWhenUsed/>
    <w:qFormat/>
    <w:uiPriority w:val="99"/>
    <w:rPr>
      <w:rFonts w:asciiTheme="minorHAnsi" w:hAnsiTheme="minorHAnsi" w:eastAsiaTheme="minorEastAsia" w:cstheme="minorBidi"/>
      <w:kern w:val="2"/>
      <w:sz w:val="21"/>
      <w:szCs w:val="22"/>
      <w:lang w:val="en-US" w:eastAsia="zh-CN" w:bidi="ar-SA"/>
    </w:rPr>
  </w:style>
  <w:style w:type="paragraph" w:customStyle="1" w:styleId="44">
    <w:name w:val="修订4"/>
    <w:hidden/>
    <w:unhideWhenUsed/>
    <w:qFormat/>
    <w:uiPriority w:val="99"/>
    <w:rPr>
      <w:rFonts w:asciiTheme="minorHAnsi" w:hAnsiTheme="minorHAnsi" w:eastAsiaTheme="minorEastAsia" w:cstheme="minorBidi"/>
      <w:kern w:val="2"/>
      <w:sz w:val="21"/>
      <w:szCs w:val="22"/>
      <w:lang w:val="en-US" w:eastAsia="zh-CN" w:bidi="ar-SA"/>
    </w:rPr>
  </w:style>
  <w:style w:type="character" w:customStyle="1" w:styleId="45">
    <w:name w:val="15"/>
    <w:basedOn w:val="25"/>
    <w:qFormat/>
    <w:uiPriority w:val="0"/>
    <w:rPr>
      <w:rFonts w:hint="default" w:ascii="Times New Roman" w:hAnsi="Times New Roman" w:cs="Times New Roman"/>
      <w:i/>
    </w:rPr>
  </w:style>
  <w:style w:type="paragraph" w:customStyle="1" w:styleId="46">
    <w:name w:val="修订5"/>
    <w:hidden/>
    <w:unhideWhenUsed/>
    <w:qFormat/>
    <w:uiPriority w:val="99"/>
    <w:rPr>
      <w:rFonts w:asciiTheme="minorHAnsi" w:hAnsiTheme="minorHAnsi" w:eastAsiaTheme="minorEastAsia" w:cstheme="minorBidi"/>
      <w:kern w:val="2"/>
      <w:sz w:val="21"/>
      <w:szCs w:val="22"/>
      <w:lang w:val="en-US" w:eastAsia="zh-CN" w:bidi="ar-SA"/>
    </w:rPr>
  </w:style>
  <w:style w:type="character" w:customStyle="1" w:styleId="47">
    <w:name w:val="标题 4 字符"/>
    <w:basedOn w:val="25"/>
    <w:link w:val="5"/>
    <w:qFormat/>
    <w:uiPriority w:val="9"/>
    <w:rPr>
      <w:rFonts w:eastAsia="仿宋" w:asciiTheme="minorHAnsi" w:hAnsiTheme="minorHAnsi" w:cstheme="minorBidi"/>
      <w:b/>
      <w:bCs/>
      <w:kern w:val="44"/>
      <w:sz w:val="21"/>
      <w:szCs w:val="32"/>
    </w:rPr>
  </w:style>
  <w:style w:type="character" w:customStyle="1" w:styleId="48">
    <w:name w:val="脚注文本 字符"/>
    <w:basedOn w:val="25"/>
    <w:link w:val="17"/>
    <w:qFormat/>
    <w:uiPriority w:val="99"/>
    <w:rPr>
      <w:rFonts w:asciiTheme="minorHAnsi" w:hAnsiTheme="minorHAnsi" w:eastAsiaTheme="minorEastAsia" w:cstheme="minorBidi"/>
      <w:kern w:val="2"/>
      <w:sz w:val="18"/>
      <w:szCs w:val="24"/>
    </w:rPr>
  </w:style>
  <w:style w:type="table" w:customStyle="1" w:styleId="49">
    <w:name w:val="网格型5"/>
    <w:basedOn w:val="23"/>
    <w:qFormat/>
    <w:uiPriority w:val="39"/>
    <w:rPr>
      <w:rFonts w:eastAsia="Times New Roman"/>
      <w:kern w:val="2"/>
      <w:sz w:val="21"/>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character" w:customStyle="1" w:styleId="50">
    <w:name w:val="正文文本 字符"/>
    <w:basedOn w:val="25"/>
    <w:link w:val="9"/>
    <w:qFormat/>
    <w:uiPriority w:val="99"/>
    <w:rPr>
      <w:rFonts w:ascii="方正仿宋_GBK" w:hAnsi="方正仿宋_GBK" w:eastAsia="方正仿宋_GBK" w:cs="方正仿宋_GBK"/>
      <w:kern w:val="2"/>
      <w:sz w:val="21"/>
      <w:szCs w:val="22"/>
      <w:lang w:val="zh-CN" w:bidi="zh-CN"/>
    </w:rPr>
  </w:style>
  <w:style w:type="character" w:customStyle="1" w:styleId="51">
    <w:name w:val="标题 1 字符"/>
    <w:basedOn w:val="25"/>
    <w:link w:val="2"/>
    <w:qFormat/>
    <w:uiPriority w:val="9"/>
    <w:rPr>
      <w:rFonts w:eastAsia="黑体" w:cstheme="minorBidi"/>
      <w:kern w:val="44"/>
      <w:sz w:val="32"/>
      <w:szCs w:val="44"/>
    </w:rPr>
  </w:style>
  <w:style w:type="character" w:customStyle="1" w:styleId="52">
    <w:name w:val="正文文本缩进 字符"/>
    <w:basedOn w:val="25"/>
    <w:link w:val="10"/>
    <w:qFormat/>
    <w:uiPriority w:val="99"/>
    <w:rPr>
      <w:rFonts w:asciiTheme="minorHAnsi" w:hAnsiTheme="minorHAnsi" w:eastAsiaTheme="minorEastAsia" w:cstheme="minorBidi"/>
      <w:kern w:val="2"/>
      <w:sz w:val="22"/>
      <w:szCs w:val="22"/>
    </w:rPr>
  </w:style>
  <w:style w:type="character" w:customStyle="1" w:styleId="53">
    <w:name w:val="页脚 字符"/>
    <w:basedOn w:val="25"/>
    <w:link w:val="13"/>
    <w:qFormat/>
    <w:uiPriority w:val="99"/>
    <w:rPr>
      <w:rFonts w:asciiTheme="minorHAnsi" w:hAnsiTheme="minorHAnsi" w:eastAsiaTheme="minorEastAsia" w:cstheme="minorBidi"/>
      <w:kern w:val="2"/>
      <w:sz w:val="18"/>
      <w:szCs w:val="18"/>
    </w:rPr>
  </w:style>
  <w:style w:type="character" w:customStyle="1" w:styleId="54">
    <w:name w:val="页眉 字符"/>
    <w:basedOn w:val="25"/>
    <w:link w:val="14"/>
    <w:qFormat/>
    <w:uiPriority w:val="99"/>
    <w:rPr>
      <w:rFonts w:asciiTheme="minorHAnsi" w:hAnsiTheme="minorHAnsi" w:eastAsiaTheme="minorEastAsia" w:cstheme="minorBidi"/>
      <w:kern w:val="2"/>
      <w:sz w:val="18"/>
      <w:szCs w:val="22"/>
    </w:rPr>
  </w:style>
  <w:style w:type="character" w:customStyle="1" w:styleId="55">
    <w:name w:val="副标题 字符"/>
    <w:basedOn w:val="25"/>
    <w:link w:val="16"/>
    <w:qFormat/>
    <w:uiPriority w:val="0"/>
    <w:rPr>
      <w:rFonts w:ascii="Cambria" w:hAnsi="Cambria" w:eastAsiaTheme="minorEastAsia" w:cstheme="minorBidi"/>
      <w:b/>
      <w:bCs/>
      <w:kern w:val="28"/>
      <w:sz w:val="30"/>
      <w:szCs w:val="22"/>
    </w:rPr>
  </w:style>
  <w:style w:type="character" w:customStyle="1" w:styleId="56">
    <w:name w:val="标题 字符"/>
    <w:basedOn w:val="25"/>
    <w:link w:val="20"/>
    <w:qFormat/>
    <w:uiPriority w:val="0"/>
    <w:rPr>
      <w:rFonts w:ascii="Cambria" w:hAnsi="Cambria" w:eastAsiaTheme="minorEastAsia" w:cstheme="minorBidi"/>
      <w:b/>
      <w:bCs/>
      <w:kern w:val="2"/>
      <w:sz w:val="21"/>
      <w:szCs w:val="22"/>
    </w:rPr>
  </w:style>
  <w:style w:type="character" w:customStyle="1" w:styleId="57">
    <w:name w:val="正文文本首行缩进 2 字符"/>
    <w:basedOn w:val="52"/>
    <w:link w:val="22"/>
    <w:qFormat/>
    <w:uiPriority w:val="99"/>
    <w:rPr>
      <w:rFonts w:asciiTheme="minorHAnsi" w:hAnsiTheme="minorHAnsi" w:eastAsiaTheme="minorEastAsia" w:cstheme="minorBidi"/>
      <w:kern w:val="2"/>
      <w:sz w:val="22"/>
      <w:szCs w:val="22"/>
    </w:rPr>
  </w:style>
  <w:style w:type="paragraph" w:customStyle="1" w:styleId="58">
    <w:name w:val="图标题"/>
    <w:next w:val="1"/>
    <w:link w:val="59"/>
    <w:qFormat/>
    <w:uiPriority w:val="0"/>
    <w:pPr>
      <w:spacing w:before="12" w:after="12"/>
      <w:jc w:val="center"/>
    </w:pPr>
    <w:rPr>
      <w:rFonts w:ascii="Times New Roman" w:hAnsi="Times New Roman" w:eastAsia="宋体" w:cs="Times New Roman"/>
      <w:kern w:val="2"/>
      <w:szCs w:val="22"/>
      <w:lang w:val="en-US" w:eastAsia="zh-CN" w:bidi="ar-SA"/>
    </w:rPr>
  </w:style>
  <w:style w:type="character" w:customStyle="1" w:styleId="59">
    <w:name w:val="图标题 字符"/>
    <w:link w:val="58"/>
    <w:qFormat/>
    <w:uiPriority w:val="0"/>
    <w:rPr>
      <w:kern w:val="2"/>
      <w:szCs w:val="22"/>
    </w:rPr>
  </w:style>
  <w:style w:type="paragraph" w:customStyle="1" w:styleId="60">
    <w:name w:val="图片"/>
    <w:basedOn w:val="1"/>
    <w:link w:val="61"/>
    <w:qFormat/>
    <w:uiPriority w:val="0"/>
    <w:pPr>
      <w:keepNext/>
      <w:adjustRightInd w:val="0"/>
      <w:snapToGrid w:val="0"/>
      <w:spacing w:line="360" w:lineRule="auto"/>
      <w:jc w:val="center"/>
    </w:pPr>
    <w:rPr>
      <w:rFonts w:ascii="微软雅黑" w:hAnsi="微软雅黑" w:eastAsia="微软雅黑"/>
      <w:szCs w:val="21"/>
    </w:rPr>
  </w:style>
  <w:style w:type="character" w:customStyle="1" w:styleId="61">
    <w:name w:val="图片 字符"/>
    <w:link w:val="60"/>
    <w:qFormat/>
    <w:uiPriority w:val="0"/>
    <w:rPr>
      <w:rFonts w:ascii="微软雅黑" w:hAnsi="微软雅黑" w:eastAsia="微软雅黑" w:cstheme="minorBidi"/>
      <w:kern w:val="2"/>
      <w:sz w:val="21"/>
      <w:szCs w:val="21"/>
    </w:rPr>
  </w:style>
  <w:style w:type="paragraph" w:customStyle="1" w:styleId="62">
    <w:name w:val="3级-二"/>
    <w:basedOn w:val="1"/>
    <w:qFormat/>
    <w:uiPriority w:val="0"/>
    <w:pPr>
      <w:tabs>
        <w:tab w:val="left" w:pos="5625"/>
      </w:tabs>
      <w:spacing w:beforeLines="50" w:afterLines="50" w:line="360" w:lineRule="auto"/>
      <w:ind w:firstLine="560" w:firstLineChars="200"/>
      <w:outlineLvl w:val="2"/>
    </w:pPr>
    <w:rPr>
      <w:rFonts w:ascii="黑体" w:hAnsi="宋体" w:eastAsia="黑体"/>
      <w:sz w:val="28"/>
      <w:szCs w:val="24"/>
    </w:rPr>
  </w:style>
  <w:style w:type="paragraph" w:customStyle="1" w:styleId="63">
    <w:name w:val="文档正文"/>
    <w:basedOn w:val="1"/>
    <w:qFormat/>
    <w:uiPriority w:val="0"/>
    <w:pPr>
      <w:spacing w:line="360" w:lineRule="auto"/>
      <w:ind w:firstLine="200" w:firstLineChars="200"/>
    </w:pPr>
    <w:rPr>
      <w:rFonts w:eastAsia="华文中宋"/>
      <w:szCs w:val="21"/>
    </w:rPr>
  </w:style>
  <w:style w:type="paragraph" w:customStyle="1" w:styleId="64">
    <w:name w:val="5级-（）"/>
    <w:basedOn w:val="1"/>
    <w:link w:val="65"/>
    <w:qFormat/>
    <w:uiPriority w:val="0"/>
    <w:pPr>
      <w:autoSpaceDE w:val="0"/>
      <w:autoSpaceDN w:val="0"/>
      <w:adjustRightInd w:val="0"/>
      <w:spacing w:beforeLines="50" w:afterLines="50" w:line="360" w:lineRule="auto"/>
      <w:ind w:firstLine="200" w:firstLineChars="200"/>
      <w:outlineLvl w:val="3"/>
    </w:pPr>
    <w:rPr>
      <w:rFonts w:ascii="楷体_GB2312" w:hAnsi="等线" w:eastAsia="楷体_GB2312" w:cs="宋体"/>
      <w:b/>
      <w:kern w:val="0"/>
      <w:sz w:val="24"/>
      <w:szCs w:val="24"/>
    </w:rPr>
  </w:style>
  <w:style w:type="character" w:customStyle="1" w:styleId="65">
    <w:name w:val="5级-（） Char"/>
    <w:link w:val="64"/>
    <w:qFormat/>
    <w:uiPriority w:val="0"/>
    <w:rPr>
      <w:rFonts w:ascii="楷体_GB2312" w:hAnsi="等线" w:eastAsia="楷体_GB2312" w:cs="宋体"/>
      <w:b/>
      <w:sz w:val="24"/>
      <w:szCs w:val="24"/>
    </w:rPr>
  </w:style>
  <w:style w:type="paragraph" w:styleId="66">
    <w:name w:val="No Spacing"/>
    <w:qFormat/>
    <w:uiPriority w:val="1"/>
    <w:pPr>
      <w:widowControl w:val="0"/>
      <w:jc w:val="both"/>
    </w:pPr>
    <w:rPr>
      <w:rFonts w:ascii="Calibri" w:hAnsi="Calibri" w:eastAsia="宋体" w:cs="Times New Roman"/>
      <w:kern w:val="2"/>
      <w:sz w:val="21"/>
      <w:szCs w:val="22"/>
      <w:lang w:val="en-US" w:eastAsia="zh-CN" w:bidi="ar-SA"/>
    </w:rPr>
  </w:style>
  <w:style w:type="paragraph" w:customStyle="1" w:styleId="67">
    <w:name w:val="TOC 标题1"/>
    <w:basedOn w:val="2"/>
    <w:next w:val="1"/>
    <w:qFormat/>
    <w:uiPriority w:val="39"/>
    <w:pPr>
      <w:widowControl/>
      <w:spacing w:line="259" w:lineRule="auto"/>
      <w:outlineLvl w:val="9"/>
    </w:pPr>
    <w:rPr>
      <w:rFonts w:ascii="等线 Light" w:hAnsi="等线 Light" w:eastAsia="等线 Light"/>
      <w:b/>
      <w:bCs/>
      <w:color w:val="2F5496"/>
      <w:kern w:val="0"/>
      <w:sz w:val="21"/>
      <w:szCs w:val="22"/>
    </w:rPr>
  </w:style>
  <w:style w:type="table" w:customStyle="1" w:styleId="68">
    <w:name w:val="网格型4"/>
    <w:basedOn w:val="23"/>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69">
    <w:name w:val="value-link"/>
    <w:basedOn w:val="25"/>
    <w:qFormat/>
    <w:uiPriority w:val="0"/>
  </w:style>
  <w:style w:type="paragraph" w:customStyle="1" w:styleId="70">
    <w:name w:val="msonormal"/>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71">
    <w:name w:val="font5"/>
    <w:basedOn w:val="1"/>
    <w:qFormat/>
    <w:uiPriority w:val="0"/>
    <w:pPr>
      <w:widowControl/>
      <w:spacing w:before="100" w:beforeAutospacing="1" w:after="100" w:afterAutospacing="1"/>
      <w:jc w:val="left"/>
    </w:pPr>
    <w:rPr>
      <w:rFonts w:ascii="宋体" w:hAnsi="宋体" w:eastAsia="宋体" w:cs="宋体"/>
      <w:kern w:val="0"/>
      <w:sz w:val="18"/>
      <w:szCs w:val="18"/>
    </w:rPr>
  </w:style>
  <w:style w:type="paragraph" w:customStyle="1" w:styleId="72">
    <w:name w:val="xl65"/>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73">
    <w:name w:val="xl66"/>
    <w:basedOn w:val="1"/>
    <w:qFormat/>
    <w:uiPriority w:val="0"/>
    <w:pPr>
      <w:widowControl/>
      <w:spacing w:before="100" w:beforeAutospacing="1" w:after="100" w:afterAutospacing="1"/>
      <w:jc w:val="center"/>
      <w:textAlignment w:val="center"/>
    </w:pPr>
    <w:rPr>
      <w:rFonts w:ascii="宋体" w:hAnsi="宋体" w:eastAsia="宋体" w:cs="宋体"/>
      <w:b/>
      <w:bCs/>
      <w:kern w:val="0"/>
      <w:sz w:val="22"/>
    </w:rPr>
  </w:style>
  <w:style w:type="paragraph" w:customStyle="1" w:styleId="74">
    <w:name w:val="xl67"/>
    <w:basedOn w:val="1"/>
    <w:qFormat/>
    <w:uiPriority w:val="0"/>
    <w:pPr>
      <w:widowControl/>
      <w:shd w:val="clear" w:color="000000" w:fill="99CC00"/>
      <w:spacing w:before="100" w:beforeAutospacing="1" w:after="100" w:afterAutospacing="1"/>
      <w:jc w:val="left"/>
      <w:textAlignment w:val="center"/>
    </w:pPr>
    <w:rPr>
      <w:rFonts w:ascii="宋体" w:hAnsi="宋体" w:eastAsia="宋体" w:cs="宋体"/>
      <w:b/>
      <w:bCs/>
      <w:kern w:val="0"/>
      <w:sz w:val="22"/>
    </w:rPr>
  </w:style>
  <w:style w:type="paragraph" w:customStyle="1" w:styleId="75">
    <w:name w:val="xl68"/>
    <w:basedOn w:val="1"/>
    <w:qFormat/>
    <w:uiPriority w:val="0"/>
    <w:pPr>
      <w:widowControl/>
      <w:shd w:val="clear" w:color="000000" w:fill="99CC00"/>
      <w:spacing w:before="100" w:beforeAutospacing="1" w:after="100" w:afterAutospacing="1"/>
      <w:jc w:val="center"/>
      <w:textAlignment w:val="center"/>
    </w:pPr>
    <w:rPr>
      <w:rFonts w:ascii="宋体" w:hAnsi="宋体" w:eastAsia="宋体" w:cs="宋体"/>
      <w:b/>
      <w:bCs/>
      <w:kern w:val="0"/>
      <w:sz w:val="22"/>
    </w:rPr>
  </w:style>
  <w:style w:type="paragraph" w:customStyle="1" w:styleId="76">
    <w:name w:val="xl69"/>
    <w:basedOn w:val="1"/>
    <w:qFormat/>
    <w:uiPriority w:val="0"/>
    <w:pPr>
      <w:widowControl/>
      <w:spacing w:before="100" w:beforeAutospacing="1" w:after="100" w:afterAutospacing="1"/>
      <w:jc w:val="center"/>
      <w:textAlignment w:val="center"/>
    </w:pPr>
    <w:rPr>
      <w:rFonts w:ascii="宋体" w:hAnsi="宋体" w:eastAsia="宋体" w:cs="宋体"/>
      <w:b/>
      <w:bCs/>
      <w:kern w:val="0"/>
      <w:sz w:val="22"/>
    </w:rPr>
  </w:style>
  <w:style w:type="character" w:customStyle="1" w:styleId="77">
    <w:name w:val="text_tban4"/>
    <w:basedOn w:val="25"/>
    <w:qFormat/>
    <w:uiPriority w:val="0"/>
  </w:style>
  <w:style w:type="character" w:customStyle="1" w:styleId="78">
    <w:name w:val="fontstyle01"/>
    <w:basedOn w:val="25"/>
    <w:qFormat/>
    <w:uiPriority w:val="0"/>
    <w:rPr>
      <w:rFonts w:hint="eastAsia" w:ascii="仿宋_GB2312" w:eastAsia="仿宋_GB2312"/>
      <w:color w:val="000000"/>
      <w:sz w:val="32"/>
      <w:szCs w:val="32"/>
    </w:rPr>
  </w:style>
  <w:style w:type="character" w:customStyle="1" w:styleId="79">
    <w:name w:val="text_rubyg"/>
    <w:basedOn w:val="25"/>
    <w:qFormat/>
    <w:uiPriority w:val="0"/>
  </w:style>
  <w:style w:type="table" w:customStyle="1" w:styleId="80">
    <w:name w:val="网格型3"/>
    <w:basedOn w:val="23"/>
    <w:qFormat/>
    <w:uiPriority w:val="0"/>
    <w:pPr>
      <w:widowControl w:val="0"/>
      <w:jc w:val="both"/>
    </w:pPr>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1">
    <w:name w:val="网格型41"/>
    <w:basedOn w:val="23"/>
    <w:qFormat/>
    <w:uiPriority w:val="0"/>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82">
    <w:name w:val="正文1"/>
    <w:basedOn w:val="9"/>
    <w:qFormat/>
    <w:uiPriority w:val="0"/>
    <w:pPr>
      <w:spacing w:before="100" w:beforeAutospacing="1" w:line="560" w:lineRule="exact"/>
      <w:ind w:firstLine="640" w:firstLineChars="200"/>
    </w:pPr>
    <w:rPr>
      <w:rFonts w:ascii="仿宋_GB2312" w:hAnsi="等线" w:eastAsia="仿宋_GB2312" w:cs="Times New Roman"/>
      <w:sz w:val="32"/>
      <w:szCs w:val="32"/>
      <w:lang w:val="en-US" w:bidi="ar-SA"/>
    </w:rPr>
  </w:style>
  <w:style w:type="paragraph" w:customStyle="1" w:styleId="83">
    <w:name w:val="font6"/>
    <w:basedOn w:val="1"/>
    <w:qFormat/>
    <w:uiPriority w:val="0"/>
    <w:pPr>
      <w:widowControl/>
      <w:spacing w:before="100" w:beforeAutospacing="1" w:after="100" w:afterAutospacing="1"/>
      <w:jc w:val="left"/>
    </w:pPr>
    <w:rPr>
      <w:rFonts w:ascii="仿宋_GB2312" w:hAnsi="宋体" w:eastAsia="仿宋_GB2312" w:cs="宋体"/>
      <w:kern w:val="0"/>
      <w:sz w:val="32"/>
      <w:szCs w:val="32"/>
    </w:rPr>
  </w:style>
  <w:style w:type="paragraph" w:customStyle="1" w:styleId="84">
    <w:name w:val="font7"/>
    <w:basedOn w:val="1"/>
    <w:qFormat/>
    <w:uiPriority w:val="0"/>
    <w:pPr>
      <w:widowControl/>
      <w:spacing w:before="100" w:beforeAutospacing="1" w:after="100" w:afterAutospacing="1"/>
      <w:jc w:val="left"/>
    </w:pPr>
    <w:rPr>
      <w:rFonts w:ascii="黑体" w:hAnsi="黑体" w:eastAsia="黑体" w:cs="宋体"/>
      <w:b/>
      <w:bCs/>
      <w:kern w:val="0"/>
      <w:sz w:val="32"/>
      <w:szCs w:val="32"/>
    </w:rPr>
  </w:style>
  <w:style w:type="paragraph" w:customStyle="1" w:styleId="85">
    <w:name w:val="xl70"/>
    <w:basedOn w:val="1"/>
    <w:qFormat/>
    <w:uiPriority w:val="0"/>
    <w:pPr>
      <w:widowControl/>
      <w:spacing w:before="100" w:beforeAutospacing="1" w:after="100" w:afterAutospacing="1"/>
      <w:jc w:val="left"/>
    </w:pPr>
    <w:rPr>
      <w:rFonts w:ascii="宋体" w:hAnsi="宋体" w:eastAsia="宋体" w:cs="宋体"/>
      <w:color w:val="000000"/>
      <w:kern w:val="0"/>
      <w:sz w:val="24"/>
      <w:szCs w:val="24"/>
    </w:rPr>
  </w:style>
  <w:style w:type="paragraph" w:customStyle="1" w:styleId="86">
    <w:name w:val="xl71"/>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center"/>
      <w:textAlignment w:val="center"/>
    </w:pPr>
    <w:rPr>
      <w:rFonts w:ascii="仿宋_GB2312" w:hAnsi="宋体" w:eastAsia="仿宋_GB2312" w:cs="宋体"/>
      <w:color w:val="000000"/>
      <w:kern w:val="0"/>
      <w:sz w:val="32"/>
      <w:szCs w:val="32"/>
    </w:rPr>
  </w:style>
  <w:style w:type="paragraph" w:customStyle="1" w:styleId="87">
    <w:name w:val="xl72"/>
    <w:basedOn w:val="1"/>
    <w:qFormat/>
    <w:uiPriority w:val="0"/>
    <w:pPr>
      <w:widowControl/>
      <w:pBdr>
        <w:top w:val="single" w:color="000000" w:sz="4" w:space="0"/>
        <w:bottom w:val="single" w:color="000000" w:sz="4" w:space="0"/>
      </w:pBdr>
      <w:spacing w:before="100" w:beforeAutospacing="1" w:after="100" w:afterAutospacing="1"/>
      <w:jc w:val="center"/>
      <w:textAlignment w:val="center"/>
    </w:pPr>
    <w:rPr>
      <w:rFonts w:ascii="仿宋_GB2312" w:hAnsi="宋体" w:eastAsia="仿宋_GB2312" w:cs="宋体"/>
      <w:color w:val="000000"/>
      <w:kern w:val="0"/>
      <w:sz w:val="32"/>
      <w:szCs w:val="32"/>
    </w:rPr>
  </w:style>
  <w:style w:type="paragraph" w:customStyle="1" w:styleId="88">
    <w:name w:val="xl73"/>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仿宋_GB2312" w:hAnsi="宋体" w:eastAsia="仿宋_GB2312" w:cs="宋体"/>
      <w:kern w:val="0"/>
      <w:sz w:val="32"/>
      <w:szCs w:val="32"/>
    </w:rPr>
  </w:style>
  <w:style w:type="paragraph" w:customStyle="1" w:styleId="89">
    <w:name w:val="xl74"/>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textAlignment w:val="center"/>
    </w:pPr>
    <w:rPr>
      <w:rFonts w:ascii="仿宋_GB2312" w:hAnsi="宋体" w:eastAsia="仿宋_GB2312" w:cs="宋体"/>
      <w:kern w:val="0"/>
      <w:sz w:val="32"/>
      <w:szCs w:val="32"/>
    </w:rPr>
  </w:style>
  <w:style w:type="paragraph" w:customStyle="1" w:styleId="90">
    <w:name w:val="xl75"/>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textAlignment w:val="center"/>
    </w:pPr>
    <w:rPr>
      <w:rFonts w:ascii="仿宋_GB2312" w:hAnsi="宋体" w:eastAsia="仿宋_GB2312" w:cs="宋体"/>
      <w:kern w:val="0"/>
      <w:sz w:val="32"/>
      <w:szCs w:val="32"/>
    </w:rPr>
  </w:style>
  <w:style w:type="paragraph" w:customStyle="1" w:styleId="91">
    <w:name w:val="xl76"/>
    <w:basedOn w:val="1"/>
    <w:qFormat/>
    <w:uiPriority w:val="0"/>
    <w:pPr>
      <w:widowControl/>
      <w:spacing w:before="100" w:beforeAutospacing="1" w:after="100" w:afterAutospacing="1"/>
      <w:jc w:val="center"/>
    </w:pPr>
    <w:rPr>
      <w:rFonts w:ascii="仿宋_GB2312" w:hAnsi="宋体" w:eastAsia="仿宋_GB2312" w:cs="宋体"/>
      <w:kern w:val="0"/>
      <w:sz w:val="32"/>
      <w:szCs w:val="32"/>
    </w:rPr>
  </w:style>
  <w:style w:type="paragraph" w:customStyle="1" w:styleId="92">
    <w:name w:val="xl77"/>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textAlignment w:val="center"/>
    </w:pPr>
    <w:rPr>
      <w:rFonts w:ascii="仿宋_GB2312" w:hAnsi="宋体" w:eastAsia="仿宋_GB2312" w:cs="宋体"/>
      <w:kern w:val="0"/>
      <w:sz w:val="32"/>
      <w:szCs w:val="32"/>
    </w:rPr>
  </w:style>
  <w:style w:type="paragraph" w:customStyle="1" w:styleId="93">
    <w:name w:val="xl78"/>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textAlignment w:val="center"/>
    </w:pPr>
    <w:rPr>
      <w:rFonts w:ascii="仿宋_GB2312" w:hAnsi="宋体" w:eastAsia="仿宋_GB2312" w:cs="宋体"/>
      <w:color w:val="000000"/>
      <w:kern w:val="0"/>
      <w:sz w:val="32"/>
      <w:szCs w:val="32"/>
    </w:rPr>
  </w:style>
  <w:style w:type="paragraph" w:customStyle="1" w:styleId="94">
    <w:name w:val="xl79"/>
    <w:basedOn w:val="1"/>
    <w:qFormat/>
    <w:uiPriority w:val="0"/>
    <w:pPr>
      <w:widowControl/>
      <w:pBdr>
        <w:top w:val="single" w:color="000000" w:sz="4" w:space="0"/>
        <w:bottom w:val="single" w:color="000000" w:sz="4" w:space="0"/>
      </w:pBdr>
      <w:spacing w:before="100" w:beforeAutospacing="1" w:after="100" w:afterAutospacing="1"/>
      <w:jc w:val="left"/>
      <w:textAlignment w:val="center"/>
    </w:pPr>
    <w:rPr>
      <w:rFonts w:ascii="仿宋_GB2312" w:hAnsi="宋体" w:eastAsia="仿宋_GB2312" w:cs="宋体"/>
      <w:color w:val="000000"/>
      <w:kern w:val="0"/>
      <w:sz w:val="32"/>
      <w:szCs w:val="32"/>
    </w:rPr>
  </w:style>
  <w:style w:type="paragraph" w:customStyle="1" w:styleId="95">
    <w:name w:val="xl80"/>
    <w:basedOn w:val="1"/>
    <w:qFormat/>
    <w:uiPriority w:val="0"/>
    <w:pPr>
      <w:widowControl/>
      <w:pBdr>
        <w:bottom w:val="single" w:color="000000" w:sz="4" w:space="0"/>
      </w:pBdr>
      <w:spacing w:before="100" w:beforeAutospacing="1" w:after="100" w:afterAutospacing="1"/>
      <w:jc w:val="center"/>
      <w:textAlignment w:val="center"/>
    </w:pPr>
    <w:rPr>
      <w:rFonts w:ascii="仿宋_GB2312" w:hAnsi="宋体" w:eastAsia="仿宋_GB2312" w:cs="宋体"/>
      <w:kern w:val="0"/>
      <w:sz w:val="32"/>
      <w:szCs w:val="32"/>
    </w:rPr>
  </w:style>
  <w:style w:type="paragraph" w:customStyle="1" w:styleId="96">
    <w:name w:val="xl81"/>
    <w:basedOn w:val="1"/>
    <w:qFormat/>
    <w:uiPriority w:val="0"/>
    <w:pPr>
      <w:widowControl/>
      <w:pBdr>
        <w:bottom w:val="single" w:color="000000" w:sz="4" w:space="0"/>
      </w:pBdr>
      <w:spacing w:before="100" w:beforeAutospacing="1" w:after="100" w:afterAutospacing="1"/>
      <w:jc w:val="center"/>
      <w:textAlignment w:val="center"/>
    </w:pPr>
    <w:rPr>
      <w:rFonts w:ascii="仿宋_GB2312" w:hAnsi="宋体" w:eastAsia="仿宋_GB2312" w:cs="宋体"/>
      <w:kern w:val="0"/>
      <w:sz w:val="32"/>
      <w:szCs w:val="32"/>
    </w:rPr>
  </w:style>
  <w:style w:type="paragraph" w:customStyle="1" w:styleId="97">
    <w:name w:val="xl82"/>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textAlignment w:val="center"/>
    </w:pPr>
    <w:rPr>
      <w:rFonts w:ascii="黑体" w:hAnsi="黑体" w:eastAsia="黑体" w:cs="宋体"/>
      <w:b/>
      <w:bCs/>
      <w:color w:val="000000"/>
      <w:kern w:val="0"/>
      <w:sz w:val="32"/>
      <w:szCs w:val="32"/>
    </w:rPr>
  </w:style>
  <w:style w:type="paragraph" w:customStyle="1" w:styleId="98">
    <w:name w:val="xl83"/>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textAlignment w:val="center"/>
    </w:pPr>
    <w:rPr>
      <w:rFonts w:ascii="黑体" w:hAnsi="黑体" w:eastAsia="黑体" w:cs="宋体"/>
      <w:b/>
      <w:bCs/>
      <w:kern w:val="0"/>
      <w:sz w:val="32"/>
      <w:szCs w:val="32"/>
    </w:rPr>
  </w:style>
  <w:style w:type="paragraph" w:customStyle="1" w:styleId="99">
    <w:name w:val="xl84"/>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textAlignment w:val="center"/>
    </w:pPr>
    <w:rPr>
      <w:rFonts w:ascii="仿宋_GB2312" w:hAnsi="宋体" w:eastAsia="仿宋_GB2312" w:cs="宋体"/>
      <w:kern w:val="0"/>
      <w:sz w:val="32"/>
      <w:szCs w:val="32"/>
    </w:rPr>
  </w:style>
  <w:style w:type="paragraph" w:customStyle="1" w:styleId="100">
    <w:name w:val="xl85"/>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textAlignment w:val="center"/>
    </w:pPr>
    <w:rPr>
      <w:rFonts w:ascii="黑体" w:hAnsi="黑体" w:eastAsia="黑体" w:cs="宋体"/>
      <w:b/>
      <w:bCs/>
      <w:kern w:val="0"/>
      <w:sz w:val="32"/>
      <w:szCs w:val="32"/>
    </w:rPr>
  </w:style>
  <w:style w:type="paragraph" w:customStyle="1" w:styleId="101">
    <w:name w:val="xl86"/>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center"/>
      <w:textAlignment w:val="center"/>
    </w:pPr>
    <w:rPr>
      <w:rFonts w:ascii="仿宋_GB2312" w:hAnsi="宋体" w:eastAsia="仿宋_GB2312" w:cs="宋体"/>
      <w:color w:val="000000"/>
      <w:kern w:val="0"/>
      <w:sz w:val="32"/>
      <w:szCs w:val="32"/>
    </w:rPr>
  </w:style>
  <w:style w:type="paragraph" w:customStyle="1" w:styleId="102">
    <w:name w:val="xl87"/>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center"/>
      <w:textAlignment w:val="center"/>
    </w:pPr>
    <w:rPr>
      <w:rFonts w:ascii="仿宋_GB2312" w:hAnsi="宋体" w:eastAsia="仿宋_GB2312" w:cs="宋体"/>
      <w:color w:val="000000"/>
      <w:kern w:val="0"/>
      <w:sz w:val="32"/>
      <w:szCs w:val="32"/>
    </w:rPr>
  </w:style>
  <w:style w:type="paragraph" w:customStyle="1" w:styleId="103">
    <w:name w:val="xl88"/>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center"/>
      <w:textAlignment w:val="center"/>
    </w:pPr>
    <w:rPr>
      <w:rFonts w:ascii="仿宋_GB2312" w:hAnsi="宋体" w:eastAsia="仿宋_GB2312" w:cs="宋体"/>
      <w:color w:val="000000"/>
      <w:kern w:val="0"/>
      <w:sz w:val="32"/>
      <w:szCs w:val="32"/>
    </w:rPr>
  </w:style>
  <w:style w:type="paragraph" w:customStyle="1" w:styleId="104">
    <w:name w:val="xl89"/>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textAlignment w:val="center"/>
    </w:pPr>
    <w:rPr>
      <w:rFonts w:ascii="仿宋_GB2312" w:hAnsi="宋体" w:eastAsia="仿宋_GB2312" w:cs="宋体"/>
      <w:color w:val="000000"/>
      <w:kern w:val="0"/>
      <w:sz w:val="32"/>
      <w:szCs w:val="32"/>
    </w:rPr>
  </w:style>
  <w:style w:type="paragraph" w:customStyle="1" w:styleId="105">
    <w:name w:val="xl90"/>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center"/>
    </w:pPr>
    <w:rPr>
      <w:rFonts w:ascii="仿宋_GB2312" w:hAnsi="宋体" w:eastAsia="仿宋_GB2312" w:cs="宋体"/>
      <w:color w:val="000000"/>
      <w:kern w:val="0"/>
      <w:sz w:val="32"/>
      <w:szCs w:val="32"/>
    </w:rPr>
  </w:style>
  <w:style w:type="paragraph" w:customStyle="1" w:styleId="106">
    <w:name w:val="xl91"/>
    <w:basedOn w:val="1"/>
    <w:qFormat/>
    <w:uiPriority w:val="0"/>
    <w:pPr>
      <w:widowControl/>
      <w:pBdr>
        <w:top w:val="single" w:color="000000" w:sz="4" w:space="0"/>
        <w:bottom w:val="single" w:color="000000" w:sz="4" w:space="0"/>
      </w:pBdr>
      <w:spacing w:before="100" w:beforeAutospacing="1" w:after="100" w:afterAutospacing="1"/>
      <w:jc w:val="center"/>
    </w:pPr>
    <w:rPr>
      <w:rFonts w:ascii="仿宋_GB2312" w:hAnsi="宋体" w:eastAsia="仿宋_GB2312" w:cs="宋体"/>
      <w:color w:val="000000"/>
      <w:kern w:val="0"/>
      <w:sz w:val="32"/>
      <w:szCs w:val="32"/>
    </w:rPr>
  </w:style>
  <w:style w:type="paragraph" w:customStyle="1" w:styleId="107">
    <w:name w:val="xl92"/>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center"/>
    </w:pPr>
    <w:rPr>
      <w:rFonts w:ascii="仿宋_GB2312" w:hAnsi="宋体" w:eastAsia="仿宋_GB2312" w:cs="宋体"/>
      <w:color w:val="000000"/>
      <w:kern w:val="0"/>
      <w:sz w:val="32"/>
      <w:szCs w:val="32"/>
    </w:rPr>
  </w:style>
  <w:style w:type="paragraph" w:customStyle="1" w:styleId="108">
    <w:name w:val="xl93"/>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center"/>
      <w:textAlignment w:val="center"/>
    </w:pPr>
    <w:rPr>
      <w:rFonts w:ascii="仿宋_GB2312" w:hAnsi="宋体" w:eastAsia="仿宋_GB2312" w:cs="宋体"/>
      <w:b/>
      <w:bCs/>
      <w:color w:val="000000"/>
      <w:kern w:val="0"/>
      <w:sz w:val="32"/>
      <w:szCs w:val="32"/>
    </w:rPr>
  </w:style>
  <w:style w:type="paragraph" w:customStyle="1" w:styleId="109">
    <w:name w:val="xl94"/>
    <w:basedOn w:val="1"/>
    <w:qFormat/>
    <w:uiPriority w:val="0"/>
    <w:pPr>
      <w:widowControl/>
      <w:pBdr>
        <w:top w:val="single" w:color="000000" w:sz="4" w:space="0"/>
        <w:bottom w:val="single" w:color="000000" w:sz="4" w:space="0"/>
      </w:pBdr>
      <w:spacing w:before="100" w:beforeAutospacing="1" w:after="100" w:afterAutospacing="1"/>
      <w:jc w:val="center"/>
      <w:textAlignment w:val="center"/>
    </w:pPr>
    <w:rPr>
      <w:rFonts w:ascii="宋体" w:hAnsi="宋体" w:eastAsia="宋体" w:cs="宋体"/>
      <w:kern w:val="0"/>
      <w:sz w:val="24"/>
      <w:szCs w:val="24"/>
    </w:rPr>
  </w:style>
  <w:style w:type="paragraph" w:customStyle="1" w:styleId="110">
    <w:name w:val="xl95"/>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center"/>
      <w:textAlignment w:val="center"/>
    </w:pPr>
    <w:rPr>
      <w:rFonts w:ascii="宋体" w:hAnsi="宋体" w:eastAsia="宋体" w:cs="宋体"/>
      <w:kern w:val="0"/>
      <w:sz w:val="24"/>
      <w:szCs w:val="24"/>
    </w:rPr>
  </w:style>
  <w:style w:type="paragraph" w:customStyle="1" w:styleId="111">
    <w:name w:val="xl96"/>
    <w:basedOn w:val="1"/>
    <w:qFormat/>
    <w:uiPriority w:val="0"/>
    <w:pPr>
      <w:widowControl/>
      <w:pBdr>
        <w:top w:val="single" w:color="000000" w:sz="4" w:space="0"/>
        <w:bottom w:val="single" w:color="000000" w:sz="4" w:space="0"/>
      </w:pBdr>
      <w:spacing w:before="100" w:beforeAutospacing="1" w:after="100" w:afterAutospacing="1"/>
      <w:jc w:val="center"/>
      <w:textAlignment w:val="center"/>
    </w:pPr>
    <w:rPr>
      <w:rFonts w:ascii="黑体" w:hAnsi="黑体" w:eastAsia="黑体" w:cs="宋体"/>
      <w:b/>
      <w:bCs/>
      <w:kern w:val="0"/>
      <w:sz w:val="32"/>
      <w:szCs w:val="32"/>
    </w:rPr>
  </w:style>
  <w:style w:type="paragraph" w:customStyle="1" w:styleId="112">
    <w:name w:val="xl97"/>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textAlignment w:val="center"/>
    </w:pPr>
    <w:rPr>
      <w:rFonts w:ascii="黑体" w:hAnsi="黑体" w:eastAsia="黑体" w:cs="宋体"/>
      <w:color w:val="000000"/>
      <w:kern w:val="0"/>
      <w:sz w:val="32"/>
      <w:szCs w:val="32"/>
    </w:rPr>
  </w:style>
  <w:style w:type="paragraph" w:customStyle="1" w:styleId="113">
    <w:name w:val="xl98"/>
    <w:basedOn w:val="1"/>
    <w:qFormat/>
    <w:uiPriority w:val="0"/>
    <w:pPr>
      <w:widowControl/>
      <w:pBdr>
        <w:bottom w:val="single" w:color="000000" w:sz="4" w:space="0"/>
      </w:pBdr>
      <w:spacing w:before="100" w:beforeAutospacing="1" w:after="100" w:afterAutospacing="1"/>
      <w:jc w:val="center"/>
      <w:textAlignment w:val="center"/>
    </w:pPr>
    <w:rPr>
      <w:rFonts w:ascii="黑体" w:hAnsi="黑体" w:eastAsia="黑体" w:cs="宋体"/>
      <w:b/>
      <w:bCs/>
      <w:kern w:val="0"/>
      <w:sz w:val="32"/>
      <w:szCs w:val="32"/>
    </w:rPr>
  </w:style>
  <w:style w:type="paragraph" w:customStyle="1" w:styleId="114">
    <w:name w:val="xl99"/>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center"/>
      <w:textAlignment w:val="center"/>
    </w:pPr>
    <w:rPr>
      <w:rFonts w:ascii="黑体" w:hAnsi="黑体" w:eastAsia="黑体" w:cs="宋体"/>
      <w:b/>
      <w:bCs/>
      <w:kern w:val="0"/>
      <w:sz w:val="32"/>
      <w:szCs w:val="32"/>
    </w:rPr>
  </w:style>
  <w:style w:type="paragraph" w:customStyle="1" w:styleId="115">
    <w:name w:val="xl10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center"/>
      <w:textAlignment w:val="center"/>
    </w:pPr>
    <w:rPr>
      <w:rFonts w:ascii="黑体" w:hAnsi="黑体" w:eastAsia="黑体" w:cs="宋体"/>
      <w:b/>
      <w:bCs/>
      <w:kern w:val="0"/>
      <w:sz w:val="32"/>
      <w:szCs w:val="32"/>
    </w:rPr>
  </w:style>
  <w:style w:type="paragraph" w:customStyle="1" w:styleId="116">
    <w:name w:val="xl101"/>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center"/>
      <w:textAlignment w:val="center"/>
    </w:pPr>
    <w:rPr>
      <w:rFonts w:ascii="黑体" w:hAnsi="黑体" w:eastAsia="黑体" w:cs="宋体"/>
      <w:b/>
      <w:bCs/>
      <w:color w:val="000000"/>
      <w:kern w:val="0"/>
      <w:sz w:val="32"/>
      <w:szCs w:val="32"/>
    </w:rPr>
  </w:style>
  <w:style w:type="paragraph" w:customStyle="1" w:styleId="117">
    <w:name w:val="xl102"/>
    <w:basedOn w:val="1"/>
    <w:qFormat/>
    <w:uiPriority w:val="0"/>
    <w:pPr>
      <w:widowControl/>
      <w:pBdr>
        <w:top w:val="single" w:color="000000" w:sz="4" w:space="0"/>
        <w:bottom w:val="single" w:color="000000" w:sz="4" w:space="0"/>
      </w:pBdr>
      <w:spacing w:before="100" w:beforeAutospacing="1" w:after="100" w:afterAutospacing="1"/>
      <w:jc w:val="center"/>
      <w:textAlignment w:val="center"/>
    </w:pPr>
    <w:rPr>
      <w:rFonts w:ascii="黑体" w:hAnsi="黑体" w:eastAsia="黑体" w:cs="宋体"/>
      <w:b/>
      <w:bCs/>
      <w:color w:val="000000"/>
      <w:kern w:val="0"/>
      <w:sz w:val="32"/>
      <w:szCs w:val="32"/>
    </w:rPr>
  </w:style>
  <w:style w:type="paragraph" w:customStyle="1" w:styleId="118">
    <w:name w:val="xl103"/>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center"/>
      <w:textAlignment w:val="center"/>
    </w:pPr>
    <w:rPr>
      <w:rFonts w:ascii="黑体" w:hAnsi="黑体" w:eastAsia="黑体" w:cs="宋体"/>
      <w:b/>
      <w:bCs/>
      <w:color w:val="000000"/>
      <w:kern w:val="0"/>
      <w:sz w:val="32"/>
      <w:szCs w:val="32"/>
    </w:rPr>
  </w:style>
  <w:style w:type="paragraph" w:customStyle="1" w:styleId="119">
    <w:name w:val="xl104"/>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center"/>
      <w:textAlignment w:val="center"/>
    </w:pPr>
    <w:rPr>
      <w:rFonts w:ascii="黑体" w:hAnsi="黑体" w:eastAsia="黑体" w:cs="宋体"/>
      <w:b/>
      <w:bCs/>
      <w:color w:val="000000"/>
      <w:kern w:val="0"/>
      <w:sz w:val="32"/>
      <w:szCs w:val="32"/>
    </w:rPr>
  </w:style>
  <w:style w:type="paragraph" w:customStyle="1" w:styleId="120">
    <w:name w:val="xl105"/>
    <w:basedOn w:val="1"/>
    <w:qFormat/>
    <w:uiPriority w:val="0"/>
    <w:pPr>
      <w:widowControl/>
      <w:pBdr>
        <w:top w:val="single" w:color="000000" w:sz="4" w:space="0"/>
        <w:bottom w:val="single" w:color="000000" w:sz="4" w:space="0"/>
      </w:pBdr>
      <w:spacing w:before="100" w:beforeAutospacing="1" w:after="100" w:afterAutospacing="1"/>
      <w:jc w:val="center"/>
      <w:textAlignment w:val="center"/>
    </w:pPr>
    <w:rPr>
      <w:rFonts w:ascii="黑体" w:hAnsi="黑体" w:eastAsia="黑体" w:cs="宋体"/>
      <w:b/>
      <w:bCs/>
      <w:color w:val="000000"/>
      <w:kern w:val="0"/>
      <w:sz w:val="32"/>
      <w:szCs w:val="32"/>
    </w:rPr>
  </w:style>
  <w:style w:type="paragraph" w:customStyle="1" w:styleId="121">
    <w:name w:val="xl106"/>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center"/>
      <w:textAlignment w:val="center"/>
    </w:pPr>
    <w:rPr>
      <w:rFonts w:ascii="黑体" w:hAnsi="黑体" w:eastAsia="黑体" w:cs="宋体"/>
      <w:b/>
      <w:bCs/>
      <w:color w:val="000000"/>
      <w:kern w:val="0"/>
      <w:sz w:val="32"/>
      <w:szCs w:val="32"/>
    </w:rPr>
  </w:style>
  <w:style w:type="character" w:customStyle="1" w:styleId="122">
    <w:name w:val="批注文字 字符"/>
    <w:basedOn w:val="25"/>
    <w:link w:val="8"/>
    <w:qFormat/>
    <w:uiPriority w:val="99"/>
    <w:rPr>
      <w:rFonts w:asciiTheme="minorHAnsi" w:hAnsiTheme="minorHAnsi" w:eastAsiaTheme="minorEastAsia" w:cstheme="minorBidi"/>
      <w:kern w:val="2"/>
      <w:sz w:val="21"/>
      <w:szCs w:val="22"/>
    </w:rPr>
  </w:style>
  <w:style w:type="paragraph" w:customStyle="1" w:styleId="123">
    <w:name w:val="Revision"/>
    <w:hidden/>
    <w:unhideWhenUsed/>
    <w:qFormat/>
    <w:uiPriority w:val="99"/>
    <w:rPr>
      <w:rFonts w:asciiTheme="minorHAnsi" w:hAnsiTheme="minorHAnsi" w:eastAsiaTheme="minorEastAsia" w:cstheme="minorBidi"/>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emf"/><Relationship Id="rId8" Type="http://schemas.openxmlformats.org/officeDocument/2006/relationships/image" Target="media/image2.emf"/><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false"/>
        </a:gradFill>
        <a:gradFill>
          <a:gsLst>
            <a:gs pos="0">
              <a:schemeClr val="phClr">
                <a:hueOff val="-2520000"/>
              </a:schemeClr>
            </a:gs>
            <a:gs pos="100000">
              <a:schemeClr val="phClr"/>
            </a:gs>
          </a:gsLst>
          <a:lin ang="2700000" scaled="false"/>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true"/>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152</Pages>
  <Words>49020</Words>
  <Characters>49512</Characters>
  <Lines>2750</Lines>
  <Paragraphs>1642</Paragraphs>
  <TotalTime>40</TotalTime>
  <ScaleCrop>false</ScaleCrop>
  <LinksUpToDate>false</LinksUpToDate>
  <CharactersWithSpaces>96890</CharactersWithSpaces>
  <Application>WPS Office_11.8.2.10125_F1E327BC-269C-435d-A152-05C5408002CA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2026-01-26T14:02:00Z</dcterms:created>
  <dc:creator>国合智联</dc:creator>
  <cp:lastModifiedBy>user</cp:lastModifiedBy>
  <cp:lastPrinted>2026-03-07T09:07:00Z</cp:lastPrinted>
  <dcterms:modified xsi:type="dcterms:W3CDTF">2026-03-11T17:51:59Z</dcterms:modified>
  <cp:revision>48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2052-11.8.2.10125</vt:lpwstr>
  </property>
  <property fmtid="{D5CDD505-2E9C-101B-9397-08002B2CF9AE}" pid="3" name="KSOTemplateDocerSaveRecord">
    <vt:lpwstr>eyJoZGlkIjoiYTc2ZGZiNzZiNDVlOGViOWVmM2JhOTY0NGJkNjUyYzgiLCJ1c2VySWQiOiIyNjQwMDgyNjgifQ==</vt:lpwstr>
  </property>
  <property fmtid="{D5CDD505-2E9C-101B-9397-08002B2CF9AE}" pid="4" name="ICV">
    <vt:lpwstr>47D13B84B08046E88624E016FB8E19CA_12</vt:lpwstr>
  </property>
</Properties>
</file>