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hint="eastAsia" w:ascii="仿宋_GB2312" w:hAnsi="黑体" w:eastAsia="仿宋_GB2312" w:cs="宋体"/>
          <w:b/>
          <w:bCs w:val="0"/>
          <w:sz w:val="24"/>
        </w:rPr>
      </w:pPr>
      <w:r>
        <w:rPr>
          <w:rFonts w:hint="eastAsia" w:ascii="仿宋_GB2312" w:hAnsi="黑体" w:eastAsia="仿宋_GB2312" w:cs="宋体"/>
          <w:b/>
          <w:bCs w:val="0"/>
          <w:sz w:val="24"/>
        </w:rPr>
        <w:t>一、</w:t>
      </w:r>
      <w:r>
        <w:rPr>
          <w:rFonts w:hint="eastAsia" w:ascii="仿宋_GB2312" w:hAnsi="黑体" w:eastAsia="仿宋_GB2312" w:cs="宋体"/>
          <w:b/>
          <w:bCs w:val="0"/>
          <w:sz w:val="24"/>
          <w:lang w:eastAsia="zh-CN"/>
        </w:rPr>
        <w:t>背景</w:t>
      </w:r>
      <w:r>
        <w:rPr>
          <w:rFonts w:hint="eastAsia" w:ascii="仿宋_GB2312" w:hAnsi="黑体" w:eastAsia="仿宋_GB2312" w:cs="宋体"/>
          <w:b/>
          <w:bCs w:val="0"/>
          <w:sz w:val="24"/>
        </w:rPr>
        <w:t>概况</w:t>
      </w:r>
    </w:p>
    <w:p>
      <w:pPr>
        <w:spacing w:line="360" w:lineRule="exact"/>
        <w:ind w:firstLine="480" w:firstLineChars="200"/>
        <w:rPr>
          <w:rFonts w:hint="eastAsia" w:ascii="仿宋_GB2312" w:hAnsi="黑体" w:eastAsia="仿宋_GB2312" w:cs="宋体"/>
          <w:bCs/>
          <w:sz w:val="24"/>
        </w:rPr>
      </w:pPr>
      <w:r>
        <w:rPr>
          <w:rFonts w:hint="eastAsia" w:ascii="仿宋_GB2312" w:hAnsi="黑体" w:eastAsia="仿宋_GB2312" w:cs="宋体"/>
          <w:bCs/>
          <w:sz w:val="24"/>
          <w:lang w:eastAsia="zh-CN"/>
        </w:rPr>
        <w:t>在国土空间规划体系逐步建立的大背景下，城市开发建设的转型升级刻不容缓，本项目旨在探索在新时代生态文明建设的总体理念下，构建未来社区发展建设的精细化设计与管理。</w:t>
      </w:r>
    </w:p>
    <w:p>
      <w:pPr>
        <w:spacing w:line="360" w:lineRule="exact"/>
        <w:rPr>
          <w:rFonts w:hint="eastAsia" w:ascii="仿宋_GB2312" w:hAnsi="黑体" w:eastAsia="仿宋_GB2312" w:cs="宋体"/>
          <w:b/>
          <w:sz w:val="24"/>
        </w:rPr>
      </w:pPr>
      <w:r>
        <w:rPr>
          <w:rFonts w:hint="eastAsia" w:ascii="仿宋_GB2312" w:hAnsi="黑体" w:eastAsia="仿宋_GB2312" w:cs="宋体"/>
          <w:b/>
          <w:sz w:val="24"/>
        </w:rPr>
        <w:t>二、</w:t>
      </w:r>
      <w:r>
        <w:rPr>
          <w:rFonts w:hint="eastAsia" w:ascii="仿宋_GB2312" w:hAnsi="黑体" w:eastAsia="仿宋_GB2312" w:cs="宋体"/>
          <w:b/>
          <w:sz w:val="24"/>
          <w:lang w:eastAsia="zh-CN"/>
        </w:rPr>
        <w:t>编制内容</w:t>
      </w:r>
    </w:p>
    <w:p>
      <w:pPr>
        <w:spacing w:line="360" w:lineRule="exact"/>
        <w:ind w:firstLine="480" w:firstLineChars="200"/>
        <w:rPr>
          <w:rFonts w:hint="default" w:ascii="仿宋_GB2312" w:hAnsi="黑体" w:eastAsia="仿宋_GB2312" w:cs="宋体"/>
          <w:bCs/>
          <w:sz w:val="24"/>
          <w:lang w:val="en-US" w:eastAsia="zh-CN"/>
        </w:rPr>
      </w:pPr>
      <w:r>
        <w:rPr>
          <w:rFonts w:hint="eastAsia" w:ascii="仿宋_GB2312" w:hAnsi="黑体" w:eastAsia="仿宋_GB2312" w:cs="宋体"/>
          <w:bCs/>
          <w:sz w:val="24"/>
        </w:rPr>
        <w:t>（</w:t>
      </w:r>
      <w:r>
        <w:rPr>
          <w:rFonts w:ascii="仿宋_GB2312" w:hAnsi="黑体" w:eastAsia="仿宋_GB2312" w:cs="宋体"/>
          <w:bCs/>
          <w:sz w:val="24"/>
        </w:rPr>
        <w:t>一）</w:t>
      </w:r>
      <w:r>
        <w:rPr>
          <w:rFonts w:hint="eastAsia" w:ascii="仿宋_GB2312" w:hAnsi="黑体" w:eastAsia="仿宋_GB2312" w:cs="宋体"/>
          <w:bCs/>
          <w:sz w:val="24"/>
          <w:lang w:val="en-US" w:eastAsia="zh-CN"/>
        </w:rPr>
        <w:t>城市设计方案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rFonts w:hint="eastAsia" w:ascii="仿宋_GB2312" w:hAnsi="黑体" w:eastAsia="仿宋_GB2312" w:cs="宋体"/>
          <w:bCs/>
          <w:sz w:val="24"/>
          <w:lang w:val="en-US" w:eastAsia="zh-CN"/>
        </w:rPr>
      </w:pPr>
      <w:r>
        <w:rPr>
          <w:rFonts w:hint="eastAsia" w:ascii="仿宋_GB2312" w:hAnsi="黑体" w:eastAsia="仿宋_GB2312" w:cs="宋体"/>
          <w:bCs/>
          <w:sz w:val="24"/>
          <w:lang w:val="en-US" w:eastAsia="zh-CN"/>
        </w:rPr>
        <w:t>充分考虑地块在整个通江区的城市定位，发挥临江的生态环境优势，保留现状部分传统建筑，优化功能业态和城市空间结构。规划新增一条城市支路，疏解滨江交通压力，引入绿廊形成高低错落的滨江空间形态。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spacing w:line="360" w:lineRule="exact"/>
        <w:ind w:firstLine="480" w:firstLineChars="200"/>
        <w:jc w:val="both"/>
        <w:rPr>
          <w:rFonts w:hint="eastAsia" w:ascii="仿宋_GB2312" w:hAnsi="黑体" w:eastAsia="仿宋_GB2312" w:cs="宋体"/>
          <w:bCs/>
          <w:sz w:val="24"/>
          <w:lang w:val="en-US" w:eastAsia="zh-CN"/>
        </w:rPr>
      </w:pPr>
      <w:r>
        <w:rPr>
          <w:rFonts w:hint="eastAsia" w:ascii="仿宋_GB2312" w:hAnsi="黑体" w:eastAsia="仿宋_GB2312" w:cs="宋体"/>
          <w:bCs/>
          <w:sz w:val="24"/>
          <w:lang w:val="en-US" w:eastAsia="zh-CN"/>
        </w:rPr>
        <w:t>（二）规划调整论证</w:t>
      </w:r>
    </w:p>
    <w:p>
      <w:pPr>
        <w:widowControl w:val="0"/>
        <w:numPr>
          <w:ilvl w:val="0"/>
          <w:numId w:val="0"/>
        </w:numPr>
        <w:spacing w:line="360" w:lineRule="exact"/>
        <w:jc w:val="both"/>
        <w:rPr>
          <w:rFonts w:hint="default" w:ascii="仿宋_GB2312" w:hAnsi="黑体" w:eastAsia="仿宋_GB2312" w:cs="宋体"/>
          <w:bCs/>
          <w:sz w:val="24"/>
          <w:lang w:val="en-US" w:eastAsia="zh-CN"/>
        </w:rPr>
      </w:pPr>
      <w:r>
        <w:rPr>
          <w:rFonts w:hint="eastAsia" w:ascii="仿宋_GB2312" w:hAnsi="黑体" w:eastAsia="仿宋_GB2312" w:cs="宋体"/>
          <w:bCs/>
          <w:sz w:val="24"/>
          <w:lang w:val="en-US" w:eastAsia="zh-CN"/>
        </w:rPr>
        <w:t xml:space="preserve">    在满足规划强条的基础上结合城市设计思路对原控规图则进行优化，主要调整了相关居住用地、商业用地及公园绿地布局形态，在保护岷江岸线退距空间的同时增加公园绿地面积，并建议按照拆迁工作进度进行分期开发建设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5ODhiNWZhNTA4MWRkYWJkM2M3YTc5Y2VmNTZmZGEifQ=="/>
  </w:docVars>
  <w:rsids>
    <w:rsidRoot w:val="21D704BD"/>
    <w:rsid w:val="21D704BD"/>
    <w:rsid w:val="3F78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2022-11-03T03:29:00Z</dcterms:created>
  <dc:creator>叨叨叨叨</dc:creator>
  <cp:lastModifiedBy>Administrator</cp:lastModifiedBy>
  <dcterms:modified xsi:type="dcterms:W3CDTF">2022-11-07T03:41:45Z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2052-11.8.6.11546</vt:lpwstr>
  </property>
  <property fmtid="{D5CDD505-2E9C-101B-9397-08002B2CF9AE}" pid="3" name="ICV">
    <vt:lpwstr>BCB251F7969B4A62B5E9997A69C79283</vt:lpwstr>
  </property>
</Properties>
</file>