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79A88D">
      <w:pPr>
        <w:spacing w:line="360" w:lineRule="auto"/>
        <w:ind w:firstLine="480" w:firstLineChars="200"/>
        <w:outlineLvl w:val="2"/>
        <w:rPr>
          <w:rFonts w:hint="eastAsia"/>
          <w:sz w:val="24"/>
        </w:rPr>
      </w:pPr>
      <w:bookmarkStart w:id="0" w:name="_Toc166388168"/>
      <w:bookmarkStart w:id="1" w:name="_Toc410292450"/>
      <w:bookmarkStart w:id="2" w:name="_Toc168711162"/>
    </w:p>
    <w:p w14:paraId="245A6F81">
      <w:pPr>
        <w:jc w:val="center"/>
        <w:rPr>
          <w:rFonts w:eastAsia="黑体"/>
          <w:sz w:val="44"/>
        </w:rPr>
      </w:pPr>
    </w:p>
    <w:p w14:paraId="7219D58F">
      <w:pPr>
        <w:jc w:val="center"/>
        <w:rPr>
          <w:rFonts w:hint="eastAsia" w:eastAsia="黑体"/>
          <w:sz w:val="44"/>
        </w:rPr>
      </w:pPr>
    </w:p>
    <w:p w14:paraId="1F9E6A7F">
      <w:pPr>
        <w:jc w:val="center"/>
        <w:rPr>
          <w:rFonts w:eastAsia="黑体"/>
          <w:sz w:val="44"/>
        </w:rPr>
      </w:pPr>
    </w:p>
    <w:p w14:paraId="628352CF">
      <w:pPr>
        <w:rPr>
          <w:rFonts w:eastAsia="黑体"/>
          <w:sz w:val="44"/>
        </w:rPr>
      </w:pPr>
    </w:p>
    <w:p w14:paraId="070F989D">
      <w:pPr>
        <w:jc w:val="right"/>
        <w:rPr>
          <w:rFonts w:eastAsia="黑体"/>
          <w:b/>
          <w:spacing w:val="100"/>
          <w:sz w:val="56"/>
          <w:szCs w:val="56"/>
        </w:rPr>
      </w:pPr>
      <w:r>
        <w:rPr>
          <w:rFonts w:hint="eastAsia" w:eastAsia="黑体"/>
          <w:b/>
          <w:spacing w:val="100"/>
          <w:sz w:val="56"/>
          <w:szCs w:val="56"/>
        </w:rPr>
        <mc:AlternateContent>
          <mc:Choice Requires="wpg">
            <w:drawing>
              <wp:anchor distT="0" distB="0" distL="114300" distR="114300" simplePos="0" relativeHeight="251660288" behindDoc="0" locked="0" layoutInCell="1" allowOverlap="1">
                <wp:simplePos x="0" y="0"/>
                <wp:positionH relativeFrom="column">
                  <wp:posOffset>594360</wp:posOffset>
                </wp:positionH>
                <wp:positionV relativeFrom="paragraph">
                  <wp:posOffset>130810</wp:posOffset>
                </wp:positionV>
                <wp:extent cx="12423775" cy="495935"/>
                <wp:effectExtent l="0" t="31750" r="15875" b="5715"/>
                <wp:wrapNone/>
                <wp:docPr id="8" name="组合 73"/>
                <wp:cNvGraphicFramePr/>
                <a:graphic xmlns:a="http://schemas.openxmlformats.org/drawingml/2006/main">
                  <a:graphicData uri="http://schemas.microsoft.com/office/word/2010/wordprocessingGroup">
                    <wpg:wgp>
                      <wpg:cNvGrpSpPr/>
                      <wpg:grpSpPr>
                        <a:xfrm>
                          <a:off x="0" y="0"/>
                          <a:ext cx="12423775" cy="495935"/>
                          <a:chOff x="2524" y="4610"/>
                          <a:chExt cx="19565" cy="781"/>
                        </a:xfrm>
                      </wpg:grpSpPr>
                      <wps:wsp>
                        <wps:cNvPr id="4" name="自选图形 66"/>
                        <wps:cNvCnPr/>
                        <wps:spPr>
                          <a:xfrm>
                            <a:off x="6704" y="5338"/>
                            <a:ext cx="15385" cy="0"/>
                          </a:xfrm>
                          <a:prstGeom prst="straightConnector1">
                            <a:avLst/>
                          </a:prstGeom>
                          <a:ln w="63500" cap="flat" cmpd="sng">
                            <a:solidFill>
                              <a:srgbClr val="7F7F7F"/>
                            </a:solidFill>
                            <a:prstDash val="solid"/>
                            <a:headEnd type="none" w="med" len="med"/>
                            <a:tailEnd type="none" w="med" len="med"/>
                          </a:ln>
                        </wps:spPr>
                        <wps:bodyPr/>
                      </wps:wsp>
                      <wpg:grpSp>
                        <wpg:cNvPr id="7" name="组合 70"/>
                        <wpg:cNvGrpSpPr/>
                        <wpg:grpSpPr>
                          <a:xfrm>
                            <a:off x="2524" y="4610"/>
                            <a:ext cx="7943" cy="781"/>
                            <a:chOff x="2524" y="4980"/>
                            <a:chExt cx="7943" cy="781"/>
                          </a:xfrm>
                        </wpg:grpSpPr>
                        <wps:wsp>
                          <wps:cNvPr id="5" name="自选图形 71"/>
                          <wps:cNvCnPr/>
                          <wps:spPr>
                            <a:xfrm>
                              <a:off x="2524" y="4980"/>
                              <a:ext cx="7943" cy="727"/>
                            </a:xfrm>
                            <a:prstGeom prst="bentConnector3">
                              <a:avLst>
                                <a:gd name="adj1" fmla="val 51255"/>
                              </a:avLst>
                            </a:prstGeom>
                            <a:ln w="63500" cap="flat" cmpd="sng">
                              <a:solidFill>
                                <a:srgbClr val="7F7F7F"/>
                              </a:solidFill>
                              <a:prstDash val="solid"/>
                              <a:miter/>
                              <a:headEnd type="none" w="med" len="med"/>
                              <a:tailEnd type="none" w="med" len="med"/>
                            </a:ln>
                          </wps:spPr>
                          <wps:bodyPr/>
                        </wps:wsp>
                        <wps:wsp>
                          <wps:cNvPr id="6" name="自选图形 72"/>
                          <wps:cNvSpPr/>
                          <wps:spPr>
                            <a:xfrm>
                              <a:off x="6380" y="5034"/>
                              <a:ext cx="201" cy="727"/>
                            </a:xfrm>
                            <a:prstGeom prst="flowChartProcess">
                              <a:avLst/>
                            </a:prstGeom>
                            <a:solidFill>
                              <a:srgbClr val="7F7F7F"/>
                            </a:solidFill>
                            <a:ln>
                              <a:noFill/>
                            </a:ln>
                          </wps:spPr>
                          <wps:bodyPr wrap="square" upright="1"/>
                        </wps:wsp>
                      </wpg:grpSp>
                    </wpg:wgp>
                  </a:graphicData>
                </a:graphic>
              </wp:anchor>
            </w:drawing>
          </mc:Choice>
          <mc:Fallback>
            <w:pict>
              <v:group id="组合 73" o:spid="_x0000_s1026" o:spt="203" style="position:absolute;left:0pt;margin-left:46.8pt;margin-top:10.3pt;height:39.05pt;width:978.25pt;z-index:251660288;mso-width-relative:page;mso-height-relative:page;" coordorigin="2524,4610" coordsize="19565,781" o:gfxdata="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">
                <o:lock v:ext="edit" aspectratio="f"/>
                <v:shape id="自选图形 66" o:spid="_x0000_s1026" o:spt="32" type="#_x0000_t32" style="position:absolute;left:6704;top:5338;height:0;width:15385;" filled="f" stroked="t" coordsize="21600,21600" o:gfxdata="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YocNM&#10;wAAAANoAAAAPAAAAAAAAAAEAIAAAACIAAABkcnMvZG93bnJldi54bWxQSwECFAAUAAAACACHTuJA&#10;My8FnjsAAAA5AAAAEAAAAAAAAAABACAAAAAPAQAAZHJzL3NoYXBleG1sLnhtbFBLBQYAAAAABgAG&#10;AFsBAAC5AwAAAAA=&#10;">
                  <v:fill on="f" focussize="0,0"/>
                  <v:stroke weight="5pt" color="#7F7F7F" joinstyle="round"/>
                  <v:imagedata o:title=""/>
                  <o:lock v:ext="edit" aspectratio="f"/>
                </v:shape>
                <v:group id="组合 70" o:spid="_x0000_s1026" o:spt="203" style="position:absolute;left:2524;top:4610;height:781;width:7943;" coordorigin="2524,4980" coordsize="7943,781" o:gfxdata="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Otscpe+AAAA2gAAAA8AAAAAAAAAAQAgAAAAIgAAAGRycy9kb3ducmV2Lnht&#10;bFBLAQIUABQAAAAIAIdO4kAzLwWeOwAAADkAAAAVAAAAAAAAAAEAIAAAAA0BAABkcnMvZ3JvdXBz&#10;aGFwZXhtbC54bWxQSwUGAAAAAAYABgBgAQAAygMAAAAA&#10;">
                  <o:lock v:ext="edit" aspectratio="f"/>
                  <v:shape id="自选图形 71" o:spid="_x0000_s1026" o:spt="34" type="#_x0000_t34" style="position:absolute;left:2524;top:4980;height:727;width:7943;" filled="f" stroked="t" coordsize="21600,21600" o:gfxdata="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PrkcbgAAADaAAAA&#10;DwAAAAAAAAABACAAAAAiAAAAZHJzL2Rvd25yZXYueG1sUEsBAhQAFAAAAAgAh07iQDMvBZ47AAAA&#10;OQAAABAAAAAAAAAAAQAgAAAABwEAAGRycy9zaGFwZXhtbC54bWxQSwUGAAAAAAYABgBbAQAAsQMA&#10;AAAA&#10;" adj="11071">
                    <v:fill on="f" focussize="0,0"/>
                    <v:stroke weight="5pt" color="#7F7F7F" joinstyle="miter"/>
                    <v:imagedata o:title=""/>
                    <o:lock v:ext="edit" aspectratio="f"/>
                  </v:shape>
                  <v:shape id="自选图形 72" o:spid="_x0000_s1026" o:spt="109" type="#_x0000_t109" style="position:absolute;left:6380;top:5034;height:727;width:201;" fillcolor="#7F7F7F" filled="t" stroked="f" coordsize="21600,21600" o:gfxdata="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i8ZmLsAAADa&#10;AAAADwAAAAAAAAABACAAAAAiAAAAZHJzL2Rvd25yZXYueG1sUEsBAhQAFAAAAAgAh07iQDMvBZ47&#10;AAAAOQAAABAAAAAAAAAAAQAgAAAACgEAAGRycy9zaGFwZXhtbC54bWxQSwUGAAAAAAYABgBbAQAA&#10;tAMAAAAA&#10;">
                    <v:fill on="t" focussize="0,0"/>
                    <v:stroke on="f"/>
                    <v:imagedata o:title=""/>
                    <o:lock v:ext="edit" aspectratio="f"/>
                  </v:shape>
                </v:group>
              </v:group>
            </w:pict>
          </mc:Fallback>
        </mc:AlternateContent>
      </w:r>
      <w:r>
        <w:rPr>
          <w:rFonts w:hint="eastAsia" w:eastAsia="黑体"/>
          <w:b/>
          <w:spacing w:val="43"/>
          <w:kern w:val="0"/>
          <w:sz w:val="56"/>
          <w:szCs w:val="56"/>
          <w:fitText w:val="15455" w:id="-1816947200"/>
        </w:rPr>
        <w:t>乐山市中心城区岷江东岸片区控制性详细规划（修编</w:t>
      </w:r>
      <w:r>
        <w:rPr>
          <w:rFonts w:hint="eastAsia" w:eastAsia="黑体"/>
          <w:b/>
          <w:spacing w:val="18"/>
          <w:kern w:val="0"/>
          <w:sz w:val="56"/>
          <w:szCs w:val="56"/>
          <w:fitText w:val="15455" w:id="-1816947200"/>
        </w:rPr>
        <w:t>）</w:t>
      </w:r>
    </w:p>
    <w:p w14:paraId="2F0B7FA6">
      <w:pPr>
        <w:jc w:val="center"/>
        <w:rPr>
          <w:rFonts w:eastAsia="黑体"/>
          <w:sz w:val="44"/>
        </w:rPr>
      </w:pPr>
    </w:p>
    <w:p w14:paraId="3492A713">
      <w:pPr>
        <w:wordWrap w:val="0"/>
        <w:spacing w:line="360" w:lineRule="auto"/>
        <w:jc w:val="right"/>
        <w:rPr>
          <w:rFonts w:hint="eastAsia" w:eastAsia="黑体"/>
          <w:i/>
          <w:sz w:val="44"/>
        </w:rPr>
      </w:pPr>
    </w:p>
    <w:p w14:paraId="52366D6F">
      <w:pPr>
        <w:wordWrap w:val="0"/>
        <w:spacing w:line="360" w:lineRule="auto"/>
        <w:jc w:val="right"/>
        <w:rPr>
          <w:rFonts w:ascii="微软雅黑" w:hAnsi="微软雅黑" w:eastAsia="微软雅黑"/>
          <w:b/>
          <w:sz w:val="60"/>
          <w:szCs w:val="60"/>
        </w:rPr>
      </w:pPr>
      <w:r>
        <w:rPr>
          <w:rFonts w:hint="eastAsia" w:eastAsia="黑体"/>
          <w:b/>
          <w:spacing w:val="100"/>
          <w:sz w:val="56"/>
          <w:szCs w:val="56"/>
        </w:rPr>
        <mc:AlternateContent>
          <mc:Choice Requires="wpg">
            <w:drawing>
              <wp:anchor distT="0" distB="0" distL="114300" distR="114300" simplePos="0" relativeHeight="251659264" behindDoc="0" locked="0" layoutInCell="1" allowOverlap="1">
                <wp:simplePos x="0" y="0"/>
                <wp:positionH relativeFrom="column">
                  <wp:posOffset>9124950</wp:posOffset>
                </wp:positionH>
                <wp:positionV relativeFrom="paragraph">
                  <wp:posOffset>258445</wp:posOffset>
                </wp:positionV>
                <wp:extent cx="501015" cy="343535"/>
                <wp:effectExtent l="0" t="0" r="13335" b="18415"/>
                <wp:wrapNone/>
                <wp:docPr id="3" name="组合 67"/>
                <wp:cNvGraphicFramePr/>
                <a:graphic xmlns:a="http://schemas.openxmlformats.org/drawingml/2006/main">
                  <a:graphicData uri="http://schemas.microsoft.com/office/word/2010/wordprocessingGroup">
                    <wpg:wgp>
                      <wpg:cNvGrpSpPr/>
                      <wpg:grpSpPr>
                        <a:xfrm>
                          <a:off x="0" y="0"/>
                          <a:ext cx="501015" cy="343535"/>
                          <a:chOff x="15958" y="7190"/>
                          <a:chExt cx="789" cy="541"/>
                        </a:xfrm>
                      </wpg:grpSpPr>
                      <wps:wsp>
                        <wps:cNvPr id="1" name="自选图形 68"/>
                        <wps:cNvSpPr/>
                        <wps:spPr>
                          <a:xfrm>
                            <a:off x="16546" y="7190"/>
                            <a:ext cx="201" cy="541"/>
                          </a:xfrm>
                          <a:prstGeom prst="flowChartProcess">
                            <a:avLst/>
                          </a:prstGeom>
                          <a:solidFill>
                            <a:srgbClr val="7F7F7F"/>
                          </a:solidFill>
                          <a:ln>
                            <a:noFill/>
                          </a:ln>
                        </wps:spPr>
                        <wps:bodyPr wrap="square" upright="1"/>
                      </wps:wsp>
                      <wps:wsp>
                        <wps:cNvPr id="2" name="自选图形 69"/>
                        <wps:cNvSpPr/>
                        <wps:spPr>
                          <a:xfrm>
                            <a:off x="15958" y="7190"/>
                            <a:ext cx="425" cy="541"/>
                          </a:xfrm>
                          <a:prstGeom prst="flowChartProcess">
                            <a:avLst/>
                          </a:prstGeom>
                          <a:solidFill>
                            <a:srgbClr val="7F7F7F"/>
                          </a:solidFill>
                          <a:ln>
                            <a:noFill/>
                          </a:ln>
                        </wps:spPr>
                        <wps:bodyPr wrap="square" upright="1"/>
                      </wps:wsp>
                    </wpg:wgp>
                  </a:graphicData>
                </a:graphic>
              </wp:anchor>
            </w:drawing>
          </mc:Choice>
          <mc:Fallback>
            <w:pict>
              <v:group id="组合 67" o:spid="_x0000_s1026" o:spt="203" style="position:absolute;left:0pt;margin-left:718.5pt;margin-top:20.35pt;height:27.05pt;width:39.45pt;z-index:251659264;mso-width-relative:page;mso-height-relative:page;" coordorigin="15958,7190" coordsize="789,541" o:gfxdata="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FAK&#10;oEnbAAAACwEAAA8AAAAAAAAAAQAgAAAAIgAAAGRycy9kb3ducmV2LnhtbFBLAQIUABQAAAAIAIdO&#10;4kBjpf5UWQIAAFEGAAAOAAAAAAAAAAEAIAAAACoBAABkcnMvZTJvRG9jLnhtbFBLBQYAAAAABgAG&#10;AFkBAAD1BQAAAAA=&#10;">
                <o:lock v:ext="edit" aspectratio="f"/>
                <v:shape id="自选图形 68" o:spid="_x0000_s1026" o:spt="109" type="#_x0000_t109" style="position:absolute;left:16546;top:7190;height:541;width:201;" fillcolor="#7F7F7F" filled="t" stroked="f" coordsize="21600,21600" o:gfxdata="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1xoHstwAAANoAAAAP&#10;AAAAAAAAAAEAIAAAACIAAABkcnMvZG93bnJldi54bWxQSwECFAAUAAAACACHTuJAMy8FnjsAAAA5&#10;AAAAEAAAAAAAAAABACAAAAAGAQAAZHJzL3NoYXBleG1sLnhtbFBLBQYAAAAABgAGAFsBAACwAwAA&#10;AAA=&#10;">
                  <v:fill on="t" focussize="0,0"/>
                  <v:stroke on="f"/>
                  <v:imagedata o:title=""/>
                  <o:lock v:ext="edit" aspectratio="f"/>
                </v:shape>
                <v:shape id="自选图形 69" o:spid="_x0000_s1026" o:spt="109" type="#_x0000_t109" style="position:absolute;left:15958;top:7190;height:541;width:425;" fillcolor="#7F7F7F" filled="t" stroked="f" coordsize="21600,21600" o:gfxdata="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RQfm7sAAADa&#10;AAAADwAAAAAAAAABACAAAAAiAAAAZHJzL2Rvd25yZXYueG1sUEsBAhQAFAAAAAgAh07iQDMvBZ47&#10;AAAAOQAAABAAAAAAAAAAAQAgAAAACgEAAGRycy9zaGFwZXhtbC54bWxQSwUGAAAAAAYABgBbAQAA&#10;tAMAAAAA&#10;">
                  <v:fill on="t" focussize="0,0"/>
                  <v:stroke on="f"/>
                  <v:imagedata o:title=""/>
                  <o:lock v:ext="edit" aspectratio="f"/>
                </v:shape>
              </v:group>
            </w:pict>
          </mc:Fallback>
        </mc:AlternateContent>
      </w:r>
      <w:r>
        <w:rPr>
          <w:rFonts w:hint="eastAsia" w:ascii="微软雅黑" w:hAnsi="微软雅黑" w:eastAsia="微软雅黑"/>
          <w:b/>
          <w:sz w:val="60"/>
          <w:szCs w:val="60"/>
        </w:rPr>
        <w:t xml:space="preserve">第四部分  说明书 </w:t>
      </w:r>
    </w:p>
    <w:p w14:paraId="6A2C9374">
      <w:pPr>
        <w:spacing w:line="360" w:lineRule="auto"/>
        <w:ind w:firstLine="600" w:firstLineChars="200"/>
        <w:outlineLvl w:val="2"/>
        <w:rPr>
          <w:rFonts w:hint="eastAsia"/>
          <w:sz w:val="30"/>
          <w:szCs w:val="30"/>
        </w:rPr>
      </w:pPr>
    </w:p>
    <w:p w14:paraId="1426DBBB">
      <w:pPr>
        <w:spacing w:line="360" w:lineRule="auto"/>
        <w:ind w:firstLine="600" w:firstLineChars="200"/>
        <w:outlineLvl w:val="2"/>
        <w:rPr>
          <w:rFonts w:hint="eastAsia"/>
          <w:sz w:val="30"/>
          <w:szCs w:val="30"/>
        </w:rPr>
      </w:pPr>
    </w:p>
    <w:p w14:paraId="6C492321">
      <w:pPr>
        <w:spacing w:line="360" w:lineRule="auto"/>
        <w:ind w:firstLine="600" w:firstLineChars="200"/>
        <w:outlineLvl w:val="2"/>
        <w:rPr>
          <w:rFonts w:hint="eastAsia"/>
          <w:sz w:val="30"/>
          <w:szCs w:val="30"/>
        </w:rPr>
      </w:pPr>
    </w:p>
    <w:p w14:paraId="3AA27172">
      <w:pPr>
        <w:spacing w:line="360" w:lineRule="auto"/>
        <w:ind w:firstLine="600" w:firstLineChars="200"/>
        <w:outlineLvl w:val="2"/>
        <w:rPr>
          <w:rFonts w:hint="eastAsia"/>
          <w:sz w:val="30"/>
          <w:szCs w:val="30"/>
        </w:rPr>
      </w:pPr>
    </w:p>
    <w:p w14:paraId="6DBDF1A5">
      <w:pPr>
        <w:spacing w:line="360" w:lineRule="auto"/>
        <w:ind w:firstLine="600" w:firstLineChars="200"/>
        <w:outlineLvl w:val="2"/>
        <w:rPr>
          <w:rFonts w:hint="eastAsia"/>
          <w:sz w:val="30"/>
          <w:szCs w:val="30"/>
        </w:rPr>
      </w:pPr>
    </w:p>
    <w:p w14:paraId="5620F36D">
      <w:pPr>
        <w:spacing w:line="360" w:lineRule="auto"/>
        <w:ind w:firstLine="600" w:firstLineChars="200"/>
        <w:outlineLvl w:val="2"/>
        <w:rPr>
          <w:rFonts w:hint="eastAsia"/>
          <w:sz w:val="30"/>
          <w:szCs w:val="30"/>
        </w:rPr>
      </w:pPr>
    </w:p>
    <w:p w14:paraId="26BB70BA">
      <w:pPr>
        <w:spacing w:line="360" w:lineRule="auto"/>
        <w:ind w:firstLine="600" w:firstLineChars="200"/>
        <w:outlineLvl w:val="2"/>
        <w:rPr>
          <w:rFonts w:hint="eastAsia"/>
          <w:sz w:val="30"/>
          <w:szCs w:val="30"/>
        </w:rPr>
      </w:pPr>
    </w:p>
    <w:p w14:paraId="406B0DFE">
      <w:pPr>
        <w:spacing w:line="360" w:lineRule="auto"/>
        <w:ind w:firstLine="600" w:firstLineChars="200"/>
        <w:outlineLvl w:val="2"/>
        <w:rPr>
          <w:rFonts w:hint="eastAsia"/>
          <w:sz w:val="30"/>
          <w:szCs w:val="30"/>
        </w:rPr>
      </w:pPr>
    </w:p>
    <w:p w14:paraId="326D1ACB">
      <w:pPr>
        <w:spacing w:line="360" w:lineRule="auto"/>
        <w:ind w:firstLine="600" w:firstLineChars="200"/>
        <w:outlineLvl w:val="2"/>
        <w:rPr>
          <w:rFonts w:hint="eastAsia"/>
          <w:sz w:val="30"/>
          <w:szCs w:val="30"/>
        </w:rPr>
      </w:pPr>
    </w:p>
    <w:p w14:paraId="0DB3AD40">
      <w:pPr>
        <w:spacing w:line="360" w:lineRule="auto"/>
        <w:ind w:firstLine="600" w:firstLineChars="200"/>
        <w:outlineLvl w:val="2"/>
        <w:rPr>
          <w:rFonts w:hint="eastAsia"/>
          <w:sz w:val="30"/>
          <w:szCs w:val="30"/>
        </w:rPr>
      </w:pPr>
    </w:p>
    <w:p w14:paraId="21A5609B">
      <w:pPr>
        <w:spacing w:line="360" w:lineRule="auto"/>
        <w:ind w:firstLine="600" w:firstLineChars="200"/>
        <w:outlineLvl w:val="2"/>
        <w:rPr>
          <w:rFonts w:hint="eastAsia"/>
          <w:sz w:val="30"/>
          <w:szCs w:val="30"/>
        </w:rPr>
      </w:pPr>
    </w:p>
    <w:p w14:paraId="08882DAC">
      <w:pPr>
        <w:spacing w:line="360" w:lineRule="auto"/>
        <w:ind w:firstLine="600" w:firstLineChars="200"/>
        <w:outlineLvl w:val="2"/>
        <w:rPr>
          <w:rFonts w:hint="eastAsia"/>
          <w:sz w:val="30"/>
          <w:szCs w:val="30"/>
        </w:rPr>
      </w:pPr>
    </w:p>
    <w:p w14:paraId="498882B5">
      <w:pPr>
        <w:rPr>
          <w:lang w:val="zh-CN"/>
        </w:rPr>
        <w:sectPr>
          <w:headerReference r:id="rId3" w:type="default"/>
          <w:footerReference r:id="rId4" w:type="default"/>
          <w:pgSz w:w="23814" w:h="16839" w:orient="landscape"/>
          <w:pgMar w:top="1440" w:right="1588" w:bottom="1440" w:left="1588" w:header="851" w:footer="992" w:gutter="0"/>
          <w:cols w:space="946" w:num="1"/>
          <w:titlePg/>
          <w:docGrid w:type="lines" w:linePitch="312" w:charSpace="0"/>
        </w:sectPr>
      </w:pPr>
    </w:p>
    <w:p w14:paraId="2683AB15">
      <w:pPr>
        <w:pStyle w:val="104"/>
        <w:jc w:val="center"/>
        <w:rPr>
          <w:rFonts w:hint="eastAsia" w:ascii="黑体" w:hAnsi="黑体" w:eastAsia="黑体"/>
          <w:color w:val="auto"/>
          <w:sz w:val="36"/>
          <w:szCs w:val="36"/>
          <w:lang w:val="zh-CN"/>
        </w:rPr>
      </w:pPr>
      <w:r>
        <w:rPr>
          <w:rFonts w:ascii="黑体" w:hAnsi="黑体" w:eastAsia="黑体"/>
          <w:color w:val="auto"/>
          <w:sz w:val="36"/>
          <w:szCs w:val="36"/>
          <w:lang w:val="zh-CN"/>
        </w:rPr>
        <w:t>目</w:t>
      </w:r>
      <w:r>
        <w:rPr>
          <w:rFonts w:hint="eastAsia" w:ascii="黑体" w:hAnsi="黑体" w:eastAsia="黑体"/>
          <w:color w:val="auto"/>
          <w:sz w:val="36"/>
          <w:szCs w:val="36"/>
          <w:lang w:val="zh-CN"/>
        </w:rPr>
        <w:t xml:space="preserve">  </w:t>
      </w:r>
      <w:r>
        <w:rPr>
          <w:rFonts w:ascii="黑体" w:hAnsi="黑体" w:eastAsia="黑体"/>
          <w:color w:val="auto"/>
          <w:sz w:val="36"/>
          <w:szCs w:val="36"/>
          <w:lang w:val="zh-CN"/>
        </w:rPr>
        <w:t>录</w:t>
      </w:r>
    </w:p>
    <w:p w14:paraId="366D9B22">
      <w:pPr>
        <w:rPr>
          <w:lang w:val="zh-CN"/>
        </w:rPr>
      </w:pPr>
    </w:p>
    <w:p w14:paraId="60709A60">
      <w:pPr>
        <w:pStyle w:val="35"/>
        <w:rPr>
          <w:rFonts w:ascii="等线" w:hAnsi="等线" w:eastAsia="等线"/>
        </w:rPr>
      </w:pPr>
      <w:r>
        <w:rPr>
          <w:sz w:val="24"/>
          <w:szCs w:val="24"/>
        </w:rPr>
        <w:fldChar w:fldCharType="begin"/>
      </w:r>
      <w:r>
        <w:rPr>
          <w:sz w:val="24"/>
          <w:szCs w:val="24"/>
        </w:rPr>
        <w:instrText xml:space="preserve"> TOC \o "1-3" \h \z \u </w:instrText>
      </w:r>
      <w:r>
        <w:rPr>
          <w:sz w:val="24"/>
          <w:szCs w:val="24"/>
        </w:rPr>
        <w:fldChar w:fldCharType="separate"/>
      </w:r>
      <w:r>
        <w:rPr>
          <w:rStyle w:val="47"/>
        </w:rPr>
        <w:fldChar w:fldCharType="begin"/>
      </w:r>
      <w:r>
        <w:rPr>
          <w:rStyle w:val="47"/>
        </w:rPr>
        <w:instrText xml:space="preserve"> </w:instrText>
      </w:r>
      <w:r>
        <w:instrText xml:space="preserve">HYPERLINK \l "_Toc6394556"</w:instrText>
      </w:r>
      <w:r>
        <w:rPr>
          <w:rStyle w:val="47"/>
        </w:rPr>
        <w:instrText xml:space="preserve"> </w:instrText>
      </w:r>
      <w:r>
        <w:rPr>
          <w:rStyle w:val="47"/>
        </w:rPr>
        <w:fldChar w:fldCharType="separate"/>
      </w:r>
      <w:r>
        <w:rPr>
          <w:rStyle w:val="47"/>
        </w:rPr>
        <w:t>第一章 规划背景</w:t>
      </w:r>
      <w:r>
        <w:tab/>
      </w:r>
      <w:r>
        <w:fldChar w:fldCharType="begin"/>
      </w:r>
      <w:r>
        <w:instrText xml:space="preserve"> PAGEREF _Toc6394556 \h </w:instrText>
      </w:r>
      <w:r>
        <w:fldChar w:fldCharType="separate"/>
      </w:r>
      <w:r>
        <w:t>2</w:t>
      </w:r>
      <w:r>
        <w:fldChar w:fldCharType="end"/>
      </w:r>
      <w:r>
        <w:rPr>
          <w:rStyle w:val="47"/>
        </w:rPr>
        <w:fldChar w:fldCharType="end"/>
      </w:r>
    </w:p>
    <w:p w14:paraId="0D85569D">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"_Toc6394557"</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一、政策背景</w:t>
      </w:r>
      <w:r>
        <w:rPr>
          <w:sz w:val="24"/>
          <w:szCs w:val="24"/>
        </w:rPr>
        <w:tab/>
      </w:r>
      <w:r>
        <w:rPr>
          <w:sz w:val="24"/>
          <w:szCs w:val="24"/>
        </w:rPr>
        <w:fldChar w:fldCharType="begin"/>
      </w:r>
      <w:r>
        <w:rPr>
          <w:sz w:val="24"/>
          <w:szCs w:val="24"/>
        </w:rPr>
        <w:instrText xml:space="preserve"> PAGEREF _Toc6394557 \h </w:instrText>
      </w:r>
      <w:r>
        <w:rPr>
          <w:sz w:val="24"/>
          <w:szCs w:val="24"/>
        </w:rPr>
        <w:fldChar w:fldCharType="separate"/>
      </w:r>
      <w:r>
        <w:rPr>
          <w:sz w:val="24"/>
          <w:szCs w:val="24"/>
        </w:rPr>
        <w:t>2</w:t>
      </w:r>
      <w:r>
        <w:rPr>
          <w:sz w:val="24"/>
          <w:szCs w:val="24"/>
        </w:rPr>
        <w:fldChar w:fldCharType="end"/>
      </w:r>
      <w:r>
        <w:rPr>
          <w:rStyle w:val="47"/>
          <w:sz w:val="24"/>
          <w:szCs w:val="24"/>
        </w:rPr>
        <w:fldChar w:fldCharType="end"/>
      </w:r>
    </w:p>
    <w:p w14:paraId="1565B7D7">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"_Toc6394558"</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二、上位及相关规划解读</w:t>
      </w:r>
      <w:r>
        <w:rPr>
          <w:sz w:val="24"/>
          <w:szCs w:val="24"/>
        </w:rPr>
        <w:tab/>
      </w:r>
      <w:r>
        <w:rPr>
          <w:sz w:val="24"/>
          <w:szCs w:val="24"/>
        </w:rPr>
        <w:fldChar w:fldCharType="begin"/>
      </w:r>
      <w:r>
        <w:rPr>
          <w:sz w:val="24"/>
          <w:szCs w:val="24"/>
        </w:rPr>
        <w:instrText xml:space="preserve"> PAGEREF _Toc6394558 \h </w:instrText>
      </w:r>
      <w:r>
        <w:rPr>
          <w:sz w:val="24"/>
          <w:szCs w:val="24"/>
        </w:rPr>
        <w:fldChar w:fldCharType="separate"/>
      </w:r>
      <w:r>
        <w:rPr>
          <w:sz w:val="24"/>
          <w:szCs w:val="24"/>
        </w:rPr>
        <w:t>3</w:t>
      </w:r>
      <w:r>
        <w:rPr>
          <w:sz w:val="24"/>
          <w:szCs w:val="24"/>
        </w:rPr>
        <w:fldChar w:fldCharType="end"/>
      </w:r>
      <w:r>
        <w:rPr>
          <w:rStyle w:val="47"/>
          <w:sz w:val="24"/>
          <w:szCs w:val="24"/>
        </w:rPr>
        <w:fldChar w:fldCharType="end"/>
      </w:r>
    </w:p>
    <w:p w14:paraId="413851DD">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"_Toc6394559"</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三、上版规划要点及实施评价</w:t>
      </w:r>
      <w:r>
        <w:rPr>
          <w:sz w:val="24"/>
          <w:szCs w:val="24"/>
        </w:rPr>
        <w:tab/>
      </w:r>
      <w:r>
        <w:rPr>
          <w:sz w:val="24"/>
          <w:szCs w:val="24"/>
        </w:rPr>
        <w:fldChar w:fldCharType="begin"/>
      </w:r>
      <w:r>
        <w:rPr>
          <w:sz w:val="24"/>
          <w:szCs w:val="24"/>
        </w:rPr>
        <w:instrText xml:space="preserve"> PAGEREF _Toc6394559 \h </w:instrText>
      </w:r>
      <w:r>
        <w:rPr>
          <w:sz w:val="24"/>
          <w:szCs w:val="24"/>
        </w:rPr>
        <w:fldChar w:fldCharType="separate"/>
      </w:r>
      <w:r>
        <w:rPr>
          <w:sz w:val="24"/>
          <w:szCs w:val="24"/>
        </w:rPr>
        <w:t>4</w:t>
      </w:r>
      <w:r>
        <w:rPr>
          <w:sz w:val="24"/>
          <w:szCs w:val="24"/>
        </w:rPr>
        <w:fldChar w:fldCharType="end"/>
      </w:r>
      <w:r>
        <w:rPr>
          <w:rStyle w:val="47"/>
          <w:sz w:val="24"/>
          <w:szCs w:val="24"/>
        </w:rPr>
        <w:fldChar w:fldCharType="end"/>
      </w:r>
    </w:p>
    <w:p w14:paraId="5EFD0C2F">
      <w:pPr>
        <w:pStyle w:val="35"/>
        <w:rPr>
          <w:rStyle w:val="47"/>
        </w:rPr>
      </w:pPr>
      <w:r>
        <w:rPr>
          <w:rStyle w:val="47"/>
        </w:rPr>
        <w:fldChar w:fldCharType="begin"/>
      </w:r>
      <w:r>
        <w:rPr>
          <w:rStyle w:val="47"/>
        </w:rPr>
        <w:instrText xml:space="preserve"> HYPERLINK \l "_Toc6394560" </w:instrText>
      </w:r>
      <w:r>
        <w:rPr>
          <w:rStyle w:val="47"/>
        </w:rPr>
        <w:fldChar w:fldCharType="separate"/>
      </w:r>
      <w:r>
        <w:rPr>
          <w:rStyle w:val="47"/>
        </w:rPr>
        <w:t>第二章 现状分析</w:t>
      </w:r>
      <w:r>
        <w:rPr>
          <w:rStyle w:val="47"/>
        </w:rPr>
        <w:tab/>
      </w:r>
      <w:r>
        <w:rPr>
          <w:rStyle w:val="47"/>
        </w:rPr>
        <w:fldChar w:fldCharType="begin"/>
      </w:r>
      <w:r>
        <w:rPr>
          <w:rStyle w:val="47"/>
        </w:rPr>
        <w:instrText xml:space="preserve"> PAGEREF _Toc6394560 \h </w:instrText>
      </w:r>
      <w:r>
        <w:rPr>
          <w:rStyle w:val="47"/>
        </w:rPr>
        <w:fldChar w:fldCharType="separate"/>
      </w:r>
      <w:r>
        <w:rPr>
          <w:rStyle w:val="47"/>
        </w:rPr>
        <w:t>5</w:t>
      </w:r>
      <w:r>
        <w:rPr>
          <w:rStyle w:val="47"/>
        </w:rPr>
        <w:fldChar w:fldCharType="end"/>
      </w:r>
      <w:r>
        <w:rPr>
          <w:rStyle w:val="47"/>
        </w:rPr>
        <w:fldChar w:fldCharType="end"/>
      </w:r>
    </w:p>
    <w:p w14:paraId="66486552">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"_Toc6394561"</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一、地理区位</w:t>
      </w:r>
      <w:r>
        <w:rPr>
          <w:sz w:val="24"/>
          <w:szCs w:val="24"/>
        </w:rPr>
        <w:tab/>
      </w:r>
      <w:r>
        <w:rPr>
          <w:sz w:val="24"/>
          <w:szCs w:val="24"/>
        </w:rPr>
        <w:fldChar w:fldCharType="begin"/>
      </w:r>
      <w:r>
        <w:rPr>
          <w:sz w:val="24"/>
          <w:szCs w:val="24"/>
        </w:rPr>
        <w:instrText xml:space="preserve"> PAGEREF _Toc6394561 \h </w:instrText>
      </w:r>
      <w:r>
        <w:rPr>
          <w:sz w:val="24"/>
          <w:szCs w:val="24"/>
        </w:rPr>
        <w:fldChar w:fldCharType="separate"/>
      </w:r>
      <w:r>
        <w:rPr>
          <w:sz w:val="24"/>
          <w:szCs w:val="24"/>
        </w:rPr>
        <w:t>5</w:t>
      </w:r>
      <w:r>
        <w:rPr>
          <w:sz w:val="24"/>
          <w:szCs w:val="24"/>
        </w:rPr>
        <w:fldChar w:fldCharType="end"/>
      </w:r>
      <w:r>
        <w:rPr>
          <w:rStyle w:val="47"/>
          <w:sz w:val="24"/>
          <w:szCs w:val="24"/>
        </w:rPr>
        <w:fldChar w:fldCharType="end"/>
      </w:r>
    </w:p>
    <w:p w14:paraId="6149B522">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"_Toc6394562"</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二、自然条件</w:t>
      </w:r>
      <w:r>
        <w:rPr>
          <w:sz w:val="24"/>
          <w:szCs w:val="24"/>
        </w:rPr>
        <w:tab/>
      </w:r>
      <w:r>
        <w:rPr>
          <w:sz w:val="24"/>
          <w:szCs w:val="24"/>
        </w:rPr>
        <w:fldChar w:fldCharType="begin"/>
      </w:r>
      <w:r>
        <w:rPr>
          <w:sz w:val="24"/>
          <w:szCs w:val="24"/>
        </w:rPr>
        <w:instrText xml:space="preserve"> PAGEREF _Toc6394562 \h </w:instrText>
      </w:r>
      <w:r>
        <w:rPr>
          <w:sz w:val="24"/>
          <w:szCs w:val="24"/>
        </w:rPr>
        <w:fldChar w:fldCharType="separate"/>
      </w:r>
      <w:r>
        <w:rPr>
          <w:sz w:val="24"/>
          <w:szCs w:val="24"/>
        </w:rPr>
        <w:t>5</w:t>
      </w:r>
      <w:r>
        <w:rPr>
          <w:sz w:val="24"/>
          <w:szCs w:val="24"/>
        </w:rPr>
        <w:fldChar w:fldCharType="end"/>
      </w:r>
      <w:r>
        <w:rPr>
          <w:rStyle w:val="47"/>
          <w:sz w:val="24"/>
          <w:szCs w:val="24"/>
        </w:rPr>
        <w:fldChar w:fldCharType="end"/>
      </w:r>
    </w:p>
    <w:p w14:paraId="471AEF0D">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"_Toc6394563"</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三、发展概况</w:t>
      </w:r>
      <w:r>
        <w:rPr>
          <w:sz w:val="24"/>
          <w:szCs w:val="24"/>
        </w:rPr>
        <w:tab/>
      </w:r>
      <w:r>
        <w:rPr>
          <w:sz w:val="24"/>
          <w:szCs w:val="24"/>
        </w:rPr>
        <w:fldChar w:fldCharType="begin"/>
      </w:r>
      <w:r>
        <w:rPr>
          <w:sz w:val="24"/>
          <w:szCs w:val="24"/>
        </w:rPr>
        <w:instrText xml:space="preserve"> PAGEREF _Toc6394563 \h </w:instrText>
      </w:r>
      <w:r>
        <w:rPr>
          <w:sz w:val="24"/>
          <w:szCs w:val="24"/>
        </w:rPr>
        <w:fldChar w:fldCharType="separate"/>
      </w:r>
      <w:r>
        <w:rPr>
          <w:sz w:val="24"/>
          <w:szCs w:val="24"/>
        </w:rPr>
        <w:t>6</w:t>
      </w:r>
      <w:r>
        <w:rPr>
          <w:sz w:val="24"/>
          <w:szCs w:val="24"/>
        </w:rPr>
        <w:fldChar w:fldCharType="end"/>
      </w:r>
      <w:r>
        <w:rPr>
          <w:rStyle w:val="47"/>
          <w:sz w:val="24"/>
          <w:szCs w:val="24"/>
        </w:rPr>
        <w:fldChar w:fldCharType="end"/>
      </w:r>
    </w:p>
    <w:p w14:paraId="63BFCA16">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"_Toc6394564"</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四、社区人口与分布</w:t>
      </w:r>
      <w:r>
        <w:rPr>
          <w:sz w:val="24"/>
          <w:szCs w:val="24"/>
        </w:rPr>
        <w:tab/>
      </w:r>
      <w:r>
        <w:rPr>
          <w:sz w:val="24"/>
          <w:szCs w:val="24"/>
        </w:rPr>
        <w:fldChar w:fldCharType="begin"/>
      </w:r>
      <w:r>
        <w:rPr>
          <w:sz w:val="24"/>
          <w:szCs w:val="24"/>
        </w:rPr>
        <w:instrText xml:space="preserve"> PAGEREF _Toc6394564 \h </w:instrText>
      </w:r>
      <w:r>
        <w:rPr>
          <w:sz w:val="24"/>
          <w:szCs w:val="24"/>
        </w:rPr>
        <w:fldChar w:fldCharType="separate"/>
      </w:r>
      <w:r>
        <w:rPr>
          <w:sz w:val="24"/>
          <w:szCs w:val="24"/>
        </w:rPr>
        <w:t>6</w:t>
      </w:r>
      <w:r>
        <w:rPr>
          <w:sz w:val="24"/>
          <w:szCs w:val="24"/>
        </w:rPr>
        <w:fldChar w:fldCharType="end"/>
      </w:r>
      <w:r>
        <w:rPr>
          <w:rStyle w:val="47"/>
          <w:sz w:val="24"/>
          <w:szCs w:val="24"/>
        </w:rPr>
        <w:fldChar w:fldCharType="end"/>
      </w:r>
    </w:p>
    <w:p w14:paraId="0907E03C">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"_Toc6394565"</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五、文物古迹及保护现状</w:t>
      </w:r>
      <w:r>
        <w:rPr>
          <w:sz w:val="24"/>
          <w:szCs w:val="24"/>
        </w:rPr>
        <w:tab/>
      </w:r>
      <w:r>
        <w:rPr>
          <w:sz w:val="24"/>
          <w:szCs w:val="24"/>
        </w:rPr>
        <w:fldChar w:fldCharType="begin"/>
      </w:r>
      <w:r>
        <w:rPr>
          <w:sz w:val="24"/>
          <w:szCs w:val="24"/>
        </w:rPr>
        <w:instrText xml:space="preserve"> PAGEREF _Toc6394565 \h </w:instrText>
      </w:r>
      <w:r>
        <w:rPr>
          <w:sz w:val="24"/>
          <w:szCs w:val="24"/>
        </w:rPr>
        <w:fldChar w:fldCharType="separate"/>
      </w:r>
      <w:r>
        <w:rPr>
          <w:sz w:val="24"/>
          <w:szCs w:val="24"/>
        </w:rPr>
        <w:t>6</w:t>
      </w:r>
      <w:r>
        <w:rPr>
          <w:sz w:val="24"/>
          <w:szCs w:val="24"/>
        </w:rPr>
        <w:fldChar w:fldCharType="end"/>
      </w:r>
      <w:r>
        <w:rPr>
          <w:rStyle w:val="47"/>
          <w:sz w:val="24"/>
          <w:szCs w:val="24"/>
        </w:rPr>
        <w:fldChar w:fldCharType="end"/>
      </w:r>
    </w:p>
    <w:p w14:paraId="728BFE59">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"_Toc6394566"</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六、土地利用现状</w:t>
      </w:r>
      <w:r>
        <w:rPr>
          <w:sz w:val="24"/>
          <w:szCs w:val="24"/>
        </w:rPr>
        <w:tab/>
      </w:r>
      <w:r>
        <w:rPr>
          <w:sz w:val="24"/>
          <w:szCs w:val="24"/>
        </w:rPr>
        <w:fldChar w:fldCharType="begin"/>
      </w:r>
      <w:r>
        <w:rPr>
          <w:sz w:val="24"/>
          <w:szCs w:val="24"/>
        </w:rPr>
        <w:instrText xml:space="preserve"> PAGEREF _Toc6394566 \h </w:instrText>
      </w:r>
      <w:r>
        <w:rPr>
          <w:sz w:val="24"/>
          <w:szCs w:val="24"/>
        </w:rPr>
        <w:fldChar w:fldCharType="separate"/>
      </w:r>
      <w:r>
        <w:rPr>
          <w:sz w:val="24"/>
          <w:szCs w:val="24"/>
        </w:rPr>
        <w:t>7</w:t>
      </w:r>
      <w:r>
        <w:rPr>
          <w:sz w:val="24"/>
          <w:szCs w:val="24"/>
        </w:rPr>
        <w:fldChar w:fldCharType="end"/>
      </w:r>
      <w:r>
        <w:rPr>
          <w:rStyle w:val="47"/>
          <w:sz w:val="24"/>
          <w:szCs w:val="24"/>
        </w:rPr>
        <w:fldChar w:fldCharType="end"/>
      </w:r>
    </w:p>
    <w:p w14:paraId="1406CC2A">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"_Toc6394567"</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七、公共服务设施</w:t>
      </w:r>
      <w:r>
        <w:rPr>
          <w:sz w:val="24"/>
          <w:szCs w:val="24"/>
        </w:rPr>
        <w:tab/>
      </w:r>
      <w:r>
        <w:rPr>
          <w:sz w:val="24"/>
          <w:szCs w:val="24"/>
        </w:rPr>
        <w:fldChar w:fldCharType="begin"/>
      </w:r>
      <w:r>
        <w:rPr>
          <w:sz w:val="24"/>
          <w:szCs w:val="24"/>
        </w:rPr>
        <w:instrText xml:space="preserve"> PAGEREF _Toc6394567 \h </w:instrText>
      </w:r>
      <w:r>
        <w:rPr>
          <w:sz w:val="24"/>
          <w:szCs w:val="24"/>
        </w:rPr>
        <w:fldChar w:fldCharType="separate"/>
      </w:r>
      <w:r>
        <w:rPr>
          <w:sz w:val="24"/>
          <w:szCs w:val="24"/>
        </w:rPr>
        <w:t>9</w:t>
      </w:r>
      <w:r>
        <w:rPr>
          <w:sz w:val="24"/>
          <w:szCs w:val="24"/>
        </w:rPr>
        <w:fldChar w:fldCharType="end"/>
      </w:r>
      <w:r>
        <w:rPr>
          <w:rStyle w:val="47"/>
          <w:sz w:val="24"/>
          <w:szCs w:val="24"/>
        </w:rPr>
        <w:fldChar w:fldCharType="end"/>
      </w:r>
    </w:p>
    <w:p w14:paraId="3CB371DD">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"_Toc6394568"</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八、道路及市政设施</w:t>
      </w:r>
      <w:r>
        <w:rPr>
          <w:sz w:val="24"/>
          <w:szCs w:val="24"/>
        </w:rPr>
        <w:tab/>
      </w:r>
      <w:r>
        <w:rPr>
          <w:sz w:val="24"/>
          <w:szCs w:val="24"/>
        </w:rPr>
        <w:fldChar w:fldCharType="begin"/>
      </w:r>
      <w:r>
        <w:rPr>
          <w:sz w:val="24"/>
          <w:szCs w:val="24"/>
        </w:rPr>
        <w:instrText xml:space="preserve"> PAGEREF _Toc6394568 \h </w:instrText>
      </w:r>
      <w:r>
        <w:rPr>
          <w:sz w:val="24"/>
          <w:szCs w:val="24"/>
        </w:rPr>
        <w:fldChar w:fldCharType="separate"/>
      </w:r>
      <w:r>
        <w:rPr>
          <w:sz w:val="24"/>
          <w:szCs w:val="24"/>
        </w:rPr>
        <w:t>9</w:t>
      </w:r>
      <w:r>
        <w:rPr>
          <w:sz w:val="24"/>
          <w:szCs w:val="24"/>
        </w:rPr>
        <w:fldChar w:fldCharType="end"/>
      </w:r>
      <w:r>
        <w:rPr>
          <w:rStyle w:val="47"/>
          <w:sz w:val="24"/>
          <w:szCs w:val="24"/>
        </w:rPr>
        <w:fldChar w:fldCharType="end"/>
      </w:r>
    </w:p>
    <w:p w14:paraId="23DB4ED6">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"_Toc6394569"</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九、城市景观环境</w:t>
      </w:r>
      <w:r>
        <w:rPr>
          <w:sz w:val="24"/>
          <w:szCs w:val="24"/>
        </w:rPr>
        <w:tab/>
      </w:r>
      <w:r>
        <w:rPr>
          <w:sz w:val="24"/>
          <w:szCs w:val="24"/>
        </w:rPr>
        <w:fldChar w:fldCharType="begin"/>
      </w:r>
      <w:r>
        <w:rPr>
          <w:sz w:val="24"/>
          <w:szCs w:val="24"/>
        </w:rPr>
        <w:instrText xml:space="preserve"> PAGEREF _Toc6394569 \h </w:instrText>
      </w:r>
      <w:r>
        <w:rPr>
          <w:sz w:val="24"/>
          <w:szCs w:val="24"/>
        </w:rPr>
        <w:fldChar w:fldCharType="separate"/>
      </w:r>
      <w:r>
        <w:rPr>
          <w:sz w:val="24"/>
          <w:szCs w:val="24"/>
        </w:rPr>
        <w:t>10</w:t>
      </w:r>
      <w:r>
        <w:rPr>
          <w:sz w:val="24"/>
          <w:szCs w:val="24"/>
        </w:rPr>
        <w:fldChar w:fldCharType="end"/>
      </w:r>
      <w:r>
        <w:rPr>
          <w:rStyle w:val="47"/>
          <w:sz w:val="24"/>
          <w:szCs w:val="24"/>
        </w:rPr>
        <w:fldChar w:fldCharType="end"/>
      </w:r>
    </w:p>
    <w:p w14:paraId="7411B85D">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"_Toc6394570"</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十、发展环境分析</w:t>
      </w:r>
      <w:r>
        <w:rPr>
          <w:sz w:val="24"/>
          <w:szCs w:val="24"/>
        </w:rPr>
        <w:tab/>
      </w:r>
      <w:r>
        <w:rPr>
          <w:sz w:val="24"/>
          <w:szCs w:val="24"/>
        </w:rPr>
        <w:fldChar w:fldCharType="begin"/>
      </w:r>
      <w:r>
        <w:rPr>
          <w:sz w:val="24"/>
          <w:szCs w:val="24"/>
        </w:rPr>
        <w:instrText xml:space="preserve"> PAGEREF _Toc6394570 \h </w:instrText>
      </w:r>
      <w:r>
        <w:rPr>
          <w:sz w:val="24"/>
          <w:szCs w:val="24"/>
        </w:rPr>
        <w:fldChar w:fldCharType="separate"/>
      </w:r>
      <w:r>
        <w:rPr>
          <w:sz w:val="24"/>
          <w:szCs w:val="24"/>
        </w:rPr>
        <w:t>11</w:t>
      </w:r>
      <w:r>
        <w:rPr>
          <w:sz w:val="24"/>
          <w:szCs w:val="24"/>
        </w:rPr>
        <w:fldChar w:fldCharType="end"/>
      </w:r>
      <w:r>
        <w:rPr>
          <w:rStyle w:val="47"/>
          <w:sz w:val="24"/>
          <w:szCs w:val="24"/>
        </w:rPr>
        <w:fldChar w:fldCharType="end"/>
      </w:r>
    </w:p>
    <w:p w14:paraId="45469F7D">
      <w:pPr>
        <w:pStyle w:val="35"/>
        <w:rPr>
          <w:rStyle w:val="47"/>
        </w:rPr>
      </w:pPr>
      <w:r>
        <w:rPr>
          <w:rStyle w:val="47"/>
        </w:rPr>
        <w:fldChar w:fldCharType="begin"/>
      </w:r>
      <w:r>
        <w:rPr>
          <w:rStyle w:val="47"/>
        </w:rPr>
        <w:instrText xml:space="preserve"> HYPERLINK \l "_Toc6394571" </w:instrText>
      </w:r>
      <w:r>
        <w:rPr>
          <w:rStyle w:val="47"/>
        </w:rPr>
        <w:fldChar w:fldCharType="separate"/>
      </w:r>
      <w:r>
        <w:rPr>
          <w:rStyle w:val="47"/>
        </w:rPr>
        <w:t>第三章 规划总则</w:t>
      </w:r>
      <w:r>
        <w:rPr>
          <w:rStyle w:val="47"/>
        </w:rPr>
        <w:tab/>
      </w:r>
      <w:r>
        <w:rPr>
          <w:rStyle w:val="47"/>
        </w:rPr>
        <w:fldChar w:fldCharType="begin"/>
      </w:r>
      <w:r>
        <w:rPr>
          <w:rStyle w:val="47"/>
        </w:rPr>
        <w:instrText xml:space="preserve"> PAGEREF _Toc6394571 \h </w:instrText>
      </w:r>
      <w:r>
        <w:rPr>
          <w:rStyle w:val="47"/>
        </w:rPr>
        <w:fldChar w:fldCharType="separate"/>
      </w:r>
      <w:r>
        <w:rPr>
          <w:rStyle w:val="47"/>
        </w:rPr>
        <w:t>12</w:t>
      </w:r>
      <w:r>
        <w:rPr>
          <w:rStyle w:val="47"/>
        </w:rPr>
        <w:fldChar w:fldCharType="end"/>
      </w:r>
      <w:r>
        <w:rPr>
          <w:rStyle w:val="47"/>
        </w:rPr>
        <w:fldChar w:fldCharType="end"/>
      </w:r>
    </w:p>
    <w:p w14:paraId="2BE4E745">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"_Toc6394572"</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一、规划依据</w:t>
      </w:r>
      <w:r>
        <w:rPr>
          <w:sz w:val="24"/>
          <w:szCs w:val="24"/>
        </w:rPr>
        <w:tab/>
      </w:r>
      <w:r>
        <w:rPr>
          <w:sz w:val="24"/>
          <w:szCs w:val="24"/>
        </w:rPr>
        <w:fldChar w:fldCharType="begin"/>
      </w:r>
      <w:r>
        <w:rPr>
          <w:sz w:val="24"/>
          <w:szCs w:val="24"/>
        </w:rPr>
        <w:instrText xml:space="preserve"> PAGEREF _Toc6394572 \h </w:instrText>
      </w:r>
      <w:r>
        <w:rPr>
          <w:sz w:val="24"/>
          <w:szCs w:val="24"/>
        </w:rPr>
        <w:fldChar w:fldCharType="separate"/>
      </w:r>
      <w:r>
        <w:rPr>
          <w:sz w:val="24"/>
          <w:szCs w:val="24"/>
        </w:rPr>
        <w:t>12</w:t>
      </w:r>
      <w:r>
        <w:rPr>
          <w:sz w:val="24"/>
          <w:szCs w:val="24"/>
        </w:rPr>
        <w:fldChar w:fldCharType="end"/>
      </w:r>
      <w:r>
        <w:rPr>
          <w:rStyle w:val="47"/>
          <w:sz w:val="24"/>
          <w:szCs w:val="24"/>
        </w:rPr>
        <w:fldChar w:fldCharType="end"/>
      </w:r>
    </w:p>
    <w:p w14:paraId="6694091A">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"_Toc6394573"</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二、规划原则</w:t>
      </w:r>
      <w:r>
        <w:rPr>
          <w:sz w:val="24"/>
          <w:szCs w:val="24"/>
        </w:rPr>
        <w:tab/>
      </w:r>
      <w:r>
        <w:rPr>
          <w:sz w:val="24"/>
          <w:szCs w:val="24"/>
        </w:rPr>
        <w:fldChar w:fldCharType="begin"/>
      </w:r>
      <w:r>
        <w:rPr>
          <w:sz w:val="24"/>
          <w:szCs w:val="24"/>
        </w:rPr>
        <w:instrText xml:space="preserve"> PAGEREF _Toc6394573 \h </w:instrText>
      </w:r>
      <w:r>
        <w:rPr>
          <w:sz w:val="24"/>
          <w:szCs w:val="24"/>
        </w:rPr>
        <w:fldChar w:fldCharType="separate"/>
      </w:r>
      <w:r>
        <w:rPr>
          <w:sz w:val="24"/>
          <w:szCs w:val="24"/>
        </w:rPr>
        <w:t>12</w:t>
      </w:r>
      <w:r>
        <w:rPr>
          <w:sz w:val="24"/>
          <w:szCs w:val="24"/>
        </w:rPr>
        <w:fldChar w:fldCharType="end"/>
      </w:r>
      <w:r>
        <w:rPr>
          <w:rStyle w:val="47"/>
          <w:sz w:val="24"/>
          <w:szCs w:val="24"/>
        </w:rPr>
        <w:fldChar w:fldCharType="end"/>
      </w:r>
    </w:p>
    <w:p w14:paraId="73E25869">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"_Toc6394574"</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三、规划范围</w:t>
      </w:r>
      <w:r>
        <w:rPr>
          <w:sz w:val="24"/>
          <w:szCs w:val="24"/>
        </w:rPr>
        <w:tab/>
      </w:r>
      <w:r>
        <w:rPr>
          <w:sz w:val="24"/>
          <w:szCs w:val="24"/>
        </w:rPr>
        <w:fldChar w:fldCharType="begin"/>
      </w:r>
      <w:r>
        <w:rPr>
          <w:sz w:val="24"/>
          <w:szCs w:val="24"/>
        </w:rPr>
        <w:instrText xml:space="preserve"> PAGEREF _Toc6394574 \h </w:instrText>
      </w:r>
      <w:r>
        <w:rPr>
          <w:sz w:val="24"/>
          <w:szCs w:val="24"/>
        </w:rPr>
        <w:fldChar w:fldCharType="separate"/>
      </w:r>
      <w:r>
        <w:rPr>
          <w:sz w:val="24"/>
          <w:szCs w:val="24"/>
        </w:rPr>
        <w:t>13</w:t>
      </w:r>
      <w:r>
        <w:rPr>
          <w:sz w:val="24"/>
          <w:szCs w:val="24"/>
        </w:rPr>
        <w:fldChar w:fldCharType="end"/>
      </w:r>
      <w:r>
        <w:rPr>
          <w:rStyle w:val="47"/>
          <w:sz w:val="24"/>
          <w:szCs w:val="24"/>
        </w:rPr>
        <w:fldChar w:fldCharType="end"/>
      </w:r>
    </w:p>
    <w:p w14:paraId="70A19F1C">
      <w:pPr>
        <w:pStyle w:val="35"/>
        <w:rPr>
          <w:rStyle w:val="47"/>
        </w:rPr>
      </w:pPr>
      <w:r>
        <w:rPr>
          <w:rStyle w:val="47"/>
        </w:rPr>
        <w:fldChar w:fldCharType="begin"/>
      </w:r>
      <w:r>
        <w:rPr>
          <w:rStyle w:val="47"/>
        </w:rPr>
        <w:instrText xml:space="preserve"> HYPERLINK \l "_Toc6394575" </w:instrText>
      </w:r>
      <w:r>
        <w:rPr>
          <w:rStyle w:val="47"/>
        </w:rPr>
        <w:fldChar w:fldCharType="separate"/>
      </w:r>
      <w:r>
        <w:rPr>
          <w:rStyle w:val="47"/>
        </w:rPr>
        <w:t>第四章 功能定位及目标策略</w:t>
      </w:r>
      <w:r>
        <w:rPr>
          <w:rStyle w:val="47"/>
        </w:rPr>
        <w:tab/>
      </w:r>
      <w:r>
        <w:rPr>
          <w:rStyle w:val="47"/>
        </w:rPr>
        <w:fldChar w:fldCharType="begin"/>
      </w:r>
      <w:r>
        <w:rPr>
          <w:rStyle w:val="47"/>
        </w:rPr>
        <w:instrText xml:space="preserve"> PAGEREF _Toc6394575 \h </w:instrText>
      </w:r>
      <w:r>
        <w:rPr>
          <w:rStyle w:val="47"/>
        </w:rPr>
        <w:fldChar w:fldCharType="separate"/>
      </w:r>
      <w:r>
        <w:rPr>
          <w:rStyle w:val="47"/>
        </w:rPr>
        <w:t>13</w:t>
      </w:r>
      <w:r>
        <w:rPr>
          <w:rStyle w:val="47"/>
        </w:rPr>
        <w:fldChar w:fldCharType="end"/>
      </w:r>
      <w:r>
        <w:rPr>
          <w:rStyle w:val="47"/>
        </w:rPr>
        <w:fldChar w:fldCharType="end"/>
      </w:r>
    </w:p>
    <w:p w14:paraId="7CE95E59">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"_Toc6394576"</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一、规划理念</w:t>
      </w:r>
      <w:r>
        <w:rPr>
          <w:sz w:val="24"/>
          <w:szCs w:val="24"/>
        </w:rPr>
        <w:tab/>
      </w:r>
      <w:r>
        <w:rPr>
          <w:sz w:val="24"/>
          <w:szCs w:val="24"/>
        </w:rPr>
        <w:fldChar w:fldCharType="begin"/>
      </w:r>
      <w:r>
        <w:rPr>
          <w:sz w:val="24"/>
          <w:szCs w:val="24"/>
        </w:rPr>
        <w:instrText xml:space="preserve"> PAGEREF _Toc6394576 \h </w:instrText>
      </w:r>
      <w:r>
        <w:rPr>
          <w:sz w:val="24"/>
          <w:szCs w:val="24"/>
        </w:rPr>
        <w:fldChar w:fldCharType="separate"/>
      </w:r>
      <w:r>
        <w:rPr>
          <w:sz w:val="24"/>
          <w:szCs w:val="24"/>
        </w:rPr>
        <w:t>13</w:t>
      </w:r>
      <w:r>
        <w:rPr>
          <w:sz w:val="24"/>
          <w:szCs w:val="24"/>
        </w:rPr>
        <w:fldChar w:fldCharType="end"/>
      </w:r>
      <w:r>
        <w:rPr>
          <w:rStyle w:val="47"/>
          <w:sz w:val="24"/>
          <w:szCs w:val="24"/>
        </w:rPr>
        <w:fldChar w:fldCharType="end"/>
      </w:r>
    </w:p>
    <w:p w14:paraId="5F1B7189">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"_Toc6394577"</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二、规划策略</w:t>
      </w:r>
      <w:r>
        <w:rPr>
          <w:sz w:val="24"/>
          <w:szCs w:val="24"/>
        </w:rPr>
        <w:tab/>
      </w:r>
      <w:r>
        <w:rPr>
          <w:sz w:val="24"/>
          <w:szCs w:val="24"/>
        </w:rPr>
        <w:fldChar w:fldCharType="begin"/>
      </w:r>
      <w:r>
        <w:rPr>
          <w:sz w:val="24"/>
          <w:szCs w:val="24"/>
        </w:rPr>
        <w:instrText xml:space="preserve"> PAGEREF _Toc6394577 \h </w:instrText>
      </w:r>
      <w:r>
        <w:rPr>
          <w:sz w:val="24"/>
          <w:szCs w:val="24"/>
        </w:rPr>
        <w:fldChar w:fldCharType="separate"/>
      </w:r>
      <w:r>
        <w:rPr>
          <w:sz w:val="24"/>
          <w:szCs w:val="24"/>
        </w:rPr>
        <w:t>13</w:t>
      </w:r>
      <w:r>
        <w:rPr>
          <w:sz w:val="24"/>
          <w:szCs w:val="24"/>
        </w:rPr>
        <w:fldChar w:fldCharType="end"/>
      </w:r>
      <w:r>
        <w:rPr>
          <w:rStyle w:val="47"/>
          <w:sz w:val="24"/>
          <w:szCs w:val="24"/>
        </w:rPr>
        <w:fldChar w:fldCharType="end"/>
      </w:r>
    </w:p>
    <w:p w14:paraId="33F6A30B">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"_Toc6394578"</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三、功能定位</w:t>
      </w:r>
      <w:r>
        <w:rPr>
          <w:sz w:val="24"/>
          <w:szCs w:val="24"/>
        </w:rPr>
        <w:tab/>
      </w:r>
      <w:r>
        <w:rPr>
          <w:sz w:val="24"/>
          <w:szCs w:val="24"/>
        </w:rPr>
        <w:fldChar w:fldCharType="begin"/>
      </w:r>
      <w:r>
        <w:rPr>
          <w:sz w:val="24"/>
          <w:szCs w:val="24"/>
        </w:rPr>
        <w:instrText xml:space="preserve"> PAGEREF _Toc6394578 \h </w:instrText>
      </w:r>
      <w:r>
        <w:rPr>
          <w:sz w:val="24"/>
          <w:szCs w:val="24"/>
        </w:rPr>
        <w:fldChar w:fldCharType="separate"/>
      </w:r>
      <w:r>
        <w:rPr>
          <w:sz w:val="24"/>
          <w:szCs w:val="24"/>
        </w:rPr>
        <w:t>14</w:t>
      </w:r>
      <w:r>
        <w:rPr>
          <w:sz w:val="24"/>
          <w:szCs w:val="24"/>
        </w:rPr>
        <w:fldChar w:fldCharType="end"/>
      </w:r>
      <w:r>
        <w:rPr>
          <w:rStyle w:val="47"/>
          <w:sz w:val="24"/>
          <w:szCs w:val="24"/>
        </w:rPr>
        <w:fldChar w:fldCharType="end"/>
      </w:r>
    </w:p>
    <w:p w14:paraId="315F8965">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"_Toc6394579"</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四、规划目标</w:t>
      </w:r>
      <w:r>
        <w:rPr>
          <w:sz w:val="24"/>
          <w:szCs w:val="24"/>
        </w:rPr>
        <w:tab/>
      </w:r>
      <w:r>
        <w:rPr>
          <w:sz w:val="24"/>
          <w:szCs w:val="24"/>
        </w:rPr>
        <w:fldChar w:fldCharType="begin"/>
      </w:r>
      <w:r>
        <w:rPr>
          <w:sz w:val="24"/>
          <w:szCs w:val="24"/>
        </w:rPr>
        <w:instrText xml:space="preserve"> PAGEREF _Toc6394579 \h </w:instrText>
      </w:r>
      <w:r>
        <w:rPr>
          <w:sz w:val="24"/>
          <w:szCs w:val="24"/>
        </w:rPr>
        <w:fldChar w:fldCharType="separate"/>
      </w:r>
      <w:r>
        <w:rPr>
          <w:sz w:val="24"/>
          <w:szCs w:val="24"/>
        </w:rPr>
        <w:t>14</w:t>
      </w:r>
      <w:r>
        <w:rPr>
          <w:sz w:val="24"/>
          <w:szCs w:val="24"/>
        </w:rPr>
        <w:fldChar w:fldCharType="end"/>
      </w:r>
      <w:r>
        <w:rPr>
          <w:rStyle w:val="47"/>
          <w:sz w:val="24"/>
          <w:szCs w:val="24"/>
        </w:rPr>
        <w:fldChar w:fldCharType="end"/>
      </w:r>
    </w:p>
    <w:p w14:paraId="6C5D0171">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"_Toc6394580"</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五、发展规模</w:t>
      </w:r>
      <w:r>
        <w:rPr>
          <w:sz w:val="24"/>
          <w:szCs w:val="24"/>
        </w:rPr>
        <w:tab/>
      </w:r>
      <w:r>
        <w:rPr>
          <w:sz w:val="24"/>
          <w:szCs w:val="24"/>
        </w:rPr>
        <w:fldChar w:fldCharType="begin"/>
      </w:r>
      <w:r>
        <w:rPr>
          <w:sz w:val="24"/>
          <w:szCs w:val="24"/>
        </w:rPr>
        <w:instrText xml:space="preserve"> PAGEREF _Toc6394580 \h </w:instrText>
      </w:r>
      <w:r>
        <w:rPr>
          <w:sz w:val="24"/>
          <w:szCs w:val="24"/>
        </w:rPr>
        <w:fldChar w:fldCharType="separate"/>
      </w:r>
      <w:r>
        <w:rPr>
          <w:sz w:val="24"/>
          <w:szCs w:val="24"/>
        </w:rPr>
        <w:t>14</w:t>
      </w:r>
      <w:r>
        <w:rPr>
          <w:sz w:val="24"/>
          <w:szCs w:val="24"/>
        </w:rPr>
        <w:fldChar w:fldCharType="end"/>
      </w:r>
      <w:r>
        <w:rPr>
          <w:rStyle w:val="47"/>
          <w:sz w:val="24"/>
          <w:szCs w:val="24"/>
        </w:rPr>
        <w:fldChar w:fldCharType="end"/>
      </w:r>
    </w:p>
    <w:p w14:paraId="758EB240">
      <w:pPr>
        <w:pStyle w:val="35"/>
        <w:rPr>
          <w:rStyle w:val="47"/>
        </w:rPr>
      </w:pPr>
      <w:r>
        <w:rPr>
          <w:rStyle w:val="47"/>
        </w:rPr>
        <w:fldChar w:fldCharType="begin"/>
      </w:r>
      <w:r>
        <w:rPr>
          <w:rStyle w:val="47"/>
        </w:rPr>
        <w:instrText xml:space="preserve"> HYPERLINK \l "_Toc6394581" </w:instrText>
      </w:r>
      <w:r>
        <w:rPr>
          <w:rStyle w:val="47"/>
        </w:rPr>
        <w:fldChar w:fldCharType="separate"/>
      </w:r>
      <w:r>
        <w:rPr>
          <w:rStyle w:val="47"/>
        </w:rPr>
        <w:t>第五章 用地布局规划</w:t>
      </w:r>
      <w:r>
        <w:rPr>
          <w:rStyle w:val="47"/>
        </w:rPr>
        <w:tab/>
      </w:r>
      <w:r>
        <w:rPr>
          <w:rStyle w:val="47"/>
        </w:rPr>
        <w:fldChar w:fldCharType="begin"/>
      </w:r>
      <w:r>
        <w:rPr>
          <w:rStyle w:val="47"/>
        </w:rPr>
        <w:instrText xml:space="preserve"> PAGEREF _Toc6394581 \h </w:instrText>
      </w:r>
      <w:r>
        <w:rPr>
          <w:rStyle w:val="47"/>
        </w:rPr>
        <w:fldChar w:fldCharType="separate"/>
      </w:r>
      <w:r>
        <w:rPr>
          <w:rStyle w:val="47"/>
        </w:rPr>
        <w:t>14</w:t>
      </w:r>
      <w:r>
        <w:rPr>
          <w:rStyle w:val="47"/>
        </w:rPr>
        <w:fldChar w:fldCharType="end"/>
      </w:r>
      <w:r>
        <w:rPr>
          <w:rStyle w:val="47"/>
        </w:rPr>
        <w:fldChar w:fldCharType="end"/>
      </w:r>
    </w:p>
    <w:p w14:paraId="53352E0D">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"_Toc6394582"</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一、规划布局思路</w:t>
      </w:r>
      <w:r>
        <w:rPr>
          <w:sz w:val="24"/>
          <w:szCs w:val="24"/>
        </w:rPr>
        <w:tab/>
      </w:r>
      <w:r>
        <w:rPr>
          <w:sz w:val="24"/>
          <w:szCs w:val="24"/>
        </w:rPr>
        <w:fldChar w:fldCharType="begin"/>
      </w:r>
      <w:r>
        <w:rPr>
          <w:sz w:val="24"/>
          <w:szCs w:val="24"/>
        </w:rPr>
        <w:instrText xml:space="preserve"> PAGEREF _Toc6394582 \h </w:instrText>
      </w:r>
      <w:r>
        <w:rPr>
          <w:sz w:val="24"/>
          <w:szCs w:val="24"/>
        </w:rPr>
        <w:fldChar w:fldCharType="separate"/>
      </w:r>
      <w:r>
        <w:rPr>
          <w:sz w:val="24"/>
          <w:szCs w:val="24"/>
        </w:rPr>
        <w:t>14</w:t>
      </w:r>
      <w:r>
        <w:rPr>
          <w:sz w:val="24"/>
          <w:szCs w:val="24"/>
        </w:rPr>
        <w:fldChar w:fldCharType="end"/>
      </w:r>
      <w:r>
        <w:rPr>
          <w:rStyle w:val="47"/>
          <w:sz w:val="24"/>
          <w:szCs w:val="24"/>
        </w:rPr>
        <w:fldChar w:fldCharType="end"/>
      </w:r>
    </w:p>
    <w:p w14:paraId="20F514C2">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"_Toc6394583"</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二、用地布局结构</w:t>
      </w:r>
      <w:r>
        <w:rPr>
          <w:sz w:val="24"/>
          <w:szCs w:val="24"/>
        </w:rPr>
        <w:tab/>
      </w:r>
      <w:r>
        <w:rPr>
          <w:sz w:val="24"/>
          <w:szCs w:val="24"/>
        </w:rPr>
        <w:fldChar w:fldCharType="begin"/>
      </w:r>
      <w:r>
        <w:rPr>
          <w:sz w:val="24"/>
          <w:szCs w:val="24"/>
        </w:rPr>
        <w:instrText xml:space="preserve"> PAGEREF _Toc6394583 \h </w:instrText>
      </w:r>
      <w:r>
        <w:rPr>
          <w:sz w:val="24"/>
          <w:szCs w:val="24"/>
        </w:rPr>
        <w:fldChar w:fldCharType="separate"/>
      </w:r>
      <w:r>
        <w:rPr>
          <w:sz w:val="24"/>
          <w:szCs w:val="24"/>
        </w:rPr>
        <w:t>14</w:t>
      </w:r>
      <w:r>
        <w:rPr>
          <w:sz w:val="24"/>
          <w:szCs w:val="24"/>
        </w:rPr>
        <w:fldChar w:fldCharType="end"/>
      </w:r>
      <w:r>
        <w:rPr>
          <w:rStyle w:val="47"/>
          <w:sz w:val="24"/>
          <w:szCs w:val="24"/>
        </w:rPr>
        <w:fldChar w:fldCharType="end"/>
      </w:r>
    </w:p>
    <w:p w14:paraId="544DE023">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"_Toc6394584"</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三、各类用地布局规划</w:t>
      </w:r>
      <w:r>
        <w:rPr>
          <w:sz w:val="24"/>
          <w:szCs w:val="24"/>
        </w:rPr>
        <w:tab/>
      </w:r>
      <w:r>
        <w:rPr>
          <w:sz w:val="24"/>
          <w:szCs w:val="24"/>
        </w:rPr>
        <w:fldChar w:fldCharType="begin"/>
      </w:r>
      <w:r>
        <w:rPr>
          <w:sz w:val="24"/>
          <w:szCs w:val="24"/>
        </w:rPr>
        <w:instrText xml:space="preserve"> PAGEREF _Toc6394584 \h </w:instrText>
      </w:r>
      <w:r>
        <w:rPr>
          <w:sz w:val="24"/>
          <w:szCs w:val="24"/>
        </w:rPr>
        <w:fldChar w:fldCharType="separate"/>
      </w:r>
      <w:r>
        <w:rPr>
          <w:sz w:val="24"/>
          <w:szCs w:val="24"/>
        </w:rPr>
        <w:t>15</w:t>
      </w:r>
      <w:r>
        <w:rPr>
          <w:sz w:val="24"/>
          <w:szCs w:val="24"/>
        </w:rPr>
        <w:fldChar w:fldCharType="end"/>
      </w:r>
      <w:r>
        <w:rPr>
          <w:rStyle w:val="47"/>
          <w:sz w:val="24"/>
          <w:szCs w:val="24"/>
        </w:rPr>
        <w:fldChar w:fldCharType="end"/>
      </w:r>
    </w:p>
    <w:p w14:paraId="4D056680">
      <w:pPr>
        <w:pStyle w:val="35"/>
        <w:rPr>
          <w:rStyle w:val="47"/>
        </w:rPr>
      </w:pPr>
      <w:r>
        <w:rPr>
          <w:rStyle w:val="47"/>
        </w:rPr>
        <w:fldChar w:fldCharType="begin"/>
      </w:r>
      <w:r>
        <w:rPr>
          <w:rStyle w:val="47"/>
        </w:rPr>
        <w:instrText xml:space="preserve"> HYPERLINK \l "_Toc6394678" </w:instrText>
      </w:r>
      <w:r>
        <w:rPr>
          <w:rStyle w:val="47"/>
        </w:rPr>
        <w:fldChar w:fldCharType="separate"/>
      </w:r>
      <w:r>
        <w:rPr>
          <w:rStyle w:val="47"/>
        </w:rPr>
        <w:t>第六章   土地利用控制规划</w:t>
      </w:r>
      <w:r>
        <w:rPr>
          <w:rStyle w:val="47"/>
        </w:rPr>
        <w:tab/>
      </w:r>
      <w:r>
        <w:rPr>
          <w:rStyle w:val="47"/>
        </w:rPr>
        <w:fldChar w:fldCharType="begin"/>
      </w:r>
      <w:r>
        <w:rPr>
          <w:rStyle w:val="47"/>
        </w:rPr>
        <w:instrText xml:space="preserve"> PAGEREF _Toc6394678 \h </w:instrText>
      </w:r>
      <w:r>
        <w:rPr>
          <w:rStyle w:val="47"/>
        </w:rPr>
        <w:fldChar w:fldCharType="separate"/>
      </w:r>
      <w:r>
        <w:rPr>
          <w:rStyle w:val="47"/>
        </w:rPr>
        <w:t>18</w:t>
      </w:r>
      <w:r>
        <w:rPr>
          <w:rStyle w:val="47"/>
        </w:rPr>
        <w:fldChar w:fldCharType="end"/>
      </w:r>
      <w:r>
        <w:rPr>
          <w:rStyle w:val="47"/>
        </w:rPr>
        <w:fldChar w:fldCharType="end"/>
      </w:r>
    </w:p>
    <w:p w14:paraId="31B41239">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"_Toc6394679"</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一、地块划分原则及编码方式</w:t>
      </w:r>
      <w:r>
        <w:rPr>
          <w:sz w:val="24"/>
          <w:szCs w:val="24"/>
        </w:rPr>
        <w:tab/>
      </w:r>
      <w:r>
        <w:rPr>
          <w:sz w:val="24"/>
          <w:szCs w:val="24"/>
        </w:rPr>
        <w:fldChar w:fldCharType="begin"/>
      </w:r>
      <w:r>
        <w:rPr>
          <w:sz w:val="24"/>
          <w:szCs w:val="24"/>
        </w:rPr>
        <w:instrText xml:space="preserve"> PAGEREF _Toc6394679 \h </w:instrText>
      </w:r>
      <w:r>
        <w:rPr>
          <w:sz w:val="24"/>
          <w:szCs w:val="24"/>
        </w:rPr>
        <w:fldChar w:fldCharType="separate"/>
      </w:r>
      <w:r>
        <w:rPr>
          <w:sz w:val="24"/>
          <w:szCs w:val="24"/>
        </w:rPr>
        <w:t>18</w:t>
      </w:r>
      <w:r>
        <w:rPr>
          <w:sz w:val="24"/>
          <w:szCs w:val="24"/>
        </w:rPr>
        <w:fldChar w:fldCharType="end"/>
      </w:r>
      <w:r>
        <w:rPr>
          <w:rStyle w:val="47"/>
          <w:sz w:val="24"/>
          <w:szCs w:val="24"/>
        </w:rPr>
        <w:fldChar w:fldCharType="end"/>
      </w:r>
    </w:p>
    <w:p w14:paraId="1C45B5FF">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"_Toc6394680"</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二、建设开发控制</w:t>
      </w:r>
      <w:r>
        <w:rPr>
          <w:sz w:val="24"/>
          <w:szCs w:val="24"/>
        </w:rPr>
        <w:tab/>
      </w:r>
      <w:r>
        <w:rPr>
          <w:sz w:val="24"/>
          <w:szCs w:val="24"/>
        </w:rPr>
        <w:fldChar w:fldCharType="begin"/>
      </w:r>
      <w:r>
        <w:rPr>
          <w:sz w:val="24"/>
          <w:szCs w:val="24"/>
        </w:rPr>
        <w:instrText xml:space="preserve"> PAGEREF _Toc6394680 \h </w:instrText>
      </w:r>
      <w:r>
        <w:rPr>
          <w:sz w:val="24"/>
          <w:szCs w:val="24"/>
        </w:rPr>
        <w:fldChar w:fldCharType="separate"/>
      </w:r>
      <w:r>
        <w:rPr>
          <w:sz w:val="24"/>
          <w:szCs w:val="24"/>
        </w:rPr>
        <w:t>18</w:t>
      </w:r>
      <w:r>
        <w:rPr>
          <w:sz w:val="24"/>
          <w:szCs w:val="24"/>
        </w:rPr>
        <w:fldChar w:fldCharType="end"/>
      </w:r>
      <w:r>
        <w:rPr>
          <w:rStyle w:val="47"/>
          <w:sz w:val="24"/>
          <w:szCs w:val="24"/>
        </w:rPr>
        <w:fldChar w:fldCharType="end"/>
      </w:r>
    </w:p>
    <w:p w14:paraId="3057B3CE">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"_Toc6394681"</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三、城市五线控制</w:t>
      </w:r>
      <w:r>
        <w:rPr>
          <w:sz w:val="24"/>
          <w:szCs w:val="24"/>
        </w:rPr>
        <w:tab/>
      </w:r>
      <w:r>
        <w:rPr>
          <w:sz w:val="24"/>
          <w:szCs w:val="24"/>
        </w:rPr>
        <w:fldChar w:fldCharType="begin"/>
      </w:r>
      <w:r>
        <w:rPr>
          <w:sz w:val="24"/>
          <w:szCs w:val="24"/>
        </w:rPr>
        <w:instrText xml:space="preserve"> PAGEREF _Toc6394681 \h </w:instrText>
      </w:r>
      <w:r>
        <w:rPr>
          <w:sz w:val="24"/>
          <w:szCs w:val="24"/>
        </w:rPr>
        <w:fldChar w:fldCharType="separate"/>
      </w:r>
      <w:r>
        <w:rPr>
          <w:sz w:val="24"/>
          <w:szCs w:val="24"/>
        </w:rPr>
        <w:t>20</w:t>
      </w:r>
      <w:r>
        <w:rPr>
          <w:sz w:val="24"/>
          <w:szCs w:val="24"/>
        </w:rPr>
        <w:fldChar w:fldCharType="end"/>
      </w:r>
      <w:r>
        <w:rPr>
          <w:rStyle w:val="47"/>
          <w:sz w:val="24"/>
          <w:szCs w:val="24"/>
        </w:rPr>
        <w:fldChar w:fldCharType="end"/>
      </w:r>
    </w:p>
    <w:p w14:paraId="1580FC55">
      <w:pPr>
        <w:pStyle w:val="35"/>
        <w:rPr>
          <w:rStyle w:val="47"/>
        </w:rPr>
      </w:pPr>
      <w:r>
        <w:rPr>
          <w:rStyle w:val="47"/>
        </w:rPr>
        <w:fldChar w:fldCharType="begin"/>
      </w:r>
      <w:r>
        <w:rPr>
          <w:rStyle w:val="47"/>
        </w:rPr>
        <w:instrText xml:space="preserve"> HYPERLINK \l "_Toc6394682" </w:instrText>
      </w:r>
      <w:r>
        <w:rPr>
          <w:rStyle w:val="47"/>
        </w:rPr>
        <w:fldChar w:fldCharType="separate"/>
      </w:r>
      <w:r>
        <w:rPr>
          <w:rStyle w:val="47"/>
        </w:rPr>
        <w:t>第七章  绿地景观系统及海绵城市规划</w:t>
      </w:r>
      <w:r>
        <w:rPr>
          <w:rStyle w:val="47"/>
        </w:rPr>
        <w:tab/>
      </w:r>
      <w:r>
        <w:rPr>
          <w:rStyle w:val="47"/>
        </w:rPr>
        <w:fldChar w:fldCharType="begin"/>
      </w:r>
      <w:r>
        <w:rPr>
          <w:rStyle w:val="47"/>
        </w:rPr>
        <w:instrText xml:space="preserve"> PAGEREF _Toc6394682 \h </w:instrText>
      </w:r>
      <w:r>
        <w:rPr>
          <w:rStyle w:val="47"/>
        </w:rPr>
        <w:fldChar w:fldCharType="separate"/>
      </w:r>
      <w:r>
        <w:rPr>
          <w:rStyle w:val="47"/>
        </w:rPr>
        <w:t>22</w:t>
      </w:r>
      <w:r>
        <w:rPr>
          <w:rStyle w:val="47"/>
        </w:rPr>
        <w:fldChar w:fldCharType="end"/>
      </w:r>
      <w:r>
        <w:rPr>
          <w:rStyle w:val="47"/>
        </w:rPr>
        <w:fldChar w:fldCharType="end"/>
      </w:r>
    </w:p>
    <w:p w14:paraId="3E0B9F6B">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"_Toc6394683"</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一、绿地系统规划</w:t>
      </w:r>
      <w:r>
        <w:rPr>
          <w:sz w:val="24"/>
          <w:szCs w:val="24"/>
        </w:rPr>
        <w:tab/>
      </w:r>
      <w:r>
        <w:rPr>
          <w:sz w:val="24"/>
          <w:szCs w:val="24"/>
        </w:rPr>
        <w:fldChar w:fldCharType="begin"/>
      </w:r>
      <w:r>
        <w:rPr>
          <w:sz w:val="24"/>
          <w:szCs w:val="24"/>
        </w:rPr>
        <w:instrText xml:space="preserve"> PAGEREF _Toc6394683 \h </w:instrText>
      </w:r>
      <w:r>
        <w:rPr>
          <w:sz w:val="24"/>
          <w:szCs w:val="24"/>
        </w:rPr>
        <w:fldChar w:fldCharType="separate"/>
      </w:r>
      <w:r>
        <w:rPr>
          <w:sz w:val="24"/>
          <w:szCs w:val="24"/>
        </w:rPr>
        <w:t>22</w:t>
      </w:r>
      <w:r>
        <w:rPr>
          <w:sz w:val="24"/>
          <w:szCs w:val="24"/>
        </w:rPr>
        <w:fldChar w:fldCharType="end"/>
      </w:r>
      <w:r>
        <w:rPr>
          <w:rStyle w:val="47"/>
          <w:sz w:val="24"/>
          <w:szCs w:val="24"/>
        </w:rPr>
        <w:fldChar w:fldCharType="end"/>
      </w:r>
    </w:p>
    <w:p w14:paraId="5642DD5F">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"_Toc6394684"</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二、景观系统规划</w:t>
      </w:r>
      <w:r>
        <w:rPr>
          <w:sz w:val="24"/>
          <w:szCs w:val="24"/>
        </w:rPr>
        <w:tab/>
      </w:r>
      <w:r>
        <w:rPr>
          <w:sz w:val="24"/>
          <w:szCs w:val="24"/>
        </w:rPr>
        <w:fldChar w:fldCharType="begin"/>
      </w:r>
      <w:r>
        <w:rPr>
          <w:sz w:val="24"/>
          <w:szCs w:val="24"/>
        </w:rPr>
        <w:instrText xml:space="preserve"> PAGEREF _Toc6394684 \h </w:instrText>
      </w:r>
      <w:r>
        <w:rPr>
          <w:sz w:val="24"/>
          <w:szCs w:val="24"/>
        </w:rPr>
        <w:fldChar w:fldCharType="separate"/>
      </w:r>
      <w:r>
        <w:rPr>
          <w:sz w:val="24"/>
          <w:szCs w:val="24"/>
        </w:rPr>
        <w:t>23</w:t>
      </w:r>
      <w:r>
        <w:rPr>
          <w:sz w:val="24"/>
          <w:szCs w:val="24"/>
        </w:rPr>
        <w:fldChar w:fldCharType="end"/>
      </w:r>
      <w:r>
        <w:rPr>
          <w:rStyle w:val="47"/>
          <w:sz w:val="24"/>
          <w:szCs w:val="24"/>
        </w:rPr>
        <w:fldChar w:fldCharType="end"/>
      </w:r>
    </w:p>
    <w:p w14:paraId="234BD81E">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"_Toc6394685"</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三、空间环境设计</w:t>
      </w:r>
      <w:r>
        <w:rPr>
          <w:sz w:val="24"/>
          <w:szCs w:val="24"/>
        </w:rPr>
        <w:tab/>
      </w:r>
      <w:r>
        <w:rPr>
          <w:sz w:val="24"/>
          <w:szCs w:val="24"/>
        </w:rPr>
        <w:fldChar w:fldCharType="begin"/>
      </w:r>
      <w:r>
        <w:rPr>
          <w:sz w:val="24"/>
          <w:szCs w:val="24"/>
        </w:rPr>
        <w:instrText xml:space="preserve"> PAGEREF _Toc6394685 \h </w:instrText>
      </w:r>
      <w:r>
        <w:rPr>
          <w:sz w:val="24"/>
          <w:szCs w:val="24"/>
        </w:rPr>
        <w:fldChar w:fldCharType="separate"/>
      </w:r>
      <w:r>
        <w:rPr>
          <w:sz w:val="24"/>
          <w:szCs w:val="24"/>
        </w:rPr>
        <w:t>24</w:t>
      </w:r>
      <w:r>
        <w:rPr>
          <w:sz w:val="24"/>
          <w:szCs w:val="24"/>
        </w:rPr>
        <w:fldChar w:fldCharType="end"/>
      </w:r>
      <w:r>
        <w:rPr>
          <w:rStyle w:val="47"/>
          <w:sz w:val="24"/>
          <w:szCs w:val="24"/>
        </w:rPr>
        <w:fldChar w:fldCharType="end"/>
      </w:r>
    </w:p>
    <w:p w14:paraId="7FB3B0F4">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"_Toc6394686"</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四、海绵城市建设规划</w:t>
      </w:r>
      <w:r>
        <w:rPr>
          <w:sz w:val="24"/>
          <w:szCs w:val="24"/>
        </w:rPr>
        <w:tab/>
      </w:r>
      <w:r>
        <w:rPr>
          <w:sz w:val="24"/>
          <w:szCs w:val="24"/>
        </w:rPr>
        <w:fldChar w:fldCharType="begin"/>
      </w:r>
      <w:r>
        <w:rPr>
          <w:sz w:val="24"/>
          <w:szCs w:val="24"/>
        </w:rPr>
        <w:instrText xml:space="preserve"> PAGEREF _Toc6394686 \h </w:instrText>
      </w:r>
      <w:r>
        <w:rPr>
          <w:sz w:val="24"/>
          <w:szCs w:val="24"/>
        </w:rPr>
        <w:fldChar w:fldCharType="separate"/>
      </w:r>
      <w:r>
        <w:rPr>
          <w:sz w:val="24"/>
          <w:szCs w:val="24"/>
        </w:rPr>
        <w:t>25</w:t>
      </w:r>
      <w:r>
        <w:rPr>
          <w:sz w:val="24"/>
          <w:szCs w:val="24"/>
        </w:rPr>
        <w:fldChar w:fldCharType="end"/>
      </w:r>
      <w:r>
        <w:rPr>
          <w:rStyle w:val="47"/>
          <w:sz w:val="24"/>
          <w:szCs w:val="24"/>
        </w:rPr>
        <w:fldChar w:fldCharType="end"/>
      </w:r>
    </w:p>
    <w:p w14:paraId="02E668BA">
      <w:pPr>
        <w:pStyle w:val="35"/>
        <w:rPr>
          <w:rFonts w:ascii="等线" w:hAnsi="等线" w:eastAsia="等线"/>
        </w:rPr>
      </w:pPr>
      <w:r>
        <w:rPr>
          <w:rStyle w:val="47"/>
        </w:rPr>
        <w:fldChar w:fldCharType="begin"/>
      </w:r>
      <w:r>
        <w:rPr>
          <w:rStyle w:val="47"/>
        </w:rPr>
        <w:instrText xml:space="preserve"> </w:instrText>
      </w:r>
      <w:r>
        <w:instrText xml:space="preserve">HYPERLINK \l "_Toc6394687"</w:instrText>
      </w:r>
      <w:r>
        <w:rPr>
          <w:rStyle w:val="47"/>
        </w:rPr>
        <w:instrText xml:space="preserve"> </w:instrText>
      </w:r>
      <w:r>
        <w:rPr>
          <w:rStyle w:val="47"/>
        </w:rPr>
        <w:fldChar w:fldCharType="separate"/>
      </w:r>
      <w:r>
        <w:rPr>
          <w:rStyle w:val="47"/>
        </w:rPr>
        <w:t>第八章  城市设计导则</w:t>
      </w:r>
      <w:r>
        <w:tab/>
      </w:r>
      <w:r>
        <w:fldChar w:fldCharType="begin"/>
      </w:r>
      <w:r>
        <w:instrText xml:space="preserve"> PAGEREF _Toc6394687 \h </w:instrText>
      </w:r>
      <w:r>
        <w:fldChar w:fldCharType="separate"/>
      </w:r>
      <w:r>
        <w:t>25</w:t>
      </w:r>
      <w:r>
        <w:fldChar w:fldCharType="end"/>
      </w:r>
      <w:r>
        <w:rPr>
          <w:rStyle w:val="47"/>
        </w:rPr>
        <w:fldChar w:fldCharType="end"/>
      </w:r>
    </w:p>
    <w:p w14:paraId="0C429087">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"_Toc6394688"</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一、总体构想</w:t>
      </w:r>
      <w:r>
        <w:rPr>
          <w:sz w:val="24"/>
          <w:szCs w:val="24"/>
        </w:rPr>
        <w:tab/>
      </w:r>
      <w:r>
        <w:rPr>
          <w:sz w:val="24"/>
          <w:szCs w:val="24"/>
        </w:rPr>
        <w:fldChar w:fldCharType="begin"/>
      </w:r>
      <w:r>
        <w:rPr>
          <w:sz w:val="24"/>
          <w:szCs w:val="24"/>
        </w:rPr>
        <w:instrText xml:space="preserve"> PAGEREF _Toc6394688 \h </w:instrText>
      </w:r>
      <w:r>
        <w:rPr>
          <w:sz w:val="24"/>
          <w:szCs w:val="24"/>
        </w:rPr>
        <w:fldChar w:fldCharType="separate"/>
      </w:r>
      <w:r>
        <w:rPr>
          <w:sz w:val="24"/>
          <w:szCs w:val="24"/>
        </w:rPr>
        <w:t>25</w:t>
      </w:r>
      <w:r>
        <w:rPr>
          <w:sz w:val="24"/>
          <w:szCs w:val="24"/>
        </w:rPr>
        <w:fldChar w:fldCharType="end"/>
      </w:r>
      <w:r>
        <w:rPr>
          <w:rStyle w:val="47"/>
          <w:sz w:val="24"/>
          <w:szCs w:val="24"/>
        </w:rPr>
        <w:fldChar w:fldCharType="end"/>
      </w:r>
    </w:p>
    <w:p w14:paraId="29CAABF4">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"_Toc6394689"</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二、城市设计控制要求</w:t>
      </w:r>
      <w:r>
        <w:rPr>
          <w:sz w:val="24"/>
          <w:szCs w:val="24"/>
        </w:rPr>
        <w:tab/>
      </w:r>
      <w:r>
        <w:rPr>
          <w:sz w:val="24"/>
          <w:szCs w:val="24"/>
        </w:rPr>
        <w:fldChar w:fldCharType="begin"/>
      </w:r>
      <w:r>
        <w:rPr>
          <w:sz w:val="24"/>
          <w:szCs w:val="24"/>
        </w:rPr>
        <w:instrText xml:space="preserve"> PAGEREF _Toc6394689 \h </w:instrText>
      </w:r>
      <w:r>
        <w:rPr>
          <w:sz w:val="24"/>
          <w:szCs w:val="24"/>
        </w:rPr>
        <w:fldChar w:fldCharType="separate"/>
      </w:r>
      <w:r>
        <w:rPr>
          <w:sz w:val="24"/>
          <w:szCs w:val="24"/>
        </w:rPr>
        <w:t>25</w:t>
      </w:r>
      <w:r>
        <w:rPr>
          <w:sz w:val="24"/>
          <w:szCs w:val="24"/>
        </w:rPr>
        <w:fldChar w:fldCharType="end"/>
      </w:r>
      <w:r>
        <w:rPr>
          <w:rStyle w:val="47"/>
          <w:sz w:val="24"/>
          <w:szCs w:val="24"/>
        </w:rPr>
        <w:fldChar w:fldCharType="end"/>
      </w:r>
    </w:p>
    <w:p w14:paraId="17E170E8">
      <w:pPr>
        <w:pStyle w:val="35"/>
        <w:rPr>
          <w:rFonts w:ascii="等线" w:hAnsi="等线" w:eastAsia="等线"/>
        </w:rPr>
      </w:pPr>
      <w:r>
        <w:rPr>
          <w:rStyle w:val="47"/>
        </w:rPr>
        <w:fldChar w:fldCharType="begin"/>
      </w:r>
      <w:r>
        <w:rPr>
          <w:rStyle w:val="47"/>
        </w:rPr>
        <w:instrText xml:space="preserve"> </w:instrText>
      </w:r>
      <w:r>
        <w:instrText xml:space="preserve">HYPERLINK \l "_Toc6394690"</w:instrText>
      </w:r>
      <w:r>
        <w:rPr>
          <w:rStyle w:val="47"/>
        </w:rPr>
        <w:instrText xml:space="preserve"> </w:instrText>
      </w:r>
      <w:r>
        <w:rPr>
          <w:rStyle w:val="47"/>
        </w:rPr>
        <w:fldChar w:fldCharType="separate"/>
      </w:r>
      <w:r>
        <w:rPr>
          <w:rStyle w:val="47"/>
        </w:rPr>
        <w:t>第九章  道路交通及竖向规划</w:t>
      </w:r>
      <w:r>
        <w:tab/>
      </w:r>
      <w:r>
        <w:fldChar w:fldCharType="begin"/>
      </w:r>
      <w:r>
        <w:instrText xml:space="preserve"> PAGEREF _Toc6394690 \h </w:instrText>
      </w:r>
      <w:r>
        <w:fldChar w:fldCharType="separate"/>
      </w:r>
      <w:r>
        <w:t>27</w:t>
      </w:r>
      <w:r>
        <w:fldChar w:fldCharType="end"/>
      </w:r>
      <w:r>
        <w:rPr>
          <w:rStyle w:val="47"/>
        </w:rPr>
        <w:fldChar w:fldCharType="end"/>
      </w:r>
    </w:p>
    <w:p w14:paraId="23C283A0">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"_Toc6394691"</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一、道路系统规划</w:t>
      </w:r>
      <w:r>
        <w:rPr>
          <w:sz w:val="24"/>
          <w:szCs w:val="24"/>
        </w:rPr>
        <w:tab/>
      </w:r>
      <w:r>
        <w:rPr>
          <w:sz w:val="24"/>
          <w:szCs w:val="24"/>
        </w:rPr>
        <w:fldChar w:fldCharType="begin"/>
      </w:r>
      <w:r>
        <w:rPr>
          <w:sz w:val="24"/>
          <w:szCs w:val="24"/>
        </w:rPr>
        <w:instrText xml:space="preserve"> PAGEREF _Toc6394691 \h </w:instrText>
      </w:r>
      <w:r>
        <w:rPr>
          <w:sz w:val="24"/>
          <w:szCs w:val="24"/>
        </w:rPr>
        <w:fldChar w:fldCharType="separate"/>
      </w:r>
      <w:r>
        <w:rPr>
          <w:sz w:val="24"/>
          <w:szCs w:val="24"/>
        </w:rPr>
        <w:t>27</w:t>
      </w:r>
      <w:r>
        <w:rPr>
          <w:sz w:val="24"/>
          <w:szCs w:val="24"/>
        </w:rPr>
        <w:fldChar w:fldCharType="end"/>
      </w:r>
      <w:r>
        <w:rPr>
          <w:rStyle w:val="47"/>
          <w:sz w:val="24"/>
          <w:szCs w:val="24"/>
        </w:rPr>
        <w:fldChar w:fldCharType="end"/>
      </w:r>
    </w:p>
    <w:p w14:paraId="54C972E2">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"_Toc6394692"</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二、用地竖向规划</w:t>
      </w:r>
      <w:r>
        <w:rPr>
          <w:sz w:val="24"/>
          <w:szCs w:val="24"/>
        </w:rPr>
        <w:tab/>
      </w:r>
      <w:r>
        <w:rPr>
          <w:sz w:val="24"/>
          <w:szCs w:val="24"/>
        </w:rPr>
        <w:fldChar w:fldCharType="begin"/>
      </w:r>
      <w:r>
        <w:rPr>
          <w:sz w:val="24"/>
          <w:szCs w:val="24"/>
        </w:rPr>
        <w:instrText xml:space="preserve"> PAGEREF _Toc6394692 \h </w:instrText>
      </w:r>
      <w:r>
        <w:rPr>
          <w:sz w:val="24"/>
          <w:szCs w:val="24"/>
        </w:rPr>
        <w:fldChar w:fldCharType="separate"/>
      </w:r>
      <w:r>
        <w:rPr>
          <w:sz w:val="24"/>
          <w:szCs w:val="24"/>
        </w:rPr>
        <w:t>29</w:t>
      </w:r>
      <w:r>
        <w:rPr>
          <w:sz w:val="24"/>
          <w:szCs w:val="24"/>
        </w:rPr>
        <w:fldChar w:fldCharType="end"/>
      </w:r>
      <w:r>
        <w:rPr>
          <w:rStyle w:val="47"/>
          <w:sz w:val="24"/>
          <w:szCs w:val="24"/>
        </w:rPr>
        <w:fldChar w:fldCharType="end"/>
      </w:r>
    </w:p>
    <w:p w14:paraId="045EF2C6">
      <w:pPr>
        <w:pStyle w:val="35"/>
        <w:rPr>
          <w:rFonts w:ascii="等线" w:hAnsi="等线" w:eastAsia="等线"/>
        </w:rPr>
      </w:pPr>
      <w:r>
        <w:rPr>
          <w:rStyle w:val="47"/>
        </w:rPr>
        <w:fldChar w:fldCharType="begin"/>
      </w:r>
      <w:r>
        <w:rPr>
          <w:rStyle w:val="47"/>
        </w:rPr>
        <w:instrText xml:space="preserve"> </w:instrText>
      </w:r>
      <w:r>
        <w:instrText xml:space="preserve">HYPERLINK \l "_Toc6394693"</w:instrText>
      </w:r>
      <w:r>
        <w:rPr>
          <w:rStyle w:val="47"/>
        </w:rPr>
        <w:instrText xml:space="preserve"> </w:instrText>
      </w:r>
      <w:r>
        <w:rPr>
          <w:rStyle w:val="47"/>
        </w:rPr>
        <w:fldChar w:fldCharType="separate"/>
      </w:r>
      <w:r>
        <w:rPr>
          <w:rStyle w:val="47"/>
        </w:rPr>
        <w:t>第十章  管线工程规划</w:t>
      </w:r>
      <w:r>
        <w:tab/>
      </w:r>
      <w:r>
        <w:fldChar w:fldCharType="begin"/>
      </w:r>
      <w:r>
        <w:instrText xml:space="preserve"> PAGEREF _Toc6394693 \h </w:instrText>
      </w:r>
      <w:r>
        <w:fldChar w:fldCharType="separate"/>
      </w:r>
      <w:r>
        <w:t>29</w:t>
      </w:r>
      <w:r>
        <w:fldChar w:fldCharType="end"/>
      </w:r>
      <w:r>
        <w:rPr>
          <w:rStyle w:val="47"/>
        </w:rPr>
        <w:fldChar w:fldCharType="end"/>
      </w:r>
    </w:p>
    <w:p w14:paraId="35D2DB6C">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"_Toc6394694"</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一、给水工程规划</w:t>
      </w:r>
      <w:r>
        <w:rPr>
          <w:sz w:val="24"/>
          <w:szCs w:val="24"/>
        </w:rPr>
        <w:tab/>
      </w:r>
      <w:r>
        <w:rPr>
          <w:sz w:val="24"/>
          <w:szCs w:val="24"/>
        </w:rPr>
        <w:fldChar w:fldCharType="begin"/>
      </w:r>
      <w:r>
        <w:rPr>
          <w:sz w:val="24"/>
          <w:szCs w:val="24"/>
        </w:rPr>
        <w:instrText xml:space="preserve"> PAGEREF _Toc6394694 \h </w:instrText>
      </w:r>
      <w:r>
        <w:rPr>
          <w:sz w:val="24"/>
          <w:szCs w:val="24"/>
        </w:rPr>
        <w:fldChar w:fldCharType="separate"/>
      </w:r>
      <w:r>
        <w:rPr>
          <w:sz w:val="24"/>
          <w:szCs w:val="24"/>
        </w:rPr>
        <w:t>29</w:t>
      </w:r>
      <w:r>
        <w:rPr>
          <w:sz w:val="24"/>
          <w:szCs w:val="24"/>
        </w:rPr>
        <w:fldChar w:fldCharType="end"/>
      </w:r>
      <w:r>
        <w:rPr>
          <w:rStyle w:val="47"/>
          <w:sz w:val="24"/>
          <w:szCs w:val="24"/>
        </w:rPr>
        <w:fldChar w:fldCharType="end"/>
      </w:r>
    </w:p>
    <w:p w14:paraId="36FEA667">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"_Toc6394695"</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二、排水工程</w:t>
      </w:r>
      <w:bookmarkStart w:id="3" w:name="_Hlt37151907"/>
      <w:bookmarkStart w:id="4" w:name="_Hlt37151908"/>
      <w:r>
        <w:rPr>
          <w:rStyle w:val="47"/>
          <w:rFonts w:ascii="黑体" w:eastAsia="黑体"/>
          <w:sz w:val="24"/>
          <w:szCs w:val="24"/>
        </w:rPr>
        <w:t>规</w:t>
      </w:r>
      <w:bookmarkEnd w:id="3"/>
      <w:bookmarkEnd w:id="4"/>
      <w:r>
        <w:rPr>
          <w:rStyle w:val="47"/>
          <w:rFonts w:ascii="黑体" w:eastAsia="黑体"/>
          <w:sz w:val="24"/>
          <w:szCs w:val="24"/>
        </w:rPr>
        <w:t>划</w:t>
      </w:r>
      <w:r>
        <w:rPr>
          <w:sz w:val="24"/>
          <w:szCs w:val="24"/>
        </w:rPr>
        <w:tab/>
      </w:r>
      <w:r>
        <w:rPr>
          <w:sz w:val="24"/>
          <w:szCs w:val="24"/>
        </w:rPr>
        <w:fldChar w:fldCharType="begin"/>
      </w:r>
      <w:r>
        <w:rPr>
          <w:sz w:val="24"/>
          <w:szCs w:val="24"/>
        </w:rPr>
        <w:instrText xml:space="preserve"> PAGEREF _Toc6394695 \h </w:instrText>
      </w:r>
      <w:r>
        <w:rPr>
          <w:sz w:val="24"/>
          <w:szCs w:val="24"/>
        </w:rPr>
        <w:fldChar w:fldCharType="separate"/>
      </w:r>
      <w:r>
        <w:rPr>
          <w:sz w:val="24"/>
          <w:szCs w:val="24"/>
        </w:rPr>
        <w:t>30</w:t>
      </w:r>
      <w:r>
        <w:rPr>
          <w:sz w:val="24"/>
          <w:szCs w:val="24"/>
        </w:rPr>
        <w:fldChar w:fldCharType="end"/>
      </w:r>
      <w:r>
        <w:rPr>
          <w:rStyle w:val="47"/>
          <w:sz w:val="24"/>
          <w:szCs w:val="24"/>
        </w:rPr>
        <w:fldChar w:fldCharType="end"/>
      </w:r>
    </w:p>
    <w:p w14:paraId="3562D588">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"_Toc6394696"</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三、燃气工程规划</w:t>
      </w:r>
      <w:r>
        <w:rPr>
          <w:sz w:val="24"/>
          <w:szCs w:val="24"/>
        </w:rPr>
        <w:tab/>
      </w:r>
      <w:r>
        <w:rPr>
          <w:sz w:val="24"/>
          <w:szCs w:val="24"/>
        </w:rPr>
        <w:fldChar w:fldCharType="begin"/>
      </w:r>
      <w:r>
        <w:rPr>
          <w:sz w:val="24"/>
          <w:szCs w:val="24"/>
        </w:rPr>
        <w:instrText xml:space="preserve"> PAGEREF _Toc6394696 \h </w:instrText>
      </w:r>
      <w:r>
        <w:rPr>
          <w:sz w:val="24"/>
          <w:szCs w:val="24"/>
        </w:rPr>
        <w:fldChar w:fldCharType="separate"/>
      </w:r>
      <w:r>
        <w:rPr>
          <w:sz w:val="24"/>
          <w:szCs w:val="24"/>
        </w:rPr>
        <w:t>31</w:t>
      </w:r>
      <w:r>
        <w:rPr>
          <w:sz w:val="24"/>
          <w:szCs w:val="24"/>
        </w:rPr>
        <w:fldChar w:fldCharType="end"/>
      </w:r>
      <w:r>
        <w:rPr>
          <w:rStyle w:val="47"/>
          <w:sz w:val="24"/>
          <w:szCs w:val="24"/>
        </w:rPr>
        <w:fldChar w:fldCharType="end"/>
      </w:r>
    </w:p>
    <w:p w14:paraId="2D40AF8E">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"_Toc6394697"</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四、电信、邮政及广播电视工程规划</w:t>
      </w:r>
      <w:r>
        <w:rPr>
          <w:sz w:val="24"/>
          <w:szCs w:val="24"/>
        </w:rPr>
        <w:tab/>
      </w:r>
      <w:r>
        <w:rPr>
          <w:sz w:val="24"/>
          <w:szCs w:val="24"/>
        </w:rPr>
        <w:fldChar w:fldCharType="begin"/>
      </w:r>
      <w:r>
        <w:rPr>
          <w:sz w:val="24"/>
          <w:szCs w:val="24"/>
        </w:rPr>
        <w:instrText xml:space="preserve"> PAGEREF _Toc6394697 \h </w:instrText>
      </w:r>
      <w:r>
        <w:rPr>
          <w:sz w:val="24"/>
          <w:szCs w:val="24"/>
        </w:rPr>
        <w:fldChar w:fldCharType="separate"/>
      </w:r>
      <w:r>
        <w:rPr>
          <w:sz w:val="24"/>
          <w:szCs w:val="24"/>
        </w:rPr>
        <w:t>31</w:t>
      </w:r>
      <w:r>
        <w:rPr>
          <w:sz w:val="24"/>
          <w:szCs w:val="24"/>
        </w:rPr>
        <w:fldChar w:fldCharType="end"/>
      </w:r>
      <w:r>
        <w:rPr>
          <w:rStyle w:val="47"/>
          <w:sz w:val="24"/>
          <w:szCs w:val="24"/>
        </w:rPr>
        <w:fldChar w:fldCharType="end"/>
      </w:r>
    </w:p>
    <w:p w14:paraId="25B12FD8">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"_Toc6394698"</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五、电力工程规划</w:t>
      </w:r>
      <w:r>
        <w:rPr>
          <w:sz w:val="24"/>
          <w:szCs w:val="24"/>
        </w:rPr>
        <w:tab/>
      </w:r>
      <w:r>
        <w:rPr>
          <w:sz w:val="24"/>
          <w:szCs w:val="24"/>
        </w:rPr>
        <w:fldChar w:fldCharType="begin"/>
      </w:r>
      <w:r>
        <w:rPr>
          <w:sz w:val="24"/>
          <w:szCs w:val="24"/>
        </w:rPr>
        <w:instrText xml:space="preserve"> PAGEREF _Toc6394698 \h </w:instrText>
      </w:r>
      <w:r>
        <w:rPr>
          <w:sz w:val="24"/>
          <w:szCs w:val="24"/>
        </w:rPr>
        <w:fldChar w:fldCharType="separate"/>
      </w:r>
      <w:r>
        <w:rPr>
          <w:sz w:val="24"/>
          <w:szCs w:val="24"/>
        </w:rPr>
        <w:t>32</w:t>
      </w:r>
      <w:r>
        <w:rPr>
          <w:sz w:val="24"/>
          <w:szCs w:val="24"/>
        </w:rPr>
        <w:fldChar w:fldCharType="end"/>
      </w:r>
      <w:r>
        <w:rPr>
          <w:rStyle w:val="47"/>
          <w:sz w:val="24"/>
          <w:szCs w:val="24"/>
        </w:rPr>
        <w:fldChar w:fldCharType="end"/>
      </w:r>
    </w:p>
    <w:p w14:paraId="7011FB85">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"_Toc6394699"</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六、管线综合规划</w:t>
      </w:r>
      <w:r>
        <w:rPr>
          <w:sz w:val="24"/>
          <w:szCs w:val="24"/>
        </w:rPr>
        <w:tab/>
      </w:r>
      <w:r>
        <w:rPr>
          <w:sz w:val="24"/>
          <w:szCs w:val="24"/>
        </w:rPr>
        <w:fldChar w:fldCharType="begin"/>
      </w:r>
      <w:r>
        <w:rPr>
          <w:sz w:val="24"/>
          <w:szCs w:val="24"/>
        </w:rPr>
        <w:instrText xml:space="preserve"> PAGEREF _Toc6394699 \h </w:instrText>
      </w:r>
      <w:r>
        <w:rPr>
          <w:sz w:val="24"/>
          <w:szCs w:val="24"/>
        </w:rPr>
        <w:fldChar w:fldCharType="separate"/>
      </w:r>
      <w:r>
        <w:rPr>
          <w:sz w:val="24"/>
          <w:szCs w:val="24"/>
        </w:rPr>
        <w:t>33</w:t>
      </w:r>
      <w:r>
        <w:rPr>
          <w:sz w:val="24"/>
          <w:szCs w:val="24"/>
        </w:rPr>
        <w:fldChar w:fldCharType="end"/>
      </w:r>
      <w:r>
        <w:rPr>
          <w:rStyle w:val="47"/>
          <w:sz w:val="24"/>
          <w:szCs w:val="24"/>
        </w:rPr>
        <w:fldChar w:fldCharType="end"/>
      </w:r>
    </w:p>
    <w:p w14:paraId="33846FE4">
      <w:pPr>
        <w:pStyle w:val="35"/>
        <w:rPr>
          <w:rFonts w:ascii="等线" w:hAnsi="等线" w:eastAsia="等线"/>
        </w:rPr>
      </w:pPr>
      <w:r>
        <w:rPr>
          <w:rStyle w:val="47"/>
        </w:rPr>
        <w:fldChar w:fldCharType="begin"/>
      </w:r>
      <w:r>
        <w:rPr>
          <w:rStyle w:val="47"/>
        </w:rPr>
        <w:instrText xml:space="preserve"> </w:instrText>
      </w:r>
      <w:r>
        <w:instrText xml:space="preserve">HYPERLINK \l "_Toc6394700"</w:instrText>
      </w:r>
      <w:r>
        <w:rPr>
          <w:rStyle w:val="47"/>
        </w:rPr>
        <w:instrText xml:space="preserve"> </w:instrText>
      </w:r>
      <w:r>
        <w:rPr>
          <w:rStyle w:val="47"/>
        </w:rPr>
        <w:fldChar w:fldCharType="separate"/>
      </w:r>
      <w:r>
        <w:rPr>
          <w:rStyle w:val="47"/>
        </w:rPr>
        <w:t>第十一章  综合防灾规划</w:t>
      </w:r>
      <w:r>
        <w:tab/>
      </w:r>
      <w:r>
        <w:fldChar w:fldCharType="begin"/>
      </w:r>
      <w:r>
        <w:instrText xml:space="preserve"> PAGEREF _Toc6394700 \h </w:instrText>
      </w:r>
      <w:r>
        <w:fldChar w:fldCharType="separate"/>
      </w:r>
      <w:r>
        <w:t>33</w:t>
      </w:r>
      <w:r>
        <w:fldChar w:fldCharType="end"/>
      </w:r>
      <w:r>
        <w:rPr>
          <w:rStyle w:val="47"/>
        </w:rPr>
        <w:fldChar w:fldCharType="end"/>
      </w:r>
    </w:p>
    <w:p w14:paraId="3D302535">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"_Toc6394701"</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一、防灾体系</w:t>
      </w:r>
      <w:r>
        <w:rPr>
          <w:sz w:val="24"/>
          <w:szCs w:val="24"/>
        </w:rPr>
        <w:tab/>
      </w:r>
      <w:r>
        <w:rPr>
          <w:sz w:val="24"/>
          <w:szCs w:val="24"/>
        </w:rPr>
        <w:fldChar w:fldCharType="begin"/>
      </w:r>
      <w:r>
        <w:rPr>
          <w:sz w:val="24"/>
          <w:szCs w:val="24"/>
        </w:rPr>
        <w:instrText xml:space="preserve"> PAGEREF _Toc6394701 \h </w:instrText>
      </w:r>
      <w:r>
        <w:rPr>
          <w:sz w:val="24"/>
          <w:szCs w:val="24"/>
        </w:rPr>
        <w:fldChar w:fldCharType="separate"/>
      </w:r>
      <w:r>
        <w:rPr>
          <w:sz w:val="24"/>
          <w:szCs w:val="24"/>
        </w:rPr>
        <w:t>33</w:t>
      </w:r>
      <w:r>
        <w:rPr>
          <w:sz w:val="24"/>
          <w:szCs w:val="24"/>
        </w:rPr>
        <w:fldChar w:fldCharType="end"/>
      </w:r>
      <w:r>
        <w:rPr>
          <w:rStyle w:val="47"/>
          <w:sz w:val="24"/>
          <w:szCs w:val="24"/>
        </w:rPr>
        <w:fldChar w:fldCharType="end"/>
      </w:r>
    </w:p>
    <w:p w14:paraId="790191C9">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"_Toc6394702"</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二、防洪排涝规划</w:t>
      </w:r>
      <w:r>
        <w:rPr>
          <w:sz w:val="24"/>
          <w:szCs w:val="24"/>
        </w:rPr>
        <w:tab/>
      </w:r>
      <w:r>
        <w:rPr>
          <w:sz w:val="24"/>
          <w:szCs w:val="24"/>
        </w:rPr>
        <w:fldChar w:fldCharType="begin"/>
      </w:r>
      <w:r>
        <w:rPr>
          <w:sz w:val="24"/>
          <w:szCs w:val="24"/>
        </w:rPr>
        <w:instrText xml:space="preserve"> PAGEREF _Toc6394702 \h </w:instrText>
      </w:r>
      <w:r>
        <w:rPr>
          <w:sz w:val="24"/>
          <w:szCs w:val="24"/>
        </w:rPr>
        <w:fldChar w:fldCharType="separate"/>
      </w:r>
      <w:r>
        <w:rPr>
          <w:sz w:val="24"/>
          <w:szCs w:val="24"/>
        </w:rPr>
        <w:t>34</w:t>
      </w:r>
      <w:r>
        <w:rPr>
          <w:sz w:val="24"/>
          <w:szCs w:val="24"/>
        </w:rPr>
        <w:fldChar w:fldCharType="end"/>
      </w:r>
      <w:r>
        <w:rPr>
          <w:rStyle w:val="47"/>
          <w:sz w:val="24"/>
          <w:szCs w:val="24"/>
        </w:rPr>
        <w:fldChar w:fldCharType="end"/>
      </w:r>
    </w:p>
    <w:p w14:paraId="1F97FA10">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"_Toc6394703"</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三、抗震规划</w:t>
      </w:r>
      <w:r>
        <w:rPr>
          <w:sz w:val="24"/>
          <w:szCs w:val="24"/>
        </w:rPr>
        <w:tab/>
      </w:r>
      <w:r>
        <w:rPr>
          <w:sz w:val="24"/>
          <w:szCs w:val="24"/>
        </w:rPr>
        <w:fldChar w:fldCharType="begin"/>
      </w:r>
      <w:r>
        <w:rPr>
          <w:sz w:val="24"/>
          <w:szCs w:val="24"/>
        </w:rPr>
        <w:instrText xml:space="preserve"> PAGEREF _Toc6394703 \h </w:instrText>
      </w:r>
      <w:r>
        <w:rPr>
          <w:sz w:val="24"/>
          <w:szCs w:val="24"/>
        </w:rPr>
        <w:fldChar w:fldCharType="separate"/>
      </w:r>
      <w:r>
        <w:rPr>
          <w:sz w:val="24"/>
          <w:szCs w:val="24"/>
        </w:rPr>
        <w:t>34</w:t>
      </w:r>
      <w:r>
        <w:rPr>
          <w:sz w:val="24"/>
          <w:szCs w:val="24"/>
        </w:rPr>
        <w:fldChar w:fldCharType="end"/>
      </w:r>
      <w:r>
        <w:rPr>
          <w:rStyle w:val="47"/>
          <w:sz w:val="24"/>
          <w:szCs w:val="24"/>
        </w:rPr>
        <w:fldChar w:fldCharType="end"/>
      </w:r>
    </w:p>
    <w:p w14:paraId="45622720">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"_Toc6394704"</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四、消防规划</w:t>
      </w:r>
      <w:r>
        <w:rPr>
          <w:sz w:val="24"/>
          <w:szCs w:val="24"/>
        </w:rPr>
        <w:tab/>
      </w:r>
      <w:r>
        <w:rPr>
          <w:sz w:val="24"/>
          <w:szCs w:val="24"/>
        </w:rPr>
        <w:fldChar w:fldCharType="begin"/>
      </w:r>
      <w:r>
        <w:rPr>
          <w:sz w:val="24"/>
          <w:szCs w:val="24"/>
        </w:rPr>
        <w:instrText xml:space="preserve"> PAGEREF _Toc6394704 \h </w:instrText>
      </w:r>
      <w:r>
        <w:rPr>
          <w:sz w:val="24"/>
          <w:szCs w:val="24"/>
        </w:rPr>
        <w:fldChar w:fldCharType="separate"/>
      </w:r>
      <w:r>
        <w:rPr>
          <w:sz w:val="24"/>
          <w:szCs w:val="24"/>
        </w:rPr>
        <w:t>34</w:t>
      </w:r>
      <w:r>
        <w:rPr>
          <w:sz w:val="24"/>
          <w:szCs w:val="24"/>
        </w:rPr>
        <w:fldChar w:fldCharType="end"/>
      </w:r>
      <w:r>
        <w:rPr>
          <w:rStyle w:val="47"/>
          <w:sz w:val="24"/>
          <w:szCs w:val="24"/>
        </w:rPr>
        <w:fldChar w:fldCharType="end"/>
      </w:r>
    </w:p>
    <w:p w14:paraId="0D63208C">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"_Toc6394705"</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五、人防工程规划</w:t>
      </w:r>
      <w:r>
        <w:rPr>
          <w:sz w:val="24"/>
          <w:szCs w:val="24"/>
        </w:rPr>
        <w:tab/>
      </w:r>
      <w:r>
        <w:rPr>
          <w:sz w:val="24"/>
          <w:szCs w:val="24"/>
        </w:rPr>
        <w:fldChar w:fldCharType="begin"/>
      </w:r>
      <w:r>
        <w:rPr>
          <w:sz w:val="24"/>
          <w:szCs w:val="24"/>
        </w:rPr>
        <w:instrText xml:space="preserve"> PAGEREF _Toc6394705 \h </w:instrText>
      </w:r>
      <w:r>
        <w:rPr>
          <w:sz w:val="24"/>
          <w:szCs w:val="24"/>
        </w:rPr>
        <w:fldChar w:fldCharType="separate"/>
      </w:r>
      <w:r>
        <w:rPr>
          <w:sz w:val="24"/>
          <w:szCs w:val="24"/>
        </w:rPr>
        <w:t>35</w:t>
      </w:r>
      <w:r>
        <w:rPr>
          <w:sz w:val="24"/>
          <w:szCs w:val="24"/>
        </w:rPr>
        <w:fldChar w:fldCharType="end"/>
      </w:r>
      <w:r>
        <w:rPr>
          <w:rStyle w:val="47"/>
          <w:sz w:val="24"/>
          <w:szCs w:val="24"/>
        </w:rPr>
        <w:fldChar w:fldCharType="end"/>
      </w:r>
    </w:p>
    <w:p w14:paraId="612D554A">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"_Toc6394706"</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六、防地质灾害</w:t>
      </w:r>
      <w:r>
        <w:rPr>
          <w:sz w:val="24"/>
          <w:szCs w:val="24"/>
        </w:rPr>
        <w:tab/>
      </w:r>
      <w:r>
        <w:rPr>
          <w:sz w:val="24"/>
          <w:szCs w:val="24"/>
        </w:rPr>
        <w:fldChar w:fldCharType="begin"/>
      </w:r>
      <w:r>
        <w:rPr>
          <w:sz w:val="24"/>
          <w:szCs w:val="24"/>
        </w:rPr>
        <w:instrText xml:space="preserve"> PAGEREF _Toc6394706 \h </w:instrText>
      </w:r>
      <w:r>
        <w:rPr>
          <w:sz w:val="24"/>
          <w:szCs w:val="24"/>
        </w:rPr>
        <w:fldChar w:fldCharType="separate"/>
      </w:r>
      <w:r>
        <w:rPr>
          <w:sz w:val="24"/>
          <w:szCs w:val="24"/>
        </w:rPr>
        <w:t>35</w:t>
      </w:r>
      <w:r>
        <w:rPr>
          <w:sz w:val="24"/>
          <w:szCs w:val="24"/>
        </w:rPr>
        <w:fldChar w:fldCharType="end"/>
      </w:r>
      <w:r>
        <w:rPr>
          <w:rStyle w:val="47"/>
          <w:sz w:val="24"/>
          <w:szCs w:val="24"/>
        </w:rPr>
        <w:fldChar w:fldCharType="end"/>
      </w:r>
    </w:p>
    <w:p w14:paraId="5CE6D9D8">
      <w:pPr>
        <w:pStyle w:val="35"/>
        <w:rPr>
          <w:rFonts w:ascii="等线" w:hAnsi="等线" w:eastAsia="等线"/>
        </w:rPr>
      </w:pPr>
      <w:r>
        <w:rPr>
          <w:rStyle w:val="47"/>
        </w:rPr>
        <w:fldChar w:fldCharType="begin"/>
      </w:r>
      <w:r>
        <w:rPr>
          <w:rStyle w:val="47"/>
        </w:rPr>
        <w:instrText xml:space="preserve"> </w:instrText>
      </w:r>
      <w:r>
        <w:instrText xml:space="preserve">HYPERLINK \l "_Toc6394707"</w:instrText>
      </w:r>
      <w:r>
        <w:rPr>
          <w:rStyle w:val="47"/>
        </w:rPr>
        <w:instrText xml:space="preserve"> </w:instrText>
      </w:r>
      <w:r>
        <w:rPr>
          <w:rStyle w:val="47"/>
        </w:rPr>
        <w:fldChar w:fldCharType="separate"/>
      </w:r>
      <w:r>
        <w:rPr>
          <w:rStyle w:val="47"/>
        </w:rPr>
        <w:t>第十二章  环境保护及环卫设施规划</w:t>
      </w:r>
      <w:r>
        <w:tab/>
      </w:r>
      <w:r>
        <w:fldChar w:fldCharType="begin"/>
      </w:r>
      <w:r>
        <w:instrText xml:space="preserve"> PAGEREF _Toc6394707 \h </w:instrText>
      </w:r>
      <w:r>
        <w:fldChar w:fldCharType="separate"/>
      </w:r>
      <w:r>
        <w:t>35</w:t>
      </w:r>
      <w:r>
        <w:fldChar w:fldCharType="end"/>
      </w:r>
      <w:r>
        <w:rPr>
          <w:rStyle w:val="47"/>
        </w:rPr>
        <w:fldChar w:fldCharType="end"/>
      </w:r>
    </w:p>
    <w:p w14:paraId="1A8E16E5">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"_Toc6394708"</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一、环境保护规划</w:t>
      </w:r>
      <w:r>
        <w:rPr>
          <w:sz w:val="24"/>
          <w:szCs w:val="24"/>
        </w:rPr>
        <w:tab/>
      </w:r>
      <w:r>
        <w:rPr>
          <w:sz w:val="24"/>
          <w:szCs w:val="24"/>
        </w:rPr>
        <w:fldChar w:fldCharType="begin"/>
      </w:r>
      <w:r>
        <w:rPr>
          <w:sz w:val="24"/>
          <w:szCs w:val="24"/>
        </w:rPr>
        <w:instrText xml:space="preserve"> PAGEREF _Toc6394708 \h </w:instrText>
      </w:r>
      <w:r>
        <w:rPr>
          <w:sz w:val="24"/>
          <w:szCs w:val="24"/>
        </w:rPr>
        <w:fldChar w:fldCharType="separate"/>
      </w:r>
      <w:r>
        <w:rPr>
          <w:sz w:val="24"/>
          <w:szCs w:val="24"/>
        </w:rPr>
        <w:t>35</w:t>
      </w:r>
      <w:r>
        <w:rPr>
          <w:sz w:val="24"/>
          <w:szCs w:val="24"/>
        </w:rPr>
        <w:fldChar w:fldCharType="end"/>
      </w:r>
      <w:r>
        <w:rPr>
          <w:rStyle w:val="47"/>
          <w:sz w:val="24"/>
          <w:szCs w:val="24"/>
        </w:rPr>
        <w:fldChar w:fldCharType="end"/>
      </w:r>
    </w:p>
    <w:p w14:paraId="19AB3DE3">
      <w:pPr>
        <w:pStyle w:val="18"/>
        <w:tabs>
          <w:tab w:val="right" w:leader="dot" w:pos="9836"/>
        </w:tabs>
        <w:spacing w:line="400" w:lineRule="exact"/>
        <w:rPr>
          <w:rFonts w:ascii="等线" w:hAnsi="等线" w:eastAsia="等线"/>
          <w:i w:val="0"/>
          <w:iCs w:val="0"/>
          <w:sz w:val="24"/>
          <w:szCs w:val="24"/>
        </w:rPr>
      </w:pPr>
      <w:r>
        <w:rPr>
          <w:rStyle w:val="47"/>
          <w:sz w:val="24"/>
          <w:szCs w:val="24"/>
        </w:rPr>
        <w:fldChar w:fldCharType="begin"/>
      </w:r>
      <w:r>
        <w:rPr>
          <w:rStyle w:val="47"/>
          <w:sz w:val="24"/>
          <w:szCs w:val="24"/>
        </w:rPr>
        <w:instrText xml:space="preserve"> </w:instrText>
      </w:r>
      <w:r>
        <w:rPr>
          <w:sz w:val="24"/>
          <w:szCs w:val="24"/>
        </w:rPr>
        <w:instrText xml:space="preserve">HYPERLINK \l "_Toc6394709"</w:instrText>
      </w:r>
      <w:r>
        <w:rPr>
          <w:rStyle w:val="47"/>
          <w:sz w:val="24"/>
          <w:szCs w:val="24"/>
        </w:rPr>
        <w:instrText xml:space="preserve"> </w:instrText>
      </w:r>
      <w:r>
        <w:rPr>
          <w:rStyle w:val="47"/>
          <w:sz w:val="24"/>
          <w:szCs w:val="24"/>
        </w:rPr>
        <w:fldChar w:fldCharType="separate"/>
      </w:r>
      <w:r>
        <w:rPr>
          <w:rStyle w:val="47"/>
          <w:rFonts w:ascii="黑体" w:eastAsia="黑体"/>
          <w:sz w:val="24"/>
          <w:szCs w:val="24"/>
        </w:rPr>
        <w:t>二、环境卫生设施规划</w:t>
      </w:r>
      <w:r>
        <w:rPr>
          <w:sz w:val="24"/>
          <w:szCs w:val="24"/>
        </w:rPr>
        <w:tab/>
      </w:r>
      <w:r>
        <w:rPr>
          <w:sz w:val="24"/>
          <w:szCs w:val="24"/>
        </w:rPr>
        <w:fldChar w:fldCharType="begin"/>
      </w:r>
      <w:r>
        <w:rPr>
          <w:sz w:val="24"/>
          <w:szCs w:val="24"/>
        </w:rPr>
        <w:instrText xml:space="preserve"> PAGEREF _Toc6394709 \h </w:instrText>
      </w:r>
      <w:r>
        <w:rPr>
          <w:sz w:val="24"/>
          <w:szCs w:val="24"/>
        </w:rPr>
        <w:fldChar w:fldCharType="separate"/>
      </w:r>
      <w:r>
        <w:rPr>
          <w:sz w:val="24"/>
          <w:szCs w:val="24"/>
        </w:rPr>
        <w:t>36</w:t>
      </w:r>
      <w:r>
        <w:rPr>
          <w:sz w:val="24"/>
          <w:szCs w:val="24"/>
        </w:rPr>
        <w:fldChar w:fldCharType="end"/>
      </w:r>
      <w:r>
        <w:rPr>
          <w:rStyle w:val="47"/>
          <w:sz w:val="24"/>
          <w:szCs w:val="24"/>
        </w:rPr>
        <w:fldChar w:fldCharType="end"/>
      </w:r>
    </w:p>
    <w:p w14:paraId="52E5185C">
      <w:pPr>
        <w:pStyle w:val="35"/>
        <w:rPr>
          <w:rFonts w:ascii="等线" w:hAnsi="等线" w:eastAsia="等线"/>
        </w:rPr>
      </w:pPr>
      <w:r>
        <w:rPr>
          <w:rStyle w:val="47"/>
        </w:rPr>
        <w:fldChar w:fldCharType="begin"/>
      </w:r>
      <w:r>
        <w:rPr>
          <w:rStyle w:val="47"/>
        </w:rPr>
        <w:instrText xml:space="preserve"> </w:instrText>
      </w:r>
      <w:r>
        <w:instrText xml:space="preserve">HYPERLINK \l "_Toc6394710"</w:instrText>
      </w:r>
      <w:r>
        <w:rPr>
          <w:rStyle w:val="47"/>
        </w:rPr>
        <w:instrText xml:space="preserve"> </w:instrText>
      </w:r>
      <w:r>
        <w:rPr>
          <w:rStyle w:val="47"/>
        </w:rPr>
        <w:fldChar w:fldCharType="separate"/>
      </w:r>
      <w:r>
        <w:rPr>
          <w:rStyle w:val="47"/>
        </w:rPr>
        <w:t>第十三章  规划实施建议</w:t>
      </w:r>
      <w:r>
        <w:tab/>
      </w:r>
      <w:r>
        <w:fldChar w:fldCharType="begin"/>
      </w:r>
      <w:r>
        <w:instrText xml:space="preserve"> PAGEREF _Toc6394710 \h </w:instrText>
      </w:r>
      <w:r>
        <w:fldChar w:fldCharType="separate"/>
      </w:r>
      <w:r>
        <w:t>37</w:t>
      </w:r>
      <w:r>
        <w:fldChar w:fldCharType="end"/>
      </w:r>
      <w:r>
        <w:rPr>
          <w:rStyle w:val="47"/>
        </w:rPr>
        <w:fldChar w:fldCharType="end"/>
      </w:r>
    </w:p>
    <w:p w14:paraId="53AAFBFA">
      <w:pPr>
        <w:pStyle w:val="3"/>
        <w:spacing w:line="400" w:lineRule="exact"/>
        <w:jc w:val="center"/>
        <w:rPr>
          <w:sz w:val="36"/>
          <w:szCs w:val="36"/>
        </w:rPr>
      </w:pPr>
      <w:r>
        <w:rPr>
          <w:rFonts w:ascii="黑体" w:hAnsi="黑体"/>
          <w:sz w:val="24"/>
          <w:szCs w:val="24"/>
        </w:rPr>
        <w:fldChar w:fldCharType="end"/>
      </w:r>
      <w:bookmarkStart w:id="5" w:name="_Toc6394556"/>
      <w:r>
        <w:rPr>
          <w:rFonts w:hint="eastAsia"/>
          <w:sz w:val="36"/>
          <w:szCs w:val="36"/>
        </w:rPr>
        <w:t>第一章</w:t>
      </w:r>
      <w:bookmarkEnd w:id="0"/>
      <w:bookmarkEnd w:id="1"/>
      <w:bookmarkEnd w:id="2"/>
      <w:r>
        <w:rPr>
          <w:rFonts w:hint="eastAsia"/>
          <w:sz w:val="36"/>
          <w:szCs w:val="36"/>
        </w:rPr>
        <w:t xml:space="preserve"> 规划背景</w:t>
      </w:r>
      <w:bookmarkEnd w:id="5"/>
    </w:p>
    <w:p w14:paraId="66E01143">
      <w:pPr>
        <w:pStyle w:val="4"/>
        <w:spacing w:line="620" w:lineRule="exact"/>
        <w:rPr>
          <w:rFonts w:ascii="黑体" w:eastAsia="黑体"/>
        </w:rPr>
      </w:pPr>
      <w:bookmarkStart w:id="6" w:name="_Toc222897520"/>
      <w:bookmarkStart w:id="7" w:name="_Toc356378469"/>
      <w:bookmarkStart w:id="8" w:name="_Toc356379477"/>
      <w:bookmarkStart w:id="9" w:name="_Toc356379345"/>
      <w:bookmarkStart w:id="10" w:name="_Toc6394557"/>
      <w:r>
        <w:rPr>
          <w:rFonts w:hint="eastAsia" w:ascii="黑体" w:eastAsia="黑体"/>
        </w:rPr>
        <w:t>一、</w:t>
      </w:r>
      <w:bookmarkEnd w:id="6"/>
      <w:r>
        <w:rPr>
          <w:rFonts w:hint="eastAsia" w:ascii="黑体" w:eastAsia="黑体"/>
        </w:rPr>
        <w:t>政策背景</w:t>
      </w:r>
      <w:bookmarkEnd w:id="7"/>
      <w:bookmarkEnd w:id="8"/>
      <w:bookmarkEnd w:id="9"/>
      <w:bookmarkEnd w:id="10"/>
    </w:p>
    <w:p w14:paraId="4F30B2A3">
      <w:pPr>
        <w:spacing w:line="640" w:lineRule="exact"/>
        <w:ind w:firstLine="278" w:firstLineChars="99"/>
        <w:rPr>
          <w:rFonts w:ascii="宋体" w:hAnsi="宋体"/>
          <w:b/>
          <w:bCs/>
          <w:sz w:val="28"/>
          <w:szCs w:val="28"/>
        </w:rPr>
      </w:pPr>
      <w:bookmarkStart w:id="11" w:name="_Toc222897521"/>
      <w:r>
        <w:rPr>
          <w:rFonts w:hint="eastAsia" w:ascii="宋体" w:hAnsi="宋体"/>
          <w:b/>
          <w:bCs/>
          <w:sz w:val="28"/>
          <w:szCs w:val="28"/>
        </w:rPr>
        <w:t>（一）国家层面</w:t>
      </w:r>
    </w:p>
    <w:p w14:paraId="2218CF1C">
      <w:pPr>
        <w:spacing w:line="640" w:lineRule="exact"/>
        <w:ind w:firstLine="557" w:firstLineChars="198"/>
        <w:rPr>
          <w:rFonts w:ascii="宋体" w:hAnsi="宋体"/>
          <w:b/>
          <w:bCs/>
          <w:sz w:val="28"/>
          <w:szCs w:val="28"/>
        </w:rPr>
      </w:pPr>
      <w:r>
        <w:rPr>
          <w:rFonts w:hint="eastAsia" w:ascii="宋体" w:hAnsi="宋体"/>
          <w:b/>
          <w:bCs/>
          <w:sz w:val="28"/>
          <w:szCs w:val="28"/>
        </w:rPr>
        <w:t>1、中央城市工作会议</w:t>
      </w:r>
    </w:p>
    <w:p w14:paraId="0BA76F18">
      <w:pPr>
        <w:widowControl/>
        <w:shd w:val="clear" w:color="auto" w:fill="FFFFFF"/>
        <w:spacing w:line="640" w:lineRule="exact"/>
        <w:ind w:firstLine="560" w:firstLineChars="200"/>
        <w:jc w:val="left"/>
        <w:rPr>
          <w:rFonts w:hAnsi="宋体"/>
          <w:sz w:val="28"/>
          <w:szCs w:val="28"/>
        </w:rPr>
      </w:pPr>
      <w:r>
        <w:rPr>
          <w:rFonts w:hAnsi="宋体"/>
          <w:sz w:val="28"/>
          <w:szCs w:val="28"/>
        </w:rPr>
        <w:t>2015年12月</w:t>
      </w:r>
      <w:r>
        <w:rPr>
          <w:rFonts w:hint="eastAsia" w:hAnsi="宋体"/>
          <w:sz w:val="28"/>
          <w:szCs w:val="28"/>
        </w:rPr>
        <w:t>，</w:t>
      </w:r>
      <w:r>
        <w:rPr>
          <w:rFonts w:hAnsi="宋体"/>
          <w:sz w:val="28"/>
          <w:szCs w:val="28"/>
        </w:rPr>
        <w:t>时隔37年，中国再次召开中央城市工作会议</w:t>
      </w:r>
      <w:r>
        <w:rPr>
          <w:rFonts w:hint="eastAsia" w:hAnsi="宋体"/>
          <w:sz w:val="28"/>
          <w:szCs w:val="28"/>
        </w:rPr>
        <w:t>。</w:t>
      </w:r>
      <w:r>
        <w:rPr>
          <w:rFonts w:hAnsi="宋体"/>
          <w:sz w:val="28"/>
          <w:szCs w:val="28"/>
        </w:rPr>
        <w:t>会议强调，当前和今后一个时期，我国城市工作</w:t>
      </w:r>
      <w:r>
        <w:rPr>
          <w:rFonts w:hint="eastAsia" w:hAnsi="宋体"/>
          <w:sz w:val="28"/>
          <w:szCs w:val="28"/>
        </w:rPr>
        <w:t>的指导思想应</w:t>
      </w:r>
      <w:r>
        <w:rPr>
          <w:rFonts w:hAnsi="宋体"/>
          <w:sz w:val="28"/>
          <w:szCs w:val="28"/>
        </w:rPr>
        <w:t>贯彻创新、协调、绿色、开放、共享的发展理念，坚持以人为本、科学发展、改革创新、依法治市，转变城市发展方式，完善城市治理体系，提高城市治理能力，着力解决城市病等突出问题，不断提升城市环境质量、人民生活质量、城市竞争力，建设和谐宜居、富有活力、各具特色的现代化城市，提高新型城镇化水平。</w:t>
      </w:r>
    </w:p>
    <w:p w14:paraId="5CA59D85">
      <w:pPr>
        <w:widowControl/>
        <w:shd w:val="clear" w:color="auto" w:fill="FFFFFF"/>
        <w:spacing w:line="640" w:lineRule="exact"/>
        <w:ind w:firstLine="560" w:firstLineChars="200"/>
        <w:jc w:val="left"/>
        <w:rPr>
          <w:rFonts w:hAnsi="宋体"/>
          <w:sz w:val="28"/>
          <w:szCs w:val="28"/>
        </w:rPr>
      </w:pPr>
      <w:r>
        <w:rPr>
          <w:rFonts w:hAnsi="宋体"/>
          <w:sz w:val="28"/>
          <w:szCs w:val="28"/>
        </w:rPr>
        <w:t>会议指出，做好城市工作要顺应城市工作新形势、改革发展新要求、人民群众新期待，坚持以人民为中心的发展思想，坚持人民城市为人民。要坚持集约发展，框定总量、限定容量、盘活存量、做优增量、提高质量，立足国情，尊重自然、顺应自然、保护自然，改善城市生态环境，在统筹上下功夫，在重点上求突破，着力提高城市发展持续性、宜居性。统筹空间、规模、产业三大结构，提高城市工作全局性</w:t>
      </w:r>
      <w:r>
        <w:rPr>
          <w:rFonts w:hint="eastAsia" w:hAnsi="宋体"/>
          <w:sz w:val="28"/>
          <w:szCs w:val="28"/>
        </w:rPr>
        <w:t>；</w:t>
      </w:r>
      <w:r>
        <w:rPr>
          <w:rFonts w:hAnsi="宋体"/>
          <w:sz w:val="28"/>
          <w:szCs w:val="28"/>
        </w:rPr>
        <w:t>统筹规划、建设、管理三大环节，提高城市工作的系统性</w:t>
      </w:r>
      <w:r>
        <w:rPr>
          <w:rFonts w:hint="eastAsia" w:hAnsi="宋体"/>
          <w:sz w:val="28"/>
          <w:szCs w:val="28"/>
        </w:rPr>
        <w:t>；</w:t>
      </w:r>
      <w:r>
        <w:rPr>
          <w:rFonts w:hAnsi="宋体"/>
          <w:sz w:val="28"/>
          <w:szCs w:val="28"/>
        </w:rPr>
        <w:t>统筹改革、科技、文化三大动力，提高城市发展持续性</w:t>
      </w:r>
      <w:r>
        <w:rPr>
          <w:rFonts w:hint="eastAsia" w:hAnsi="宋体"/>
          <w:sz w:val="28"/>
          <w:szCs w:val="28"/>
        </w:rPr>
        <w:t>；</w:t>
      </w:r>
      <w:r>
        <w:rPr>
          <w:rFonts w:hAnsi="宋体"/>
          <w:sz w:val="28"/>
          <w:szCs w:val="28"/>
        </w:rPr>
        <w:t>统筹生产、生活、生态三大布局，提高城市发展的宜居性</w:t>
      </w:r>
      <w:r>
        <w:rPr>
          <w:rFonts w:hint="eastAsia" w:hAnsi="宋体"/>
          <w:sz w:val="28"/>
          <w:szCs w:val="28"/>
        </w:rPr>
        <w:t>；</w:t>
      </w:r>
      <w:r>
        <w:rPr>
          <w:rFonts w:hAnsi="宋体"/>
          <w:sz w:val="28"/>
          <w:szCs w:val="28"/>
        </w:rPr>
        <w:t>统筹政府、社会、市民三大主体，提高各方推动城市发展的积极性。</w:t>
      </w:r>
      <w:r>
        <w:rPr>
          <w:rFonts w:hint="eastAsia" w:hAnsi="宋体"/>
          <w:sz w:val="28"/>
          <w:szCs w:val="28"/>
        </w:rPr>
        <w:t>要求准确把握城市发展规律，推动以人为核心的新型城镇化，科学规划城市空间布局，实现紧凑集约、高效绿色发展。</w:t>
      </w:r>
    </w:p>
    <w:p w14:paraId="08DC4A62">
      <w:pPr>
        <w:widowControl/>
        <w:shd w:val="clear" w:color="auto" w:fill="FFFFFF"/>
        <w:spacing w:line="640" w:lineRule="exact"/>
        <w:ind w:firstLine="562" w:firstLineChars="200"/>
        <w:jc w:val="left"/>
        <w:rPr>
          <w:rFonts w:hAnsi="宋体"/>
          <w:b/>
          <w:sz w:val="28"/>
          <w:szCs w:val="28"/>
        </w:rPr>
      </w:pPr>
      <w:r>
        <w:rPr>
          <w:rFonts w:hint="eastAsia" w:hAnsi="宋体"/>
          <w:b/>
          <w:sz w:val="28"/>
          <w:szCs w:val="28"/>
        </w:rPr>
        <w:t>2、加强生态修复城市修补工作</w:t>
      </w:r>
    </w:p>
    <w:p w14:paraId="1D0E52E8">
      <w:pPr>
        <w:widowControl/>
        <w:shd w:val="clear" w:color="auto" w:fill="FFFFFF"/>
        <w:spacing w:line="640" w:lineRule="exact"/>
        <w:ind w:firstLine="560" w:firstLineChars="200"/>
        <w:jc w:val="left"/>
        <w:rPr>
          <w:rFonts w:hAnsi="宋体"/>
          <w:sz w:val="28"/>
          <w:szCs w:val="28"/>
        </w:rPr>
      </w:pPr>
      <w:r>
        <w:rPr>
          <w:rFonts w:hint="eastAsia" w:hAnsi="宋体"/>
          <w:sz w:val="28"/>
          <w:szCs w:val="28"/>
        </w:rPr>
        <w:t>为</w:t>
      </w:r>
      <w:r>
        <w:rPr>
          <w:rFonts w:hAnsi="宋体"/>
          <w:sz w:val="28"/>
          <w:szCs w:val="28"/>
        </w:rPr>
        <w:t>治理“城市病”、改善人居环境</w:t>
      </w:r>
      <w:r>
        <w:rPr>
          <w:rFonts w:hint="eastAsia" w:hAnsi="宋体"/>
          <w:sz w:val="28"/>
          <w:szCs w:val="28"/>
        </w:rPr>
        <w:t>，</w:t>
      </w:r>
      <w:r>
        <w:rPr>
          <w:rFonts w:hAnsi="宋体"/>
          <w:sz w:val="28"/>
          <w:szCs w:val="28"/>
        </w:rPr>
        <w:t>贯彻落实中央城市工作会议和习近平总书记系列重要讲话精神</w:t>
      </w:r>
      <w:r>
        <w:rPr>
          <w:rFonts w:hint="eastAsia" w:hAnsi="宋体"/>
          <w:sz w:val="28"/>
          <w:szCs w:val="28"/>
        </w:rPr>
        <w:t>，</w:t>
      </w:r>
      <w:r>
        <w:rPr>
          <w:rFonts w:hAnsi="宋体"/>
          <w:sz w:val="28"/>
          <w:szCs w:val="28"/>
        </w:rPr>
        <w:t>在全面总结三亚“城市双修”试点工作经验基础上，</w:t>
      </w:r>
      <w:r>
        <w:rPr>
          <w:rFonts w:hint="eastAsia" w:hAnsi="宋体"/>
          <w:sz w:val="28"/>
          <w:szCs w:val="28"/>
        </w:rPr>
        <w:t>2017年</w:t>
      </w:r>
      <w:r>
        <w:rPr>
          <w:rFonts w:hAnsi="宋体"/>
          <w:sz w:val="28"/>
          <w:szCs w:val="28"/>
        </w:rPr>
        <w:t>3月，住房城乡建设部印发了《关于加强生态修复城市修补工作的指导意见》（以下简称《指导意见》），安排部署在全国全面开展生态修复、城市修补（以下简称“城市双修”）工作，明确了指导思想、基本原则、主要任务目标，提出了具体工作要求。</w:t>
      </w:r>
    </w:p>
    <w:p w14:paraId="54A1CD5D">
      <w:pPr>
        <w:widowControl/>
        <w:shd w:val="clear" w:color="auto" w:fill="FFFFFF"/>
        <w:spacing w:line="640" w:lineRule="exact"/>
        <w:ind w:firstLine="560" w:firstLineChars="200"/>
        <w:jc w:val="left"/>
        <w:rPr>
          <w:rFonts w:hint="eastAsia" w:hAnsi="宋体"/>
          <w:sz w:val="28"/>
          <w:szCs w:val="28"/>
        </w:rPr>
      </w:pPr>
      <w:r>
        <w:rPr>
          <w:rFonts w:hAnsi="宋体"/>
          <w:sz w:val="28"/>
          <w:szCs w:val="28"/>
        </w:rPr>
        <w:t>《指导意见》要求各地将“城市双修”作为推动供给侧结构性改革的重要任务，以改善生态环境质量、补足城市基础设施短板、提高公共服务水平为重点，转变城市发展方式，治理“城市病”，提升城市治理能力，打造和谐宜居、富有活力、各具特色的现代化城市，让群众在“城市双修”中有更多获得感。</w:t>
      </w:r>
    </w:p>
    <w:p w14:paraId="46165424">
      <w:pPr>
        <w:widowControl/>
        <w:shd w:val="clear" w:color="auto" w:fill="FFFFFF"/>
        <w:spacing w:line="640" w:lineRule="exact"/>
        <w:ind w:firstLine="560" w:firstLineChars="200"/>
        <w:jc w:val="left"/>
        <w:rPr>
          <w:rFonts w:hAnsi="宋体"/>
          <w:sz w:val="28"/>
          <w:szCs w:val="28"/>
        </w:rPr>
      </w:pPr>
      <w:r>
        <w:rPr>
          <w:rFonts w:hint="eastAsia" w:hAnsi="宋体"/>
          <w:sz w:val="28"/>
          <w:szCs w:val="28"/>
        </w:rPr>
        <w:t>到</w:t>
      </w:r>
      <w:r>
        <w:rPr>
          <w:rFonts w:hAnsi="宋体"/>
          <w:sz w:val="28"/>
          <w:szCs w:val="28"/>
        </w:rPr>
        <w:t>2017年，各城市制定“城市双修”实施计划，完成一批有成效、有影响的“双修”示范项目；2020年，城市“双修”工作初见成效，“城市病”得到有效治理。推动“城市双修”工作</w:t>
      </w:r>
      <w:r>
        <w:rPr>
          <w:rFonts w:hint="eastAsia" w:hAnsi="宋体"/>
          <w:sz w:val="28"/>
          <w:szCs w:val="28"/>
        </w:rPr>
        <w:t>具体从</w:t>
      </w:r>
      <w:r>
        <w:rPr>
          <w:rFonts w:hAnsi="宋体"/>
          <w:sz w:val="28"/>
          <w:szCs w:val="28"/>
        </w:rPr>
        <w:t>完善基础工作</w:t>
      </w:r>
      <w:r>
        <w:rPr>
          <w:rFonts w:hint="eastAsia" w:hAnsi="宋体"/>
          <w:sz w:val="28"/>
          <w:szCs w:val="28"/>
        </w:rPr>
        <w:t>、</w:t>
      </w:r>
      <w:r>
        <w:rPr>
          <w:rFonts w:hAnsi="宋体"/>
          <w:sz w:val="28"/>
          <w:szCs w:val="28"/>
        </w:rPr>
        <w:t>修复城市生态</w:t>
      </w:r>
      <w:r>
        <w:rPr>
          <w:rFonts w:hint="eastAsia" w:hAnsi="宋体"/>
          <w:sz w:val="28"/>
          <w:szCs w:val="28"/>
        </w:rPr>
        <w:t>、</w:t>
      </w:r>
      <w:r>
        <w:rPr>
          <w:rFonts w:hAnsi="宋体"/>
          <w:sz w:val="28"/>
          <w:szCs w:val="28"/>
        </w:rPr>
        <w:t>修补城市功能</w:t>
      </w:r>
      <w:r>
        <w:rPr>
          <w:rFonts w:hint="eastAsia" w:hAnsi="宋体"/>
          <w:sz w:val="28"/>
          <w:szCs w:val="28"/>
        </w:rPr>
        <w:t>、</w:t>
      </w:r>
      <w:r>
        <w:rPr>
          <w:rFonts w:hAnsi="宋体"/>
          <w:sz w:val="28"/>
          <w:szCs w:val="28"/>
        </w:rPr>
        <w:t>健全保障制度，完善政策措施</w:t>
      </w:r>
      <w:r>
        <w:rPr>
          <w:rFonts w:hint="eastAsia" w:hAnsi="宋体"/>
          <w:sz w:val="28"/>
          <w:szCs w:val="28"/>
        </w:rPr>
        <w:t>等各方面入手，有序推进</w:t>
      </w:r>
      <w:r>
        <w:rPr>
          <w:rFonts w:hAnsi="宋体"/>
          <w:sz w:val="28"/>
          <w:szCs w:val="28"/>
        </w:rPr>
        <w:t>“城市双修”</w:t>
      </w:r>
      <w:r>
        <w:rPr>
          <w:rFonts w:hint="eastAsia" w:hAnsi="宋体"/>
          <w:sz w:val="28"/>
          <w:szCs w:val="28"/>
        </w:rPr>
        <w:t>，</w:t>
      </w:r>
      <w:r>
        <w:rPr>
          <w:rFonts w:hAnsi="宋体"/>
          <w:sz w:val="28"/>
          <w:szCs w:val="28"/>
        </w:rPr>
        <w:t>系统地修复山体、</w:t>
      </w:r>
      <w:r>
        <w:rPr>
          <w:rFonts w:hint="eastAsia" w:hAnsi="宋体"/>
          <w:sz w:val="28"/>
          <w:szCs w:val="28"/>
        </w:rPr>
        <w:t>河流、湿地、植被</w:t>
      </w:r>
      <w:r>
        <w:rPr>
          <w:rFonts w:hAnsi="宋体"/>
          <w:sz w:val="28"/>
          <w:szCs w:val="28"/>
        </w:rPr>
        <w:t>，补城市设施欠账，增加公共空间</w:t>
      </w:r>
      <w:r>
        <w:rPr>
          <w:rFonts w:hint="eastAsia" w:hAnsi="宋体"/>
          <w:sz w:val="28"/>
          <w:szCs w:val="28"/>
        </w:rPr>
        <w:t>，提升人居环境品质</w:t>
      </w:r>
      <w:r>
        <w:rPr>
          <w:rFonts w:hAnsi="宋体"/>
          <w:sz w:val="28"/>
          <w:szCs w:val="28"/>
        </w:rPr>
        <w:t>。</w:t>
      </w:r>
    </w:p>
    <w:p w14:paraId="54346925">
      <w:pPr>
        <w:widowControl/>
        <w:shd w:val="clear" w:color="auto" w:fill="FFFFFF"/>
        <w:spacing w:line="640" w:lineRule="exact"/>
        <w:ind w:firstLine="562" w:firstLineChars="200"/>
        <w:jc w:val="left"/>
        <w:rPr>
          <w:rFonts w:hAnsi="宋体"/>
          <w:b/>
          <w:sz w:val="28"/>
          <w:szCs w:val="28"/>
        </w:rPr>
      </w:pPr>
      <w:r>
        <w:rPr>
          <w:rFonts w:hint="eastAsia" w:hAnsi="宋体"/>
          <w:b/>
          <w:sz w:val="28"/>
          <w:szCs w:val="28"/>
        </w:rPr>
        <w:t>（二）四川省层面：中共四川省委《关于全面推动高质量发展的决定》</w:t>
      </w:r>
    </w:p>
    <w:p w14:paraId="79DC923E">
      <w:pPr>
        <w:widowControl/>
        <w:shd w:val="clear" w:color="auto" w:fill="FFFFFF"/>
        <w:spacing w:line="640" w:lineRule="exact"/>
        <w:ind w:firstLine="560" w:firstLineChars="200"/>
        <w:jc w:val="left"/>
        <w:rPr>
          <w:rFonts w:hint="eastAsia" w:hAnsi="宋体"/>
          <w:sz w:val="28"/>
          <w:szCs w:val="28"/>
        </w:rPr>
      </w:pPr>
      <w:r>
        <w:rPr>
          <w:rFonts w:hint="eastAsia" w:hAnsi="宋体"/>
          <w:sz w:val="28"/>
          <w:szCs w:val="28"/>
        </w:rPr>
        <w:t>在2018年6月30日中国共产党四川省第十一届委员会第三次全体会议通过的《中共四川省委关于全面推动高质量发展的决定》中提出，推动四川高质量发展，必须全面落实新发展理念，实施“一干多支”发展战略，对内形成“一干多支、五区协同”区域协调发展格局，对外形成“四向拓展、全域开放”立体全面开放格局，奠定经济强省坚实基础。《决定》“加快发展以绵阳、德阳、乐山为区域中心城市的成都平原城市群”和“支持乐山建设世界重要旅游目的地”。乐山市作为成都平原城市群的区域中心城市之一，地处于成都平原城市群、川南城市群和攀西城镇群省内三大城镇群的交汇地带，也处于成都平原地区南向发展的主通道上，要求乐山切实承担起区域协同发展重任，成为成都平原、川南地区经济影响力向攀西地区、乌蒙贫困地区辐射的战略支点。同时，围绕乐山建设“世界重要旅游目的地，全省区域中心城市”的城市目标，转变城市功能，提升城市发展能级。</w:t>
      </w:r>
    </w:p>
    <w:p w14:paraId="454CC66A">
      <w:pPr>
        <w:widowControl/>
        <w:shd w:val="clear" w:color="auto" w:fill="FFFFFF"/>
        <w:spacing w:line="640" w:lineRule="exact"/>
        <w:ind w:firstLine="562" w:firstLineChars="200"/>
        <w:jc w:val="left"/>
        <w:rPr>
          <w:rFonts w:hAnsi="宋体"/>
          <w:b/>
          <w:sz w:val="28"/>
          <w:szCs w:val="28"/>
        </w:rPr>
      </w:pPr>
      <w:r>
        <w:rPr>
          <w:rFonts w:hint="eastAsia" w:hAnsi="宋体"/>
          <w:b/>
          <w:sz w:val="28"/>
          <w:szCs w:val="28"/>
        </w:rPr>
        <w:t>（三）乐山市层面：中共乐山市委七届五次全会精神</w:t>
      </w:r>
    </w:p>
    <w:p w14:paraId="3F12805E">
      <w:pPr>
        <w:widowControl/>
        <w:shd w:val="clear" w:color="auto" w:fill="FFFFFF"/>
        <w:spacing w:line="640" w:lineRule="exact"/>
        <w:ind w:firstLine="560" w:firstLineChars="200"/>
        <w:jc w:val="left"/>
        <w:rPr>
          <w:rFonts w:hint="eastAsia" w:hAnsi="宋体"/>
          <w:sz w:val="28"/>
          <w:szCs w:val="28"/>
        </w:rPr>
      </w:pPr>
      <w:r>
        <w:rPr>
          <w:rFonts w:hint="eastAsia" w:hAnsi="宋体"/>
          <w:sz w:val="28"/>
          <w:szCs w:val="28"/>
        </w:rPr>
        <w:t>2018年9月，中共乐山市委七届五次全会召开。会议通过了《中共乐山市委关于认真贯彻省委十一届三次全会精神全面推动高质量发展的决定》、《乐山市加快建设世界重要旅游目的地五年行动计划（2018-2022年）》、《乐山市加快建设全省区域中心城市五年行动计划（2018-2022年）》，将“旅游兴市、产业强市”作为乐山推动转型发展、创新发展、跨越发展的主线，加快乐山建设，融入到全省“一干多支、五区协同”区域发展新格局，形成立体全面开放新态势，全力争创全省经济副中心。</w:t>
      </w:r>
    </w:p>
    <w:p w14:paraId="34D8501A">
      <w:pPr>
        <w:widowControl/>
        <w:shd w:val="clear" w:color="auto" w:fill="FFFFFF"/>
        <w:spacing w:line="640" w:lineRule="exact"/>
        <w:ind w:firstLine="560" w:firstLineChars="200"/>
        <w:jc w:val="left"/>
        <w:rPr>
          <w:rFonts w:hint="eastAsia" w:hAnsi="宋体"/>
          <w:sz w:val="28"/>
          <w:szCs w:val="28"/>
        </w:rPr>
      </w:pPr>
      <w:r>
        <w:rPr>
          <w:rFonts w:hint="eastAsia" w:hAnsi="宋体"/>
          <w:sz w:val="28"/>
          <w:szCs w:val="28"/>
        </w:rPr>
        <w:t>会议强调，促进旅游兴市应抓手“文旅融合、扩容提质、景城一体、全域旅游”四篇文章，坚持把加快建设世界重要旅游目的地、促进旅游兴市作为引领乐山形成立体全面开放新态势的重要支撑，抢抓未来开放开发机遇，深化旅游发展“四篇文章”，增强乐山旅游的国际知名度和美誉度，推动乐山从旅游大市向旅游强市转变、从高速增长向优质发展转变、从旅游过境地向旅游目的地转变。</w:t>
      </w:r>
    </w:p>
    <w:p w14:paraId="0DB442F5">
      <w:pPr>
        <w:widowControl/>
        <w:shd w:val="clear" w:color="auto" w:fill="FFFFFF"/>
        <w:spacing w:line="640" w:lineRule="exact"/>
        <w:ind w:firstLine="560" w:firstLineChars="200"/>
        <w:jc w:val="left"/>
        <w:rPr>
          <w:rFonts w:hint="eastAsia" w:hAnsi="宋体"/>
          <w:sz w:val="28"/>
          <w:szCs w:val="28"/>
        </w:rPr>
      </w:pPr>
      <w:r>
        <w:rPr>
          <w:rFonts w:hint="eastAsia" w:hAnsi="宋体"/>
          <w:sz w:val="28"/>
          <w:szCs w:val="28"/>
        </w:rPr>
        <w:t>会议指出，要走好“建总部、育龙头、强集群、提品质”四条路径，推动产业强市，坚持把构建现代产业新体系、推动产业强市作为建设全省区域中心城市的重要任务，通过建总部、育龙头、强集群、提品质，加快擦亮乐山现代产业“金字招牌”，为全省打造5个万亿级产业作出贡献。</w:t>
      </w:r>
    </w:p>
    <w:bookmarkEnd w:id="11"/>
    <w:p w14:paraId="75173F32">
      <w:pPr>
        <w:pStyle w:val="4"/>
        <w:spacing w:line="680" w:lineRule="exact"/>
        <w:rPr>
          <w:rFonts w:ascii="黑体" w:eastAsia="黑体"/>
        </w:rPr>
      </w:pPr>
      <w:bookmarkStart w:id="12" w:name="_Toc403120544"/>
      <w:bookmarkStart w:id="13" w:name="_Toc6394558"/>
      <w:r>
        <w:rPr>
          <w:rFonts w:hint="eastAsia" w:ascii="黑体" w:eastAsia="黑体"/>
        </w:rPr>
        <w:t>二、上位及相关规划解读</w:t>
      </w:r>
      <w:bookmarkEnd w:id="12"/>
      <w:bookmarkEnd w:id="13"/>
    </w:p>
    <w:p w14:paraId="467DB718">
      <w:pPr>
        <w:autoSpaceDE w:val="0"/>
        <w:autoSpaceDN w:val="0"/>
        <w:adjustRightInd w:val="0"/>
        <w:spacing w:line="680" w:lineRule="exact"/>
        <w:ind w:firstLine="562" w:firstLineChars="200"/>
        <w:jc w:val="left"/>
        <w:rPr>
          <w:rFonts w:hAnsi="宋体"/>
          <w:b/>
          <w:sz w:val="28"/>
          <w:szCs w:val="28"/>
        </w:rPr>
      </w:pPr>
      <w:r>
        <w:rPr>
          <w:rFonts w:hint="eastAsia" w:hAnsi="宋体"/>
          <w:b/>
          <w:sz w:val="28"/>
          <w:szCs w:val="28"/>
        </w:rPr>
        <w:t>（一）《乐山市城市总体规划（2011-2030）》（2017修改版）</w:t>
      </w:r>
    </w:p>
    <w:p w14:paraId="3C791512">
      <w:pPr>
        <w:autoSpaceDE w:val="0"/>
        <w:autoSpaceDN w:val="0"/>
        <w:adjustRightInd w:val="0"/>
        <w:spacing w:line="680" w:lineRule="exact"/>
        <w:ind w:firstLine="560" w:firstLineChars="200"/>
        <w:rPr>
          <w:rFonts w:hAnsi="宋体"/>
          <w:sz w:val="28"/>
          <w:szCs w:val="28"/>
        </w:rPr>
      </w:pPr>
      <w:r>
        <w:rPr>
          <w:rFonts w:hint="eastAsia" w:hAnsi="宋体"/>
          <w:sz w:val="28"/>
          <w:szCs w:val="28"/>
        </w:rPr>
        <w:t>为贯彻五大发展理念、中央城镇化工作与城市工作会议精神，落实中共中央国务院《关于进一步加强城市规划建设管理工作的若干意见》的要求和省委“一干多支、五区协同”发展战略，聚焦乐山建设世界重要旅游目的地、全省区域中心城市，结合乐山城市发展的机遇和实情，剖析11版总规存在的不足，2017年我市开展总规修改完善工作，并于2018年9月得到批复。通过科学规划引领，以解决城市发展过程中积累的主要问题为出发点，坚持以人民为中心的发展思想，持续保障和改善民生，加快建设世界重要旅游目的地、全省区域中心城市。</w:t>
      </w:r>
    </w:p>
    <w:p w14:paraId="20E70DD3">
      <w:pPr>
        <w:autoSpaceDE w:val="0"/>
        <w:autoSpaceDN w:val="0"/>
        <w:adjustRightInd w:val="0"/>
        <w:spacing w:line="680" w:lineRule="exact"/>
        <w:ind w:firstLine="560" w:firstLineChars="200"/>
        <w:rPr>
          <w:rFonts w:hAnsi="宋体"/>
          <w:sz w:val="28"/>
          <w:szCs w:val="28"/>
        </w:rPr>
      </w:pPr>
      <w:r>
        <w:rPr>
          <w:rFonts w:hint="eastAsia" w:hAnsi="宋体"/>
          <w:sz w:val="28"/>
          <w:szCs w:val="28"/>
        </w:rPr>
        <w:t>总规修改方案中，乐山城市性质确定为：世界旅游目的地，国家历史文化名城，生态宜居公园城市。城市</w:t>
      </w:r>
      <w:r>
        <w:rPr>
          <w:rFonts w:hAnsi="宋体"/>
          <w:sz w:val="28"/>
          <w:szCs w:val="28"/>
        </w:rPr>
        <w:t>职能为</w:t>
      </w:r>
      <w:r>
        <w:rPr>
          <w:rFonts w:hint="eastAsia" w:hAnsi="宋体"/>
          <w:sz w:val="28"/>
          <w:szCs w:val="28"/>
        </w:rPr>
        <w:t>国家旅游业改革创新先行区，西部地区旅游服务重要基地和对外开放的国际交流重要平台，四川高新、文化产业增长极和总部经济集聚区，成都平原经济区区域</w:t>
      </w:r>
      <w:r>
        <w:rPr>
          <w:rFonts w:hAnsi="宋体"/>
          <w:sz w:val="28"/>
          <w:szCs w:val="28"/>
        </w:rPr>
        <w:t>中心城市</w:t>
      </w:r>
      <w:r>
        <w:rPr>
          <w:rFonts w:hint="eastAsia" w:hAnsi="宋体"/>
          <w:sz w:val="28"/>
          <w:szCs w:val="28"/>
        </w:rPr>
        <w:t>，乐山市政治、经济、文化中心。</w:t>
      </w:r>
    </w:p>
    <w:p w14:paraId="7C7DFA1C">
      <w:pPr>
        <w:autoSpaceDE w:val="0"/>
        <w:autoSpaceDN w:val="0"/>
        <w:adjustRightInd w:val="0"/>
        <w:spacing w:line="680" w:lineRule="exact"/>
        <w:ind w:firstLine="560" w:firstLineChars="200"/>
        <w:rPr>
          <w:rFonts w:hint="eastAsia" w:hAnsi="宋体"/>
          <w:sz w:val="28"/>
          <w:szCs w:val="28"/>
        </w:rPr>
      </w:pPr>
      <w:r>
        <w:rPr>
          <w:rFonts w:hint="eastAsia" w:hAnsi="宋体"/>
          <w:sz w:val="28"/>
          <w:szCs w:val="28"/>
        </w:rPr>
        <w:t>中心城区空间发展方向为：西进南拓、中心提升（疏解、控高、增绿）、优化西南、控制东部、完善北部。</w:t>
      </w:r>
    </w:p>
    <w:p w14:paraId="26B5C036">
      <w:pPr>
        <w:autoSpaceDE w:val="0"/>
        <w:autoSpaceDN w:val="0"/>
        <w:adjustRightInd w:val="0"/>
        <w:spacing w:line="680" w:lineRule="exact"/>
        <w:ind w:firstLine="560" w:firstLineChars="200"/>
        <w:rPr>
          <w:rFonts w:hAnsi="宋体"/>
          <w:sz w:val="28"/>
          <w:szCs w:val="28"/>
        </w:rPr>
      </w:pPr>
      <w:r>
        <w:rPr>
          <w:rFonts w:hint="eastAsia" w:hAnsi="宋体"/>
          <w:sz w:val="28"/>
          <w:szCs w:val="28"/>
        </w:rPr>
        <w:t>在空间结构上，综合地理环境、交通联系、公共服务和产城单元组织等，形成“一核三城多组团”，</w:t>
      </w:r>
      <w:r>
        <w:rPr>
          <w:rFonts w:hAnsi="宋体"/>
          <w:sz w:val="28"/>
          <w:szCs w:val="28"/>
        </w:rPr>
        <w:t>使乐山城市从现有三江分割和片区组团零散、低效、产</w:t>
      </w:r>
      <w:r>
        <w:rPr>
          <w:rFonts w:hint="eastAsia" w:hAnsi="宋体"/>
          <w:sz w:val="28"/>
          <w:szCs w:val="28"/>
        </w:rPr>
        <w:t>城</w:t>
      </w:r>
      <w:r>
        <w:rPr>
          <w:rFonts w:hAnsi="宋体"/>
          <w:sz w:val="28"/>
          <w:szCs w:val="28"/>
        </w:rPr>
        <w:t>分离的自然状态，形成</w:t>
      </w:r>
      <w:r>
        <w:rPr>
          <w:rFonts w:hint="eastAsia" w:hAnsi="宋体"/>
          <w:sz w:val="28"/>
          <w:szCs w:val="28"/>
        </w:rPr>
        <w:t>多</w:t>
      </w:r>
      <w:r>
        <w:rPr>
          <w:rFonts w:hAnsi="宋体"/>
          <w:sz w:val="28"/>
          <w:szCs w:val="28"/>
        </w:rPr>
        <w:t>组团聚合</w:t>
      </w:r>
      <w:r>
        <w:rPr>
          <w:rFonts w:hint="eastAsia" w:hAnsi="宋体"/>
          <w:sz w:val="28"/>
          <w:szCs w:val="28"/>
        </w:rPr>
        <w:t>产</w:t>
      </w:r>
      <w:r>
        <w:rPr>
          <w:rFonts w:hAnsi="宋体"/>
          <w:sz w:val="28"/>
          <w:szCs w:val="28"/>
        </w:rPr>
        <w:t>城</w:t>
      </w:r>
      <w:r>
        <w:rPr>
          <w:rFonts w:hint="eastAsia" w:hAnsi="宋体"/>
          <w:sz w:val="28"/>
          <w:szCs w:val="28"/>
        </w:rPr>
        <w:t>片区</w:t>
      </w:r>
      <w:r>
        <w:rPr>
          <w:rFonts w:hAnsi="宋体"/>
          <w:sz w:val="28"/>
          <w:szCs w:val="28"/>
        </w:rPr>
        <w:t>，从而实现高效发展、特色发展</w:t>
      </w:r>
      <w:r>
        <w:rPr>
          <w:rFonts w:hint="eastAsia" w:hAnsi="宋体"/>
          <w:sz w:val="28"/>
          <w:szCs w:val="28"/>
        </w:rPr>
        <w:t>、</w:t>
      </w:r>
      <w:r>
        <w:rPr>
          <w:rFonts w:hAnsi="宋体"/>
          <w:sz w:val="28"/>
          <w:szCs w:val="28"/>
        </w:rPr>
        <w:t>新区变新城的</w:t>
      </w:r>
      <w:r>
        <w:rPr>
          <w:rFonts w:hint="eastAsia" w:hAnsi="宋体"/>
          <w:sz w:val="28"/>
          <w:szCs w:val="28"/>
        </w:rPr>
        <w:t>空间</w:t>
      </w:r>
      <w:r>
        <w:rPr>
          <w:rFonts w:hAnsi="宋体"/>
          <w:sz w:val="28"/>
          <w:szCs w:val="28"/>
        </w:rPr>
        <w:t>结构。</w:t>
      </w:r>
      <w:r>
        <w:rPr>
          <w:rFonts w:hint="eastAsia" w:hAnsi="宋体"/>
          <w:sz w:val="28"/>
          <w:szCs w:val="28"/>
        </w:rPr>
        <w:t>“一核”是指乐山世界旅游目的地核心圈。“三城”是指由嘉州、苏稽、高新三片环三江聚合为乐山中心主城、五通桥循环经济产业新城、沙湾文旅融合生态新城。“多组团”是指多个景产城组团。</w:t>
      </w:r>
    </w:p>
    <w:p w14:paraId="1DD395A3">
      <w:pPr>
        <w:autoSpaceDE w:val="0"/>
        <w:autoSpaceDN w:val="0"/>
        <w:adjustRightInd w:val="0"/>
        <w:spacing w:line="680" w:lineRule="exact"/>
        <w:ind w:firstLine="560" w:firstLineChars="200"/>
        <w:rPr>
          <w:rFonts w:hAnsi="宋体"/>
          <w:sz w:val="28"/>
          <w:szCs w:val="28"/>
        </w:rPr>
      </w:pPr>
      <w:r>
        <w:rPr>
          <w:rFonts w:hint="eastAsia" w:hAnsi="宋体"/>
          <w:sz w:val="28"/>
          <w:szCs w:val="28"/>
        </w:rPr>
        <w:t>在功能组织上</w:t>
      </w:r>
      <w:r>
        <w:rPr>
          <w:rFonts w:hAnsi="宋体"/>
          <w:sz w:val="28"/>
          <w:szCs w:val="28"/>
        </w:rPr>
        <w:t>中心城区</w:t>
      </w:r>
      <w:r>
        <w:rPr>
          <w:rFonts w:hint="eastAsia" w:hAnsi="宋体"/>
          <w:sz w:val="28"/>
          <w:szCs w:val="28"/>
        </w:rPr>
        <w:t>规划</w:t>
      </w:r>
      <w:r>
        <w:rPr>
          <w:rFonts w:hAnsi="宋体"/>
          <w:sz w:val="28"/>
          <w:szCs w:val="28"/>
        </w:rPr>
        <w:t>形成</w:t>
      </w:r>
      <w:r>
        <w:rPr>
          <w:rFonts w:hint="eastAsia" w:hAnsi="宋体"/>
          <w:sz w:val="28"/>
          <w:szCs w:val="28"/>
        </w:rPr>
        <w:t>“7</w:t>
      </w:r>
      <w:r>
        <w:rPr>
          <w:rFonts w:hAnsi="宋体"/>
          <w:sz w:val="28"/>
          <w:szCs w:val="28"/>
        </w:rPr>
        <w:t>+11</w:t>
      </w:r>
      <w:r>
        <w:rPr>
          <w:rFonts w:hint="eastAsia" w:hAnsi="宋体"/>
          <w:sz w:val="28"/>
          <w:szCs w:val="28"/>
        </w:rPr>
        <w:t>”功能空间</w:t>
      </w:r>
      <w:r>
        <w:rPr>
          <w:rFonts w:hAnsi="宋体"/>
          <w:sz w:val="28"/>
          <w:szCs w:val="28"/>
        </w:rPr>
        <w:t>，即</w:t>
      </w:r>
      <w:r>
        <w:rPr>
          <w:rFonts w:hint="eastAsia" w:hAnsi="宋体"/>
          <w:sz w:val="28"/>
          <w:szCs w:val="28"/>
        </w:rPr>
        <w:t>规划7个城市职能空间和11个旅游职能空间。</w:t>
      </w:r>
    </w:p>
    <w:p w14:paraId="5D7AE0D2">
      <w:pPr>
        <w:autoSpaceDE w:val="0"/>
        <w:autoSpaceDN w:val="0"/>
        <w:adjustRightInd w:val="0"/>
        <w:spacing w:line="680" w:lineRule="exact"/>
        <w:ind w:firstLine="560" w:firstLineChars="200"/>
        <w:rPr>
          <w:rFonts w:hint="eastAsia" w:hAnsi="宋体"/>
          <w:sz w:val="28"/>
          <w:szCs w:val="28"/>
        </w:rPr>
      </w:pPr>
      <w:r>
        <w:rPr>
          <w:rFonts w:hint="eastAsia" w:hAnsi="宋体"/>
          <w:sz w:val="28"/>
          <w:szCs w:val="28"/>
        </w:rPr>
        <w:t>岷江东岸片区在新修改的总规中处于乐山世界旅游目的地核心圈，属于11个旅游职能空间之一：嘉州长卷文化休闲禅修康养板块。该旅游板块主要职能为滨水休闲、禅修康养、佛文化旅游。</w:t>
      </w:r>
    </w:p>
    <w:p w14:paraId="62D8DE5F">
      <w:pPr>
        <w:autoSpaceDE w:val="0"/>
        <w:autoSpaceDN w:val="0"/>
        <w:adjustRightInd w:val="0"/>
        <w:spacing w:line="680" w:lineRule="exact"/>
        <w:ind w:firstLine="562" w:firstLineChars="200"/>
        <w:jc w:val="left"/>
        <w:rPr>
          <w:rFonts w:hint="eastAsia" w:hAnsi="宋体"/>
          <w:b/>
          <w:sz w:val="28"/>
          <w:szCs w:val="28"/>
        </w:rPr>
      </w:pPr>
      <w:r>
        <w:rPr>
          <w:rFonts w:hint="eastAsia" w:hAnsi="宋体"/>
          <w:b/>
          <w:sz w:val="28"/>
          <w:szCs w:val="28"/>
        </w:rPr>
        <w:t>（二）乐山大佛风景名胜区总体规划</w:t>
      </w:r>
      <w:r>
        <w:rPr>
          <w:rFonts w:hAnsi="宋体"/>
          <w:b/>
          <w:sz w:val="28"/>
          <w:szCs w:val="28"/>
        </w:rPr>
        <w:t>（20</w:t>
      </w:r>
      <w:r>
        <w:rPr>
          <w:rFonts w:hint="eastAsia" w:hAnsi="宋体"/>
          <w:b/>
          <w:sz w:val="28"/>
          <w:szCs w:val="28"/>
        </w:rPr>
        <w:t>1</w:t>
      </w:r>
      <w:r>
        <w:rPr>
          <w:rFonts w:hAnsi="宋体"/>
          <w:b/>
          <w:sz w:val="28"/>
          <w:szCs w:val="28"/>
        </w:rPr>
        <w:t>8-20</w:t>
      </w:r>
      <w:r>
        <w:rPr>
          <w:rFonts w:hint="eastAsia" w:hAnsi="宋体"/>
          <w:b/>
          <w:sz w:val="28"/>
          <w:szCs w:val="28"/>
        </w:rPr>
        <w:t>35</w:t>
      </w:r>
      <w:r>
        <w:rPr>
          <w:rFonts w:hAnsi="宋体"/>
          <w:b/>
          <w:sz w:val="28"/>
          <w:szCs w:val="28"/>
        </w:rPr>
        <w:t>年）</w:t>
      </w:r>
    </w:p>
    <w:p w14:paraId="6E3A034D">
      <w:pPr>
        <w:autoSpaceDE w:val="0"/>
        <w:autoSpaceDN w:val="0"/>
        <w:adjustRightInd w:val="0"/>
        <w:spacing w:line="680" w:lineRule="exact"/>
        <w:ind w:firstLine="560" w:firstLineChars="200"/>
        <w:rPr>
          <w:rFonts w:hint="eastAsia" w:hAnsi="宋体"/>
          <w:sz w:val="28"/>
          <w:szCs w:val="28"/>
        </w:rPr>
      </w:pPr>
      <w:r>
        <w:rPr>
          <w:rFonts w:hint="eastAsia" w:hAnsi="宋体"/>
          <w:sz w:val="28"/>
          <w:szCs w:val="28"/>
        </w:rPr>
        <w:t>2018年版《乐山大佛风景名胜区总体规划》对大佛风景范围、保护分区、建设控制管理、生态环境保护作出了进一步调整优化，适应当前景区保护与发展的实际需求。</w:t>
      </w:r>
    </w:p>
    <w:p w14:paraId="52180504">
      <w:pPr>
        <w:autoSpaceDE w:val="0"/>
        <w:autoSpaceDN w:val="0"/>
        <w:adjustRightInd w:val="0"/>
        <w:spacing w:line="680" w:lineRule="exact"/>
        <w:ind w:firstLine="560" w:firstLineChars="200"/>
        <w:rPr>
          <w:rFonts w:hAnsi="宋体"/>
          <w:sz w:val="28"/>
          <w:szCs w:val="28"/>
        </w:rPr>
      </w:pPr>
      <w:r>
        <w:rPr>
          <w:rFonts w:hint="eastAsia" w:hAnsi="宋体"/>
          <w:sz w:val="28"/>
          <w:szCs w:val="28"/>
        </w:rPr>
        <w:t>《规划》确定风景区东侧边界以国道348线西侧为界，向西沿连接线至岷江大桥南侧，再沿岷江西岸线至肖公嘴外侧，再沿大渡河北岸向西至肖坝大渡河大桥东侧，然后向东南沿乐沙大道外侧至惠安东路，再向东南沿迎宾大道，再向东沿现状水渠南侧至岷江，然后跨岷江至国道348线闭合，总面积18.46平方公里。乐山大佛风景名胜区是以“天下第一大佛”的弥勒道场著称，以石窟造像、遗址遗迹、寺庙建筑、江河汇流、山林田园为突出风景资源特征，具有文化访古、风景游赏、休闲体验、城市公园等功能的历史圣地类国家级风景名胜区，世界文化和自然混合遗产。风景区划分为一级、二级、三级保护区</w:t>
      </w:r>
      <w:r>
        <w:rPr>
          <w:rFonts w:hAnsi="宋体"/>
          <w:sz w:val="28"/>
          <w:szCs w:val="28"/>
        </w:rPr>
        <w:t>三个层次，实施分级控制保护</w:t>
      </w:r>
      <w:r>
        <w:rPr>
          <w:rFonts w:hint="eastAsia" w:hAnsi="宋体"/>
          <w:sz w:val="28"/>
          <w:szCs w:val="28"/>
        </w:rPr>
        <w:t>，严格控制景区内各项设施建设。</w:t>
      </w:r>
    </w:p>
    <w:p w14:paraId="0E4D24BE">
      <w:pPr>
        <w:autoSpaceDE w:val="0"/>
        <w:autoSpaceDN w:val="0"/>
        <w:adjustRightInd w:val="0"/>
        <w:spacing w:line="680" w:lineRule="exact"/>
        <w:ind w:firstLine="560" w:firstLineChars="200"/>
        <w:rPr>
          <w:rFonts w:hAnsi="宋体"/>
          <w:sz w:val="28"/>
          <w:szCs w:val="28"/>
        </w:rPr>
      </w:pPr>
      <w:r>
        <w:rPr>
          <w:rFonts w:hint="eastAsia" w:hAnsi="宋体"/>
          <w:sz w:val="28"/>
          <w:szCs w:val="28"/>
        </w:rPr>
        <w:t>岷江东岸片区处于乐山大佛风景名胜区北侧，与景区紧密相连，在片区发展中应与风景区建设相协调，重点做好道路交通、旅游配套服务设施、居民安置等方面的相互协调，与景区形成良性互动发展，实现景城一体。</w:t>
      </w:r>
    </w:p>
    <w:p w14:paraId="20A7BF3D">
      <w:pPr>
        <w:pStyle w:val="4"/>
        <w:spacing w:line="680" w:lineRule="exact"/>
        <w:rPr>
          <w:rFonts w:ascii="黑体" w:eastAsia="黑体"/>
        </w:rPr>
      </w:pPr>
      <w:bookmarkStart w:id="14" w:name="_Toc6394559"/>
      <w:r>
        <w:rPr>
          <w:rFonts w:hint="eastAsia" w:ascii="黑体" w:eastAsia="黑体"/>
        </w:rPr>
        <w:t>三、上版规划要点及实施评价</w:t>
      </w:r>
      <w:bookmarkEnd w:id="14"/>
    </w:p>
    <w:p w14:paraId="2A92DEEF">
      <w:pPr>
        <w:autoSpaceDE w:val="0"/>
        <w:autoSpaceDN w:val="0"/>
        <w:adjustRightInd w:val="0"/>
        <w:spacing w:line="680" w:lineRule="exact"/>
        <w:ind w:firstLine="562" w:firstLineChars="200"/>
        <w:rPr>
          <w:rFonts w:hAnsi="宋体"/>
          <w:b/>
          <w:sz w:val="28"/>
          <w:szCs w:val="28"/>
        </w:rPr>
      </w:pPr>
      <w:r>
        <w:rPr>
          <w:rFonts w:hint="eastAsia" w:hAnsi="宋体"/>
          <w:b/>
          <w:sz w:val="28"/>
          <w:szCs w:val="28"/>
        </w:rPr>
        <w:t>（一）上版控规要点</w:t>
      </w:r>
    </w:p>
    <w:p w14:paraId="79D4D74C">
      <w:pPr>
        <w:autoSpaceDE w:val="0"/>
        <w:autoSpaceDN w:val="0"/>
        <w:adjustRightInd w:val="0"/>
        <w:spacing w:line="680" w:lineRule="exact"/>
        <w:ind w:firstLine="560" w:firstLineChars="200"/>
        <w:rPr>
          <w:rFonts w:hint="eastAsia" w:hAnsi="宋体"/>
          <w:sz w:val="28"/>
          <w:szCs w:val="28"/>
        </w:rPr>
      </w:pPr>
      <w:r>
        <w:rPr>
          <w:rFonts w:hint="eastAsia" w:hAnsi="宋体"/>
          <w:sz w:val="28"/>
          <w:szCs w:val="28"/>
        </w:rPr>
        <w:t>岷江东岸片区上版控制性详细规划于2011年批准并实施。 规划要点如下：</w:t>
      </w:r>
    </w:p>
    <w:p w14:paraId="3F760F15">
      <w:pPr>
        <w:autoSpaceDE w:val="0"/>
        <w:autoSpaceDN w:val="0"/>
        <w:adjustRightInd w:val="0"/>
        <w:spacing w:line="680" w:lineRule="exact"/>
        <w:ind w:firstLine="560" w:firstLineChars="200"/>
        <w:rPr>
          <w:rFonts w:hAnsi="宋体"/>
          <w:sz w:val="28"/>
          <w:szCs w:val="28"/>
        </w:rPr>
      </w:pPr>
      <w:r>
        <w:rPr>
          <w:rFonts w:hint="eastAsia" w:hAnsi="宋体"/>
          <w:sz w:val="28"/>
          <w:szCs w:val="28"/>
        </w:rPr>
        <w:t>1、功能定位</w:t>
      </w:r>
    </w:p>
    <w:p w14:paraId="672EC663">
      <w:pPr>
        <w:spacing w:line="660" w:lineRule="exact"/>
        <w:ind w:firstLine="560" w:firstLineChars="200"/>
        <w:rPr>
          <w:rFonts w:hint="eastAsia" w:hAnsi="宋体"/>
          <w:sz w:val="28"/>
          <w:szCs w:val="28"/>
        </w:rPr>
      </w:pPr>
      <w:r>
        <w:rPr>
          <w:rFonts w:hint="eastAsia" w:hAnsi="宋体"/>
          <w:sz w:val="28"/>
          <w:szCs w:val="28"/>
        </w:rPr>
        <w:t>乐山市城市近期发展的重点区域，以旅游、商业服务、生态居住为主的山水田园城市居住综合新区。</w:t>
      </w:r>
    </w:p>
    <w:p w14:paraId="2DB1944B">
      <w:pPr>
        <w:spacing w:line="660" w:lineRule="exact"/>
        <w:ind w:firstLine="560" w:firstLineChars="200"/>
        <w:rPr>
          <w:rFonts w:hint="eastAsia" w:hAnsi="宋体"/>
          <w:sz w:val="28"/>
          <w:szCs w:val="28"/>
        </w:rPr>
      </w:pPr>
      <w:r>
        <w:rPr>
          <w:rFonts w:hint="eastAsia" w:hAnsi="宋体"/>
          <w:sz w:val="28"/>
          <w:szCs w:val="28"/>
        </w:rPr>
        <w:t>2、规划范围及规模</w:t>
      </w:r>
    </w:p>
    <w:p w14:paraId="6A04622F">
      <w:pPr>
        <w:spacing w:line="660" w:lineRule="exact"/>
        <w:ind w:firstLine="560" w:firstLineChars="200"/>
        <w:rPr>
          <w:rFonts w:hint="eastAsia" w:hAnsi="宋体"/>
          <w:sz w:val="28"/>
          <w:szCs w:val="28"/>
        </w:rPr>
      </w:pPr>
      <w:r>
        <w:rPr>
          <w:rFonts w:hint="eastAsia" w:hAnsi="宋体"/>
          <w:sz w:val="28"/>
          <w:szCs w:val="28"/>
        </w:rPr>
        <w:t>（1）用地范围及规模  乐山市岷江东岸片区规划范围东至国道348线、南至岷江大桥与348线的连接线，西至岷江，北至佛光路。规划总用地面积624.61公顷。</w:t>
      </w:r>
    </w:p>
    <w:p w14:paraId="37A03BAA">
      <w:pPr>
        <w:spacing w:line="640" w:lineRule="exact"/>
        <w:ind w:firstLine="560" w:firstLineChars="200"/>
        <w:rPr>
          <w:rFonts w:hint="eastAsia" w:hAnsi="宋体"/>
          <w:sz w:val="28"/>
          <w:szCs w:val="28"/>
        </w:rPr>
      </w:pPr>
      <w:r>
        <w:rPr>
          <w:rFonts w:hint="eastAsia" w:hAnsi="宋体"/>
          <w:sz w:val="28"/>
          <w:szCs w:val="28"/>
        </w:rPr>
        <w:t>（2）人口规模  规划居住人口3万人，人均居住用地31.3㎡/人。</w:t>
      </w:r>
    </w:p>
    <w:p w14:paraId="43D1D98C">
      <w:pPr>
        <w:autoSpaceDE w:val="0"/>
        <w:autoSpaceDN w:val="0"/>
        <w:adjustRightInd w:val="0"/>
        <w:spacing w:line="640" w:lineRule="exact"/>
        <w:ind w:firstLine="560" w:firstLineChars="200"/>
        <w:rPr>
          <w:rFonts w:hint="eastAsia" w:hAnsi="宋体"/>
          <w:sz w:val="28"/>
          <w:szCs w:val="28"/>
        </w:rPr>
      </w:pPr>
      <w:r>
        <w:rPr>
          <w:rFonts w:hint="eastAsia" w:hAnsi="宋体"/>
          <w:sz w:val="28"/>
          <w:szCs w:val="28"/>
        </w:rPr>
        <w:t>3、空间布局结构</w:t>
      </w:r>
    </w:p>
    <w:p w14:paraId="3140C719">
      <w:pPr>
        <w:spacing w:line="640" w:lineRule="exact"/>
        <w:ind w:firstLine="560" w:firstLineChars="200"/>
        <w:rPr>
          <w:rFonts w:hint="eastAsia" w:hAnsi="宋体"/>
          <w:sz w:val="28"/>
          <w:szCs w:val="28"/>
        </w:rPr>
      </w:pPr>
      <w:r>
        <w:rPr>
          <w:rFonts w:hint="eastAsia" w:hAnsi="宋体"/>
          <w:sz w:val="28"/>
          <w:szCs w:val="28"/>
        </w:rPr>
        <w:t>根据片区功能定位及自然生态特征，规划岷江东岸片区形成“一轴，两心、两区”的结构形式。“一轴”指贯穿片区南北的滨江景观大道——碧山路，是片区的发展主轴，同时也是片区重要的景观主轴；“两心”指位于岷江大桥、岷江二桥桥头附近的两个商业服务中心节点；“两区”指沿碧山路滨江景观大道东侧形成的两个居住小区。</w:t>
      </w:r>
    </w:p>
    <w:p w14:paraId="52F411DC">
      <w:pPr>
        <w:autoSpaceDE w:val="0"/>
        <w:autoSpaceDN w:val="0"/>
        <w:adjustRightInd w:val="0"/>
        <w:spacing w:line="640" w:lineRule="exact"/>
        <w:ind w:firstLine="562" w:firstLineChars="200"/>
        <w:rPr>
          <w:rFonts w:hAnsi="宋体"/>
          <w:b/>
          <w:sz w:val="28"/>
          <w:szCs w:val="28"/>
        </w:rPr>
      </w:pPr>
      <w:r>
        <w:rPr>
          <w:rFonts w:hint="eastAsia" w:hAnsi="宋体"/>
          <w:b/>
          <w:sz w:val="28"/>
          <w:szCs w:val="28"/>
        </w:rPr>
        <w:t>（二）规划实施评价</w:t>
      </w:r>
    </w:p>
    <w:p w14:paraId="7071B068">
      <w:pPr>
        <w:autoSpaceDE w:val="0"/>
        <w:autoSpaceDN w:val="0"/>
        <w:adjustRightInd w:val="0"/>
        <w:spacing w:line="640" w:lineRule="exact"/>
        <w:ind w:firstLine="560" w:firstLineChars="200"/>
        <w:rPr>
          <w:rFonts w:hint="eastAsia" w:hAnsi="宋体"/>
          <w:sz w:val="28"/>
          <w:szCs w:val="28"/>
        </w:rPr>
      </w:pPr>
      <w:r>
        <w:rPr>
          <w:rFonts w:hint="eastAsia" w:hAnsi="宋体"/>
          <w:sz w:val="28"/>
          <w:szCs w:val="28"/>
        </w:rPr>
        <w:t>上版控规经批准实施后，对岷江东岸片区发展建设起到了较好地的指导和管控作用。从开发建设的整体情况来看，片区发展主要集中在西部临江区域，而其他区域多为空白，保持现状，大量村民集体建设用地和多处存量国有建设用地未得到盘活利用。在区域配套服务设施上，旅游交通服务设施有较大提升，在乐山大佛风景区北大门入口区域新建了多处停车场，为景区停车服务提供了有效补充，但在区域的商业购物、餐饮住宿、休闲娱乐、教育卫生等公共设施配套方面确略显不足。在居住空间环境方面，片区西北临江区域楼盘开发强度过大，居住环境不太理想，同时，建筑高度过高，对区域城市天际线有一定的破坏。在区域生态景观环境方面，总体上有较大的改观，特别是乐山大佛风景区北大门周边环境通过天街项目的建设得到了很大的改善，但其他区域生态景观环境还有待提升。</w:t>
      </w:r>
    </w:p>
    <w:p w14:paraId="28858728">
      <w:pPr>
        <w:autoSpaceDE w:val="0"/>
        <w:autoSpaceDN w:val="0"/>
        <w:adjustRightInd w:val="0"/>
        <w:spacing w:line="640" w:lineRule="exact"/>
        <w:ind w:firstLine="560" w:firstLineChars="200"/>
        <w:rPr>
          <w:rFonts w:hint="eastAsia" w:hAnsi="宋体"/>
          <w:sz w:val="28"/>
          <w:szCs w:val="28"/>
        </w:rPr>
      </w:pPr>
      <w:r>
        <w:rPr>
          <w:rFonts w:hint="eastAsia" w:hAnsi="宋体"/>
          <w:sz w:val="28"/>
          <w:szCs w:val="28"/>
        </w:rPr>
        <w:t>从规划实施的具体情况分析来看，上版规划对区域空间发展引导、存量土地利用以及城市生态环境控制方面有一定的欠缺。在本次规划中应加强弥补以上各方面的工作不足。</w:t>
      </w:r>
    </w:p>
    <w:p w14:paraId="1DE0F162">
      <w:pPr>
        <w:autoSpaceDE w:val="0"/>
        <w:autoSpaceDN w:val="0"/>
        <w:adjustRightInd w:val="0"/>
        <w:spacing w:line="640" w:lineRule="exact"/>
        <w:ind w:firstLine="560" w:firstLineChars="200"/>
        <w:rPr>
          <w:rFonts w:hint="eastAsia" w:hAnsi="宋体"/>
          <w:sz w:val="28"/>
          <w:szCs w:val="28"/>
        </w:rPr>
      </w:pPr>
    </w:p>
    <w:p w14:paraId="2E4A0AD0">
      <w:pPr>
        <w:pStyle w:val="3"/>
        <w:spacing w:line="660" w:lineRule="exact"/>
        <w:jc w:val="center"/>
        <w:rPr>
          <w:sz w:val="36"/>
          <w:szCs w:val="36"/>
        </w:rPr>
      </w:pPr>
      <w:bookmarkStart w:id="15" w:name="_Toc166388171"/>
      <w:bookmarkStart w:id="16" w:name="_Toc168711165"/>
      <w:bookmarkStart w:id="17" w:name="_Toc410292455"/>
      <w:bookmarkStart w:id="18" w:name="_Toc6394560"/>
      <w:r>
        <w:rPr>
          <w:rFonts w:hint="eastAsia"/>
          <w:sz w:val="36"/>
          <w:szCs w:val="36"/>
        </w:rPr>
        <w:t>第二章</w:t>
      </w:r>
      <w:bookmarkEnd w:id="15"/>
      <w:r>
        <w:rPr>
          <w:rFonts w:hint="eastAsia"/>
          <w:sz w:val="36"/>
          <w:szCs w:val="36"/>
        </w:rPr>
        <w:t xml:space="preserve"> 现状</w:t>
      </w:r>
      <w:bookmarkEnd w:id="16"/>
      <w:bookmarkEnd w:id="17"/>
      <w:r>
        <w:rPr>
          <w:rFonts w:hint="eastAsia"/>
          <w:sz w:val="36"/>
          <w:szCs w:val="36"/>
        </w:rPr>
        <w:t>分析</w:t>
      </w:r>
      <w:bookmarkEnd w:id="18"/>
    </w:p>
    <w:p w14:paraId="570BFEB3">
      <w:pPr>
        <w:pStyle w:val="4"/>
        <w:spacing w:line="680" w:lineRule="exact"/>
        <w:rPr>
          <w:rFonts w:ascii="黑体" w:eastAsia="黑体"/>
        </w:rPr>
      </w:pPr>
      <w:bookmarkStart w:id="19" w:name="_Toc6394561"/>
      <w:r>
        <w:rPr>
          <w:rFonts w:hint="eastAsia" w:ascii="黑体" w:eastAsia="黑体"/>
        </w:rPr>
        <w:t>一、地理区位</w:t>
      </w:r>
      <w:bookmarkEnd w:id="19"/>
    </w:p>
    <w:p w14:paraId="49652F86">
      <w:pPr>
        <w:spacing w:line="680" w:lineRule="exact"/>
        <w:ind w:firstLine="560" w:firstLineChars="200"/>
        <w:rPr>
          <w:rFonts w:hint="eastAsia" w:ascii="宋体" w:hAnsi="宋体"/>
          <w:bCs/>
          <w:sz w:val="28"/>
          <w:szCs w:val="28"/>
        </w:rPr>
      </w:pPr>
      <w:r>
        <w:rPr>
          <w:rFonts w:hint="eastAsia" w:ascii="宋体" w:hAnsi="宋体"/>
          <w:bCs/>
          <w:sz w:val="28"/>
          <w:szCs w:val="28"/>
        </w:rPr>
        <w:t>岷江东岸片区位于乐山市中心城区东部，岷江东岸，东至国道348线,南至山龙路，与乐山大佛风景名胜区紧密相连，西至岷江，北至佛光路。规划用地沿岷江东岸呈不规则的带状。本次岷江东岸片区规划用地面积为</w:t>
      </w:r>
      <w:r>
        <w:rPr>
          <w:rFonts w:ascii="宋体" w:hAnsi="宋体"/>
          <w:bCs/>
          <w:sz w:val="28"/>
          <w:szCs w:val="28"/>
        </w:rPr>
        <w:t>659.58</w:t>
      </w:r>
      <w:r>
        <w:rPr>
          <w:rFonts w:hint="eastAsia" w:ascii="宋体" w:hAnsi="宋体"/>
          <w:bCs/>
          <w:sz w:val="28"/>
          <w:szCs w:val="28"/>
        </w:rPr>
        <w:t>公顷。</w:t>
      </w:r>
    </w:p>
    <w:p w14:paraId="36F347DE">
      <w:pPr>
        <w:spacing w:line="680" w:lineRule="exact"/>
        <w:ind w:firstLine="560" w:firstLineChars="200"/>
        <w:rPr>
          <w:rFonts w:hint="eastAsia" w:ascii="宋体" w:hAnsi="宋体"/>
          <w:bCs/>
          <w:sz w:val="28"/>
          <w:szCs w:val="28"/>
        </w:rPr>
      </w:pPr>
      <w:r>
        <w:rPr>
          <w:rFonts w:hint="eastAsia" w:ascii="宋体" w:hAnsi="宋体"/>
          <w:bCs/>
          <w:sz w:val="28"/>
          <w:szCs w:val="28"/>
        </w:rPr>
        <w:t>岷江东岸片区处于乐山大佛风景名胜区北大门，是城区与景区的过渡地带，区位条件优越，背山面水，植被茂密，近可观对岸日新月异的主城区，远可眺城市之肺——绿心，景观环境极佳，是乐山中心城区的一块风水宝地。</w:t>
      </w:r>
    </w:p>
    <w:p w14:paraId="1B97C5EC">
      <w:pPr>
        <w:pStyle w:val="4"/>
        <w:spacing w:line="680" w:lineRule="exact"/>
        <w:rPr>
          <w:rFonts w:ascii="黑体" w:eastAsia="黑体"/>
        </w:rPr>
      </w:pPr>
      <w:bookmarkStart w:id="20" w:name="_Toc6394562"/>
      <w:bookmarkStart w:id="21" w:name="_Toc168711167"/>
      <w:r>
        <w:rPr>
          <w:rFonts w:hint="eastAsia" w:ascii="黑体" w:eastAsia="黑体"/>
        </w:rPr>
        <w:t>二、自然条件</w:t>
      </w:r>
      <w:bookmarkEnd w:id="20"/>
    </w:p>
    <w:bookmarkEnd w:id="21"/>
    <w:p w14:paraId="64868F96">
      <w:pPr>
        <w:spacing w:line="680" w:lineRule="exact"/>
        <w:ind w:firstLine="562" w:firstLineChars="200"/>
        <w:rPr>
          <w:rFonts w:hint="eastAsia" w:ascii="宋体" w:hAnsi="宋体"/>
          <w:b/>
          <w:sz w:val="28"/>
          <w:szCs w:val="28"/>
        </w:rPr>
      </w:pPr>
      <w:r>
        <w:rPr>
          <w:rFonts w:hint="eastAsia" w:ascii="宋体" w:hAnsi="宋体"/>
          <w:b/>
          <w:sz w:val="28"/>
          <w:szCs w:val="28"/>
        </w:rPr>
        <w:t>（一）地形地貌</w:t>
      </w:r>
    </w:p>
    <w:p w14:paraId="1DD6B872">
      <w:pPr>
        <w:spacing w:line="660" w:lineRule="exact"/>
        <w:ind w:firstLine="560" w:firstLineChars="200"/>
        <w:rPr>
          <w:rFonts w:ascii="宋体" w:hAnsi="宋体"/>
          <w:sz w:val="28"/>
          <w:szCs w:val="28"/>
        </w:rPr>
      </w:pPr>
      <w:r>
        <w:rPr>
          <w:rFonts w:hint="eastAsia" w:ascii="宋体" w:hAnsi="宋体"/>
          <w:sz w:val="28"/>
          <w:szCs w:val="28"/>
        </w:rPr>
        <w:t>规划区位于岷江东岸，乐山大佛风景区以北，佛光路以南，用地呈不规则的带状，南北长约3.8公里，东西宽1000-1500米不等，规划区用地属丘陵地貌，地势相对高差约40～50</w:t>
      </w:r>
      <w:r>
        <w:rPr>
          <w:rFonts w:ascii="宋体" w:hAnsi="宋体"/>
          <w:sz w:val="28"/>
          <w:szCs w:val="28"/>
        </w:rPr>
        <w:t>m</w:t>
      </w:r>
      <w:r>
        <w:rPr>
          <w:rFonts w:hint="eastAsia" w:ascii="宋体" w:hAnsi="宋体"/>
          <w:sz w:val="28"/>
          <w:szCs w:val="28"/>
        </w:rPr>
        <w:t xml:space="preserve">。整个地势呈东北高，西南低的地势，大部分区域为自然山体或缓坡，山体面积占规划总面积的52.3%。 规划区内的制高点为南部的磨儿山，海拔高程442m。南部岷江河滩处为最低点，海拔高程360m。 </w:t>
      </w:r>
    </w:p>
    <w:p w14:paraId="43D32A5B">
      <w:pPr>
        <w:spacing w:line="680" w:lineRule="exact"/>
        <w:ind w:firstLine="562" w:firstLineChars="200"/>
        <w:rPr>
          <w:rFonts w:hint="eastAsia" w:ascii="宋体" w:hAnsi="宋体"/>
          <w:b/>
          <w:sz w:val="28"/>
          <w:szCs w:val="28"/>
        </w:rPr>
      </w:pPr>
      <w:r>
        <w:rPr>
          <w:rFonts w:hint="eastAsia" w:ascii="宋体" w:hAnsi="宋体"/>
          <w:b/>
          <w:sz w:val="28"/>
          <w:szCs w:val="28"/>
        </w:rPr>
        <w:t>（二）工程地质及地震</w:t>
      </w:r>
    </w:p>
    <w:p w14:paraId="112B30E4">
      <w:pPr>
        <w:spacing w:line="680" w:lineRule="exact"/>
        <w:ind w:firstLine="560" w:firstLineChars="200"/>
        <w:rPr>
          <w:rFonts w:hint="eastAsia" w:ascii="宋体" w:hAnsi="宋体"/>
          <w:sz w:val="28"/>
          <w:szCs w:val="28"/>
        </w:rPr>
      </w:pPr>
      <w:r>
        <w:rPr>
          <w:rFonts w:hint="eastAsia" w:ascii="宋体" w:hAnsi="宋体"/>
          <w:sz w:val="28"/>
          <w:szCs w:val="28"/>
        </w:rPr>
        <w:t>岷江东岸片区大面积为第四系更新统，下部为砾石层，上部为褐黄色亚粘土。区内无大的断裂通过，初步探明该区域无不良地质，适宜各类工程建设。地震方面，乐山市位于地震活动强烈的南北地震带中南段的东缘，是多发地震区。岷江东岸片区抗震设防烈度为</w:t>
      </w:r>
      <w:r>
        <w:rPr>
          <w:rFonts w:ascii="宋体" w:hAnsi="宋体"/>
          <w:sz w:val="28"/>
          <w:szCs w:val="28"/>
        </w:rPr>
        <w:t>7</w:t>
      </w:r>
      <w:r>
        <w:rPr>
          <w:rFonts w:hint="eastAsia" w:ascii="宋体" w:hAnsi="宋体"/>
          <w:sz w:val="28"/>
          <w:szCs w:val="28"/>
        </w:rPr>
        <w:t>度。</w:t>
      </w:r>
    </w:p>
    <w:p w14:paraId="2FD4442C">
      <w:pPr>
        <w:spacing w:line="680" w:lineRule="exact"/>
        <w:ind w:firstLine="562" w:firstLineChars="200"/>
        <w:rPr>
          <w:rFonts w:hint="eastAsia" w:ascii="宋体" w:hAnsi="宋体"/>
          <w:b/>
          <w:sz w:val="28"/>
          <w:szCs w:val="28"/>
        </w:rPr>
      </w:pPr>
      <w:r>
        <w:rPr>
          <w:rFonts w:hint="eastAsia" w:ascii="宋体" w:hAnsi="宋体"/>
          <w:b/>
          <w:sz w:val="28"/>
          <w:szCs w:val="28"/>
        </w:rPr>
        <w:t>（三）气候条件</w:t>
      </w:r>
    </w:p>
    <w:p w14:paraId="097BCD87">
      <w:pPr>
        <w:spacing w:line="680" w:lineRule="exact"/>
        <w:ind w:firstLine="560" w:firstLineChars="200"/>
        <w:rPr>
          <w:rFonts w:hint="eastAsia" w:ascii="宋体" w:hAnsi="宋体"/>
          <w:sz w:val="28"/>
          <w:szCs w:val="28"/>
        </w:rPr>
      </w:pPr>
      <w:r>
        <w:rPr>
          <w:rFonts w:hint="eastAsia" w:ascii="宋体" w:hAnsi="宋体"/>
          <w:sz w:val="28"/>
          <w:szCs w:val="28"/>
        </w:rPr>
        <w:t>乐山属中亚热带湿润气候带，四季分明，气候温和，雨量充沛，无霜期长；年平均气温在16.5--18℃之间，最冷月均气温</w:t>
      </w:r>
      <w:r>
        <w:rPr>
          <w:rFonts w:ascii="宋体" w:hAnsi="宋体"/>
          <w:sz w:val="28"/>
          <w:szCs w:val="28"/>
        </w:rPr>
        <w:t>6</w:t>
      </w:r>
      <w:r>
        <w:rPr>
          <w:rFonts w:hint="eastAsia" w:ascii="宋体" w:hAnsi="宋体"/>
          <w:sz w:val="28"/>
          <w:szCs w:val="28"/>
        </w:rPr>
        <w:t>—</w:t>
      </w:r>
      <w:r>
        <w:rPr>
          <w:rFonts w:ascii="宋体" w:hAnsi="宋体"/>
          <w:sz w:val="28"/>
          <w:szCs w:val="28"/>
        </w:rPr>
        <w:t>8</w:t>
      </w:r>
      <w:r>
        <w:rPr>
          <w:rFonts w:hint="eastAsia" w:ascii="宋体" w:hAnsi="宋体"/>
          <w:sz w:val="28"/>
          <w:szCs w:val="28"/>
        </w:rPr>
        <w:t>℃，平均日照时数为1178小时；相对湿度为81%；主导风向为偏北风。</w:t>
      </w:r>
    </w:p>
    <w:p w14:paraId="24CFB9F4">
      <w:pPr>
        <w:spacing w:line="680" w:lineRule="exact"/>
        <w:ind w:firstLine="562" w:firstLineChars="200"/>
        <w:rPr>
          <w:rFonts w:hint="eastAsia" w:ascii="宋体" w:hAnsi="宋体"/>
          <w:b/>
          <w:sz w:val="28"/>
          <w:szCs w:val="28"/>
        </w:rPr>
      </w:pPr>
      <w:r>
        <w:rPr>
          <w:rFonts w:hint="eastAsia" w:ascii="宋体" w:hAnsi="宋体"/>
          <w:b/>
          <w:sz w:val="28"/>
          <w:szCs w:val="28"/>
        </w:rPr>
        <w:t>（四）河流水系</w:t>
      </w:r>
    </w:p>
    <w:p w14:paraId="1A982EA0">
      <w:pPr>
        <w:spacing w:line="680" w:lineRule="exact"/>
        <w:ind w:firstLine="560" w:firstLineChars="200"/>
        <w:rPr>
          <w:rFonts w:hint="eastAsia" w:ascii="宋体" w:hAnsi="宋体"/>
          <w:sz w:val="28"/>
          <w:szCs w:val="28"/>
        </w:rPr>
      </w:pPr>
      <w:r>
        <w:rPr>
          <w:rFonts w:hint="eastAsia" w:ascii="宋体" w:hAnsi="宋体"/>
          <w:sz w:val="28"/>
          <w:szCs w:val="28"/>
        </w:rPr>
        <w:t>岷江东岸片区西临岷江，用地内有泥溪河和3条无名小溪流穿过，其水量均较小。用地内有胜利水库、碧山湖等多处水面。用地以西临江一侧有部分用地有淹没现象，其他用地均无淹没现象。</w:t>
      </w:r>
    </w:p>
    <w:p w14:paraId="7918B006">
      <w:pPr>
        <w:pStyle w:val="4"/>
        <w:spacing w:line="660" w:lineRule="exact"/>
        <w:rPr>
          <w:rFonts w:ascii="黑体" w:eastAsia="黑体"/>
        </w:rPr>
      </w:pPr>
      <w:bookmarkStart w:id="22" w:name="_Toc6394563"/>
      <w:r>
        <w:rPr>
          <w:rFonts w:hint="eastAsia" w:ascii="黑体" w:eastAsia="黑体"/>
        </w:rPr>
        <w:t>三、发展概况</w:t>
      </w:r>
      <w:bookmarkEnd w:id="22"/>
      <w:r>
        <w:rPr>
          <w:rFonts w:hint="eastAsia" w:ascii="黑体" w:eastAsia="黑体"/>
        </w:rPr>
        <w:t xml:space="preserve"> </w:t>
      </w:r>
    </w:p>
    <w:p w14:paraId="7F4B7889">
      <w:pPr>
        <w:spacing w:line="680" w:lineRule="exact"/>
        <w:ind w:firstLine="560" w:firstLineChars="200"/>
        <w:rPr>
          <w:rFonts w:hint="eastAsia" w:ascii="宋体" w:hAnsi="宋体"/>
          <w:sz w:val="28"/>
          <w:szCs w:val="28"/>
        </w:rPr>
      </w:pPr>
      <w:r>
        <w:rPr>
          <w:rFonts w:hint="eastAsia" w:ascii="宋体" w:hAnsi="宋体"/>
          <w:sz w:val="28"/>
          <w:szCs w:val="28"/>
        </w:rPr>
        <w:t>岷江东岸片区由于紧邻乐山大佛景区，加之地形条件复杂，规划管理主要以控制为主。现状用地主要分布在碧山路和龙泓路两侧，以岷江二桥东桥头和岷江大桥东桥头用地较为紧凑。近年来国道348线、山龙路的相继建成，使得岷江东岸片区与西岸主城区联系更为紧密，交通区位条件得到极大改善，滨江区域开发积极，嘉州长卷天玺、天街等住宅、商业项目相继建成，滨水空间环境得到一定的改善。相对于滨江区的东部丘陵区域发展相对缓慢，村民发展意愿强烈，近年兴建有多处农家旅游点，作为大佛景区旅游资源的补充，但因建设无序，设施简陋，各自为阵，发展成效不尽人意。同时，因村民无序的建设，区域生态环境遭到一定破坏，亟待进行环境整治。</w:t>
      </w:r>
    </w:p>
    <w:p w14:paraId="715C5857">
      <w:pPr>
        <w:pStyle w:val="4"/>
        <w:spacing w:line="660" w:lineRule="exact"/>
        <w:rPr>
          <w:rFonts w:ascii="黑体" w:eastAsia="黑体"/>
        </w:rPr>
      </w:pPr>
      <w:bookmarkStart w:id="23" w:name="_Toc6394564"/>
      <w:r>
        <w:rPr>
          <w:rFonts w:hint="eastAsia" w:ascii="黑体" w:eastAsia="黑体"/>
        </w:rPr>
        <w:t>四、社区</w:t>
      </w:r>
      <w:r>
        <w:rPr>
          <w:rFonts w:ascii="黑体" w:eastAsia="黑体"/>
        </w:rPr>
        <w:t>人口</w:t>
      </w:r>
      <w:r>
        <w:rPr>
          <w:rFonts w:hint="eastAsia" w:ascii="黑体" w:eastAsia="黑体"/>
        </w:rPr>
        <w:t>与分布</w:t>
      </w:r>
      <w:bookmarkEnd w:id="23"/>
    </w:p>
    <w:p w14:paraId="6521C37A">
      <w:pPr>
        <w:spacing w:line="660" w:lineRule="exact"/>
        <w:ind w:firstLine="560" w:firstLineChars="200"/>
        <w:rPr>
          <w:rFonts w:hint="eastAsia" w:ascii="宋体" w:hAnsi="宋体"/>
          <w:sz w:val="28"/>
          <w:szCs w:val="28"/>
        </w:rPr>
      </w:pPr>
      <w:r>
        <w:rPr>
          <w:rFonts w:hint="eastAsia" w:ascii="宋体" w:hAnsi="宋体"/>
          <w:sz w:val="28"/>
          <w:szCs w:val="28"/>
        </w:rPr>
        <w:t>在规划区范围内</w:t>
      </w:r>
      <w:r>
        <w:rPr>
          <w:rFonts w:hint="eastAsia" w:ascii="宋体" w:hAnsi="宋体"/>
          <w:sz w:val="28"/>
          <w:szCs w:val="28"/>
          <w:lang w:val="en-US" w:eastAsia="zh-CN"/>
        </w:rPr>
        <w:t>牵涉到</w:t>
      </w:r>
      <w:r>
        <w:rPr>
          <w:rFonts w:hint="eastAsia" w:ascii="宋体" w:hAnsi="宋体"/>
          <w:sz w:val="28"/>
          <w:szCs w:val="28"/>
        </w:rPr>
        <w:t>3个社区和3个行政村的用地，即大佛街道办事处碧山路社区、龙泓路社区；牟子镇翡翠社区；九峰镇棕桥村；全福镇台子村、夏沟村。规划区现状常住人口</w:t>
      </w:r>
      <w:r>
        <w:rPr>
          <w:rFonts w:ascii="宋体" w:hAnsi="宋体"/>
          <w:sz w:val="28"/>
          <w:szCs w:val="28"/>
        </w:rPr>
        <w:t>180</w:t>
      </w:r>
      <w:r>
        <w:rPr>
          <w:rFonts w:hint="eastAsia" w:ascii="宋体" w:hAnsi="宋体"/>
          <w:sz w:val="28"/>
          <w:szCs w:val="28"/>
        </w:rPr>
        <w:t>45人。</w:t>
      </w:r>
    </w:p>
    <w:p w14:paraId="34B17EBF">
      <w:pPr>
        <w:spacing w:line="660" w:lineRule="exact"/>
        <w:ind w:firstLine="560" w:firstLineChars="200"/>
        <w:jc w:val="center"/>
        <w:rPr>
          <w:rFonts w:ascii="黑体" w:eastAsia="黑体"/>
          <w:sz w:val="28"/>
          <w:szCs w:val="28"/>
        </w:rPr>
      </w:pPr>
      <w:r>
        <w:rPr>
          <w:rFonts w:hint="eastAsia" w:ascii="黑体" w:eastAsia="黑体"/>
          <w:sz w:val="28"/>
          <w:szCs w:val="28"/>
        </w:rPr>
        <w:t>现状社区及村庄人口统计表</w:t>
      </w:r>
    </w:p>
    <w:p w14:paraId="16F8A3FC">
      <w:pPr>
        <w:spacing w:line="400" w:lineRule="exact"/>
        <w:rPr>
          <w:rFonts w:ascii="宋体" w:hAnsi="宋体"/>
          <w:sz w:val="24"/>
        </w:rPr>
      </w:pPr>
      <w:r>
        <w:rPr>
          <w:rFonts w:hint="eastAsia" w:ascii="宋体" w:hAnsi="宋体"/>
          <w:sz w:val="24"/>
        </w:rPr>
        <w:t>表2-1</w:t>
      </w:r>
    </w:p>
    <w:tbl>
      <w:tblPr>
        <w:tblStyle w:val="40"/>
        <w:tblW w:w="5000" w:type="pct"/>
        <w:tblInd w:w="0" w:type="dxa"/>
        <w:tblLayout w:type="autofit"/>
        <w:tblCellMar>
          <w:top w:w="0" w:type="dxa"/>
          <w:left w:w="0" w:type="dxa"/>
          <w:bottom w:w="0" w:type="dxa"/>
          <w:right w:w="0" w:type="dxa"/>
        </w:tblCellMar>
      </w:tblPr>
      <w:tblGrid>
        <w:gridCol w:w="3319"/>
        <w:gridCol w:w="3319"/>
        <w:gridCol w:w="3318"/>
      </w:tblGrid>
      <w:tr w14:paraId="240595D3">
        <w:tblPrEx>
          <w:tblCellMar>
            <w:top w:w="0" w:type="dxa"/>
            <w:left w:w="0" w:type="dxa"/>
            <w:bottom w:w="0" w:type="dxa"/>
            <w:right w:w="0" w:type="dxa"/>
          </w:tblCellMar>
        </w:tblPrEx>
        <w:trPr>
          <w:trHeight w:val="261" w:hRule="atLeast"/>
        </w:trPr>
        <w:tc>
          <w:tcPr>
            <w:tcW w:w="1667" w:type="pct"/>
            <w:tcBorders>
              <w:top w:val="single" w:color="000000" w:sz="8" w:space="0"/>
              <w:left w:val="single" w:color="000000" w:sz="8" w:space="0"/>
              <w:bottom w:val="single" w:color="000000" w:sz="8" w:space="0"/>
              <w:right w:val="single" w:color="000000" w:sz="8" w:space="0"/>
            </w:tcBorders>
            <w:shd w:val="clear" w:color="auto" w:fill="D9D9D9"/>
            <w:noWrap w:val="0"/>
            <w:tcMar>
              <w:top w:w="14" w:type="dxa"/>
              <w:left w:w="100" w:type="dxa"/>
              <w:bottom w:w="0" w:type="dxa"/>
              <w:right w:w="100" w:type="dxa"/>
            </w:tcMar>
            <w:vAlign w:val="center"/>
          </w:tcPr>
          <w:p w14:paraId="449BDD99">
            <w:pPr>
              <w:spacing w:line="380" w:lineRule="exact"/>
              <w:ind w:firstLine="482" w:firstLineChars="200"/>
              <w:jc w:val="center"/>
              <w:rPr>
                <w:rFonts w:hAnsi="宋体"/>
                <w:b/>
                <w:sz w:val="24"/>
              </w:rPr>
            </w:pPr>
            <w:r>
              <w:rPr>
                <w:rFonts w:hint="eastAsia" w:hAnsi="宋体"/>
                <w:b/>
                <w:bCs/>
                <w:sz w:val="24"/>
              </w:rPr>
              <w:t>社区/行政村</w:t>
            </w:r>
          </w:p>
        </w:tc>
        <w:tc>
          <w:tcPr>
            <w:tcW w:w="1667" w:type="pct"/>
            <w:tcBorders>
              <w:top w:val="single" w:color="000000" w:sz="8" w:space="0"/>
              <w:left w:val="single" w:color="000000" w:sz="8" w:space="0"/>
              <w:bottom w:val="single" w:color="000000" w:sz="8" w:space="0"/>
              <w:right w:val="single" w:color="000000" w:sz="8" w:space="0"/>
            </w:tcBorders>
            <w:shd w:val="clear" w:color="auto" w:fill="D9D9D9"/>
            <w:noWrap w:val="0"/>
            <w:vAlign w:val="top"/>
          </w:tcPr>
          <w:p w14:paraId="07DC2286">
            <w:pPr>
              <w:spacing w:line="380" w:lineRule="exact"/>
              <w:ind w:firstLine="482" w:firstLineChars="200"/>
              <w:jc w:val="center"/>
              <w:rPr>
                <w:rFonts w:hint="eastAsia" w:hAnsi="宋体"/>
                <w:b/>
                <w:bCs/>
                <w:sz w:val="24"/>
              </w:rPr>
            </w:pPr>
            <w:r>
              <w:rPr>
                <w:rFonts w:hint="eastAsia" w:hAnsi="宋体"/>
                <w:b/>
                <w:bCs/>
                <w:sz w:val="24"/>
              </w:rPr>
              <w:t>所属乡镇/街道办</w:t>
            </w:r>
          </w:p>
        </w:tc>
        <w:tc>
          <w:tcPr>
            <w:tcW w:w="1666" w:type="pct"/>
            <w:tcBorders>
              <w:top w:val="single" w:color="000000" w:sz="8" w:space="0"/>
              <w:left w:val="single" w:color="000000" w:sz="8" w:space="0"/>
              <w:bottom w:val="single" w:color="000000" w:sz="8" w:space="0"/>
              <w:right w:val="single" w:color="000000" w:sz="8" w:space="0"/>
            </w:tcBorders>
            <w:shd w:val="clear" w:color="auto" w:fill="D9D9D9"/>
            <w:noWrap w:val="0"/>
            <w:vAlign w:val="top"/>
          </w:tcPr>
          <w:p w14:paraId="2DC76CC3">
            <w:pPr>
              <w:spacing w:line="380" w:lineRule="exact"/>
              <w:ind w:firstLine="482" w:firstLineChars="200"/>
              <w:jc w:val="center"/>
              <w:rPr>
                <w:rFonts w:hint="eastAsia" w:hAnsi="宋体"/>
                <w:b/>
                <w:bCs/>
                <w:sz w:val="24"/>
              </w:rPr>
            </w:pPr>
            <w:r>
              <w:rPr>
                <w:rFonts w:hint="eastAsia" w:hAnsi="宋体"/>
                <w:b/>
                <w:bCs/>
                <w:sz w:val="24"/>
              </w:rPr>
              <w:t>常住人口（人）</w:t>
            </w:r>
          </w:p>
        </w:tc>
      </w:tr>
      <w:tr w14:paraId="73B5A205">
        <w:tblPrEx>
          <w:tblCellMar>
            <w:top w:w="0" w:type="dxa"/>
            <w:left w:w="0" w:type="dxa"/>
            <w:bottom w:w="0" w:type="dxa"/>
            <w:right w:w="0" w:type="dxa"/>
          </w:tblCellMar>
        </w:tblPrEx>
        <w:trPr>
          <w:trHeight w:val="261" w:hRule="atLeast"/>
        </w:trPr>
        <w:tc>
          <w:tcPr>
            <w:tcW w:w="1667" w:type="pct"/>
            <w:tcBorders>
              <w:top w:val="single" w:color="000000" w:sz="8" w:space="0"/>
              <w:left w:val="single" w:color="000000" w:sz="8" w:space="0"/>
              <w:bottom w:val="single" w:color="000000" w:sz="8" w:space="0"/>
              <w:right w:val="single" w:color="000000" w:sz="8" w:space="0"/>
            </w:tcBorders>
            <w:shd w:val="clear" w:color="auto" w:fill="auto"/>
            <w:noWrap w:val="0"/>
            <w:tcMar>
              <w:top w:w="14" w:type="dxa"/>
              <w:left w:w="100" w:type="dxa"/>
              <w:bottom w:w="0" w:type="dxa"/>
              <w:right w:w="100" w:type="dxa"/>
            </w:tcMar>
            <w:vAlign w:val="center"/>
          </w:tcPr>
          <w:p w14:paraId="397FAB4E">
            <w:pPr>
              <w:spacing w:line="380" w:lineRule="exact"/>
              <w:ind w:firstLine="480" w:firstLineChars="200"/>
              <w:jc w:val="center"/>
              <w:rPr>
                <w:rFonts w:hAnsi="宋体"/>
                <w:bCs/>
                <w:sz w:val="24"/>
              </w:rPr>
            </w:pPr>
            <w:r>
              <w:rPr>
                <w:rFonts w:hint="eastAsia" w:hAnsi="宋体"/>
                <w:bCs/>
                <w:sz w:val="24"/>
              </w:rPr>
              <w:t>碧山路社区</w:t>
            </w:r>
          </w:p>
        </w:tc>
        <w:tc>
          <w:tcPr>
            <w:tcW w:w="1667" w:type="pct"/>
            <w:vMerge w:val="restart"/>
            <w:tcBorders>
              <w:top w:val="single" w:color="000000" w:sz="8" w:space="0"/>
              <w:left w:val="single" w:color="000000" w:sz="8" w:space="0"/>
              <w:right w:val="single" w:color="000000" w:sz="8" w:space="0"/>
            </w:tcBorders>
            <w:noWrap w:val="0"/>
            <w:vAlign w:val="center"/>
          </w:tcPr>
          <w:p w14:paraId="4C9EB198">
            <w:pPr>
              <w:jc w:val="center"/>
              <w:rPr>
                <w:rFonts w:hint="eastAsia" w:hAnsi="宋体"/>
                <w:bCs/>
                <w:sz w:val="24"/>
              </w:rPr>
            </w:pPr>
            <w:r>
              <w:rPr>
                <w:rFonts w:hint="eastAsia" w:hAnsi="宋体"/>
                <w:bCs/>
                <w:sz w:val="24"/>
              </w:rPr>
              <w:t>大佛街道办事处</w:t>
            </w:r>
          </w:p>
        </w:tc>
        <w:tc>
          <w:tcPr>
            <w:tcW w:w="1666" w:type="pct"/>
            <w:tcBorders>
              <w:top w:val="single" w:color="000000" w:sz="8" w:space="0"/>
              <w:left w:val="single" w:color="000000" w:sz="8" w:space="0"/>
              <w:bottom w:val="single" w:color="000000" w:sz="8" w:space="0"/>
              <w:right w:val="single" w:color="000000" w:sz="8" w:space="0"/>
            </w:tcBorders>
            <w:noWrap w:val="0"/>
            <w:vAlign w:val="center"/>
          </w:tcPr>
          <w:p w14:paraId="3EAE5BC2">
            <w:pPr>
              <w:jc w:val="center"/>
              <w:rPr>
                <w:rFonts w:hAnsi="宋体"/>
                <w:bCs/>
                <w:sz w:val="24"/>
              </w:rPr>
            </w:pPr>
            <w:r>
              <w:rPr>
                <w:rFonts w:hint="eastAsia" w:hAnsi="宋体"/>
                <w:bCs/>
                <w:sz w:val="24"/>
              </w:rPr>
              <w:t>10000</w:t>
            </w:r>
          </w:p>
        </w:tc>
      </w:tr>
      <w:tr w14:paraId="4A958A59">
        <w:tblPrEx>
          <w:tblCellMar>
            <w:top w:w="0" w:type="dxa"/>
            <w:left w:w="0" w:type="dxa"/>
            <w:bottom w:w="0" w:type="dxa"/>
            <w:right w:w="0" w:type="dxa"/>
          </w:tblCellMar>
        </w:tblPrEx>
        <w:trPr>
          <w:trHeight w:val="261" w:hRule="atLeast"/>
        </w:trPr>
        <w:tc>
          <w:tcPr>
            <w:tcW w:w="1667" w:type="pct"/>
            <w:tcBorders>
              <w:top w:val="single" w:color="000000" w:sz="8" w:space="0"/>
              <w:left w:val="single" w:color="000000" w:sz="8" w:space="0"/>
              <w:bottom w:val="single" w:color="000000" w:sz="8" w:space="0"/>
              <w:right w:val="single" w:color="000000" w:sz="8" w:space="0"/>
            </w:tcBorders>
            <w:shd w:val="clear" w:color="auto" w:fill="auto"/>
            <w:noWrap w:val="0"/>
            <w:tcMar>
              <w:top w:w="14" w:type="dxa"/>
              <w:left w:w="100" w:type="dxa"/>
              <w:bottom w:w="0" w:type="dxa"/>
              <w:right w:w="100" w:type="dxa"/>
            </w:tcMar>
            <w:vAlign w:val="top"/>
          </w:tcPr>
          <w:p w14:paraId="1D800E36">
            <w:pPr>
              <w:spacing w:line="380" w:lineRule="exact"/>
              <w:ind w:firstLine="480" w:firstLineChars="200"/>
              <w:jc w:val="center"/>
              <w:rPr>
                <w:rFonts w:hAnsi="宋体"/>
                <w:bCs/>
                <w:sz w:val="24"/>
              </w:rPr>
            </w:pPr>
            <w:r>
              <w:rPr>
                <w:rFonts w:hint="eastAsia" w:hAnsi="宋体"/>
                <w:bCs/>
                <w:sz w:val="24"/>
              </w:rPr>
              <w:t>龙泓路社区</w:t>
            </w:r>
          </w:p>
        </w:tc>
        <w:tc>
          <w:tcPr>
            <w:tcW w:w="1667" w:type="pct"/>
            <w:vMerge w:val="continue"/>
            <w:tcBorders>
              <w:left w:val="single" w:color="000000" w:sz="8" w:space="0"/>
              <w:right w:val="single" w:color="000000" w:sz="8" w:space="0"/>
            </w:tcBorders>
            <w:noWrap w:val="0"/>
            <w:vAlign w:val="center"/>
          </w:tcPr>
          <w:p w14:paraId="19CB3398">
            <w:pPr>
              <w:jc w:val="center"/>
              <w:rPr>
                <w:rFonts w:hint="eastAsia" w:hAnsi="宋体"/>
                <w:bCs/>
                <w:sz w:val="24"/>
              </w:rPr>
            </w:pPr>
          </w:p>
        </w:tc>
        <w:tc>
          <w:tcPr>
            <w:tcW w:w="1666" w:type="pct"/>
            <w:tcBorders>
              <w:top w:val="single" w:color="000000" w:sz="8" w:space="0"/>
              <w:left w:val="single" w:color="000000" w:sz="8" w:space="0"/>
              <w:bottom w:val="single" w:color="000000" w:sz="8" w:space="0"/>
              <w:right w:val="single" w:color="000000" w:sz="8" w:space="0"/>
            </w:tcBorders>
            <w:noWrap w:val="0"/>
            <w:vAlign w:val="center"/>
          </w:tcPr>
          <w:p w14:paraId="747273F3">
            <w:pPr>
              <w:jc w:val="center"/>
              <w:rPr>
                <w:rFonts w:hAnsi="宋体"/>
                <w:bCs/>
                <w:sz w:val="24"/>
              </w:rPr>
            </w:pPr>
            <w:r>
              <w:rPr>
                <w:rFonts w:hint="eastAsia" w:hAnsi="宋体"/>
                <w:bCs/>
                <w:sz w:val="24"/>
              </w:rPr>
              <w:t>5000</w:t>
            </w:r>
          </w:p>
        </w:tc>
      </w:tr>
      <w:tr w14:paraId="1B77DA52">
        <w:tblPrEx>
          <w:tblCellMar>
            <w:top w:w="0" w:type="dxa"/>
            <w:left w:w="0" w:type="dxa"/>
            <w:bottom w:w="0" w:type="dxa"/>
            <w:right w:w="0" w:type="dxa"/>
          </w:tblCellMar>
        </w:tblPrEx>
        <w:trPr>
          <w:trHeight w:val="261" w:hRule="atLeast"/>
        </w:trPr>
        <w:tc>
          <w:tcPr>
            <w:tcW w:w="1667" w:type="pct"/>
            <w:tcBorders>
              <w:top w:val="single" w:color="000000" w:sz="8" w:space="0"/>
              <w:left w:val="single" w:color="000000" w:sz="8" w:space="0"/>
              <w:bottom w:val="single" w:color="000000" w:sz="8" w:space="0"/>
              <w:right w:val="single" w:color="000000" w:sz="8" w:space="0"/>
            </w:tcBorders>
            <w:shd w:val="clear" w:color="auto" w:fill="auto"/>
            <w:noWrap w:val="0"/>
            <w:tcMar>
              <w:top w:w="14" w:type="dxa"/>
              <w:left w:w="100" w:type="dxa"/>
              <w:bottom w:w="0" w:type="dxa"/>
              <w:right w:w="100" w:type="dxa"/>
            </w:tcMar>
            <w:vAlign w:val="top"/>
          </w:tcPr>
          <w:p w14:paraId="003A404E">
            <w:pPr>
              <w:spacing w:line="380" w:lineRule="exact"/>
              <w:ind w:firstLine="480" w:firstLineChars="200"/>
              <w:jc w:val="center"/>
              <w:rPr>
                <w:rFonts w:hint="eastAsia" w:hAnsi="宋体"/>
                <w:bCs/>
                <w:sz w:val="24"/>
              </w:rPr>
            </w:pPr>
            <w:r>
              <w:rPr>
                <w:rFonts w:hint="eastAsia" w:hAnsi="宋体"/>
                <w:bCs/>
                <w:sz w:val="24"/>
              </w:rPr>
              <w:t>任家坝村</w:t>
            </w:r>
          </w:p>
        </w:tc>
        <w:tc>
          <w:tcPr>
            <w:tcW w:w="1667" w:type="pct"/>
            <w:vMerge w:val="continue"/>
            <w:tcBorders>
              <w:left w:val="single" w:color="000000" w:sz="8" w:space="0"/>
              <w:bottom w:val="single" w:color="000000" w:sz="8" w:space="0"/>
              <w:right w:val="single" w:color="000000" w:sz="8" w:space="0"/>
            </w:tcBorders>
            <w:noWrap w:val="0"/>
            <w:vAlign w:val="center"/>
          </w:tcPr>
          <w:p w14:paraId="0B477808">
            <w:pPr>
              <w:jc w:val="center"/>
              <w:rPr>
                <w:rFonts w:hint="eastAsia" w:hAnsi="宋体"/>
                <w:bCs/>
                <w:sz w:val="24"/>
              </w:rPr>
            </w:pPr>
          </w:p>
        </w:tc>
        <w:tc>
          <w:tcPr>
            <w:tcW w:w="1666" w:type="pct"/>
            <w:tcBorders>
              <w:top w:val="single" w:color="000000" w:sz="8" w:space="0"/>
              <w:left w:val="single" w:color="000000" w:sz="8" w:space="0"/>
              <w:bottom w:val="single" w:color="000000" w:sz="8" w:space="0"/>
              <w:right w:val="single" w:color="000000" w:sz="8" w:space="0"/>
            </w:tcBorders>
            <w:noWrap w:val="0"/>
            <w:vAlign w:val="center"/>
          </w:tcPr>
          <w:p w14:paraId="1AB7E779">
            <w:pPr>
              <w:jc w:val="center"/>
              <w:rPr>
                <w:rFonts w:hint="eastAsia" w:hAnsi="宋体"/>
                <w:bCs/>
                <w:sz w:val="24"/>
              </w:rPr>
            </w:pPr>
            <w:r>
              <w:rPr>
                <w:rFonts w:hint="eastAsia" w:hAnsi="宋体"/>
                <w:bCs/>
                <w:sz w:val="24"/>
              </w:rPr>
              <w:t>2800</w:t>
            </w:r>
          </w:p>
        </w:tc>
      </w:tr>
      <w:tr w14:paraId="43F28574">
        <w:tblPrEx>
          <w:tblCellMar>
            <w:top w:w="0" w:type="dxa"/>
            <w:left w:w="0" w:type="dxa"/>
            <w:bottom w:w="0" w:type="dxa"/>
            <w:right w:w="0" w:type="dxa"/>
          </w:tblCellMar>
        </w:tblPrEx>
        <w:trPr>
          <w:trHeight w:val="261" w:hRule="atLeast"/>
        </w:trPr>
        <w:tc>
          <w:tcPr>
            <w:tcW w:w="1667" w:type="pct"/>
            <w:tcBorders>
              <w:top w:val="single" w:color="000000" w:sz="8" w:space="0"/>
              <w:left w:val="single" w:color="000000" w:sz="8" w:space="0"/>
              <w:bottom w:val="single" w:color="000000" w:sz="8" w:space="0"/>
              <w:right w:val="single" w:color="000000" w:sz="8" w:space="0"/>
            </w:tcBorders>
            <w:shd w:val="clear" w:color="auto" w:fill="auto"/>
            <w:noWrap w:val="0"/>
            <w:tcMar>
              <w:top w:w="14" w:type="dxa"/>
              <w:left w:w="100" w:type="dxa"/>
              <w:bottom w:w="0" w:type="dxa"/>
              <w:right w:w="100" w:type="dxa"/>
            </w:tcMar>
            <w:vAlign w:val="top"/>
          </w:tcPr>
          <w:p w14:paraId="031D3086">
            <w:pPr>
              <w:spacing w:line="380" w:lineRule="exact"/>
              <w:ind w:firstLine="480" w:firstLineChars="200"/>
              <w:jc w:val="center"/>
              <w:rPr>
                <w:rFonts w:hAnsi="宋体"/>
                <w:bCs/>
                <w:sz w:val="24"/>
              </w:rPr>
            </w:pPr>
            <w:r>
              <w:rPr>
                <w:rFonts w:hint="eastAsia" w:hAnsi="宋体"/>
                <w:bCs/>
                <w:sz w:val="24"/>
              </w:rPr>
              <w:t>棕桥村</w:t>
            </w:r>
          </w:p>
        </w:tc>
        <w:tc>
          <w:tcPr>
            <w:tcW w:w="1667" w:type="pct"/>
            <w:tcBorders>
              <w:top w:val="single" w:color="000000" w:sz="8" w:space="0"/>
              <w:left w:val="single" w:color="000000" w:sz="8" w:space="0"/>
              <w:bottom w:val="single" w:color="000000" w:sz="8" w:space="0"/>
              <w:right w:val="single" w:color="000000" w:sz="8" w:space="0"/>
            </w:tcBorders>
            <w:noWrap w:val="0"/>
            <w:vAlign w:val="center"/>
          </w:tcPr>
          <w:p w14:paraId="025E230E">
            <w:pPr>
              <w:jc w:val="center"/>
              <w:rPr>
                <w:rFonts w:hint="eastAsia" w:hAnsi="宋体"/>
                <w:bCs/>
                <w:sz w:val="24"/>
              </w:rPr>
            </w:pPr>
            <w:r>
              <w:rPr>
                <w:rFonts w:hint="eastAsia" w:hAnsi="宋体"/>
                <w:bCs/>
                <w:sz w:val="24"/>
              </w:rPr>
              <w:t>九峰镇</w:t>
            </w:r>
          </w:p>
        </w:tc>
        <w:tc>
          <w:tcPr>
            <w:tcW w:w="1666" w:type="pct"/>
            <w:tcBorders>
              <w:top w:val="single" w:color="000000" w:sz="8" w:space="0"/>
              <w:left w:val="single" w:color="000000" w:sz="8" w:space="0"/>
              <w:bottom w:val="single" w:color="000000" w:sz="8" w:space="0"/>
              <w:right w:val="single" w:color="000000" w:sz="8" w:space="0"/>
            </w:tcBorders>
            <w:noWrap w:val="0"/>
            <w:vAlign w:val="center"/>
          </w:tcPr>
          <w:p w14:paraId="3F4568C6">
            <w:pPr>
              <w:jc w:val="center"/>
              <w:rPr>
                <w:rFonts w:hAnsi="宋体"/>
                <w:bCs/>
                <w:sz w:val="24"/>
              </w:rPr>
            </w:pPr>
            <w:r>
              <w:rPr>
                <w:rFonts w:hint="eastAsia" w:hAnsi="宋体"/>
                <w:bCs/>
                <w:sz w:val="24"/>
              </w:rPr>
              <w:t>49</w:t>
            </w:r>
          </w:p>
        </w:tc>
      </w:tr>
      <w:tr w14:paraId="60FD20D0">
        <w:tblPrEx>
          <w:tblCellMar>
            <w:top w:w="0" w:type="dxa"/>
            <w:left w:w="0" w:type="dxa"/>
            <w:bottom w:w="0" w:type="dxa"/>
            <w:right w:w="0" w:type="dxa"/>
          </w:tblCellMar>
        </w:tblPrEx>
        <w:trPr>
          <w:trHeight w:val="261" w:hRule="atLeast"/>
        </w:trPr>
        <w:tc>
          <w:tcPr>
            <w:tcW w:w="1667" w:type="pct"/>
            <w:tcBorders>
              <w:top w:val="single" w:color="000000" w:sz="8" w:space="0"/>
              <w:left w:val="single" w:color="000000" w:sz="8" w:space="0"/>
              <w:bottom w:val="single" w:color="000000" w:sz="8" w:space="0"/>
              <w:right w:val="single" w:color="000000" w:sz="8" w:space="0"/>
            </w:tcBorders>
            <w:shd w:val="clear" w:color="auto" w:fill="auto"/>
            <w:noWrap w:val="0"/>
            <w:tcMar>
              <w:top w:w="14" w:type="dxa"/>
              <w:left w:w="100" w:type="dxa"/>
              <w:bottom w:w="0" w:type="dxa"/>
              <w:right w:w="100" w:type="dxa"/>
            </w:tcMar>
            <w:vAlign w:val="top"/>
          </w:tcPr>
          <w:p w14:paraId="24D82C42">
            <w:pPr>
              <w:spacing w:line="380" w:lineRule="exact"/>
              <w:ind w:firstLine="480" w:firstLineChars="200"/>
              <w:jc w:val="center"/>
              <w:rPr>
                <w:rFonts w:hAnsi="宋体"/>
                <w:bCs/>
                <w:sz w:val="24"/>
              </w:rPr>
            </w:pPr>
            <w:r>
              <w:rPr>
                <w:rFonts w:hint="eastAsia" w:hAnsi="宋体"/>
                <w:bCs/>
                <w:sz w:val="24"/>
              </w:rPr>
              <w:t>台子村</w:t>
            </w:r>
          </w:p>
        </w:tc>
        <w:tc>
          <w:tcPr>
            <w:tcW w:w="1667" w:type="pct"/>
            <w:vMerge w:val="restart"/>
            <w:tcBorders>
              <w:top w:val="single" w:color="000000" w:sz="8" w:space="0"/>
              <w:left w:val="single" w:color="000000" w:sz="8" w:space="0"/>
              <w:right w:val="single" w:color="000000" w:sz="8" w:space="0"/>
            </w:tcBorders>
            <w:noWrap w:val="0"/>
            <w:vAlign w:val="center"/>
          </w:tcPr>
          <w:p w14:paraId="01DB4C2F">
            <w:pPr>
              <w:jc w:val="center"/>
              <w:rPr>
                <w:rFonts w:hint="eastAsia" w:hAnsi="宋体"/>
                <w:bCs/>
                <w:sz w:val="24"/>
              </w:rPr>
            </w:pPr>
            <w:r>
              <w:rPr>
                <w:rFonts w:hint="eastAsia" w:hAnsi="宋体"/>
                <w:bCs/>
                <w:sz w:val="24"/>
              </w:rPr>
              <w:t>全福镇</w:t>
            </w:r>
          </w:p>
        </w:tc>
        <w:tc>
          <w:tcPr>
            <w:tcW w:w="1666" w:type="pct"/>
            <w:tcBorders>
              <w:top w:val="single" w:color="000000" w:sz="8" w:space="0"/>
              <w:left w:val="single" w:color="000000" w:sz="8" w:space="0"/>
              <w:bottom w:val="single" w:color="000000" w:sz="8" w:space="0"/>
              <w:right w:val="single" w:color="000000" w:sz="8" w:space="0"/>
            </w:tcBorders>
            <w:noWrap w:val="0"/>
            <w:vAlign w:val="center"/>
          </w:tcPr>
          <w:p w14:paraId="7CBD4AD9">
            <w:pPr>
              <w:jc w:val="center"/>
              <w:rPr>
                <w:rFonts w:hAnsi="宋体"/>
                <w:bCs/>
                <w:sz w:val="24"/>
              </w:rPr>
            </w:pPr>
            <w:r>
              <w:rPr>
                <w:rFonts w:hint="eastAsia" w:hAnsi="宋体"/>
                <w:bCs/>
                <w:sz w:val="24"/>
              </w:rPr>
              <w:t>140</w:t>
            </w:r>
          </w:p>
        </w:tc>
      </w:tr>
      <w:tr w14:paraId="2483B66D">
        <w:tblPrEx>
          <w:tblCellMar>
            <w:top w:w="0" w:type="dxa"/>
            <w:left w:w="0" w:type="dxa"/>
            <w:bottom w:w="0" w:type="dxa"/>
            <w:right w:w="0" w:type="dxa"/>
          </w:tblCellMar>
        </w:tblPrEx>
        <w:trPr>
          <w:trHeight w:val="261" w:hRule="atLeast"/>
        </w:trPr>
        <w:tc>
          <w:tcPr>
            <w:tcW w:w="1667" w:type="pct"/>
            <w:tcBorders>
              <w:top w:val="single" w:color="000000" w:sz="8" w:space="0"/>
              <w:left w:val="single" w:color="000000" w:sz="8" w:space="0"/>
              <w:bottom w:val="single" w:color="000000" w:sz="8" w:space="0"/>
              <w:right w:val="single" w:color="000000" w:sz="8" w:space="0"/>
            </w:tcBorders>
            <w:shd w:val="clear" w:color="auto" w:fill="auto"/>
            <w:noWrap w:val="0"/>
            <w:tcMar>
              <w:top w:w="14" w:type="dxa"/>
              <w:left w:w="100" w:type="dxa"/>
              <w:bottom w:w="0" w:type="dxa"/>
              <w:right w:w="100" w:type="dxa"/>
            </w:tcMar>
            <w:vAlign w:val="top"/>
          </w:tcPr>
          <w:p w14:paraId="6618C529">
            <w:pPr>
              <w:spacing w:line="380" w:lineRule="exact"/>
              <w:ind w:firstLine="480" w:firstLineChars="200"/>
              <w:jc w:val="center"/>
              <w:rPr>
                <w:rFonts w:hAnsi="宋体"/>
                <w:bCs/>
                <w:sz w:val="24"/>
              </w:rPr>
            </w:pPr>
            <w:r>
              <w:rPr>
                <w:rFonts w:hint="eastAsia" w:hAnsi="宋体"/>
                <w:bCs/>
                <w:sz w:val="24"/>
              </w:rPr>
              <w:t>夏沟村</w:t>
            </w:r>
          </w:p>
        </w:tc>
        <w:tc>
          <w:tcPr>
            <w:tcW w:w="1667" w:type="pct"/>
            <w:vMerge w:val="continue"/>
            <w:tcBorders>
              <w:left w:val="single" w:color="000000" w:sz="8" w:space="0"/>
              <w:bottom w:val="single" w:color="auto" w:sz="4" w:space="0"/>
              <w:right w:val="single" w:color="000000" w:sz="8" w:space="0"/>
            </w:tcBorders>
            <w:noWrap w:val="0"/>
            <w:vAlign w:val="center"/>
          </w:tcPr>
          <w:p w14:paraId="23256676">
            <w:pPr>
              <w:jc w:val="center"/>
              <w:rPr>
                <w:rFonts w:hint="eastAsia" w:hAnsi="宋体"/>
                <w:bCs/>
                <w:sz w:val="24"/>
              </w:rPr>
            </w:pPr>
          </w:p>
        </w:tc>
        <w:tc>
          <w:tcPr>
            <w:tcW w:w="1666" w:type="pct"/>
            <w:tcBorders>
              <w:top w:val="single" w:color="000000" w:sz="8" w:space="0"/>
              <w:left w:val="single" w:color="000000" w:sz="8" w:space="0"/>
              <w:bottom w:val="single" w:color="000000" w:sz="8" w:space="0"/>
              <w:right w:val="single" w:color="000000" w:sz="8" w:space="0"/>
            </w:tcBorders>
            <w:noWrap w:val="0"/>
            <w:vAlign w:val="center"/>
          </w:tcPr>
          <w:p w14:paraId="6B0B8644">
            <w:pPr>
              <w:jc w:val="center"/>
              <w:rPr>
                <w:rFonts w:hAnsi="宋体"/>
                <w:bCs/>
                <w:sz w:val="24"/>
              </w:rPr>
            </w:pPr>
            <w:r>
              <w:rPr>
                <w:rFonts w:hint="eastAsia" w:hAnsi="宋体"/>
                <w:bCs/>
                <w:sz w:val="24"/>
              </w:rPr>
              <w:t>56</w:t>
            </w:r>
          </w:p>
        </w:tc>
      </w:tr>
    </w:tbl>
    <w:p w14:paraId="3FA7C311">
      <w:pPr>
        <w:pStyle w:val="4"/>
        <w:spacing w:line="660" w:lineRule="exact"/>
        <w:rPr>
          <w:rFonts w:hint="eastAsia" w:ascii="黑体" w:eastAsia="黑体"/>
        </w:rPr>
      </w:pPr>
      <w:bookmarkStart w:id="24" w:name="_Toc6394565"/>
      <w:r>
        <w:rPr>
          <w:rFonts w:hint="eastAsia" w:ascii="黑体" w:eastAsia="黑体"/>
        </w:rPr>
        <w:t>五、文物古迹</w:t>
      </w:r>
      <w:r>
        <w:rPr>
          <w:rFonts w:ascii="黑体" w:eastAsia="黑体"/>
        </w:rPr>
        <w:t>及保护现状</w:t>
      </w:r>
      <w:bookmarkEnd w:id="24"/>
    </w:p>
    <w:p w14:paraId="7B22486B">
      <w:pPr>
        <w:spacing w:line="660" w:lineRule="exact"/>
        <w:ind w:firstLine="560" w:firstLineChars="200"/>
        <w:rPr>
          <w:rFonts w:hint="eastAsia" w:ascii="宋体" w:hAnsi="宋体"/>
          <w:sz w:val="28"/>
          <w:szCs w:val="28"/>
        </w:rPr>
      </w:pPr>
      <w:r>
        <w:rPr>
          <w:rFonts w:hint="eastAsia" w:ascii="宋体" w:hAnsi="宋体"/>
          <w:sz w:val="28"/>
          <w:szCs w:val="28"/>
        </w:rPr>
        <w:t>岷江东岸片区现有</w:t>
      </w:r>
      <w:r>
        <w:rPr>
          <w:rFonts w:ascii="宋体" w:hAnsi="宋体"/>
          <w:sz w:val="28"/>
          <w:szCs w:val="28"/>
        </w:rPr>
        <w:t>市级文物保护单位</w:t>
      </w:r>
      <w:r>
        <w:rPr>
          <w:rFonts w:hint="eastAsia" w:ascii="宋体" w:hAnsi="宋体"/>
          <w:sz w:val="28"/>
          <w:szCs w:val="28"/>
        </w:rPr>
        <w:t>1处</w:t>
      </w:r>
      <w:r>
        <w:rPr>
          <w:rFonts w:ascii="宋体" w:hAnsi="宋体"/>
          <w:sz w:val="28"/>
          <w:szCs w:val="28"/>
        </w:rPr>
        <w:t>，即龙泓寺。龙泓寺</w:t>
      </w:r>
      <w:r>
        <w:rPr>
          <w:rFonts w:hint="eastAsia" w:ascii="宋体" w:hAnsi="宋体"/>
          <w:sz w:val="28"/>
          <w:szCs w:val="28"/>
        </w:rPr>
        <w:t>位于</w:t>
      </w:r>
      <w:r>
        <w:rPr>
          <w:rFonts w:ascii="宋体" w:hAnsi="宋体"/>
          <w:sz w:val="28"/>
          <w:szCs w:val="28"/>
        </w:rPr>
        <w:t>任家坝龙泓山。</w:t>
      </w:r>
      <w:r>
        <w:rPr>
          <w:rFonts w:hint="eastAsia" w:ascii="宋体" w:hAnsi="宋体"/>
          <w:sz w:val="28"/>
          <w:szCs w:val="28"/>
        </w:rPr>
        <w:t>清《乐山</w:t>
      </w:r>
      <w:r>
        <w:rPr>
          <w:rFonts w:ascii="宋体" w:hAnsi="宋体"/>
          <w:sz w:val="28"/>
          <w:szCs w:val="28"/>
        </w:rPr>
        <w:t>县</w:t>
      </w:r>
      <w:r>
        <w:rPr>
          <w:rFonts w:hint="eastAsia" w:ascii="宋体" w:hAnsi="宋体"/>
          <w:sz w:val="28"/>
          <w:szCs w:val="28"/>
        </w:rPr>
        <w:t>志》载：</w:t>
      </w:r>
      <w:r>
        <w:rPr>
          <w:rFonts w:ascii="宋体" w:hAnsi="宋体"/>
          <w:sz w:val="28"/>
          <w:szCs w:val="28"/>
        </w:rPr>
        <w:t>“</w:t>
      </w:r>
      <w:r>
        <w:rPr>
          <w:rFonts w:hint="eastAsia" w:ascii="宋体" w:hAnsi="宋体"/>
          <w:sz w:val="28"/>
          <w:szCs w:val="28"/>
        </w:rPr>
        <w:t>龙泓寺</w:t>
      </w:r>
      <w:r>
        <w:rPr>
          <w:rFonts w:ascii="宋体" w:hAnsi="宋体"/>
          <w:sz w:val="28"/>
          <w:szCs w:val="28"/>
        </w:rPr>
        <w:t>。</w:t>
      </w:r>
      <w:r>
        <w:rPr>
          <w:rFonts w:hint="eastAsia" w:ascii="宋体" w:hAnsi="宋体"/>
          <w:sz w:val="28"/>
          <w:szCs w:val="28"/>
        </w:rPr>
        <w:t>城东北</w:t>
      </w:r>
      <w:r>
        <w:rPr>
          <w:rFonts w:ascii="宋体" w:hAnsi="宋体"/>
          <w:sz w:val="28"/>
          <w:szCs w:val="28"/>
        </w:rPr>
        <w:t>隔江，又名龙岩寺，宋刹也</w:t>
      </w:r>
      <w:r>
        <w:rPr>
          <w:rFonts w:hint="eastAsia" w:ascii="宋体" w:hAnsi="宋体"/>
          <w:sz w:val="28"/>
          <w:szCs w:val="28"/>
        </w:rPr>
        <w:t>……明洪</w:t>
      </w:r>
      <w:r>
        <w:rPr>
          <w:rFonts w:ascii="宋体" w:hAnsi="宋体"/>
          <w:sz w:val="28"/>
          <w:szCs w:val="28"/>
        </w:rPr>
        <w:t>武中重建，至清咸丰年间再次重建。”</w:t>
      </w:r>
      <w:r>
        <w:rPr>
          <w:rFonts w:hint="eastAsia" w:ascii="宋体" w:hAnsi="宋体"/>
          <w:sz w:val="28"/>
          <w:szCs w:val="28"/>
        </w:rPr>
        <w:t>寺后</w:t>
      </w:r>
      <w:r>
        <w:rPr>
          <w:rFonts w:ascii="宋体" w:hAnsi="宋体"/>
          <w:sz w:val="28"/>
          <w:szCs w:val="28"/>
        </w:rPr>
        <w:t>依龙泓山，前望岷江，坐东北向西南，现存建筑为清早期和清晚期建成，由前后两殿及左右厢房</w:t>
      </w:r>
      <w:r>
        <w:rPr>
          <w:rFonts w:hint="eastAsia" w:ascii="宋体" w:hAnsi="宋体"/>
          <w:sz w:val="28"/>
          <w:szCs w:val="28"/>
        </w:rPr>
        <w:t>组成的</w:t>
      </w:r>
      <w:r>
        <w:rPr>
          <w:rFonts w:ascii="宋体" w:hAnsi="宋体"/>
          <w:sz w:val="28"/>
          <w:szCs w:val="28"/>
        </w:rPr>
        <w:t>复四合院木结构建筑。</w:t>
      </w:r>
    </w:p>
    <w:p w14:paraId="33C3510C">
      <w:pPr>
        <w:spacing w:line="660" w:lineRule="exact"/>
        <w:ind w:firstLine="560" w:firstLineChars="200"/>
        <w:rPr>
          <w:rFonts w:hint="eastAsia" w:ascii="宋体" w:hAnsi="宋体"/>
          <w:sz w:val="28"/>
          <w:szCs w:val="28"/>
        </w:rPr>
      </w:pPr>
      <w:r>
        <w:rPr>
          <w:rFonts w:hint="eastAsia" w:ascii="宋体" w:hAnsi="宋体"/>
          <w:sz w:val="28"/>
          <w:szCs w:val="28"/>
        </w:rPr>
        <w:t>现</w:t>
      </w:r>
      <w:r>
        <w:rPr>
          <w:rFonts w:ascii="宋体" w:hAnsi="宋体"/>
          <w:sz w:val="28"/>
          <w:szCs w:val="28"/>
        </w:rPr>
        <w:t>龙泓寺用地交由龙泓路小学使用，</w:t>
      </w:r>
      <w:r>
        <w:rPr>
          <w:rFonts w:hint="eastAsia" w:ascii="宋体" w:hAnsi="宋体"/>
          <w:sz w:val="28"/>
          <w:szCs w:val="28"/>
        </w:rPr>
        <w:t>现状</w:t>
      </w:r>
      <w:r>
        <w:rPr>
          <w:rFonts w:ascii="宋体" w:hAnsi="宋体"/>
          <w:sz w:val="28"/>
          <w:szCs w:val="28"/>
        </w:rPr>
        <w:t>保护情况一般，建筑质量不佳，有多处搭建。</w:t>
      </w:r>
    </w:p>
    <w:p w14:paraId="169D7677">
      <w:pPr>
        <w:pStyle w:val="4"/>
        <w:spacing w:line="700" w:lineRule="exact"/>
        <w:rPr>
          <w:rFonts w:ascii="黑体" w:eastAsia="黑体"/>
        </w:rPr>
      </w:pPr>
      <w:bookmarkStart w:id="25" w:name="_Toc6394566"/>
      <w:r>
        <w:rPr>
          <w:rFonts w:hint="eastAsia" w:ascii="黑体" w:eastAsia="黑体"/>
        </w:rPr>
        <w:t>六、土地利用现状</w:t>
      </w:r>
      <w:bookmarkEnd w:id="25"/>
    </w:p>
    <w:p w14:paraId="1B506098">
      <w:pPr>
        <w:spacing w:line="700" w:lineRule="exact"/>
        <w:ind w:firstLine="560" w:firstLineChars="200"/>
        <w:rPr>
          <w:rFonts w:hint="eastAsia" w:ascii="宋体" w:hAnsi="宋体"/>
          <w:sz w:val="28"/>
          <w:szCs w:val="28"/>
        </w:rPr>
      </w:pPr>
      <w:r>
        <w:rPr>
          <w:rFonts w:hint="eastAsia" w:ascii="宋体" w:hAnsi="宋体"/>
          <w:sz w:val="28"/>
          <w:szCs w:val="28"/>
        </w:rPr>
        <w:t>岷江东岸片区处于城乡结合部，用地呈自然发展状态，近年来滨江区域、岷江一桥、岷江二桥桥头有部分住宅、商业项目建设。现状用地主要分布在桥头区域，以及碧山路和龙泓路两侧。现状城乡建设总用地面积</w:t>
      </w:r>
      <w:r>
        <w:rPr>
          <w:rFonts w:ascii="宋体" w:hAnsi="宋体"/>
          <w:sz w:val="28"/>
          <w:szCs w:val="28"/>
        </w:rPr>
        <w:t>137.22</w:t>
      </w:r>
      <w:r>
        <w:rPr>
          <w:rFonts w:hint="eastAsia" w:ascii="宋体" w:hAnsi="宋体"/>
          <w:sz w:val="28"/>
          <w:szCs w:val="28"/>
        </w:rPr>
        <w:t>公顷，其中城市建设用地9</w:t>
      </w:r>
      <w:r>
        <w:rPr>
          <w:rFonts w:ascii="宋体" w:hAnsi="宋体"/>
          <w:sz w:val="28"/>
          <w:szCs w:val="28"/>
        </w:rPr>
        <w:t>4.08</w:t>
      </w:r>
      <w:r>
        <w:rPr>
          <w:rFonts w:hint="eastAsia" w:ascii="宋体" w:hAnsi="宋体"/>
          <w:sz w:val="28"/>
          <w:szCs w:val="28"/>
        </w:rPr>
        <w:t>公顷，村庄建设用地2</w:t>
      </w:r>
      <w:r>
        <w:rPr>
          <w:rFonts w:ascii="宋体" w:hAnsi="宋体"/>
          <w:sz w:val="28"/>
          <w:szCs w:val="28"/>
        </w:rPr>
        <w:t>5.14</w:t>
      </w:r>
      <w:r>
        <w:rPr>
          <w:rFonts w:hint="eastAsia" w:ascii="宋体" w:hAnsi="宋体"/>
          <w:sz w:val="28"/>
          <w:szCs w:val="28"/>
        </w:rPr>
        <w:t>公顷，区域交通设施用地</w:t>
      </w:r>
      <w:r>
        <w:rPr>
          <w:rFonts w:ascii="宋体" w:hAnsi="宋体"/>
          <w:sz w:val="28"/>
          <w:szCs w:val="28"/>
        </w:rPr>
        <w:t>15.25</w:t>
      </w:r>
      <w:r>
        <w:rPr>
          <w:rFonts w:hint="eastAsia" w:ascii="宋体" w:hAnsi="宋体"/>
          <w:sz w:val="28"/>
          <w:szCs w:val="28"/>
        </w:rPr>
        <w:t xml:space="preserve">公顷，特殊用地2.75公顷。片区沿江区域多为城市建设用地，东部丘区内现状建设用地多为村庄建设用地。 </w:t>
      </w:r>
    </w:p>
    <w:p w14:paraId="22C085E4">
      <w:pPr>
        <w:spacing w:line="700" w:lineRule="exact"/>
        <w:ind w:firstLine="560" w:firstLineChars="200"/>
        <w:rPr>
          <w:rFonts w:hint="eastAsia" w:ascii="宋体" w:hAnsi="宋体"/>
          <w:sz w:val="28"/>
          <w:szCs w:val="28"/>
        </w:rPr>
      </w:pPr>
      <w:r>
        <w:rPr>
          <w:rFonts w:hint="eastAsia" w:ascii="宋体" w:hAnsi="宋体"/>
          <w:sz w:val="28"/>
          <w:szCs w:val="28"/>
        </w:rPr>
        <w:t>现状城市建设用地9</w:t>
      </w:r>
      <w:r>
        <w:rPr>
          <w:rFonts w:ascii="宋体" w:hAnsi="宋体"/>
          <w:sz w:val="28"/>
          <w:szCs w:val="28"/>
        </w:rPr>
        <w:t>4.08</w:t>
      </w:r>
      <w:r>
        <w:rPr>
          <w:rFonts w:hint="eastAsia" w:ascii="宋体" w:hAnsi="宋体"/>
          <w:sz w:val="28"/>
          <w:szCs w:val="28"/>
        </w:rPr>
        <w:t>公顷，</w:t>
      </w:r>
      <w:r>
        <w:rPr>
          <w:rFonts w:ascii="宋体" w:hAnsi="宋体"/>
          <w:sz w:val="28"/>
          <w:szCs w:val="28"/>
        </w:rPr>
        <w:t>占</w:t>
      </w:r>
      <w:r>
        <w:rPr>
          <w:rFonts w:hint="eastAsia" w:ascii="宋体" w:hAnsi="宋体"/>
          <w:sz w:val="28"/>
          <w:szCs w:val="28"/>
        </w:rPr>
        <w:t>规划范围总用地</w:t>
      </w:r>
      <w:r>
        <w:rPr>
          <w:rFonts w:ascii="宋体" w:hAnsi="宋体"/>
          <w:sz w:val="28"/>
          <w:szCs w:val="28"/>
        </w:rPr>
        <w:t>的</w:t>
      </w:r>
      <w:r>
        <w:rPr>
          <w:rFonts w:hint="eastAsia" w:ascii="宋体" w:hAnsi="宋体"/>
          <w:sz w:val="28"/>
          <w:szCs w:val="28"/>
        </w:rPr>
        <w:t>14.</w:t>
      </w:r>
      <w:r>
        <w:rPr>
          <w:rFonts w:ascii="宋体" w:hAnsi="宋体"/>
          <w:sz w:val="28"/>
          <w:szCs w:val="28"/>
        </w:rPr>
        <w:t>26%</w:t>
      </w:r>
      <w:r>
        <w:rPr>
          <w:rFonts w:hint="eastAsia" w:ascii="宋体" w:hAnsi="宋体"/>
          <w:sz w:val="28"/>
          <w:szCs w:val="28"/>
        </w:rPr>
        <w:t>。城市建设用地主要由居住、公共管理与公共服务设施、商业服务设施以及道路与交通设施用地构成</w:t>
      </w:r>
      <w:r>
        <w:rPr>
          <w:rFonts w:ascii="宋体" w:hAnsi="宋体"/>
          <w:sz w:val="28"/>
          <w:szCs w:val="28"/>
        </w:rPr>
        <w:t>。其中居住用地40.08公顷，</w:t>
      </w:r>
      <w:r>
        <w:rPr>
          <w:rFonts w:hint="eastAsia" w:ascii="宋体" w:hAnsi="宋体"/>
          <w:sz w:val="28"/>
          <w:szCs w:val="28"/>
        </w:rPr>
        <w:t>所占比例4</w:t>
      </w:r>
      <w:r>
        <w:rPr>
          <w:rFonts w:ascii="宋体" w:hAnsi="宋体"/>
          <w:sz w:val="28"/>
          <w:szCs w:val="28"/>
        </w:rPr>
        <w:t>3.37</w:t>
      </w:r>
      <w:r>
        <w:rPr>
          <w:rFonts w:hint="eastAsia" w:ascii="宋体" w:hAnsi="宋体"/>
          <w:sz w:val="28"/>
          <w:szCs w:val="28"/>
        </w:rPr>
        <w:t>%；公共管理与公共服务用地1</w:t>
      </w:r>
      <w:r>
        <w:rPr>
          <w:rFonts w:ascii="宋体" w:hAnsi="宋体"/>
          <w:sz w:val="28"/>
          <w:szCs w:val="28"/>
        </w:rPr>
        <w:t>4.30公顷，</w:t>
      </w:r>
      <w:r>
        <w:rPr>
          <w:rFonts w:hint="eastAsia" w:ascii="宋体" w:hAnsi="宋体"/>
          <w:sz w:val="28"/>
          <w:szCs w:val="28"/>
        </w:rPr>
        <w:t>所占比例1</w:t>
      </w:r>
      <w:r>
        <w:rPr>
          <w:rFonts w:ascii="宋体" w:hAnsi="宋体"/>
          <w:sz w:val="28"/>
          <w:szCs w:val="28"/>
        </w:rPr>
        <w:t>5.20</w:t>
      </w:r>
      <w:r>
        <w:rPr>
          <w:rFonts w:hint="eastAsia" w:ascii="宋体" w:hAnsi="宋体"/>
          <w:sz w:val="28"/>
          <w:szCs w:val="28"/>
        </w:rPr>
        <w:t>%；商业服务业设施用地</w:t>
      </w:r>
      <w:r>
        <w:rPr>
          <w:rFonts w:ascii="宋体" w:hAnsi="宋体"/>
          <w:sz w:val="28"/>
          <w:szCs w:val="28"/>
        </w:rPr>
        <w:t>17.51</w:t>
      </w:r>
      <w:r>
        <w:rPr>
          <w:rFonts w:hint="eastAsia" w:ascii="宋体" w:hAnsi="宋体"/>
          <w:sz w:val="28"/>
          <w:szCs w:val="28"/>
        </w:rPr>
        <w:t>公顷，所占比例</w:t>
      </w:r>
      <w:r>
        <w:rPr>
          <w:rFonts w:ascii="宋体" w:hAnsi="宋体"/>
          <w:sz w:val="28"/>
          <w:szCs w:val="28"/>
        </w:rPr>
        <w:t>18.61</w:t>
      </w:r>
      <w:r>
        <w:rPr>
          <w:rFonts w:hint="eastAsia" w:ascii="宋体" w:hAnsi="宋体"/>
          <w:sz w:val="28"/>
          <w:szCs w:val="28"/>
        </w:rPr>
        <w:t>%；工业用地</w:t>
      </w:r>
      <w:r>
        <w:rPr>
          <w:rFonts w:ascii="宋体" w:hAnsi="宋体"/>
          <w:sz w:val="28"/>
          <w:szCs w:val="28"/>
        </w:rPr>
        <w:t>2.33</w:t>
      </w:r>
      <w:r>
        <w:rPr>
          <w:rFonts w:hint="eastAsia" w:ascii="宋体" w:hAnsi="宋体"/>
          <w:sz w:val="28"/>
          <w:szCs w:val="28"/>
        </w:rPr>
        <w:t>公顷，所占比例</w:t>
      </w:r>
      <w:r>
        <w:rPr>
          <w:rFonts w:ascii="宋体" w:hAnsi="宋体"/>
          <w:sz w:val="28"/>
          <w:szCs w:val="28"/>
        </w:rPr>
        <w:t>2.48</w:t>
      </w:r>
      <w:r>
        <w:rPr>
          <w:rFonts w:hint="eastAsia" w:ascii="宋体" w:hAnsi="宋体"/>
          <w:sz w:val="28"/>
          <w:szCs w:val="28"/>
        </w:rPr>
        <w:t>%；物流仓储用地0.26公顷，所占比例0.28%；道路与交通设施用地1</w:t>
      </w:r>
      <w:r>
        <w:rPr>
          <w:rFonts w:ascii="宋体" w:hAnsi="宋体"/>
          <w:sz w:val="28"/>
          <w:szCs w:val="28"/>
        </w:rPr>
        <w:t>8.42公顷</w:t>
      </w:r>
      <w:r>
        <w:rPr>
          <w:rFonts w:hint="eastAsia" w:ascii="宋体" w:hAnsi="宋体"/>
          <w:sz w:val="28"/>
          <w:szCs w:val="28"/>
        </w:rPr>
        <w:t>，所占比例</w:t>
      </w:r>
      <w:r>
        <w:rPr>
          <w:rFonts w:ascii="宋体" w:hAnsi="宋体"/>
          <w:sz w:val="28"/>
          <w:szCs w:val="28"/>
        </w:rPr>
        <w:t>19.58</w:t>
      </w:r>
      <w:r>
        <w:rPr>
          <w:rFonts w:hint="eastAsia" w:ascii="宋体" w:hAnsi="宋体"/>
          <w:sz w:val="28"/>
          <w:szCs w:val="28"/>
        </w:rPr>
        <w:t>%；公用设施用地0.4</w:t>
      </w:r>
      <w:r>
        <w:rPr>
          <w:rFonts w:ascii="宋体" w:hAnsi="宋体"/>
          <w:sz w:val="28"/>
          <w:szCs w:val="28"/>
        </w:rPr>
        <w:t>6公顷</w:t>
      </w:r>
      <w:r>
        <w:rPr>
          <w:rFonts w:hint="eastAsia" w:ascii="宋体" w:hAnsi="宋体"/>
          <w:sz w:val="28"/>
          <w:szCs w:val="28"/>
        </w:rPr>
        <w:t>，所占比例0.4</w:t>
      </w:r>
      <w:r>
        <w:rPr>
          <w:rFonts w:ascii="宋体" w:hAnsi="宋体"/>
          <w:sz w:val="28"/>
          <w:szCs w:val="28"/>
        </w:rPr>
        <w:t>9</w:t>
      </w:r>
      <w:r>
        <w:rPr>
          <w:rFonts w:hint="eastAsia" w:ascii="宋体" w:hAnsi="宋体"/>
          <w:sz w:val="28"/>
          <w:szCs w:val="28"/>
        </w:rPr>
        <w:t>%</w:t>
      </w:r>
      <w:r>
        <w:rPr>
          <w:rFonts w:ascii="宋体" w:hAnsi="宋体"/>
          <w:sz w:val="28"/>
          <w:szCs w:val="28"/>
        </w:rPr>
        <w:t>。</w:t>
      </w:r>
      <w:r>
        <w:rPr>
          <w:rFonts w:hint="eastAsia" w:ascii="宋体" w:hAnsi="宋体"/>
          <w:sz w:val="28"/>
          <w:szCs w:val="28"/>
        </w:rPr>
        <w:t>片区现状用地</w:t>
      </w:r>
      <w:r>
        <w:rPr>
          <w:rFonts w:ascii="宋体" w:hAnsi="宋体"/>
          <w:sz w:val="28"/>
          <w:szCs w:val="28"/>
        </w:rPr>
        <w:t>统计</w:t>
      </w:r>
      <w:r>
        <w:rPr>
          <w:rFonts w:hint="eastAsia" w:ascii="宋体" w:hAnsi="宋体"/>
          <w:sz w:val="28"/>
          <w:szCs w:val="28"/>
        </w:rPr>
        <w:t>详见</w:t>
      </w:r>
      <w:r>
        <w:rPr>
          <w:rFonts w:ascii="宋体" w:hAnsi="宋体"/>
          <w:sz w:val="28"/>
          <w:szCs w:val="28"/>
        </w:rPr>
        <w:t>表</w:t>
      </w:r>
      <w:r>
        <w:rPr>
          <w:rFonts w:hint="eastAsia" w:ascii="宋体" w:hAnsi="宋体"/>
          <w:sz w:val="28"/>
          <w:szCs w:val="28"/>
        </w:rPr>
        <w:t>2-2</w:t>
      </w:r>
      <w:r>
        <w:rPr>
          <w:rFonts w:ascii="宋体" w:hAnsi="宋体"/>
          <w:sz w:val="28"/>
          <w:szCs w:val="28"/>
        </w:rPr>
        <w:t>。</w:t>
      </w:r>
    </w:p>
    <w:p w14:paraId="73ED304F">
      <w:pPr>
        <w:spacing w:line="700" w:lineRule="exact"/>
        <w:ind w:firstLine="562" w:firstLineChars="200"/>
        <w:rPr>
          <w:rFonts w:hint="eastAsia" w:ascii="宋体" w:hAnsi="宋体"/>
          <w:b/>
          <w:sz w:val="28"/>
          <w:szCs w:val="28"/>
        </w:rPr>
      </w:pPr>
      <w:r>
        <w:rPr>
          <w:rFonts w:hint="eastAsia" w:ascii="宋体" w:hAnsi="宋体"/>
          <w:b/>
          <w:sz w:val="28"/>
          <w:szCs w:val="28"/>
        </w:rPr>
        <w:t>（一）</w:t>
      </w:r>
      <w:r>
        <w:rPr>
          <w:rFonts w:ascii="宋体" w:hAnsi="宋体"/>
          <w:b/>
          <w:sz w:val="28"/>
          <w:szCs w:val="28"/>
        </w:rPr>
        <w:t>居住用地</w:t>
      </w:r>
    </w:p>
    <w:p w14:paraId="4B1F412F">
      <w:pPr>
        <w:spacing w:line="700" w:lineRule="exact"/>
        <w:ind w:firstLine="560" w:firstLineChars="200"/>
        <w:rPr>
          <w:rFonts w:hint="eastAsia" w:ascii="宋体" w:hAnsi="宋体"/>
          <w:sz w:val="28"/>
          <w:szCs w:val="28"/>
        </w:rPr>
      </w:pPr>
      <w:r>
        <w:rPr>
          <w:rFonts w:ascii="宋体" w:hAnsi="宋体"/>
          <w:sz w:val="28"/>
          <w:szCs w:val="28"/>
        </w:rPr>
        <w:t>现状居住用地</w:t>
      </w:r>
      <w:r>
        <w:rPr>
          <w:rFonts w:hint="eastAsia" w:ascii="宋体" w:hAnsi="宋体"/>
          <w:sz w:val="28"/>
          <w:szCs w:val="28"/>
        </w:rPr>
        <w:t>主要集中在规划区龙泓</w:t>
      </w:r>
      <w:r>
        <w:rPr>
          <w:rFonts w:ascii="宋体" w:hAnsi="宋体"/>
          <w:sz w:val="28"/>
          <w:szCs w:val="28"/>
        </w:rPr>
        <w:t>路</w:t>
      </w:r>
      <w:r>
        <w:rPr>
          <w:rFonts w:hint="eastAsia" w:ascii="宋体" w:hAnsi="宋体"/>
          <w:sz w:val="28"/>
          <w:szCs w:val="28"/>
        </w:rPr>
        <w:t>沿线</w:t>
      </w:r>
      <w:r>
        <w:rPr>
          <w:rFonts w:ascii="宋体" w:hAnsi="宋体"/>
          <w:sz w:val="28"/>
          <w:szCs w:val="28"/>
        </w:rPr>
        <w:t>、任家坝冲</w:t>
      </w:r>
      <w:r>
        <w:rPr>
          <w:rFonts w:hint="eastAsia" w:ascii="宋体" w:hAnsi="宋体"/>
          <w:sz w:val="28"/>
          <w:szCs w:val="28"/>
        </w:rPr>
        <w:t>以及岷江二桥桥头滨江区域。滨江区域、龙泓</w:t>
      </w:r>
      <w:r>
        <w:rPr>
          <w:rFonts w:ascii="宋体" w:hAnsi="宋体"/>
          <w:sz w:val="28"/>
          <w:szCs w:val="28"/>
        </w:rPr>
        <w:t>路</w:t>
      </w:r>
      <w:r>
        <w:rPr>
          <w:rFonts w:hint="eastAsia" w:ascii="宋体" w:hAnsi="宋体"/>
          <w:sz w:val="28"/>
          <w:szCs w:val="28"/>
        </w:rPr>
        <w:t>沿线居住用地为近年来开发建设的居住小区，建筑质量较好，配套设施相对较好，以二类居住用地为主。泥溪河沿岸、任家坝冲东端、碧山湖冲居住用地零散，多为村民住宅</w:t>
      </w:r>
      <w:r>
        <w:rPr>
          <w:rFonts w:ascii="宋体" w:hAnsi="宋体"/>
          <w:sz w:val="28"/>
          <w:szCs w:val="28"/>
        </w:rPr>
        <w:t>，建筑</w:t>
      </w:r>
      <w:r>
        <w:rPr>
          <w:rFonts w:hint="eastAsia" w:ascii="宋体" w:hAnsi="宋体"/>
          <w:sz w:val="28"/>
          <w:szCs w:val="28"/>
        </w:rPr>
        <w:t>新旧交错，</w:t>
      </w:r>
      <w:r>
        <w:rPr>
          <w:rFonts w:ascii="宋体" w:hAnsi="宋体"/>
          <w:sz w:val="28"/>
          <w:szCs w:val="28"/>
        </w:rPr>
        <w:t>质量</w:t>
      </w:r>
      <w:r>
        <w:rPr>
          <w:rFonts w:hint="eastAsia" w:ascii="宋体" w:hAnsi="宋体"/>
          <w:sz w:val="28"/>
          <w:szCs w:val="28"/>
        </w:rPr>
        <w:t>参差不齐</w:t>
      </w:r>
      <w:r>
        <w:rPr>
          <w:rFonts w:ascii="宋体" w:hAnsi="宋体"/>
          <w:sz w:val="28"/>
          <w:szCs w:val="28"/>
        </w:rPr>
        <w:t>，配套不</w:t>
      </w:r>
      <w:r>
        <w:rPr>
          <w:rFonts w:hint="eastAsia" w:ascii="宋体" w:hAnsi="宋体"/>
          <w:sz w:val="28"/>
          <w:szCs w:val="28"/>
        </w:rPr>
        <w:t>尽</w:t>
      </w:r>
      <w:r>
        <w:rPr>
          <w:rFonts w:ascii="宋体" w:hAnsi="宋体"/>
          <w:sz w:val="28"/>
          <w:szCs w:val="28"/>
        </w:rPr>
        <w:t>完善。</w:t>
      </w:r>
      <w:r>
        <w:rPr>
          <w:rFonts w:hint="eastAsia" w:ascii="宋体" w:hAnsi="宋体"/>
          <w:sz w:val="28"/>
          <w:szCs w:val="28"/>
        </w:rPr>
        <w:t>片区现有1所幼儿园，规模较小。片区居住用地内配套幼儿园、社区医疗卫生服务设施、生活菜市场等用地较为不足，需进一步完善。</w:t>
      </w:r>
      <w:r>
        <w:rPr>
          <w:rFonts w:ascii="宋体" w:hAnsi="宋体"/>
          <w:sz w:val="28"/>
          <w:szCs w:val="28"/>
        </w:rPr>
        <w:t>现状居住用地40.08公顷，占</w:t>
      </w:r>
      <w:r>
        <w:rPr>
          <w:rFonts w:hint="eastAsia" w:ascii="宋体" w:hAnsi="宋体"/>
          <w:sz w:val="28"/>
          <w:szCs w:val="28"/>
        </w:rPr>
        <w:t>现状建设</w:t>
      </w:r>
      <w:r>
        <w:rPr>
          <w:rFonts w:ascii="宋体" w:hAnsi="宋体"/>
          <w:sz w:val="28"/>
          <w:szCs w:val="28"/>
        </w:rPr>
        <w:t>用地的43.37%</w:t>
      </w:r>
      <w:r>
        <w:rPr>
          <w:rFonts w:hint="eastAsia" w:ascii="宋体" w:hAnsi="宋体"/>
          <w:sz w:val="28"/>
          <w:szCs w:val="28"/>
        </w:rPr>
        <w:t>。</w:t>
      </w:r>
    </w:p>
    <w:p w14:paraId="538F70C4">
      <w:pPr>
        <w:spacing w:line="700" w:lineRule="exact"/>
        <w:ind w:firstLine="562" w:firstLineChars="200"/>
        <w:rPr>
          <w:rFonts w:hint="eastAsia" w:ascii="宋体" w:hAnsi="宋体"/>
          <w:b/>
          <w:sz w:val="28"/>
          <w:szCs w:val="28"/>
        </w:rPr>
      </w:pPr>
      <w:r>
        <w:rPr>
          <w:rFonts w:hint="eastAsia" w:ascii="宋体" w:hAnsi="宋体"/>
          <w:b/>
          <w:sz w:val="28"/>
          <w:szCs w:val="28"/>
        </w:rPr>
        <w:t>（二）公共管理与公共服务</w:t>
      </w:r>
      <w:r>
        <w:rPr>
          <w:rFonts w:ascii="宋体" w:hAnsi="宋体"/>
          <w:b/>
          <w:sz w:val="28"/>
          <w:szCs w:val="28"/>
        </w:rPr>
        <w:t>用地</w:t>
      </w:r>
    </w:p>
    <w:p w14:paraId="399FC682">
      <w:pPr>
        <w:spacing w:line="700" w:lineRule="exact"/>
        <w:ind w:firstLine="560" w:firstLineChars="200"/>
        <w:rPr>
          <w:rFonts w:hint="eastAsia" w:ascii="宋体" w:hAnsi="宋体"/>
          <w:sz w:val="28"/>
          <w:szCs w:val="28"/>
        </w:rPr>
      </w:pPr>
      <w:r>
        <w:rPr>
          <w:rFonts w:hint="eastAsia" w:ascii="宋体" w:hAnsi="宋体"/>
          <w:sz w:val="28"/>
          <w:szCs w:val="28"/>
        </w:rPr>
        <w:t>岷江东岸片区公共管理与公共服务</w:t>
      </w:r>
      <w:r>
        <w:rPr>
          <w:rFonts w:ascii="宋体" w:hAnsi="宋体"/>
          <w:sz w:val="28"/>
          <w:szCs w:val="28"/>
        </w:rPr>
        <w:t>用地</w:t>
      </w:r>
      <w:r>
        <w:rPr>
          <w:rFonts w:hint="eastAsia" w:ascii="宋体" w:hAnsi="宋体"/>
          <w:sz w:val="28"/>
          <w:szCs w:val="28"/>
        </w:rPr>
        <w:t>分布较为零散，主要包括行政办公、教育科研、医疗卫生、社会福利、</w:t>
      </w:r>
      <w:r>
        <w:rPr>
          <w:rFonts w:ascii="宋体" w:hAnsi="宋体"/>
          <w:sz w:val="28"/>
          <w:szCs w:val="28"/>
        </w:rPr>
        <w:t>宗教</w:t>
      </w:r>
      <w:r>
        <w:rPr>
          <w:rFonts w:hint="eastAsia" w:ascii="宋体" w:hAnsi="宋体"/>
          <w:sz w:val="28"/>
          <w:szCs w:val="28"/>
        </w:rPr>
        <w:t>设施等用地。行政办公设施用地仅有市公路管理局；教育科研用地包括海棠职业学校、振兴中等职业技校、军地两用人才学校、乐山四中、龙泓路小学、任家坝小学等；医疗卫生设施用地包括驳骨堂医院、安定精神病医院；社会福利用地为市社会福利院；</w:t>
      </w:r>
      <w:r>
        <w:rPr>
          <w:rFonts w:ascii="宋体" w:hAnsi="宋体"/>
          <w:sz w:val="28"/>
          <w:szCs w:val="28"/>
        </w:rPr>
        <w:t>宗教用地为</w:t>
      </w:r>
      <w:r>
        <w:rPr>
          <w:rFonts w:hint="eastAsia" w:ascii="宋体" w:hAnsi="宋体"/>
          <w:sz w:val="28"/>
          <w:szCs w:val="28"/>
        </w:rPr>
        <w:t>碧山湖</w:t>
      </w:r>
      <w:r>
        <w:rPr>
          <w:rFonts w:ascii="宋体" w:hAnsi="宋体"/>
          <w:sz w:val="28"/>
          <w:szCs w:val="28"/>
        </w:rPr>
        <w:t>旁的紫霞宫</w:t>
      </w:r>
      <w:r>
        <w:rPr>
          <w:rFonts w:hint="eastAsia" w:ascii="宋体" w:hAnsi="宋体"/>
          <w:sz w:val="28"/>
          <w:szCs w:val="28"/>
        </w:rPr>
        <w:t>。片区文化、体育等设施较为不足。</w:t>
      </w:r>
      <w:r>
        <w:rPr>
          <w:rFonts w:ascii="宋体" w:hAnsi="宋体"/>
          <w:sz w:val="28"/>
          <w:szCs w:val="28"/>
        </w:rPr>
        <w:t>现状</w:t>
      </w:r>
      <w:r>
        <w:rPr>
          <w:rFonts w:hint="eastAsia" w:ascii="宋体" w:hAnsi="宋体"/>
          <w:sz w:val="28"/>
          <w:szCs w:val="28"/>
        </w:rPr>
        <w:t>公共管理与公共服务</w:t>
      </w:r>
      <w:r>
        <w:rPr>
          <w:rFonts w:ascii="宋体" w:hAnsi="宋体"/>
          <w:sz w:val="28"/>
          <w:szCs w:val="28"/>
        </w:rPr>
        <w:t>用地</w:t>
      </w:r>
      <w:r>
        <w:rPr>
          <w:rFonts w:hint="eastAsia" w:ascii="宋体" w:hAnsi="宋体"/>
          <w:sz w:val="28"/>
          <w:szCs w:val="28"/>
        </w:rPr>
        <w:t>1</w:t>
      </w:r>
      <w:r>
        <w:rPr>
          <w:rFonts w:ascii="宋体" w:hAnsi="宋体"/>
          <w:sz w:val="28"/>
          <w:szCs w:val="28"/>
        </w:rPr>
        <w:t>4.30公顷，占</w:t>
      </w:r>
      <w:r>
        <w:rPr>
          <w:rFonts w:hint="eastAsia" w:ascii="宋体" w:hAnsi="宋体"/>
          <w:sz w:val="28"/>
          <w:szCs w:val="28"/>
        </w:rPr>
        <w:t>现状建设</w:t>
      </w:r>
      <w:r>
        <w:rPr>
          <w:rFonts w:ascii="宋体" w:hAnsi="宋体"/>
          <w:sz w:val="28"/>
          <w:szCs w:val="28"/>
        </w:rPr>
        <w:t>用地的</w:t>
      </w:r>
      <w:r>
        <w:rPr>
          <w:rFonts w:hint="eastAsia" w:ascii="宋体" w:hAnsi="宋体"/>
          <w:sz w:val="28"/>
          <w:szCs w:val="28"/>
        </w:rPr>
        <w:t>1</w:t>
      </w:r>
      <w:r>
        <w:rPr>
          <w:rFonts w:ascii="宋体" w:hAnsi="宋体"/>
          <w:sz w:val="28"/>
          <w:szCs w:val="28"/>
        </w:rPr>
        <w:t>5.20%</w:t>
      </w:r>
      <w:r>
        <w:rPr>
          <w:rFonts w:hint="eastAsia" w:ascii="宋体" w:hAnsi="宋体"/>
          <w:sz w:val="28"/>
          <w:szCs w:val="28"/>
        </w:rPr>
        <w:t>。</w:t>
      </w:r>
    </w:p>
    <w:p w14:paraId="1E7C6892">
      <w:pPr>
        <w:spacing w:line="700" w:lineRule="exact"/>
        <w:ind w:firstLine="562" w:firstLineChars="200"/>
        <w:rPr>
          <w:rFonts w:hint="eastAsia" w:ascii="宋体" w:hAnsi="宋体"/>
          <w:b/>
          <w:sz w:val="28"/>
          <w:szCs w:val="28"/>
        </w:rPr>
      </w:pPr>
      <w:r>
        <w:rPr>
          <w:rFonts w:hint="eastAsia" w:ascii="宋体" w:hAnsi="宋体"/>
          <w:b/>
          <w:sz w:val="28"/>
          <w:szCs w:val="28"/>
        </w:rPr>
        <w:t>（三）商业服务业设施</w:t>
      </w:r>
      <w:r>
        <w:rPr>
          <w:rFonts w:ascii="宋体" w:hAnsi="宋体"/>
          <w:b/>
          <w:sz w:val="28"/>
          <w:szCs w:val="28"/>
        </w:rPr>
        <w:t>用地</w:t>
      </w:r>
    </w:p>
    <w:p w14:paraId="53D70770">
      <w:pPr>
        <w:spacing w:line="700" w:lineRule="exact"/>
        <w:ind w:firstLine="560" w:firstLineChars="200"/>
        <w:rPr>
          <w:rFonts w:hint="eastAsia" w:ascii="宋体" w:hAnsi="宋体"/>
          <w:sz w:val="28"/>
          <w:szCs w:val="28"/>
        </w:rPr>
      </w:pPr>
      <w:r>
        <w:rPr>
          <w:rFonts w:hint="eastAsia" w:ascii="宋体" w:hAnsi="宋体"/>
          <w:sz w:val="28"/>
          <w:szCs w:val="28"/>
        </w:rPr>
        <w:t>岷江东岸片区商业服务业设施</w:t>
      </w:r>
      <w:r>
        <w:rPr>
          <w:rFonts w:ascii="宋体" w:hAnsi="宋体"/>
          <w:sz w:val="28"/>
          <w:szCs w:val="28"/>
        </w:rPr>
        <w:t>用地</w:t>
      </w:r>
      <w:r>
        <w:rPr>
          <w:rFonts w:hint="eastAsia" w:ascii="宋体" w:hAnsi="宋体"/>
          <w:sz w:val="28"/>
          <w:szCs w:val="28"/>
        </w:rPr>
        <w:t>集中在岷江一桥、岷江二桥桥头附近，以饭店、超市、宾馆、酒店、零售商铺等为主。北部岷江二桥桥头商业</w:t>
      </w:r>
      <w:r>
        <w:rPr>
          <w:rFonts w:ascii="宋体" w:hAnsi="宋体"/>
          <w:sz w:val="28"/>
          <w:szCs w:val="28"/>
        </w:rPr>
        <w:t>设施</w:t>
      </w:r>
      <w:r>
        <w:rPr>
          <w:rFonts w:hint="eastAsia" w:ascii="宋体" w:hAnsi="宋体"/>
          <w:sz w:val="28"/>
          <w:szCs w:val="28"/>
        </w:rPr>
        <w:t>主要沿</w:t>
      </w:r>
      <w:r>
        <w:rPr>
          <w:rFonts w:ascii="宋体" w:hAnsi="宋体"/>
          <w:sz w:val="28"/>
          <w:szCs w:val="28"/>
        </w:rPr>
        <w:t>碧山路</w:t>
      </w:r>
      <w:r>
        <w:rPr>
          <w:rFonts w:hint="eastAsia" w:ascii="宋体" w:hAnsi="宋体"/>
          <w:sz w:val="28"/>
          <w:szCs w:val="28"/>
        </w:rPr>
        <w:t>呈</w:t>
      </w:r>
      <w:r>
        <w:rPr>
          <w:rFonts w:ascii="宋体" w:hAnsi="宋体"/>
          <w:sz w:val="28"/>
          <w:szCs w:val="28"/>
        </w:rPr>
        <w:t>线性</w:t>
      </w:r>
      <w:r>
        <w:rPr>
          <w:rFonts w:hint="eastAsia" w:ascii="宋体" w:hAnsi="宋体"/>
          <w:sz w:val="28"/>
          <w:szCs w:val="28"/>
        </w:rPr>
        <w:t>布局；南部商业</w:t>
      </w:r>
      <w:r>
        <w:rPr>
          <w:rFonts w:ascii="宋体" w:hAnsi="宋体"/>
          <w:sz w:val="28"/>
          <w:szCs w:val="28"/>
        </w:rPr>
        <w:t>通过嘉州长卷天街项目</w:t>
      </w:r>
      <w:r>
        <w:rPr>
          <w:rFonts w:hint="eastAsia" w:ascii="宋体" w:hAnsi="宋体"/>
          <w:sz w:val="28"/>
          <w:szCs w:val="28"/>
        </w:rPr>
        <w:t>打造</w:t>
      </w:r>
      <w:r>
        <w:rPr>
          <w:rFonts w:ascii="宋体" w:hAnsi="宋体"/>
          <w:sz w:val="28"/>
          <w:szCs w:val="28"/>
        </w:rPr>
        <w:t>，已初步形成</w:t>
      </w:r>
      <w:r>
        <w:rPr>
          <w:rFonts w:hint="eastAsia" w:ascii="宋体" w:hAnsi="宋体"/>
          <w:sz w:val="28"/>
          <w:szCs w:val="28"/>
        </w:rPr>
        <w:t>集中的商业街区，但</w:t>
      </w:r>
      <w:r>
        <w:rPr>
          <w:rFonts w:ascii="宋体" w:hAnsi="宋体"/>
          <w:sz w:val="28"/>
          <w:szCs w:val="28"/>
        </w:rPr>
        <w:t>由于</w:t>
      </w:r>
      <w:r>
        <w:rPr>
          <w:rFonts w:hint="eastAsia" w:ascii="宋体" w:hAnsi="宋体"/>
          <w:sz w:val="28"/>
          <w:szCs w:val="28"/>
        </w:rPr>
        <w:t>受周边环境</w:t>
      </w:r>
      <w:r>
        <w:rPr>
          <w:rFonts w:ascii="宋体" w:hAnsi="宋体"/>
          <w:sz w:val="28"/>
          <w:szCs w:val="28"/>
        </w:rPr>
        <w:t>影响，商业氛围不足，缺乏人气</w:t>
      </w:r>
      <w:r>
        <w:rPr>
          <w:rFonts w:hint="eastAsia" w:ascii="宋体" w:hAnsi="宋体"/>
          <w:sz w:val="28"/>
          <w:szCs w:val="28"/>
        </w:rPr>
        <w:t>。</w:t>
      </w:r>
      <w:r>
        <w:rPr>
          <w:rFonts w:ascii="宋体" w:hAnsi="宋体"/>
          <w:sz w:val="28"/>
          <w:szCs w:val="28"/>
        </w:rPr>
        <w:t>现状</w:t>
      </w:r>
      <w:r>
        <w:rPr>
          <w:rFonts w:hint="eastAsia" w:ascii="宋体" w:hAnsi="宋体"/>
          <w:sz w:val="28"/>
          <w:szCs w:val="28"/>
        </w:rPr>
        <w:t>商业服务业设施</w:t>
      </w:r>
      <w:r>
        <w:rPr>
          <w:rFonts w:ascii="宋体" w:hAnsi="宋体"/>
          <w:sz w:val="28"/>
          <w:szCs w:val="28"/>
        </w:rPr>
        <w:t>用地17.51</w:t>
      </w:r>
      <w:r>
        <w:rPr>
          <w:rFonts w:hint="eastAsia" w:ascii="宋体" w:hAnsi="宋体"/>
          <w:sz w:val="28"/>
          <w:szCs w:val="28"/>
        </w:rPr>
        <w:t>公</w:t>
      </w:r>
      <w:r>
        <w:rPr>
          <w:rFonts w:ascii="宋体" w:hAnsi="宋体"/>
          <w:sz w:val="28"/>
          <w:szCs w:val="28"/>
        </w:rPr>
        <w:t>顷，占</w:t>
      </w:r>
      <w:r>
        <w:rPr>
          <w:rFonts w:hint="eastAsia" w:ascii="宋体" w:hAnsi="宋体"/>
          <w:sz w:val="28"/>
          <w:szCs w:val="28"/>
        </w:rPr>
        <w:t>现状建设</w:t>
      </w:r>
      <w:r>
        <w:rPr>
          <w:rFonts w:ascii="宋体" w:hAnsi="宋体"/>
          <w:sz w:val="28"/>
          <w:szCs w:val="28"/>
        </w:rPr>
        <w:t>用地的18.61%</w:t>
      </w:r>
      <w:r>
        <w:rPr>
          <w:rFonts w:hint="eastAsia" w:ascii="宋体" w:hAnsi="宋体"/>
          <w:sz w:val="28"/>
          <w:szCs w:val="28"/>
        </w:rPr>
        <w:t>。</w:t>
      </w:r>
    </w:p>
    <w:p w14:paraId="3F5162D4">
      <w:pPr>
        <w:spacing w:line="700" w:lineRule="exact"/>
        <w:ind w:firstLine="562" w:firstLineChars="200"/>
        <w:rPr>
          <w:rFonts w:hint="eastAsia" w:ascii="宋体" w:hAnsi="宋体"/>
          <w:b/>
          <w:sz w:val="28"/>
          <w:szCs w:val="28"/>
        </w:rPr>
      </w:pPr>
      <w:r>
        <w:rPr>
          <w:rFonts w:hint="eastAsia" w:ascii="宋体" w:hAnsi="宋体"/>
          <w:b/>
          <w:sz w:val="28"/>
          <w:szCs w:val="28"/>
        </w:rPr>
        <w:t>（四）工业</w:t>
      </w:r>
      <w:r>
        <w:rPr>
          <w:rFonts w:ascii="宋体" w:hAnsi="宋体"/>
          <w:b/>
          <w:sz w:val="28"/>
          <w:szCs w:val="28"/>
        </w:rPr>
        <w:t>用地</w:t>
      </w:r>
    </w:p>
    <w:p w14:paraId="73D67CB3">
      <w:pPr>
        <w:spacing w:line="700" w:lineRule="exact"/>
        <w:ind w:firstLine="560" w:firstLineChars="200"/>
        <w:rPr>
          <w:rFonts w:hint="eastAsia" w:ascii="宋体" w:hAnsi="宋体"/>
          <w:sz w:val="28"/>
          <w:szCs w:val="28"/>
        </w:rPr>
      </w:pPr>
      <w:r>
        <w:rPr>
          <w:rFonts w:hint="eastAsia" w:ascii="宋体" w:hAnsi="宋体"/>
          <w:sz w:val="28"/>
          <w:szCs w:val="28"/>
        </w:rPr>
        <w:t>岷江东岸片区由于历史原因，还保留有部分工业用地，规模均较小，主要集中在南部任家坝村石场湾内。近年随着环境保护工作的加强，城市建设推进，片区部分工业企业已关闭或搬迁至工业园区。现状工业企业有凌乐食品厂、永久泵业、大庆家具厂等。工业用地分布零散，对周边居住和公共环境有一定的干扰和污染。</w:t>
      </w:r>
      <w:r>
        <w:rPr>
          <w:rFonts w:ascii="宋体" w:hAnsi="宋体"/>
          <w:sz w:val="28"/>
          <w:szCs w:val="28"/>
        </w:rPr>
        <w:t>现状</w:t>
      </w:r>
      <w:r>
        <w:rPr>
          <w:rFonts w:hint="eastAsia" w:ascii="宋体" w:hAnsi="宋体"/>
          <w:sz w:val="28"/>
          <w:szCs w:val="28"/>
        </w:rPr>
        <w:t>工业</w:t>
      </w:r>
      <w:r>
        <w:rPr>
          <w:rFonts w:ascii="宋体" w:hAnsi="宋体"/>
          <w:sz w:val="28"/>
          <w:szCs w:val="28"/>
        </w:rPr>
        <w:t>用地2.33公顷，占</w:t>
      </w:r>
      <w:r>
        <w:rPr>
          <w:rFonts w:hint="eastAsia" w:ascii="宋体" w:hAnsi="宋体"/>
          <w:sz w:val="28"/>
          <w:szCs w:val="28"/>
        </w:rPr>
        <w:t>现状建设</w:t>
      </w:r>
      <w:r>
        <w:rPr>
          <w:rFonts w:ascii="宋体" w:hAnsi="宋体"/>
          <w:sz w:val="28"/>
          <w:szCs w:val="28"/>
        </w:rPr>
        <w:t>用地的2.48%</w:t>
      </w:r>
      <w:r>
        <w:rPr>
          <w:rFonts w:hint="eastAsia" w:ascii="宋体" w:hAnsi="宋体"/>
          <w:sz w:val="28"/>
          <w:szCs w:val="28"/>
        </w:rPr>
        <w:t>。</w:t>
      </w:r>
    </w:p>
    <w:p w14:paraId="099DEE1F">
      <w:pPr>
        <w:spacing w:line="700" w:lineRule="exact"/>
        <w:ind w:firstLine="562" w:firstLineChars="200"/>
        <w:rPr>
          <w:rFonts w:hint="eastAsia" w:ascii="宋体" w:hAnsi="宋体"/>
          <w:b/>
          <w:sz w:val="28"/>
          <w:szCs w:val="28"/>
        </w:rPr>
      </w:pPr>
      <w:r>
        <w:rPr>
          <w:rFonts w:hint="eastAsia" w:ascii="宋体" w:hAnsi="宋体"/>
          <w:b/>
          <w:sz w:val="28"/>
          <w:szCs w:val="28"/>
        </w:rPr>
        <w:t>（五）道路与交通设施</w:t>
      </w:r>
      <w:r>
        <w:rPr>
          <w:rFonts w:ascii="宋体" w:hAnsi="宋体"/>
          <w:b/>
          <w:sz w:val="28"/>
          <w:szCs w:val="28"/>
        </w:rPr>
        <w:t>用地</w:t>
      </w:r>
    </w:p>
    <w:p w14:paraId="5459F921">
      <w:pPr>
        <w:spacing w:line="700" w:lineRule="exact"/>
        <w:ind w:firstLine="560" w:firstLineChars="200"/>
        <w:rPr>
          <w:rFonts w:hint="eastAsia" w:ascii="宋体" w:hAnsi="宋体"/>
          <w:sz w:val="28"/>
          <w:szCs w:val="28"/>
        </w:rPr>
      </w:pPr>
      <w:r>
        <w:rPr>
          <w:rFonts w:hint="eastAsia" w:ascii="宋体" w:hAnsi="宋体"/>
          <w:sz w:val="28"/>
          <w:szCs w:val="28"/>
        </w:rPr>
        <w:t>道路与交通设施用地以城市道路用地为主，</w:t>
      </w:r>
      <w:r>
        <w:rPr>
          <w:rFonts w:ascii="宋体" w:hAnsi="宋体"/>
          <w:sz w:val="28"/>
          <w:szCs w:val="28"/>
        </w:rPr>
        <w:t>现状主要道路有：</w:t>
      </w:r>
      <w:r>
        <w:rPr>
          <w:rFonts w:hint="eastAsia" w:ascii="宋体" w:hAnsi="宋体"/>
          <w:sz w:val="28"/>
          <w:szCs w:val="28"/>
        </w:rPr>
        <w:t>佛光路、碧山路、龙泓路、山龙路等道路。岷江东岸片区道路以碧山路、龙泓路为主干路呈枝状，路网集中在临江区域，多为南北向道路，东西向道路多为3-5米宽的村道。岷江东岸片区现有2处社会公共停车场，主要为天街商业街区、大佛景区服务。</w:t>
      </w:r>
      <w:r>
        <w:rPr>
          <w:rFonts w:ascii="宋体" w:hAnsi="宋体"/>
          <w:sz w:val="28"/>
          <w:szCs w:val="28"/>
        </w:rPr>
        <w:t>现状</w:t>
      </w:r>
      <w:r>
        <w:rPr>
          <w:rFonts w:hint="eastAsia" w:ascii="宋体" w:hAnsi="宋体"/>
          <w:sz w:val="28"/>
          <w:szCs w:val="28"/>
        </w:rPr>
        <w:t>道路与交通设施</w:t>
      </w:r>
      <w:r>
        <w:rPr>
          <w:rFonts w:ascii="宋体" w:hAnsi="宋体"/>
          <w:sz w:val="28"/>
          <w:szCs w:val="28"/>
        </w:rPr>
        <w:t>用地18.42公顷，占</w:t>
      </w:r>
      <w:r>
        <w:rPr>
          <w:rFonts w:hint="eastAsia" w:ascii="宋体" w:hAnsi="宋体"/>
          <w:sz w:val="28"/>
          <w:szCs w:val="28"/>
        </w:rPr>
        <w:t>现状建设</w:t>
      </w:r>
      <w:r>
        <w:rPr>
          <w:rFonts w:ascii="宋体" w:hAnsi="宋体"/>
          <w:sz w:val="28"/>
          <w:szCs w:val="28"/>
        </w:rPr>
        <w:t>用地的19.58%</w:t>
      </w:r>
      <w:r>
        <w:rPr>
          <w:rFonts w:hint="eastAsia" w:ascii="宋体" w:hAnsi="宋体"/>
          <w:sz w:val="28"/>
          <w:szCs w:val="28"/>
        </w:rPr>
        <w:t>。</w:t>
      </w:r>
    </w:p>
    <w:p w14:paraId="313415BE">
      <w:pPr>
        <w:spacing w:line="700" w:lineRule="exact"/>
        <w:ind w:firstLine="562" w:firstLineChars="200"/>
        <w:rPr>
          <w:rFonts w:hint="eastAsia" w:ascii="宋体" w:hAnsi="宋体"/>
          <w:b/>
          <w:sz w:val="28"/>
          <w:szCs w:val="28"/>
        </w:rPr>
      </w:pPr>
      <w:r>
        <w:rPr>
          <w:rFonts w:hint="eastAsia" w:ascii="宋体" w:hAnsi="宋体"/>
          <w:b/>
          <w:sz w:val="28"/>
          <w:szCs w:val="28"/>
        </w:rPr>
        <w:t>（六）土地利用存在问题</w:t>
      </w:r>
    </w:p>
    <w:p w14:paraId="4ECE39FE">
      <w:pPr>
        <w:spacing w:line="700" w:lineRule="exact"/>
        <w:ind w:firstLine="560" w:firstLineChars="200"/>
        <w:rPr>
          <w:rFonts w:hint="eastAsia" w:ascii="宋体" w:hAnsi="宋体"/>
          <w:sz w:val="28"/>
          <w:szCs w:val="28"/>
        </w:rPr>
      </w:pPr>
      <w:r>
        <w:rPr>
          <w:rFonts w:hint="eastAsia" w:ascii="宋体" w:hAnsi="宋体"/>
          <w:sz w:val="28"/>
          <w:szCs w:val="28"/>
        </w:rPr>
        <w:t>1、城市建设发展不均衡。</w:t>
      </w:r>
    </w:p>
    <w:p w14:paraId="7612D40C">
      <w:pPr>
        <w:spacing w:line="700" w:lineRule="exact"/>
        <w:ind w:firstLine="560" w:firstLineChars="200"/>
        <w:rPr>
          <w:rFonts w:ascii="宋体" w:hAnsi="宋体"/>
          <w:sz w:val="28"/>
          <w:szCs w:val="28"/>
        </w:rPr>
      </w:pPr>
      <w:r>
        <w:rPr>
          <w:rFonts w:hint="eastAsia" w:ascii="宋体" w:hAnsi="宋体"/>
          <w:sz w:val="28"/>
          <w:szCs w:val="28"/>
        </w:rPr>
        <w:t xml:space="preserve">城市道路、居住和公共服务设施等集中于西部临江区域，东部还存有大量农房和农田，部分区域还保留有部分工业用地，城市建设滞后，仍处于城乡结合状态，严重影响大佛景区旅游形象。 </w:t>
      </w:r>
    </w:p>
    <w:p w14:paraId="78DAD9CB">
      <w:pPr>
        <w:spacing w:line="700" w:lineRule="exact"/>
        <w:ind w:firstLine="560" w:firstLineChars="200"/>
        <w:rPr>
          <w:rFonts w:hint="eastAsia" w:ascii="宋体" w:hAnsi="宋体"/>
          <w:sz w:val="28"/>
          <w:szCs w:val="28"/>
        </w:rPr>
      </w:pPr>
      <w:r>
        <w:rPr>
          <w:rFonts w:hint="eastAsia" w:ascii="宋体" w:hAnsi="宋体"/>
          <w:sz w:val="28"/>
          <w:szCs w:val="28"/>
        </w:rPr>
        <w:t>2、城市用地复杂混乱。</w:t>
      </w:r>
    </w:p>
    <w:p w14:paraId="74FFFB77">
      <w:pPr>
        <w:spacing w:line="700" w:lineRule="exact"/>
        <w:ind w:firstLine="560" w:firstLineChars="200"/>
        <w:rPr>
          <w:rFonts w:ascii="宋体" w:hAnsi="宋体"/>
          <w:sz w:val="28"/>
          <w:szCs w:val="28"/>
        </w:rPr>
      </w:pPr>
      <w:r>
        <w:rPr>
          <w:rFonts w:hint="eastAsia" w:ascii="宋体" w:hAnsi="宋体"/>
          <w:sz w:val="28"/>
          <w:szCs w:val="28"/>
        </w:rPr>
        <w:t xml:space="preserve">因历史原因，规划区内居住、公共服务设施、商业设施、工业仓库等用地相互交错，散乱分布，致使片区内部功能混乱，整体面貌较差。 </w:t>
      </w:r>
    </w:p>
    <w:p w14:paraId="76713EC6">
      <w:pPr>
        <w:spacing w:line="700" w:lineRule="exact"/>
        <w:ind w:firstLine="560" w:firstLineChars="200"/>
        <w:rPr>
          <w:rFonts w:hint="eastAsia" w:ascii="宋体" w:hAnsi="宋体"/>
          <w:sz w:val="28"/>
          <w:szCs w:val="28"/>
        </w:rPr>
      </w:pPr>
      <w:r>
        <w:rPr>
          <w:rFonts w:hint="eastAsia" w:ascii="宋体" w:hAnsi="宋体"/>
          <w:sz w:val="28"/>
          <w:szCs w:val="28"/>
        </w:rPr>
        <w:t>3、城市用地比例失调。</w:t>
      </w:r>
    </w:p>
    <w:p w14:paraId="3CC4DAAA">
      <w:pPr>
        <w:spacing w:line="700" w:lineRule="exact"/>
        <w:ind w:firstLine="560" w:firstLineChars="200"/>
        <w:rPr>
          <w:rFonts w:hint="eastAsia" w:ascii="宋体" w:hAnsi="宋体"/>
          <w:sz w:val="28"/>
          <w:szCs w:val="28"/>
        </w:rPr>
      </w:pPr>
      <w:r>
        <w:rPr>
          <w:rFonts w:hint="eastAsia" w:ascii="宋体" w:hAnsi="宋体"/>
          <w:sz w:val="28"/>
          <w:szCs w:val="28"/>
        </w:rPr>
        <w:t>岷江东岸片区各类城市建设用地中，教育科研、文化、</w:t>
      </w:r>
      <w:r>
        <w:rPr>
          <w:rFonts w:ascii="宋体" w:hAnsi="宋体"/>
          <w:sz w:val="28"/>
          <w:szCs w:val="28"/>
        </w:rPr>
        <w:t>体育</w:t>
      </w:r>
      <w:r>
        <w:rPr>
          <w:rFonts w:hint="eastAsia" w:ascii="宋体" w:hAnsi="宋体"/>
          <w:sz w:val="28"/>
          <w:szCs w:val="28"/>
        </w:rPr>
        <w:t>等设施用地不足，公园绿地、</w:t>
      </w:r>
      <w:r>
        <w:rPr>
          <w:rFonts w:ascii="宋体" w:hAnsi="宋体"/>
          <w:sz w:val="28"/>
          <w:szCs w:val="28"/>
        </w:rPr>
        <w:t>环境设施</w:t>
      </w:r>
      <w:r>
        <w:rPr>
          <w:rFonts w:hint="eastAsia" w:ascii="宋体" w:hAnsi="宋体"/>
          <w:sz w:val="28"/>
          <w:szCs w:val="28"/>
        </w:rPr>
        <w:t>等</w:t>
      </w:r>
      <w:r>
        <w:rPr>
          <w:rFonts w:ascii="宋体" w:hAnsi="宋体"/>
          <w:sz w:val="28"/>
          <w:szCs w:val="28"/>
        </w:rPr>
        <w:t>用地缺失。</w:t>
      </w:r>
    </w:p>
    <w:p w14:paraId="65EF9552">
      <w:pPr>
        <w:spacing w:line="400" w:lineRule="exact"/>
        <w:jc w:val="center"/>
        <w:rPr>
          <w:rFonts w:hint="eastAsia" w:ascii="黑体" w:eastAsia="黑体"/>
          <w:sz w:val="28"/>
          <w:szCs w:val="28"/>
        </w:rPr>
      </w:pPr>
      <w:bookmarkStart w:id="26" w:name="_Toc222888797"/>
      <w:r>
        <w:rPr>
          <w:rFonts w:hint="eastAsia" w:ascii="黑体" w:eastAsia="黑体"/>
          <w:sz w:val="28"/>
          <w:szCs w:val="28"/>
        </w:rPr>
        <w:t>现状用地统计表</w:t>
      </w:r>
      <w:bookmarkEnd w:id="26"/>
    </w:p>
    <w:p w14:paraId="3EA123CF">
      <w:pPr>
        <w:spacing w:line="360" w:lineRule="exact"/>
        <w:ind w:firstLine="210" w:firstLineChars="100"/>
        <w:rPr>
          <w:rFonts w:hint="eastAsia" w:ascii="宋体" w:hAnsi="宋体"/>
          <w:szCs w:val="21"/>
        </w:rPr>
      </w:pPr>
      <w:r>
        <w:rPr>
          <w:rFonts w:hint="eastAsia" w:ascii="宋体" w:hAnsi="宋体"/>
          <w:szCs w:val="21"/>
        </w:rPr>
        <w:t>表2-2</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5"/>
        <w:gridCol w:w="576"/>
        <w:gridCol w:w="536"/>
        <w:gridCol w:w="24"/>
        <w:gridCol w:w="3173"/>
        <w:gridCol w:w="992"/>
        <w:gridCol w:w="2457"/>
        <w:gridCol w:w="1323"/>
      </w:tblGrid>
      <w:tr w14:paraId="40EBE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shd w:val="clear" w:color="auto" w:fill="D9D9D9"/>
            <w:noWrap w:val="0"/>
            <w:vAlign w:val="center"/>
          </w:tcPr>
          <w:p w14:paraId="51FF6B24">
            <w:pPr>
              <w:spacing w:line="400" w:lineRule="exact"/>
              <w:jc w:val="center"/>
              <w:rPr>
                <w:rFonts w:hint="eastAsia" w:ascii="宋体" w:hAnsi="宋体"/>
                <w:sz w:val="24"/>
              </w:rPr>
            </w:pPr>
            <w:r>
              <w:rPr>
                <w:rFonts w:hint="eastAsia" w:ascii="宋体" w:hAnsi="宋体"/>
                <w:sz w:val="24"/>
              </w:rPr>
              <w:t>序</w:t>
            </w:r>
          </w:p>
          <w:p w14:paraId="55DE83D0">
            <w:pPr>
              <w:spacing w:line="400" w:lineRule="exact"/>
              <w:jc w:val="center"/>
              <w:rPr>
                <w:rFonts w:hint="eastAsia" w:ascii="宋体" w:hAnsi="宋体"/>
                <w:sz w:val="24"/>
              </w:rPr>
            </w:pPr>
            <w:r>
              <w:rPr>
                <w:rFonts w:hint="eastAsia" w:ascii="宋体" w:hAnsi="宋体"/>
                <w:sz w:val="24"/>
              </w:rPr>
              <w:t>号</w:t>
            </w:r>
          </w:p>
        </w:tc>
        <w:tc>
          <w:tcPr>
            <w:tcW w:w="576" w:type="dxa"/>
            <w:shd w:val="clear" w:color="auto" w:fill="D9D9D9"/>
            <w:noWrap w:val="0"/>
            <w:vAlign w:val="center"/>
          </w:tcPr>
          <w:p w14:paraId="795A0F71">
            <w:pPr>
              <w:spacing w:line="400" w:lineRule="exact"/>
              <w:jc w:val="center"/>
              <w:rPr>
                <w:rFonts w:hint="eastAsia" w:ascii="宋体" w:hAnsi="宋体"/>
                <w:sz w:val="24"/>
              </w:rPr>
            </w:pPr>
            <w:r>
              <w:rPr>
                <w:rFonts w:hint="eastAsia" w:ascii="宋体" w:hAnsi="宋体"/>
                <w:sz w:val="24"/>
              </w:rPr>
              <w:t>代</w:t>
            </w:r>
          </w:p>
          <w:p w14:paraId="4FE495B4">
            <w:pPr>
              <w:spacing w:line="400" w:lineRule="exact"/>
              <w:jc w:val="center"/>
              <w:rPr>
                <w:rFonts w:hint="eastAsia" w:ascii="宋体" w:hAnsi="宋体"/>
                <w:sz w:val="24"/>
              </w:rPr>
            </w:pPr>
            <w:r>
              <w:rPr>
                <w:rFonts w:hint="eastAsia" w:ascii="宋体" w:hAnsi="宋体"/>
                <w:sz w:val="24"/>
              </w:rPr>
              <w:t>码</w:t>
            </w:r>
          </w:p>
        </w:tc>
        <w:tc>
          <w:tcPr>
            <w:tcW w:w="3733" w:type="dxa"/>
            <w:gridSpan w:val="3"/>
            <w:shd w:val="clear" w:color="auto" w:fill="D9D9D9"/>
            <w:noWrap w:val="0"/>
            <w:vAlign w:val="center"/>
          </w:tcPr>
          <w:p w14:paraId="66446CEB">
            <w:pPr>
              <w:spacing w:line="400" w:lineRule="exact"/>
              <w:jc w:val="center"/>
              <w:rPr>
                <w:rFonts w:hint="eastAsia" w:ascii="宋体" w:hAnsi="宋体"/>
                <w:sz w:val="24"/>
              </w:rPr>
            </w:pPr>
            <w:r>
              <w:rPr>
                <w:rFonts w:hint="eastAsia" w:ascii="宋体" w:hAnsi="宋体"/>
                <w:sz w:val="24"/>
              </w:rPr>
              <w:t>用地类别名称</w:t>
            </w:r>
          </w:p>
        </w:tc>
        <w:tc>
          <w:tcPr>
            <w:tcW w:w="992" w:type="dxa"/>
            <w:shd w:val="clear" w:color="auto" w:fill="D9D9D9"/>
            <w:noWrap w:val="0"/>
            <w:vAlign w:val="center"/>
          </w:tcPr>
          <w:p w14:paraId="55E75740">
            <w:pPr>
              <w:spacing w:line="400" w:lineRule="exact"/>
              <w:jc w:val="center"/>
              <w:rPr>
                <w:rFonts w:hint="eastAsia" w:ascii="宋体" w:hAnsi="宋体"/>
                <w:sz w:val="24"/>
              </w:rPr>
            </w:pPr>
            <w:r>
              <w:rPr>
                <w:rFonts w:hint="eastAsia" w:ascii="宋体" w:hAnsi="宋体"/>
                <w:sz w:val="24"/>
              </w:rPr>
              <w:t>面积</w:t>
            </w:r>
          </w:p>
          <w:p w14:paraId="06081458">
            <w:pPr>
              <w:spacing w:line="400" w:lineRule="exact"/>
              <w:jc w:val="center"/>
              <w:rPr>
                <w:rFonts w:hint="eastAsia" w:ascii="宋体" w:hAnsi="宋体"/>
                <w:sz w:val="24"/>
              </w:rPr>
            </w:pPr>
            <w:r>
              <w:rPr>
                <w:rFonts w:hint="eastAsia" w:ascii="宋体" w:hAnsi="宋体"/>
                <w:sz w:val="24"/>
              </w:rPr>
              <w:t>（公顷）</w:t>
            </w:r>
          </w:p>
        </w:tc>
        <w:tc>
          <w:tcPr>
            <w:tcW w:w="2457" w:type="dxa"/>
            <w:shd w:val="clear" w:color="auto" w:fill="D9D9D9"/>
            <w:noWrap w:val="0"/>
            <w:vAlign w:val="center"/>
          </w:tcPr>
          <w:p w14:paraId="05202114">
            <w:pPr>
              <w:spacing w:line="400" w:lineRule="exact"/>
              <w:jc w:val="center"/>
              <w:rPr>
                <w:rFonts w:hint="eastAsia" w:ascii="宋体" w:hAnsi="宋体"/>
                <w:sz w:val="24"/>
              </w:rPr>
            </w:pPr>
            <w:r>
              <w:rPr>
                <w:rFonts w:hint="eastAsia" w:ascii="宋体" w:hAnsi="宋体"/>
                <w:sz w:val="24"/>
              </w:rPr>
              <w:t>比例</w:t>
            </w:r>
          </w:p>
          <w:p w14:paraId="58740E46">
            <w:pPr>
              <w:spacing w:line="400" w:lineRule="exact"/>
              <w:jc w:val="center"/>
              <w:rPr>
                <w:rFonts w:hint="eastAsia" w:ascii="宋体" w:hAnsi="宋体"/>
                <w:sz w:val="24"/>
              </w:rPr>
            </w:pPr>
            <w:r>
              <w:rPr>
                <w:rFonts w:hint="eastAsia" w:ascii="宋体" w:hAnsi="宋体"/>
                <w:sz w:val="24"/>
              </w:rPr>
              <w:t>（%）</w:t>
            </w:r>
          </w:p>
        </w:tc>
        <w:tc>
          <w:tcPr>
            <w:tcW w:w="1323" w:type="dxa"/>
            <w:shd w:val="clear" w:color="auto" w:fill="D9D9D9"/>
            <w:noWrap w:val="0"/>
            <w:vAlign w:val="top"/>
          </w:tcPr>
          <w:p w14:paraId="340041FC">
            <w:pPr>
              <w:spacing w:line="400" w:lineRule="exact"/>
              <w:jc w:val="center"/>
              <w:rPr>
                <w:rFonts w:hint="eastAsia" w:ascii="宋体" w:hAnsi="宋体"/>
                <w:sz w:val="24"/>
              </w:rPr>
            </w:pPr>
            <w:r>
              <w:rPr>
                <w:rFonts w:hint="eastAsia" w:ascii="宋体" w:hAnsi="宋体"/>
                <w:sz w:val="24"/>
              </w:rPr>
              <w:t>备注</w:t>
            </w:r>
          </w:p>
        </w:tc>
      </w:tr>
      <w:tr w14:paraId="30A64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restart"/>
            <w:noWrap w:val="0"/>
            <w:vAlign w:val="center"/>
          </w:tcPr>
          <w:p w14:paraId="6770E858">
            <w:pPr>
              <w:spacing w:line="400" w:lineRule="exact"/>
              <w:jc w:val="center"/>
              <w:rPr>
                <w:rFonts w:ascii="宋体" w:hAnsi="宋体"/>
                <w:sz w:val="24"/>
              </w:rPr>
            </w:pPr>
            <w:r>
              <w:rPr>
                <w:rFonts w:ascii="宋体" w:hAnsi="宋体"/>
                <w:sz w:val="24"/>
              </w:rPr>
              <w:t>1</w:t>
            </w:r>
          </w:p>
        </w:tc>
        <w:tc>
          <w:tcPr>
            <w:tcW w:w="576" w:type="dxa"/>
            <w:vMerge w:val="restart"/>
            <w:noWrap w:val="0"/>
            <w:vAlign w:val="center"/>
          </w:tcPr>
          <w:p w14:paraId="3E277658">
            <w:pPr>
              <w:spacing w:line="400" w:lineRule="exact"/>
              <w:jc w:val="center"/>
              <w:rPr>
                <w:rFonts w:hint="eastAsia" w:ascii="宋体" w:hAnsi="宋体"/>
                <w:sz w:val="24"/>
              </w:rPr>
            </w:pPr>
            <w:r>
              <w:rPr>
                <w:rFonts w:hint="eastAsia" w:ascii="宋体" w:hAnsi="宋体"/>
                <w:sz w:val="24"/>
              </w:rPr>
              <w:t>R</w:t>
            </w:r>
          </w:p>
        </w:tc>
        <w:tc>
          <w:tcPr>
            <w:tcW w:w="3733" w:type="dxa"/>
            <w:gridSpan w:val="3"/>
            <w:noWrap w:val="0"/>
            <w:vAlign w:val="center"/>
          </w:tcPr>
          <w:p w14:paraId="482177CF">
            <w:pPr>
              <w:spacing w:line="400" w:lineRule="exact"/>
              <w:jc w:val="center"/>
              <w:rPr>
                <w:rFonts w:hint="eastAsia" w:ascii="宋体" w:hAnsi="宋体"/>
                <w:sz w:val="24"/>
              </w:rPr>
            </w:pPr>
            <w:r>
              <w:rPr>
                <w:rFonts w:hint="eastAsia" w:ascii="宋体" w:hAnsi="宋体"/>
                <w:sz w:val="24"/>
              </w:rPr>
              <w:t>二类居住用地（R</w:t>
            </w:r>
            <w:r>
              <w:rPr>
                <w:rFonts w:ascii="宋体" w:hAnsi="宋体"/>
                <w:sz w:val="24"/>
              </w:rPr>
              <w:t>2</w:t>
            </w:r>
            <w:r>
              <w:rPr>
                <w:rFonts w:hint="eastAsia" w:ascii="宋体" w:hAnsi="宋体"/>
                <w:sz w:val="24"/>
              </w:rPr>
              <w:t>）</w:t>
            </w:r>
          </w:p>
        </w:tc>
        <w:tc>
          <w:tcPr>
            <w:tcW w:w="992" w:type="dxa"/>
            <w:noWrap w:val="0"/>
            <w:vAlign w:val="center"/>
          </w:tcPr>
          <w:p w14:paraId="6DE42D40">
            <w:pPr>
              <w:spacing w:line="400" w:lineRule="exact"/>
              <w:jc w:val="center"/>
              <w:rPr>
                <w:rFonts w:hint="eastAsia" w:ascii="宋体" w:hAnsi="宋体"/>
                <w:sz w:val="24"/>
              </w:rPr>
            </w:pPr>
            <w:r>
              <w:rPr>
                <w:rFonts w:ascii="宋体" w:hAnsi="宋体"/>
                <w:sz w:val="24"/>
              </w:rPr>
              <w:t>40.08</w:t>
            </w:r>
          </w:p>
        </w:tc>
        <w:tc>
          <w:tcPr>
            <w:tcW w:w="2457" w:type="dxa"/>
            <w:noWrap w:val="0"/>
            <w:vAlign w:val="center"/>
          </w:tcPr>
          <w:p w14:paraId="0234D82A">
            <w:pPr>
              <w:spacing w:line="400" w:lineRule="exact"/>
              <w:jc w:val="center"/>
              <w:rPr>
                <w:rFonts w:hint="eastAsia" w:ascii="宋体" w:hAnsi="宋体"/>
                <w:sz w:val="24"/>
              </w:rPr>
            </w:pPr>
            <w:r>
              <w:rPr>
                <w:rFonts w:ascii="宋体" w:hAnsi="宋体"/>
                <w:sz w:val="24"/>
              </w:rPr>
              <w:t>43.37</w:t>
            </w:r>
          </w:p>
        </w:tc>
        <w:tc>
          <w:tcPr>
            <w:tcW w:w="1323" w:type="dxa"/>
            <w:noWrap w:val="0"/>
            <w:vAlign w:val="top"/>
          </w:tcPr>
          <w:p w14:paraId="08425CEA">
            <w:pPr>
              <w:spacing w:line="400" w:lineRule="exact"/>
              <w:jc w:val="center"/>
              <w:rPr>
                <w:rFonts w:hint="eastAsia" w:ascii="宋体" w:hAnsi="宋体"/>
                <w:sz w:val="24"/>
              </w:rPr>
            </w:pPr>
          </w:p>
        </w:tc>
      </w:tr>
      <w:tr w14:paraId="50E9A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continue"/>
            <w:noWrap w:val="0"/>
            <w:vAlign w:val="center"/>
          </w:tcPr>
          <w:p w14:paraId="012180F0">
            <w:pPr>
              <w:spacing w:line="400" w:lineRule="exact"/>
              <w:jc w:val="center"/>
              <w:rPr>
                <w:rFonts w:ascii="宋体" w:hAnsi="宋体"/>
                <w:sz w:val="24"/>
              </w:rPr>
            </w:pPr>
          </w:p>
        </w:tc>
        <w:tc>
          <w:tcPr>
            <w:tcW w:w="576" w:type="dxa"/>
            <w:vMerge w:val="continue"/>
            <w:noWrap w:val="0"/>
            <w:vAlign w:val="center"/>
          </w:tcPr>
          <w:p w14:paraId="3409B3A1">
            <w:pPr>
              <w:spacing w:line="400" w:lineRule="exact"/>
              <w:jc w:val="center"/>
              <w:rPr>
                <w:rFonts w:hint="eastAsia" w:ascii="宋体" w:hAnsi="宋体"/>
                <w:sz w:val="24"/>
              </w:rPr>
            </w:pPr>
          </w:p>
        </w:tc>
        <w:tc>
          <w:tcPr>
            <w:tcW w:w="560" w:type="dxa"/>
            <w:gridSpan w:val="2"/>
            <w:vMerge w:val="restart"/>
            <w:noWrap w:val="0"/>
            <w:vAlign w:val="center"/>
          </w:tcPr>
          <w:p w14:paraId="23A3EACC">
            <w:pPr>
              <w:spacing w:line="400" w:lineRule="exact"/>
              <w:jc w:val="center"/>
              <w:rPr>
                <w:rFonts w:hint="eastAsia" w:ascii="宋体" w:hAnsi="宋体"/>
                <w:sz w:val="24"/>
              </w:rPr>
            </w:pPr>
            <w:r>
              <w:rPr>
                <w:rFonts w:hint="eastAsia" w:ascii="宋体" w:hAnsi="宋体"/>
                <w:sz w:val="24"/>
              </w:rPr>
              <w:t>其中</w:t>
            </w:r>
          </w:p>
        </w:tc>
        <w:tc>
          <w:tcPr>
            <w:tcW w:w="3173" w:type="dxa"/>
            <w:noWrap w:val="0"/>
            <w:vAlign w:val="center"/>
          </w:tcPr>
          <w:p w14:paraId="38C39C9E">
            <w:pPr>
              <w:spacing w:line="400" w:lineRule="exact"/>
              <w:jc w:val="center"/>
              <w:rPr>
                <w:rFonts w:hint="eastAsia" w:ascii="宋体" w:hAnsi="宋体"/>
                <w:sz w:val="24"/>
              </w:rPr>
            </w:pPr>
            <w:r>
              <w:rPr>
                <w:rFonts w:hint="eastAsia" w:ascii="宋体" w:hAnsi="宋体"/>
                <w:sz w:val="24"/>
              </w:rPr>
              <w:t>住宅用地（R2</w:t>
            </w:r>
            <w:r>
              <w:rPr>
                <w:rFonts w:ascii="宋体" w:hAnsi="宋体"/>
                <w:sz w:val="24"/>
              </w:rPr>
              <w:t>1</w:t>
            </w:r>
            <w:r>
              <w:rPr>
                <w:rFonts w:hint="eastAsia" w:ascii="宋体" w:hAnsi="宋体"/>
                <w:sz w:val="24"/>
              </w:rPr>
              <w:t>）</w:t>
            </w:r>
          </w:p>
        </w:tc>
        <w:tc>
          <w:tcPr>
            <w:tcW w:w="992" w:type="dxa"/>
            <w:noWrap w:val="0"/>
            <w:vAlign w:val="center"/>
          </w:tcPr>
          <w:p w14:paraId="0D4CE877">
            <w:pPr>
              <w:spacing w:line="400" w:lineRule="exact"/>
              <w:jc w:val="center"/>
              <w:rPr>
                <w:rFonts w:hint="eastAsia" w:ascii="宋体" w:hAnsi="宋体"/>
                <w:sz w:val="24"/>
              </w:rPr>
            </w:pPr>
            <w:r>
              <w:rPr>
                <w:rFonts w:ascii="宋体" w:hAnsi="宋体"/>
                <w:sz w:val="24"/>
              </w:rPr>
              <w:t>39.99</w:t>
            </w:r>
          </w:p>
        </w:tc>
        <w:tc>
          <w:tcPr>
            <w:tcW w:w="2457" w:type="dxa"/>
            <w:noWrap w:val="0"/>
            <w:vAlign w:val="center"/>
          </w:tcPr>
          <w:p w14:paraId="0EF0BB57">
            <w:pPr>
              <w:spacing w:line="400" w:lineRule="exact"/>
              <w:jc w:val="center"/>
              <w:rPr>
                <w:rFonts w:hint="eastAsia" w:ascii="宋体" w:hAnsi="宋体"/>
                <w:sz w:val="24"/>
              </w:rPr>
            </w:pPr>
          </w:p>
        </w:tc>
        <w:tc>
          <w:tcPr>
            <w:tcW w:w="1323" w:type="dxa"/>
            <w:noWrap w:val="0"/>
            <w:vAlign w:val="top"/>
          </w:tcPr>
          <w:p w14:paraId="681CB718">
            <w:pPr>
              <w:spacing w:line="400" w:lineRule="exact"/>
              <w:jc w:val="center"/>
              <w:rPr>
                <w:rFonts w:hint="eastAsia" w:ascii="宋体" w:hAnsi="宋体"/>
                <w:sz w:val="24"/>
              </w:rPr>
            </w:pPr>
          </w:p>
        </w:tc>
      </w:tr>
      <w:tr w14:paraId="25B1C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continue"/>
            <w:noWrap w:val="0"/>
            <w:vAlign w:val="center"/>
          </w:tcPr>
          <w:p w14:paraId="4FA4EDAE">
            <w:pPr>
              <w:spacing w:line="400" w:lineRule="exact"/>
              <w:jc w:val="center"/>
              <w:rPr>
                <w:rFonts w:ascii="宋体" w:hAnsi="宋体"/>
                <w:sz w:val="24"/>
              </w:rPr>
            </w:pPr>
          </w:p>
        </w:tc>
        <w:tc>
          <w:tcPr>
            <w:tcW w:w="576" w:type="dxa"/>
            <w:vMerge w:val="continue"/>
            <w:noWrap w:val="0"/>
            <w:vAlign w:val="center"/>
          </w:tcPr>
          <w:p w14:paraId="77EC41A6">
            <w:pPr>
              <w:spacing w:line="400" w:lineRule="exact"/>
              <w:jc w:val="center"/>
              <w:rPr>
                <w:rFonts w:hint="eastAsia" w:ascii="宋体" w:hAnsi="宋体"/>
                <w:sz w:val="24"/>
              </w:rPr>
            </w:pPr>
          </w:p>
        </w:tc>
        <w:tc>
          <w:tcPr>
            <w:tcW w:w="560" w:type="dxa"/>
            <w:gridSpan w:val="2"/>
            <w:vMerge w:val="continue"/>
            <w:noWrap w:val="0"/>
            <w:vAlign w:val="center"/>
          </w:tcPr>
          <w:p w14:paraId="4B447FD7">
            <w:pPr>
              <w:spacing w:line="400" w:lineRule="exact"/>
              <w:jc w:val="center"/>
              <w:rPr>
                <w:rFonts w:hint="eastAsia" w:ascii="宋体" w:hAnsi="宋体"/>
                <w:sz w:val="24"/>
              </w:rPr>
            </w:pPr>
          </w:p>
        </w:tc>
        <w:tc>
          <w:tcPr>
            <w:tcW w:w="3173" w:type="dxa"/>
            <w:noWrap w:val="0"/>
            <w:vAlign w:val="center"/>
          </w:tcPr>
          <w:p w14:paraId="7E681AED">
            <w:pPr>
              <w:spacing w:line="400" w:lineRule="exact"/>
              <w:jc w:val="center"/>
              <w:rPr>
                <w:rFonts w:hint="eastAsia" w:ascii="宋体" w:hAnsi="宋体"/>
                <w:sz w:val="24"/>
              </w:rPr>
            </w:pPr>
            <w:r>
              <w:rPr>
                <w:rFonts w:hint="eastAsia" w:ascii="宋体" w:hAnsi="宋体"/>
                <w:sz w:val="24"/>
              </w:rPr>
              <w:t>服务设施用地（R</w:t>
            </w:r>
            <w:r>
              <w:rPr>
                <w:rFonts w:ascii="宋体" w:hAnsi="宋体"/>
                <w:sz w:val="24"/>
              </w:rPr>
              <w:t>22</w:t>
            </w:r>
            <w:r>
              <w:rPr>
                <w:rFonts w:hint="eastAsia" w:ascii="宋体" w:hAnsi="宋体"/>
                <w:sz w:val="24"/>
              </w:rPr>
              <w:t>）</w:t>
            </w:r>
          </w:p>
        </w:tc>
        <w:tc>
          <w:tcPr>
            <w:tcW w:w="992" w:type="dxa"/>
            <w:noWrap w:val="0"/>
            <w:vAlign w:val="center"/>
          </w:tcPr>
          <w:p w14:paraId="3800EC75">
            <w:pPr>
              <w:spacing w:line="400" w:lineRule="exact"/>
              <w:jc w:val="center"/>
              <w:rPr>
                <w:rFonts w:hint="eastAsia" w:ascii="宋体" w:hAnsi="宋体"/>
                <w:sz w:val="24"/>
              </w:rPr>
            </w:pPr>
            <w:r>
              <w:rPr>
                <w:rFonts w:ascii="宋体" w:hAnsi="宋体"/>
                <w:sz w:val="24"/>
              </w:rPr>
              <w:t>0.81</w:t>
            </w:r>
          </w:p>
        </w:tc>
        <w:tc>
          <w:tcPr>
            <w:tcW w:w="2457" w:type="dxa"/>
            <w:noWrap w:val="0"/>
            <w:vAlign w:val="center"/>
          </w:tcPr>
          <w:p w14:paraId="56F643FC">
            <w:pPr>
              <w:spacing w:line="400" w:lineRule="exact"/>
              <w:jc w:val="center"/>
              <w:rPr>
                <w:rFonts w:hint="eastAsia" w:ascii="宋体" w:hAnsi="宋体"/>
                <w:sz w:val="24"/>
              </w:rPr>
            </w:pPr>
          </w:p>
        </w:tc>
        <w:tc>
          <w:tcPr>
            <w:tcW w:w="1323" w:type="dxa"/>
            <w:noWrap w:val="0"/>
            <w:vAlign w:val="top"/>
          </w:tcPr>
          <w:p w14:paraId="5CB97BF4">
            <w:pPr>
              <w:spacing w:line="400" w:lineRule="exact"/>
              <w:jc w:val="center"/>
              <w:rPr>
                <w:rFonts w:hint="eastAsia" w:ascii="宋体" w:hAnsi="宋体"/>
                <w:sz w:val="24"/>
              </w:rPr>
            </w:pPr>
          </w:p>
        </w:tc>
      </w:tr>
      <w:tr w14:paraId="3E069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restart"/>
            <w:noWrap w:val="0"/>
            <w:vAlign w:val="center"/>
          </w:tcPr>
          <w:p w14:paraId="15F168C5">
            <w:pPr>
              <w:spacing w:line="400" w:lineRule="exact"/>
              <w:jc w:val="center"/>
              <w:rPr>
                <w:rFonts w:ascii="宋体" w:hAnsi="宋体"/>
                <w:sz w:val="24"/>
              </w:rPr>
            </w:pPr>
          </w:p>
          <w:p w14:paraId="0ACA6898">
            <w:pPr>
              <w:spacing w:line="400" w:lineRule="exact"/>
              <w:jc w:val="center"/>
              <w:rPr>
                <w:rFonts w:ascii="宋体" w:hAnsi="宋体"/>
                <w:sz w:val="24"/>
              </w:rPr>
            </w:pPr>
            <w:r>
              <w:rPr>
                <w:rFonts w:ascii="宋体" w:hAnsi="宋体"/>
                <w:sz w:val="24"/>
              </w:rPr>
              <w:t>2</w:t>
            </w:r>
          </w:p>
        </w:tc>
        <w:tc>
          <w:tcPr>
            <w:tcW w:w="576" w:type="dxa"/>
            <w:vMerge w:val="restart"/>
            <w:noWrap w:val="0"/>
            <w:vAlign w:val="center"/>
          </w:tcPr>
          <w:p w14:paraId="72881AF2">
            <w:pPr>
              <w:spacing w:line="400" w:lineRule="exact"/>
              <w:jc w:val="center"/>
              <w:rPr>
                <w:rFonts w:hint="eastAsia" w:ascii="宋体" w:hAnsi="宋体"/>
                <w:sz w:val="24"/>
              </w:rPr>
            </w:pPr>
            <w:r>
              <w:rPr>
                <w:rFonts w:hint="eastAsia" w:ascii="宋体" w:hAnsi="宋体"/>
                <w:sz w:val="24"/>
              </w:rPr>
              <w:t>A</w:t>
            </w:r>
          </w:p>
        </w:tc>
        <w:tc>
          <w:tcPr>
            <w:tcW w:w="3733" w:type="dxa"/>
            <w:gridSpan w:val="3"/>
            <w:noWrap w:val="0"/>
            <w:vAlign w:val="center"/>
          </w:tcPr>
          <w:p w14:paraId="5A2962DE">
            <w:pPr>
              <w:spacing w:line="400" w:lineRule="exact"/>
              <w:jc w:val="center"/>
              <w:rPr>
                <w:rFonts w:hint="eastAsia" w:ascii="宋体" w:hAnsi="宋体"/>
                <w:sz w:val="24"/>
              </w:rPr>
            </w:pPr>
            <w:r>
              <w:rPr>
                <w:rFonts w:hint="eastAsia" w:ascii="宋体" w:hAnsi="宋体"/>
                <w:sz w:val="24"/>
              </w:rPr>
              <w:t>公共管理与公共服务用地（A）</w:t>
            </w:r>
          </w:p>
        </w:tc>
        <w:tc>
          <w:tcPr>
            <w:tcW w:w="992" w:type="dxa"/>
            <w:noWrap w:val="0"/>
            <w:vAlign w:val="center"/>
          </w:tcPr>
          <w:p w14:paraId="47BA4F53">
            <w:pPr>
              <w:spacing w:line="400" w:lineRule="exact"/>
              <w:jc w:val="center"/>
              <w:rPr>
                <w:rFonts w:hint="eastAsia" w:ascii="宋体" w:hAnsi="宋体"/>
                <w:sz w:val="24"/>
              </w:rPr>
            </w:pPr>
            <w:r>
              <w:rPr>
                <w:rFonts w:ascii="宋体" w:hAnsi="宋体"/>
                <w:sz w:val="24"/>
              </w:rPr>
              <w:t>14.30</w:t>
            </w:r>
          </w:p>
        </w:tc>
        <w:tc>
          <w:tcPr>
            <w:tcW w:w="2457" w:type="dxa"/>
            <w:noWrap w:val="0"/>
            <w:vAlign w:val="center"/>
          </w:tcPr>
          <w:p w14:paraId="651106C4">
            <w:pPr>
              <w:spacing w:line="400" w:lineRule="exact"/>
              <w:jc w:val="center"/>
              <w:rPr>
                <w:rFonts w:hint="eastAsia" w:ascii="宋体" w:hAnsi="宋体"/>
                <w:sz w:val="24"/>
              </w:rPr>
            </w:pPr>
            <w:r>
              <w:rPr>
                <w:rFonts w:hint="eastAsia" w:ascii="宋体" w:hAnsi="宋体"/>
                <w:sz w:val="24"/>
              </w:rPr>
              <w:t>1</w:t>
            </w:r>
            <w:r>
              <w:rPr>
                <w:rFonts w:ascii="宋体" w:hAnsi="宋体"/>
                <w:sz w:val="24"/>
              </w:rPr>
              <w:t>5.20</w:t>
            </w:r>
          </w:p>
        </w:tc>
        <w:tc>
          <w:tcPr>
            <w:tcW w:w="1323" w:type="dxa"/>
            <w:vMerge w:val="restart"/>
            <w:noWrap w:val="0"/>
            <w:vAlign w:val="top"/>
          </w:tcPr>
          <w:p w14:paraId="7E00D795">
            <w:pPr>
              <w:spacing w:line="400" w:lineRule="exact"/>
              <w:jc w:val="center"/>
              <w:rPr>
                <w:rFonts w:hint="eastAsia" w:ascii="宋体" w:hAnsi="宋体"/>
                <w:sz w:val="24"/>
              </w:rPr>
            </w:pPr>
          </w:p>
        </w:tc>
      </w:tr>
      <w:tr w14:paraId="710CD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continue"/>
            <w:noWrap w:val="0"/>
            <w:vAlign w:val="center"/>
          </w:tcPr>
          <w:p w14:paraId="75FF7301">
            <w:pPr>
              <w:spacing w:line="400" w:lineRule="exact"/>
              <w:jc w:val="center"/>
              <w:rPr>
                <w:rFonts w:ascii="宋体" w:hAnsi="宋体"/>
                <w:sz w:val="24"/>
              </w:rPr>
            </w:pPr>
          </w:p>
        </w:tc>
        <w:tc>
          <w:tcPr>
            <w:tcW w:w="576" w:type="dxa"/>
            <w:vMerge w:val="continue"/>
            <w:noWrap w:val="0"/>
            <w:vAlign w:val="center"/>
          </w:tcPr>
          <w:p w14:paraId="087DF519">
            <w:pPr>
              <w:spacing w:line="400" w:lineRule="exact"/>
              <w:jc w:val="center"/>
              <w:rPr>
                <w:rFonts w:hint="eastAsia" w:ascii="宋体" w:hAnsi="宋体"/>
                <w:sz w:val="24"/>
              </w:rPr>
            </w:pPr>
          </w:p>
        </w:tc>
        <w:tc>
          <w:tcPr>
            <w:tcW w:w="560" w:type="dxa"/>
            <w:gridSpan w:val="2"/>
            <w:vMerge w:val="restart"/>
            <w:noWrap w:val="0"/>
            <w:vAlign w:val="center"/>
          </w:tcPr>
          <w:p w14:paraId="65DAFD44">
            <w:pPr>
              <w:spacing w:line="400" w:lineRule="exact"/>
              <w:jc w:val="center"/>
              <w:rPr>
                <w:rFonts w:hint="eastAsia" w:ascii="宋体" w:hAnsi="宋体"/>
                <w:sz w:val="24"/>
              </w:rPr>
            </w:pPr>
            <w:r>
              <w:rPr>
                <w:rFonts w:hint="eastAsia" w:ascii="宋体" w:hAnsi="宋体"/>
                <w:sz w:val="24"/>
              </w:rPr>
              <w:t>其中</w:t>
            </w:r>
          </w:p>
        </w:tc>
        <w:tc>
          <w:tcPr>
            <w:tcW w:w="3173" w:type="dxa"/>
            <w:noWrap w:val="0"/>
            <w:vAlign w:val="center"/>
          </w:tcPr>
          <w:p w14:paraId="6C097040">
            <w:pPr>
              <w:spacing w:line="400" w:lineRule="exact"/>
              <w:jc w:val="center"/>
              <w:rPr>
                <w:rFonts w:hint="eastAsia" w:ascii="宋体" w:hAnsi="宋体"/>
                <w:sz w:val="24"/>
              </w:rPr>
            </w:pPr>
            <w:r>
              <w:rPr>
                <w:rFonts w:hint="eastAsia" w:ascii="宋体" w:hAnsi="宋体"/>
                <w:sz w:val="24"/>
              </w:rPr>
              <w:t>行政办公用地（A1）</w:t>
            </w:r>
          </w:p>
        </w:tc>
        <w:tc>
          <w:tcPr>
            <w:tcW w:w="992" w:type="dxa"/>
            <w:noWrap w:val="0"/>
            <w:vAlign w:val="center"/>
          </w:tcPr>
          <w:p w14:paraId="7BB8909B">
            <w:pPr>
              <w:spacing w:line="400" w:lineRule="exact"/>
              <w:jc w:val="center"/>
              <w:rPr>
                <w:rFonts w:hint="eastAsia" w:ascii="宋体" w:hAnsi="宋体"/>
                <w:sz w:val="24"/>
              </w:rPr>
            </w:pPr>
            <w:r>
              <w:rPr>
                <w:rFonts w:hint="eastAsia" w:ascii="宋体" w:hAnsi="宋体"/>
                <w:sz w:val="24"/>
              </w:rPr>
              <w:t>1.10</w:t>
            </w:r>
          </w:p>
        </w:tc>
        <w:tc>
          <w:tcPr>
            <w:tcW w:w="2457" w:type="dxa"/>
            <w:vMerge w:val="restart"/>
            <w:noWrap w:val="0"/>
            <w:vAlign w:val="center"/>
          </w:tcPr>
          <w:p w14:paraId="4FD8134F">
            <w:pPr>
              <w:spacing w:line="400" w:lineRule="exact"/>
              <w:jc w:val="center"/>
              <w:rPr>
                <w:rFonts w:hint="eastAsia" w:ascii="宋体" w:hAnsi="宋体"/>
                <w:sz w:val="24"/>
              </w:rPr>
            </w:pPr>
          </w:p>
        </w:tc>
        <w:tc>
          <w:tcPr>
            <w:tcW w:w="1323" w:type="dxa"/>
            <w:vMerge w:val="continue"/>
            <w:noWrap w:val="0"/>
            <w:vAlign w:val="top"/>
          </w:tcPr>
          <w:p w14:paraId="7EBBD70B">
            <w:pPr>
              <w:spacing w:line="400" w:lineRule="exact"/>
              <w:jc w:val="center"/>
              <w:rPr>
                <w:rFonts w:hint="eastAsia" w:ascii="宋体" w:hAnsi="宋体"/>
                <w:sz w:val="24"/>
              </w:rPr>
            </w:pPr>
          </w:p>
        </w:tc>
      </w:tr>
      <w:tr w14:paraId="6C913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continue"/>
            <w:noWrap w:val="0"/>
            <w:vAlign w:val="center"/>
          </w:tcPr>
          <w:p w14:paraId="0C132033">
            <w:pPr>
              <w:spacing w:line="400" w:lineRule="exact"/>
              <w:jc w:val="center"/>
              <w:rPr>
                <w:rFonts w:ascii="宋体" w:hAnsi="宋体"/>
                <w:sz w:val="24"/>
              </w:rPr>
            </w:pPr>
          </w:p>
        </w:tc>
        <w:tc>
          <w:tcPr>
            <w:tcW w:w="576" w:type="dxa"/>
            <w:vMerge w:val="continue"/>
            <w:noWrap w:val="0"/>
            <w:vAlign w:val="center"/>
          </w:tcPr>
          <w:p w14:paraId="7F81CAA8">
            <w:pPr>
              <w:spacing w:line="400" w:lineRule="exact"/>
              <w:jc w:val="center"/>
              <w:rPr>
                <w:rFonts w:hint="eastAsia" w:ascii="宋体" w:hAnsi="宋体"/>
                <w:sz w:val="24"/>
              </w:rPr>
            </w:pPr>
          </w:p>
        </w:tc>
        <w:tc>
          <w:tcPr>
            <w:tcW w:w="560" w:type="dxa"/>
            <w:gridSpan w:val="2"/>
            <w:vMerge w:val="continue"/>
            <w:noWrap w:val="0"/>
            <w:vAlign w:val="center"/>
          </w:tcPr>
          <w:p w14:paraId="3C5AC4DD">
            <w:pPr>
              <w:spacing w:line="400" w:lineRule="exact"/>
              <w:jc w:val="center"/>
              <w:rPr>
                <w:rFonts w:hint="eastAsia" w:ascii="宋体" w:hAnsi="宋体"/>
                <w:sz w:val="24"/>
              </w:rPr>
            </w:pPr>
          </w:p>
        </w:tc>
        <w:tc>
          <w:tcPr>
            <w:tcW w:w="3173" w:type="dxa"/>
            <w:noWrap w:val="0"/>
            <w:vAlign w:val="center"/>
          </w:tcPr>
          <w:p w14:paraId="39D7A1B0">
            <w:pPr>
              <w:spacing w:line="400" w:lineRule="exact"/>
              <w:jc w:val="center"/>
              <w:rPr>
                <w:rFonts w:hint="eastAsia" w:ascii="宋体" w:hAnsi="宋体"/>
                <w:sz w:val="24"/>
              </w:rPr>
            </w:pPr>
            <w:r>
              <w:rPr>
                <w:rFonts w:hint="eastAsia" w:ascii="宋体" w:hAnsi="宋体"/>
                <w:sz w:val="24"/>
              </w:rPr>
              <w:t>文化设施用地（A2）</w:t>
            </w:r>
          </w:p>
        </w:tc>
        <w:tc>
          <w:tcPr>
            <w:tcW w:w="992" w:type="dxa"/>
            <w:noWrap w:val="0"/>
            <w:vAlign w:val="center"/>
          </w:tcPr>
          <w:p w14:paraId="2E5FDC10">
            <w:pPr>
              <w:spacing w:line="400" w:lineRule="exact"/>
              <w:jc w:val="center"/>
              <w:rPr>
                <w:rFonts w:hint="eastAsia" w:ascii="宋体" w:hAnsi="宋体"/>
                <w:sz w:val="24"/>
              </w:rPr>
            </w:pPr>
            <w:r>
              <w:rPr>
                <w:rFonts w:hint="eastAsia" w:ascii="宋体" w:hAnsi="宋体"/>
                <w:sz w:val="24"/>
              </w:rPr>
              <w:t>-</w:t>
            </w:r>
          </w:p>
        </w:tc>
        <w:tc>
          <w:tcPr>
            <w:tcW w:w="2457" w:type="dxa"/>
            <w:vMerge w:val="continue"/>
            <w:noWrap w:val="0"/>
            <w:vAlign w:val="center"/>
          </w:tcPr>
          <w:p w14:paraId="60B9F990">
            <w:pPr>
              <w:spacing w:line="400" w:lineRule="exact"/>
              <w:jc w:val="center"/>
              <w:rPr>
                <w:rFonts w:hint="eastAsia" w:ascii="宋体" w:hAnsi="宋体"/>
                <w:sz w:val="24"/>
              </w:rPr>
            </w:pPr>
          </w:p>
        </w:tc>
        <w:tc>
          <w:tcPr>
            <w:tcW w:w="1323" w:type="dxa"/>
            <w:vMerge w:val="continue"/>
            <w:noWrap w:val="0"/>
            <w:vAlign w:val="top"/>
          </w:tcPr>
          <w:p w14:paraId="254353CE">
            <w:pPr>
              <w:spacing w:line="400" w:lineRule="exact"/>
              <w:jc w:val="center"/>
              <w:rPr>
                <w:rFonts w:hint="eastAsia" w:ascii="宋体" w:hAnsi="宋体"/>
                <w:sz w:val="24"/>
              </w:rPr>
            </w:pPr>
          </w:p>
        </w:tc>
      </w:tr>
      <w:tr w14:paraId="786D3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continue"/>
            <w:noWrap w:val="0"/>
            <w:vAlign w:val="center"/>
          </w:tcPr>
          <w:p w14:paraId="6C8D6410">
            <w:pPr>
              <w:spacing w:line="400" w:lineRule="exact"/>
              <w:jc w:val="center"/>
              <w:rPr>
                <w:rFonts w:ascii="宋体" w:hAnsi="宋体"/>
                <w:sz w:val="24"/>
              </w:rPr>
            </w:pPr>
          </w:p>
        </w:tc>
        <w:tc>
          <w:tcPr>
            <w:tcW w:w="576" w:type="dxa"/>
            <w:vMerge w:val="continue"/>
            <w:noWrap w:val="0"/>
            <w:vAlign w:val="center"/>
          </w:tcPr>
          <w:p w14:paraId="027F8A47">
            <w:pPr>
              <w:spacing w:line="400" w:lineRule="exact"/>
              <w:jc w:val="center"/>
              <w:rPr>
                <w:rFonts w:hint="eastAsia" w:ascii="宋体" w:hAnsi="宋体"/>
                <w:sz w:val="24"/>
              </w:rPr>
            </w:pPr>
          </w:p>
        </w:tc>
        <w:tc>
          <w:tcPr>
            <w:tcW w:w="560" w:type="dxa"/>
            <w:gridSpan w:val="2"/>
            <w:vMerge w:val="continue"/>
            <w:noWrap w:val="0"/>
            <w:vAlign w:val="center"/>
          </w:tcPr>
          <w:p w14:paraId="40D9BF27">
            <w:pPr>
              <w:spacing w:line="400" w:lineRule="exact"/>
              <w:jc w:val="center"/>
              <w:rPr>
                <w:rFonts w:hint="eastAsia" w:ascii="宋体" w:hAnsi="宋体"/>
                <w:sz w:val="24"/>
              </w:rPr>
            </w:pPr>
          </w:p>
        </w:tc>
        <w:tc>
          <w:tcPr>
            <w:tcW w:w="3173" w:type="dxa"/>
            <w:noWrap w:val="0"/>
            <w:vAlign w:val="center"/>
          </w:tcPr>
          <w:p w14:paraId="0128F1EA">
            <w:pPr>
              <w:spacing w:line="400" w:lineRule="exact"/>
              <w:jc w:val="center"/>
              <w:rPr>
                <w:rFonts w:hint="eastAsia" w:ascii="宋体" w:hAnsi="宋体"/>
                <w:sz w:val="24"/>
              </w:rPr>
            </w:pPr>
            <w:r>
              <w:rPr>
                <w:rFonts w:hint="eastAsia" w:ascii="宋体" w:hAnsi="宋体"/>
                <w:sz w:val="24"/>
              </w:rPr>
              <w:t>教育科研用地（A3）</w:t>
            </w:r>
          </w:p>
        </w:tc>
        <w:tc>
          <w:tcPr>
            <w:tcW w:w="992" w:type="dxa"/>
            <w:noWrap w:val="0"/>
            <w:vAlign w:val="center"/>
          </w:tcPr>
          <w:p w14:paraId="5757DB43">
            <w:pPr>
              <w:spacing w:line="400" w:lineRule="exact"/>
              <w:jc w:val="center"/>
              <w:rPr>
                <w:rFonts w:hint="eastAsia" w:ascii="宋体" w:hAnsi="宋体"/>
                <w:sz w:val="24"/>
              </w:rPr>
            </w:pPr>
            <w:r>
              <w:rPr>
                <w:rFonts w:ascii="宋体" w:hAnsi="宋体"/>
                <w:sz w:val="24"/>
              </w:rPr>
              <w:t>6.72</w:t>
            </w:r>
          </w:p>
        </w:tc>
        <w:tc>
          <w:tcPr>
            <w:tcW w:w="2457" w:type="dxa"/>
            <w:vMerge w:val="continue"/>
            <w:noWrap w:val="0"/>
            <w:vAlign w:val="center"/>
          </w:tcPr>
          <w:p w14:paraId="457666D2">
            <w:pPr>
              <w:spacing w:line="400" w:lineRule="exact"/>
              <w:jc w:val="center"/>
              <w:rPr>
                <w:rFonts w:hint="eastAsia" w:ascii="宋体" w:hAnsi="宋体"/>
                <w:sz w:val="24"/>
              </w:rPr>
            </w:pPr>
          </w:p>
        </w:tc>
        <w:tc>
          <w:tcPr>
            <w:tcW w:w="1323" w:type="dxa"/>
            <w:vMerge w:val="continue"/>
            <w:noWrap w:val="0"/>
            <w:vAlign w:val="top"/>
          </w:tcPr>
          <w:p w14:paraId="44777B31">
            <w:pPr>
              <w:spacing w:line="400" w:lineRule="exact"/>
              <w:jc w:val="center"/>
              <w:rPr>
                <w:rFonts w:hint="eastAsia" w:ascii="宋体" w:hAnsi="宋体"/>
                <w:sz w:val="24"/>
              </w:rPr>
            </w:pPr>
          </w:p>
        </w:tc>
      </w:tr>
      <w:tr w14:paraId="5FC7F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continue"/>
            <w:noWrap w:val="0"/>
            <w:vAlign w:val="center"/>
          </w:tcPr>
          <w:p w14:paraId="5942D827">
            <w:pPr>
              <w:spacing w:line="400" w:lineRule="exact"/>
              <w:jc w:val="center"/>
              <w:rPr>
                <w:rFonts w:ascii="宋体" w:hAnsi="宋体"/>
                <w:sz w:val="24"/>
              </w:rPr>
            </w:pPr>
          </w:p>
        </w:tc>
        <w:tc>
          <w:tcPr>
            <w:tcW w:w="576" w:type="dxa"/>
            <w:vMerge w:val="continue"/>
            <w:noWrap w:val="0"/>
            <w:vAlign w:val="center"/>
          </w:tcPr>
          <w:p w14:paraId="3DC3EA33">
            <w:pPr>
              <w:spacing w:line="400" w:lineRule="exact"/>
              <w:jc w:val="center"/>
              <w:rPr>
                <w:rFonts w:hint="eastAsia" w:ascii="宋体" w:hAnsi="宋体"/>
                <w:sz w:val="24"/>
              </w:rPr>
            </w:pPr>
          </w:p>
        </w:tc>
        <w:tc>
          <w:tcPr>
            <w:tcW w:w="560" w:type="dxa"/>
            <w:gridSpan w:val="2"/>
            <w:vMerge w:val="continue"/>
            <w:noWrap w:val="0"/>
            <w:vAlign w:val="center"/>
          </w:tcPr>
          <w:p w14:paraId="131EB8B9">
            <w:pPr>
              <w:spacing w:line="400" w:lineRule="exact"/>
              <w:jc w:val="center"/>
              <w:rPr>
                <w:rFonts w:hint="eastAsia" w:ascii="宋体" w:hAnsi="宋体"/>
                <w:sz w:val="24"/>
              </w:rPr>
            </w:pPr>
          </w:p>
        </w:tc>
        <w:tc>
          <w:tcPr>
            <w:tcW w:w="3173" w:type="dxa"/>
            <w:noWrap w:val="0"/>
            <w:vAlign w:val="center"/>
          </w:tcPr>
          <w:p w14:paraId="51D91C9B">
            <w:pPr>
              <w:spacing w:line="400" w:lineRule="exact"/>
              <w:jc w:val="center"/>
              <w:rPr>
                <w:rFonts w:hint="eastAsia" w:ascii="宋体" w:hAnsi="宋体"/>
                <w:sz w:val="24"/>
              </w:rPr>
            </w:pPr>
            <w:r>
              <w:rPr>
                <w:rFonts w:hint="eastAsia" w:ascii="宋体" w:hAnsi="宋体"/>
                <w:sz w:val="24"/>
              </w:rPr>
              <w:t>体育用地（A4）</w:t>
            </w:r>
          </w:p>
        </w:tc>
        <w:tc>
          <w:tcPr>
            <w:tcW w:w="992" w:type="dxa"/>
            <w:noWrap w:val="0"/>
            <w:vAlign w:val="center"/>
          </w:tcPr>
          <w:p w14:paraId="60DB8FE9">
            <w:pPr>
              <w:spacing w:line="400" w:lineRule="exact"/>
              <w:jc w:val="center"/>
              <w:rPr>
                <w:rFonts w:hint="eastAsia" w:ascii="宋体" w:hAnsi="宋体"/>
                <w:sz w:val="24"/>
              </w:rPr>
            </w:pPr>
            <w:r>
              <w:rPr>
                <w:rFonts w:hint="eastAsia" w:ascii="宋体" w:hAnsi="宋体"/>
                <w:sz w:val="24"/>
              </w:rPr>
              <w:t>0.42</w:t>
            </w:r>
          </w:p>
        </w:tc>
        <w:tc>
          <w:tcPr>
            <w:tcW w:w="2457" w:type="dxa"/>
            <w:vMerge w:val="continue"/>
            <w:noWrap w:val="0"/>
            <w:vAlign w:val="center"/>
          </w:tcPr>
          <w:p w14:paraId="19ECF0AE">
            <w:pPr>
              <w:spacing w:line="400" w:lineRule="exact"/>
              <w:jc w:val="center"/>
              <w:rPr>
                <w:rFonts w:hint="eastAsia" w:ascii="宋体" w:hAnsi="宋体"/>
                <w:sz w:val="24"/>
              </w:rPr>
            </w:pPr>
          </w:p>
        </w:tc>
        <w:tc>
          <w:tcPr>
            <w:tcW w:w="1323" w:type="dxa"/>
            <w:vMerge w:val="continue"/>
            <w:noWrap w:val="0"/>
            <w:vAlign w:val="top"/>
          </w:tcPr>
          <w:p w14:paraId="3F225B4E">
            <w:pPr>
              <w:spacing w:line="400" w:lineRule="exact"/>
              <w:jc w:val="center"/>
              <w:rPr>
                <w:rFonts w:hint="eastAsia" w:ascii="宋体" w:hAnsi="宋体"/>
                <w:sz w:val="24"/>
              </w:rPr>
            </w:pPr>
          </w:p>
        </w:tc>
      </w:tr>
      <w:tr w14:paraId="7D8D3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continue"/>
            <w:noWrap w:val="0"/>
            <w:vAlign w:val="center"/>
          </w:tcPr>
          <w:p w14:paraId="23B91709">
            <w:pPr>
              <w:spacing w:line="400" w:lineRule="exact"/>
              <w:jc w:val="center"/>
              <w:rPr>
                <w:rFonts w:ascii="宋体" w:hAnsi="宋体"/>
                <w:sz w:val="24"/>
              </w:rPr>
            </w:pPr>
          </w:p>
        </w:tc>
        <w:tc>
          <w:tcPr>
            <w:tcW w:w="576" w:type="dxa"/>
            <w:vMerge w:val="continue"/>
            <w:noWrap w:val="0"/>
            <w:vAlign w:val="center"/>
          </w:tcPr>
          <w:p w14:paraId="044A7948">
            <w:pPr>
              <w:spacing w:line="400" w:lineRule="exact"/>
              <w:jc w:val="center"/>
              <w:rPr>
                <w:rFonts w:hint="eastAsia" w:ascii="宋体" w:hAnsi="宋体"/>
                <w:sz w:val="24"/>
              </w:rPr>
            </w:pPr>
          </w:p>
        </w:tc>
        <w:tc>
          <w:tcPr>
            <w:tcW w:w="560" w:type="dxa"/>
            <w:gridSpan w:val="2"/>
            <w:vMerge w:val="continue"/>
            <w:noWrap w:val="0"/>
            <w:vAlign w:val="center"/>
          </w:tcPr>
          <w:p w14:paraId="0ECD84BD">
            <w:pPr>
              <w:spacing w:line="400" w:lineRule="exact"/>
              <w:jc w:val="center"/>
              <w:rPr>
                <w:rFonts w:hint="eastAsia" w:ascii="宋体" w:hAnsi="宋体"/>
                <w:sz w:val="24"/>
              </w:rPr>
            </w:pPr>
          </w:p>
        </w:tc>
        <w:tc>
          <w:tcPr>
            <w:tcW w:w="3173" w:type="dxa"/>
            <w:noWrap w:val="0"/>
            <w:vAlign w:val="center"/>
          </w:tcPr>
          <w:p w14:paraId="58EF1A26">
            <w:pPr>
              <w:spacing w:line="400" w:lineRule="exact"/>
              <w:jc w:val="center"/>
              <w:rPr>
                <w:rFonts w:hint="eastAsia" w:ascii="宋体" w:hAnsi="宋体"/>
                <w:sz w:val="24"/>
              </w:rPr>
            </w:pPr>
            <w:r>
              <w:rPr>
                <w:rFonts w:hint="eastAsia" w:ascii="宋体" w:hAnsi="宋体"/>
                <w:sz w:val="24"/>
              </w:rPr>
              <w:t>医疗卫生用地（A5）</w:t>
            </w:r>
          </w:p>
        </w:tc>
        <w:tc>
          <w:tcPr>
            <w:tcW w:w="992" w:type="dxa"/>
            <w:noWrap w:val="0"/>
            <w:vAlign w:val="center"/>
          </w:tcPr>
          <w:p w14:paraId="40AC0859">
            <w:pPr>
              <w:spacing w:line="400" w:lineRule="exact"/>
              <w:jc w:val="center"/>
              <w:rPr>
                <w:rFonts w:hint="eastAsia" w:ascii="宋体" w:hAnsi="宋体"/>
                <w:sz w:val="24"/>
              </w:rPr>
            </w:pPr>
            <w:r>
              <w:rPr>
                <w:rFonts w:hint="eastAsia" w:ascii="宋体" w:hAnsi="宋体"/>
                <w:sz w:val="24"/>
              </w:rPr>
              <w:t>0.</w:t>
            </w:r>
            <w:r>
              <w:rPr>
                <w:rFonts w:ascii="宋体" w:hAnsi="宋体"/>
                <w:sz w:val="24"/>
              </w:rPr>
              <w:t>32</w:t>
            </w:r>
          </w:p>
        </w:tc>
        <w:tc>
          <w:tcPr>
            <w:tcW w:w="2457" w:type="dxa"/>
            <w:vMerge w:val="continue"/>
            <w:noWrap w:val="0"/>
            <w:vAlign w:val="center"/>
          </w:tcPr>
          <w:p w14:paraId="421D50E3">
            <w:pPr>
              <w:spacing w:line="400" w:lineRule="exact"/>
              <w:jc w:val="center"/>
              <w:rPr>
                <w:rFonts w:hint="eastAsia" w:ascii="宋体" w:hAnsi="宋体"/>
                <w:sz w:val="24"/>
              </w:rPr>
            </w:pPr>
          </w:p>
        </w:tc>
        <w:tc>
          <w:tcPr>
            <w:tcW w:w="1323" w:type="dxa"/>
            <w:vMerge w:val="continue"/>
            <w:noWrap w:val="0"/>
            <w:vAlign w:val="top"/>
          </w:tcPr>
          <w:p w14:paraId="43111F85">
            <w:pPr>
              <w:spacing w:line="400" w:lineRule="exact"/>
              <w:jc w:val="center"/>
              <w:rPr>
                <w:rFonts w:hint="eastAsia" w:ascii="宋体" w:hAnsi="宋体"/>
                <w:sz w:val="24"/>
              </w:rPr>
            </w:pPr>
          </w:p>
        </w:tc>
      </w:tr>
      <w:tr w14:paraId="3B9E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continue"/>
            <w:noWrap w:val="0"/>
            <w:vAlign w:val="center"/>
          </w:tcPr>
          <w:p w14:paraId="01BF781F">
            <w:pPr>
              <w:spacing w:line="400" w:lineRule="exact"/>
              <w:jc w:val="center"/>
              <w:rPr>
                <w:rFonts w:ascii="宋体" w:hAnsi="宋体"/>
                <w:sz w:val="24"/>
              </w:rPr>
            </w:pPr>
          </w:p>
        </w:tc>
        <w:tc>
          <w:tcPr>
            <w:tcW w:w="576" w:type="dxa"/>
            <w:vMerge w:val="continue"/>
            <w:noWrap w:val="0"/>
            <w:vAlign w:val="center"/>
          </w:tcPr>
          <w:p w14:paraId="152D3D11">
            <w:pPr>
              <w:spacing w:line="400" w:lineRule="exact"/>
              <w:jc w:val="center"/>
              <w:rPr>
                <w:rFonts w:hint="eastAsia" w:ascii="宋体" w:hAnsi="宋体"/>
                <w:sz w:val="24"/>
              </w:rPr>
            </w:pPr>
          </w:p>
        </w:tc>
        <w:tc>
          <w:tcPr>
            <w:tcW w:w="560" w:type="dxa"/>
            <w:gridSpan w:val="2"/>
            <w:vMerge w:val="continue"/>
            <w:noWrap w:val="0"/>
            <w:vAlign w:val="center"/>
          </w:tcPr>
          <w:p w14:paraId="7B582BDA">
            <w:pPr>
              <w:spacing w:line="400" w:lineRule="exact"/>
              <w:jc w:val="center"/>
              <w:rPr>
                <w:rFonts w:hint="eastAsia" w:ascii="宋体" w:hAnsi="宋体"/>
                <w:sz w:val="24"/>
              </w:rPr>
            </w:pPr>
          </w:p>
        </w:tc>
        <w:tc>
          <w:tcPr>
            <w:tcW w:w="3173" w:type="dxa"/>
            <w:noWrap w:val="0"/>
            <w:vAlign w:val="center"/>
          </w:tcPr>
          <w:p w14:paraId="228D6457">
            <w:pPr>
              <w:spacing w:line="400" w:lineRule="exact"/>
              <w:jc w:val="center"/>
              <w:rPr>
                <w:rFonts w:hint="eastAsia" w:ascii="宋体" w:hAnsi="宋体"/>
                <w:sz w:val="24"/>
              </w:rPr>
            </w:pPr>
            <w:r>
              <w:rPr>
                <w:rFonts w:hint="eastAsia" w:ascii="宋体" w:hAnsi="宋体"/>
                <w:sz w:val="24"/>
              </w:rPr>
              <w:t>社会福利用地（A6）</w:t>
            </w:r>
          </w:p>
        </w:tc>
        <w:tc>
          <w:tcPr>
            <w:tcW w:w="992" w:type="dxa"/>
            <w:noWrap w:val="0"/>
            <w:vAlign w:val="center"/>
          </w:tcPr>
          <w:p w14:paraId="43782C32">
            <w:pPr>
              <w:spacing w:line="400" w:lineRule="exact"/>
              <w:jc w:val="center"/>
              <w:rPr>
                <w:rFonts w:hint="eastAsia" w:ascii="宋体" w:hAnsi="宋体"/>
                <w:sz w:val="24"/>
              </w:rPr>
            </w:pPr>
            <w:r>
              <w:rPr>
                <w:rFonts w:hint="eastAsia" w:ascii="宋体" w:hAnsi="宋体"/>
                <w:sz w:val="24"/>
              </w:rPr>
              <w:t>2.54</w:t>
            </w:r>
          </w:p>
        </w:tc>
        <w:tc>
          <w:tcPr>
            <w:tcW w:w="2457" w:type="dxa"/>
            <w:vMerge w:val="continue"/>
            <w:noWrap w:val="0"/>
            <w:vAlign w:val="center"/>
          </w:tcPr>
          <w:p w14:paraId="0BB7CD13">
            <w:pPr>
              <w:spacing w:line="400" w:lineRule="exact"/>
              <w:jc w:val="center"/>
              <w:rPr>
                <w:rFonts w:hint="eastAsia" w:ascii="宋体" w:hAnsi="宋体"/>
                <w:sz w:val="24"/>
              </w:rPr>
            </w:pPr>
          </w:p>
        </w:tc>
        <w:tc>
          <w:tcPr>
            <w:tcW w:w="1323" w:type="dxa"/>
            <w:vMerge w:val="continue"/>
            <w:noWrap w:val="0"/>
            <w:vAlign w:val="top"/>
          </w:tcPr>
          <w:p w14:paraId="0374CD56">
            <w:pPr>
              <w:spacing w:line="400" w:lineRule="exact"/>
              <w:jc w:val="center"/>
              <w:rPr>
                <w:rFonts w:hint="eastAsia" w:ascii="宋体" w:hAnsi="宋体"/>
                <w:sz w:val="24"/>
              </w:rPr>
            </w:pPr>
          </w:p>
        </w:tc>
      </w:tr>
      <w:tr w14:paraId="6B936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continue"/>
            <w:noWrap w:val="0"/>
            <w:vAlign w:val="center"/>
          </w:tcPr>
          <w:p w14:paraId="2FFE9467">
            <w:pPr>
              <w:spacing w:line="400" w:lineRule="exact"/>
              <w:jc w:val="center"/>
              <w:rPr>
                <w:rFonts w:ascii="宋体" w:hAnsi="宋体"/>
                <w:sz w:val="24"/>
              </w:rPr>
            </w:pPr>
          </w:p>
        </w:tc>
        <w:tc>
          <w:tcPr>
            <w:tcW w:w="576" w:type="dxa"/>
            <w:vMerge w:val="continue"/>
            <w:noWrap w:val="0"/>
            <w:vAlign w:val="center"/>
          </w:tcPr>
          <w:p w14:paraId="02BA7EB3">
            <w:pPr>
              <w:spacing w:line="400" w:lineRule="exact"/>
              <w:jc w:val="center"/>
              <w:rPr>
                <w:rFonts w:hint="eastAsia" w:ascii="宋体" w:hAnsi="宋体"/>
                <w:sz w:val="24"/>
              </w:rPr>
            </w:pPr>
          </w:p>
        </w:tc>
        <w:tc>
          <w:tcPr>
            <w:tcW w:w="560" w:type="dxa"/>
            <w:gridSpan w:val="2"/>
            <w:vMerge w:val="continue"/>
            <w:noWrap w:val="0"/>
            <w:vAlign w:val="center"/>
          </w:tcPr>
          <w:p w14:paraId="43E568CB">
            <w:pPr>
              <w:spacing w:line="400" w:lineRule="exact"/>
              <w:jc w:val="center"/>
              <w:rPr>
                <w:rFonts w:hint="eastAsia" w:ascii="宋体" w:hAnsi="宋体"/>
                <w:sz w:val="24"/>
              </w:rPr>
            </w:pPr>
          </w:p>
        </w:tc>
        <w:tc>
          <w:tcPr>
            <w:tcW w:w="3173" w:type="dxa"/>
            <w:noWrap w:val="0"/>
            <w:vAlign w:val="center"/>
          </w:tcPr>
          <w:p w14:paraId="32D8C1CF">
            <w:pPr>
              <w:spacing w:line="400" w:lineRule="exact"/>
              <w:jc w:val="center"/>
              <w:rPr>
                <w:rFonts w:hint="eastAsia" w:ascii="宋体" w:hAnsi="宋体"/>
                <w:sz w:val="24"/>
              </w:rPr>
            </w:pPr>
            <w:r>
              <w:rPr>
                <w:rFonts w:hint="eastAsia" w:ascii="宋体" w:hAnsi="宋体"/>
                <w:sz w:val="24"/>
              </w:rPr>
              <w:t>宗教用地（A7）</w:t>
            </w:r>
          </w:p>
        </w:tc>
        <w:tc>
          <w:tcPr>
            <w:tcW w:w="992" w:type="dxa"/>
            <w:noWrap w:val="0"/>
            <w:vAlign w:val="center"/>
          </w:tcPr>
          <w:p w14:paraId="53576837">
            <w:pPr>
              <w:spacing w:line="400" w:lineRule="exact"/>
              <w:jc w:val="center"/>
              <w:rPr>
                <w:rFonts w:hint="eastAsia" w:ascii="宋体" w:hAnsi="宋体"/>
                <w:sz w:val="24"/>
              </w:rPr>
            </w:pPr>
            <w:r>
              <w:rPr>
                <w:rFonts w:hint="eastAsia" w:ascii="宋体" w:hAnsi="宋体"/>
                <w:sz w:val="24"/>
              </w:rPr>
              <w:t>3.20</w:t>
            </w:r>
          </w:p>
        </w:tc>
        <w:tc>
          <w:tcPr>
            <w:tcW w:w="2457" w:type="dxa"/>
            <w:vMerge w:val="continue"/>
            <w:noWrap w:val="0"/>
            <w:vAlign w:val="center"/>
          </w:tcPr>
          <w:p w14:paraId="21B10FF4">
            <w:pPr>
              <w:spacing w:line="400" w:lineRule="exact"/>
              <w:jc w:val="center"/>
              <w:rPr>
                <w:rFonts w:hint="eastAsia" w:ascii="宋体" w:hAnsi="宋体"/>
                <w:sz w:val="24"/>
              </w:rPr>
            </w:pPr>
          </w:p>
        </w:tc>
        <w:tc>
          <w:tcPr>
            <w:tcW w:w="1323" w:type="dxa"/>
            <w:vMerge w:val="continue"/>
            <w:noWrap w:val="0"/>
            <w:vAlign w:val="top"/>
          </w:tcPr>
          <w:p w14:paraId="2B07A020">
            <w:pPr>
              <w:spacing w:line="400" w:lineRule="exact"/>
              <w:jc w:val="center"/>
              <w:rPr>
                <w:rFonts w:hint="eastAsia" w:ascii="宋体" w:hAnsi="宋体"/>
                <w:sz w:val="24"/>
              </w:rPr>
            </w:pPr>
          </w:p>
        </w:tc>
      </w:tr>
      <w:tr w14:paraId="51AAA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restart"/>
            <w:noWrap w:val="0"/>
            <w:vAlign w:val="center"/>
          </w:tcPr>
          <w:p w14:paraId="6FFC0BCC">
            <w:pPr>
              <w:spacing w:line="400" w:lineRule="exact"/>
              <w:jc w:val="center"/>
              <w:rPr>
                <w:rFonts w:ascii="宋体" w:hAnsi="宋体"/>
                <w:sz w:val="24"/>
              </w:rPr>
            </w:pPr>
            <w:r>
              <w:rPr>
                <w:rFonts w:ascii="宋体" w:hAnsi="宋体"/>
                <w:sz w:val="24"/>
              </w:rPr>
              <w:t>3</w:t>
            </w:r>
          </w:p>
        </w:tc>
        <w:tc>
          <w:tcPr>
            <w:tcW w:w="576" w:type="dxa"/>
            <w:vMerge w:val="restart"/>
            <w:noWrap w:val="0"/>
            <w:vAlign w:val="center"/>
          </w:tcPr>
          <w:p w14:paraId="5EB23F0E">
            <w:pPr>
              <w:spacing w:line="400" w:lineRule="exact"/>
              <w:jc w:val="center"/>
              <w:rPr>
                <w:rFonts w:hint="eastAsia" w:ascii="宋体" w:hAnsi="宋体"/>
                <w:sz w:val="24"/>
              </w:rPr>
            </w:pPr>
            <w:r>
              <w:rPr>
                <w:rFonts w:hint="eastAsia" w:ascii="宋体" w:hAnsi="宋体"/>
                <w:sz w:val="24"/>
              </w:rPr>
              <w:t>B</w:t>
            </w:r>
          </w:p>
        </w:tc>
        <w:tc>
          <w:tcPr>
            <w:tcW w:w="3733" w:type="dxa"/>
            <w:gridSpan w:val="3"/>
            <w:noWrap w:val="0"/>
            <w:vAlign w:val="center"/>
          </w:tcPr>
          <w:p w14:paraId="2410B2E7">
            <w:pPr>
              <w:spacing w:line="400" w:lineRule="exact"/>
              <w:jc w:val="center"/>
              <w:rPr>
                <w:rFonts w:hint="eastAsia" w:ascii="宋体" w:hAnsi="宋体"/>
                <w:sz w:val="24"/>
              </w:rPr>
            </w:pPr>
            <w:r>
              <w:rPr>
                <w:rFonts w:hint="eastAsia" w:ascii="宋体" w:hAnsi="宋体"/>
                <w:sz w:val="24"/>
              </w:rPr>
              <w:t>商业服务业设施用地（B）</w:t>
            </w:r>
          </w:p>
        </w:tc>
        <w:tc>
          <w:tcPr>
            <w:tcW w:w="992" w:type="dxa"/>
            <w:noWrap w:val="0"/>
            <w:vAlign w:val="center"/>
          </w:tcPr>
          <w:p w14:paraId="4D55187D">
            <w:pPr>
              <w:spacing w:line="400" w:lineRule="exact"/>
              <w:jc w:val="center"/>
              <w:rPr>
                <w:rFonts w:hint="eastAsia" w:ascii="宋体" w:hAnsi="宋体"/>
                <w:sz w:val="24"/>
              </w:rPr>
            </w:pPr>
            <w:r>
              <w:rPr>
                <w:rFonts w:ascii="宋体" w:hAnsi="宋体"/>
                <w:sz w:val="24"/>
              </w:rPr>
              <w:t>17.51</w:t>
            </w:r>
          </w:p>
        </w:tc>
        <w:tc>
          <w:tcPr>
            <w:tcW w:w="2457" w:type="dxa"/>
            <w:noWrap w:val="0"/>
            <w:vAlign w:val="center"/>
          </w:tcPr>
          <w:p w14:paraId="31D73AF5">
            <w:pPr>
              <w:spacing w:line="400" w:lineRule="exact"/>
              <w:jc w:val="center"/>
              <w:rPr>
                <w:rFonts w:hint="eastAsia" w:ascii="宋体" w:hAnsi="宋体"/>
                <w:sz w:val="24"/>
              </w:rPr>
            </w:pPr>
            <w:r>
              <w:rPr>
                <w:rFonts w:ascii="宋体" w:hAnsi="宋体"/>
                <w:sz w:val="24"/>
              </w:rPr>
              <w:t>18.61</w:t>
            </w:r>
          </w:p>
        </w:tc>
        <w:tc>
          <w:tcPr>
            <w:tcW w:w="1323" w:type="dxa"/>
            <w:noWrap w:val="0"/>
            <w:vAlign w:val="top"/>
          </w:tcPr>
          <w:p w14:paraId="60B24C23">
            <w:pPr>
              <w:spacing w:line="400" w:lineRule="exact"/>
              <w:jc w:val="center"/>
              <w:rPr>
                <w:rFonts w:hint="eastAsia" w:ascii="宋体" w:hAnsi="宋体"/>
                <w:sz w:val="24"/>
              </w:rPr>
            </w:pPr>
          </w:p>
        </w:tc>
      </w:tr>
      <w:tr w14:paraId="3EAAD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continue"/>
            <w:shd w:val="clear" w:color="auto" w:fill="auto"/>
            <w:noWrap w:val="0"/>
            <w:vAlign w:val="center"/>
          </w:tcPr>
          <w:p w14:paraId="29E02D43">
            <w:pPr>
              <w:spacing w:line="400" w:lineRule="exact"/>
              <w:jc w:val="center"/>
              <w:rPr>
                <w:rFonts w:ascii="宋体" w:hAnsi="宋体"/>
                <w:sz w:val="24"/>
              </w:rPr>
            </w:pPr>
          </w:p>
        </w:tc>
        <w:tc>
          <w:tcPr>
            <w:tcW w:w="576" w:type="dxa"/>
            <w:vMerge w:val="continue"/>
            <w:shd w:val="clear" w:color="auto" w:fill="auto"/>
            <w:noWrap w:val="0"/>
            <w:vAlign w:val="center"/>
          </w:tcPr>
          <w:p w14:paraId="047E87BB">
            <w:pPr>
              <w:spacing w:line="400" w:lineRule="exact"/>
              <w:jc w:val="center"/>
              <w:rPr>
                <w:rFonts w:hint="eastAsia" w:ascii="宋体" w:hAnsi="宋体"/>
                <w:sz w:val="24"/>
              </w:rPr>
            </w:pPr>
          </w:p>
        </w:tc>
        <w:tc>
          <w:tcPr>
            <w:tcW w:w="560" w:type="dxa"/>
            <w:gridSpan w:val="2"/>
            <w:vMerge w:val="restart"/>
            <w:shd w:val="clear" w:color="auto" w:fill="auto"/>
            <w:noWrap w:val="0"/>
            <w:vAlign w:val="center"/>
          </w:tcPr>
          <w:p w14:paraId="2F57C7FB">
            <w:pPr>
              <w:spacing w:line="400" w:lineRule="exact"/>
              <w:jc w:val="center"/>
              <w:rPr>
                <w:rFonts w:hint="eastAsia" w:ascii="宋体" w:hAnsi="宋体"/>
                <w:sz w:val="24"/>
              </w:rPr>
            </w:pPr>
            <w:r>
              <w:rPr>
                <w:rFonts w:hint="eastAsia" w:ascii="宋体" w:hAnsi="宋体"/>
                <w:sz w:val="24"/>
              </w:rPr>
              <w:t>其中</w:t>
            </w:r>
          </w:p>
        </w:tc>
        <w:tc>
          <w:tcPr>
            <w:tcW w:w="3173" w:type="dxa"/>
            <w:shd w:val="clear" w:color="auto" w:fill="auto"/>
            <w:noWrap w:val="0"/>
            <w:vAlign w:val="center"/>
          </w:tcPr>
          <w:p w14:paraId="314D29AE">
            <w:pPr>
              <w:spacing w:line="400" w:lineRule="exact"/>
              <w:jc w:val="center"/>
              <w:rPr>
                <w:rFonts w:hint="eastAsia" w:ascii="宋体" w:hAnsi="宋体"/>
                <w:sz w:val="24"/>
              </w:rPr>
            </w:pPr>
            <w:r>
              <w:rPr>
                <w:rFonts w:hint="eastAsia" w:ascii="宋体" w:hAnsi="宋体"/>
                <w:sz w:val="24"/>
              </w:rPr>
              <w:t>商业设施用地（B1）</w:t>
            </w:r>
          </w:p>
        </w:tc>
        <w:tc>
          <w:tcPr>
            <w:tcW w:w="992" w:type="dxa"/>
            <w:noWrap w:val="0"/>
            <w:vAlign w:val="center"/>
          </w:tcPr>
          <w:p w14:paraId="4A22340C">
            <w:pPr>
              <w:spacing w:line="400" w:lineRule="exact"/>
              <w:jc w:val="center"/>
              <w:rPr>
                <w:rFonts w:hint="eastAsia" w:ascii="宋体" w:hAnsi="宋体"/>
                <w:sz w:val="24"/>
              </w:rPr>
            </w:pPr>
            <w:r>
              <w:rPr>
                <w:rFonts w:ascii="宋体" w:hAnsi="宋体"/>
                <w:sz w:val="24"/>
              </w:rPr>
              <w:t>14.40</w:t>
            </w:r>
          </w:p>
        </w:tc>
        <w:tc>
          <w:tcPr>
            <w:tcW w:w="2457" w:type="dxa"/>
            <w:noWrap w:val="0"/>
            <w:vAlign w:val="center"/>
          </w:tcPr>
          <w:p w14:paraId="7D2A41A9">
            <w:pPr>
              <w:spacing w:line="400" w:lineRule="exact"/>
              <w:jc w:val="center"/>
              <w:rPr>
                <w:rFonts w:hint="eastAsia" w:ascii="宋体" w:hAnsi="宋体"/>
                <w:sz w:val="24"/>
              </w:rPr>
            </w:pPr>
          </w:p>
        </w:tc>
        <w:tc>
          <w:tcPr>
            <w:tcW w:w="1323" w:type="dxa"/>
            <w:noWrap w:val="0"/>
            <w:vAlign w:val="top"/>
          </w:tcPr>
          <w:p w14:paraId="5B0D301A">
            <w:pPr>
              <w:spacing w:line="400" w:lineRule="exact"/>
              <w:jc w:val="center"/>
              <w:rPr>
                <w:rFonts w:hint="eastAsia" w:ascii="宋体" w:hAnsi="宋体"/>
                <w:sz w:val="24"/>
              </w:rPr>
            </w:pPr>
          </w:p>
        </w:tc>
      </w:tr>
      <w:tr w14:paraId="42BBA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continue"/>
            <w:shd w:val="clear" w:color="auto" w:fill="auto"/>
            <w:noWrap w:val="0"/>
            <w:vAlign w:val="center"/>
          </w:tcPr>
          <w:p w14:paraId="45E2758C">
            <w:pPr>
              <w:spacing w:line="400" w:lineRule="exact"/>
              <w:jc w:val="center"/>
              <w:rPr>
                <w:rFonts w:ascii="宋体" w:hAnsi="宋体"/>
                <w:sz w:val="24"/>
              </w:rPr>
            </w:pPr>
          </w:p>
        </w:tc>
        <w:tc>
          <w:tcPr>
            <w:tcW w:w="576" w:type="dxa"/>
            <w:vMerge w:val="continue"/>
            <w:shd w:val="clear" w:color="auto" w:fill="auto"/>
            <w:noWrap w:val="0"/>
            <w:vAlign w:val="center"/>
          </w:tcPr>
          <w:p w14:paraId="46C3F011">
            <w:pPr>
              <w:spacing w:line="400" w:lineRule="exact"/>
              <w:jc w:val="center"/>
              <w:rPr>
                <w:rFonts w:hint="eastAsia" w:ascii="宋体" w:hAnsi="宋体"/>
                <w:sz w:val="24"/>
              </w:rPr>
            </w:pPr>
          </w:p>
        </w:tc>
        <w:tc>
          <w:tcPr>
            <w:tcW w:w="560" w:type="dxa"/>
            <w:gridSpan w:val="2"/>
            <w:vMerge w:val="continue"/>
            <w:shd w:val="clear" w:color="auto" w:fill="auto"/>
            <w:noWrap w:val="0"/>
            <w:vAlign w:val="center"/>
          </w:tcPr>
          <w:p w14:paraId="5FC6E866">
            <w:pPr>
              <w:spacing w:line="400" w:lineRule="exact"/>
              <w:jc w:val="center"/>
              <w:rPr>
                <w:rFonts w:hint="eastAsia" w:ascii="宋体" w:hAnsi="宋体"/>
                <w:sz w:val="24"/>
              </w:rPr>
            </w:pPr>
          </w:p>
        </w:tc>
        <w:tc>
          <w:tcPr>
            <w:tcW w:w="3173" w:type="dxa"/>
            <w:shd w:val="clear" w:color="auto" w:fill="auto"/>
            <w:noWrap w:val="0"/>
            <w:vAlign w:val="center"/>
          </w:tcPr>
          <w:p w14:paraId="347831DA">
            <w:pPr>
              <w:spacing w:line="400" w:lineRule="exact"/>
              <w:jc w:val="center"/>
              <w:rPr>
                <w:rFonts w:hint="eastAsia" w:ascii="宋体" w:hAnsi="宋体"/>
                <w:sz w:val="24"/>
              </w:rPr>
            </w:pPr>
            <w:r>
              <w:rPr>
                <w:rFonts w:hint="eastAsia" w:ascii="宋体" w:hAnsi="宋体"/>
                <w:sz w:val="24"/>
              </w:rPr>
              <w:t>商务设施用地（B2）</w:t>
            </w:r>
          </w:p>
        </w:tc>
        <w:tc>
          <w:tcPr>
            <w:tcW w:w="992" w:type="dxa"/>
            <w:noWrap w:val="0"/>
            <w:vAlign w:val="center"/>
          </w:tcPr>
          <w:p w14:paraId="647E9D4D">
            <w:pPr>
              <w:spacing w:line="400" w:lineRule="exact"/>
              <w:jc w:val="center"/>
              <w:rPr>
                <w:rFonts w:hint="eastAsia" w:ascii="宋体" w:hAnsi="宋体"/>
                <w:sz w:val="24"/>
              </w:rPr>
            </w:pPr>
            <w:r>
              <w:rPr>
                <w:rFonts w:hint="eastAsia" w:ascii="宋体" w:hAnsi="宋体"/>
                <w:sz w:val="24"/>
              </w:rPr>
              <w:t>-</w:t>
            </w:r>
          </w:p>
        </w:tc>
        <w:tc>
          <w:tcPr>
            <w:tcW w:w="2457" w:type="dxa"/>
            <w:noWrap w:val="0"/>
            <w:vAlign w:val="center"/>
          </w:tcPr>
          <w:p w14:paraId="709C3583">
            <w:pPr>
              <w:spacing w:line="400" w:lineRule="exact"/>
              <w:jc w:val="center"/>
              <w:rPr>
                <w:rFonts w:hint="eastAsia" w:ascii="宋体" w:hAnsi="宋体"/>
                <w:sz w:val="24"/>
              </w:rPr>
            </w:pPr>
          </w:p>
        </w:tc>
        <w:tc>
          <w:tcPr>
            <w:tcW w:w="1323" w:type="dxa"/>
            <w:noWrap w:val="0"/>
            <w:vAlign w:val="top"/>
          </w:tcPr>
          <w:p w14:paraId="3A352390">
            <w:pPr>
              <w:spacing w:line="400" w:lineRule="exact"/>
              <w:jc w:val="center"/>
              <w:rPr>
                <w:rFonts w:hint="eastAsia" w:ascii="宋体" w:hAnsi="宋体"/>
                <w:sz w:val="24"/>
              </w:rPr>
            </w:pPr>
          </w:p>
        </w:tc>
      </w:tr>
      <w:tr w14:paraId="4F020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continue"/>
            <w:shd w:val="clear" w:color="auto" w:fill="auto"/>
            <w:noWrap w:val="0"/>
            <w:vAlign w:val="center"/>
          </w:tcPr>
          <w:p w14:paraId="08042338">
            <w:pPr>
              <w:spacing w:line="400" w:lineRule="exact"/>
              <w:jc w:val="center"/>
              <w:rPr>
                <w:rFonts w:ascii="宋体" w:hAnsi="宋体"/>
                <w:sz w:val="24"/>
              </w:rPr>
            </w:pPr>
          </w:p>
        </w:tc>
        <w:tc>
          <w:tcPr>
            <w:tcW w:w="576" w:type="dxa"/>
            <w:vMerge w:val="continue"/>
            <w:shd w:val="clear" w:color="auto" w:fill="auto"/>
            <w:noWrap w:val="0"/>
            <w:vAlign w:val="center"/>
          </w:tcPr>
          <w:p w14:paraId="3D2B4DA6">
            <w:pPr>
              <w:spacing w:line="400" w:lineRule="exact"/>
              <w:jc w:val="center"/>
              <w:rPr>
                <w:rFonts w:hint="eastAsia" w:ascii="宋体" w:hAnsi="宋体"/>
                <w:sz w:val="24"/>
              </w:rPr>
            </w:pPr>
          </w:p>
        </w:tc>
        <w:tc>
          <w:tcPr>
            <w:tcW w:w="560" w:type="dxa"/>
            <w:gridSpan w:val="2"/>
            <w:vMerge w:val="continue"/>
            <w:shd w:val="clear" w:color="auto" w:fill="auto"/>
            <w:noWrap w:val="0"/>
            <w:vAlign w:val="center"/>
          </w:tcPr>
          <w:p w14:paraId="18FF246D">
            <w:pPr>
              <w:spacing w:line="400" w:lineRule="exact"/>
              <w:jc w:val="center"/>
              <w:rPr>
                <w:rFonts w:hint="eastAsia" w:ascii="宋体" w:hAnsi="宋体"/>
                <w:sz w:val="24"/>
              </w:rPr>
            </w:pPr>
          </w:p>
        </w:tc>
        <w:tc>
          <w:tcPr>
            <w:tcW w:w="3173" w:type="dxa"/>
            <w:shd w:val="clear" w:color="auto" w:fill="auto"/>
            <w:noWrap w:val="0"/>
            <w:vAlign w:val="center"/>
          </w:tcPr>
          <w:p w14:paraId="4CC8657C">
            <w:pPr>
              <w:spacing w:line="400" w:lineRule="exact"/>
              <w:jc w:val="center"/>
              <w:rPr>
                <w:rFonts w:hint="eastAsia" w:ascii="宋体" w:hAnsi="宋体"/>
                <w:sz w:val="24"/>
              </w:rPr>
            </w:pPr>
            <w:r>
              <w:rPr>
                <w:rFonts w:hint="eastAsia" w:ascii="宋体" w:hAnsi="宋体"/>
                <w:sz w:val="24"/>
              </w:rPr>
              <w:t>娱乐康体用地（B3）</w:t>
            </w:r>
          </w:p>
        </w:tc>
        <w:tc>
          <w:tcPr>
            <w:tcW w:w="992" w:type="dxa"/>
            <w:noWrap w:val="0"/>
            <w:vAlign w:val="center"/>
          </w:tcPr>
          <w:p w14:paraId="17A1F910">
            <w:pPr>
              <w:spacing w:line="400" w:lineRule="exact"/>
              <w:jc w:val="center"/>
              <w:rPr>
                <w:rFonts w:hint="eastAsia" w:ascii="宋体" w:hAnsi="宋体"/>
                <w:sz w:val="24"/>
              </w:rPr>
            </w:pPr>
            <w:r>
              <w:rPr>
                <w:rFonts w:hint="eastAsia" w:ascii="宋体" w:hAnsi="宋体"/>
                <w:sz w:val="24"/>
              </w:rPr>
              <w:t>0.08</w:t>
            </w:r>
          </w:p>
        </w:tc>
        <w:tc>
          <w:tcPr>
            <w:tcW w:w="2457" w:type="dxa"/>
            <w:noWrap w:val="0"/>
            <w:vAlign w:val="center"/>
          </w:tcPr>
          <w:p w14:paraId="7AF31324">
            <w:pPr>
              <w:spacing w:line="400" w:lineRule="exact"/>
              <w:jc w:val="center"/>
              <w:rPr>
                <w:rFonts w:hint="eastAsia" w:ascii="宋体" w:hAnsi="宋体"/>
                <w:sz w:val="24"/>
              </w:rPr>
            </w:pPr>
          </w:p>
        </w:tc>
        <w:tc>
          <w:tcPr>
            <w:tcW w:w="1323" w:type="dxa"/>
            <w:noWrap w:val="0"/>
            <w:vAlign w:val="top"/>
          </w:tcPr>
          <w:p w14:paraId="0466840B">
            <w:pPr>
              <w:spacing w:line="400" w:lineRule="exact"/>
              <w:jc w:val="center"/>
              <w:rPr>
                <w:rFonts w:hint="eastAsia" w:ascii="宋体" w:hAnsi="宋体"/>
                <w:sz w:val="24"/>
              </w:rPr>
            </w:pPr>
          </w:p>
        </w:tc>
      </w:tr>
      <w:tr w14:paraId="13DC1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continue"/>
            <w:shd w:val="clear" w:color="auto" w:fill="auto"/>
            <w:noWrap w:val="0"/>
            <w:vAlign w:val="center"/>
          </w:tcPr>
          <w:p w14:paraId="3ABBEFE0">
            <w:pPr>
              <w:spacing w:line="400" w:lineRule="exact"/>
              <w:jc w:val="center"/>
              <w:rPr>
                <w:rFonts w:ascii="宋体" w:hAnsi="宋体"/>
                <w:sz w:val="24"/>
              </w:rPr>
            </w:pPr>
          </w:p>
        </w:tc>
        <w:tc>
          <w:tcPr>
            <w:tcW w:w="576" w:type="dxa"/>
            <w:vMerge w:val="continue"/>
            <w:shd w:val="clear" w:color="auto" w:fill="auto"/>
            <w:noWrap w:val="0"/>
            <w:vAlign w:val="center"/>
          </w:tcPr>
          <w:p w14:paraId="20D4106F">
            <w:pPr>
              <w:spacing w:line="400" w:lineRule="exact"/>
              <w:jc w:val="center"/>
              <w:rPr>
                <w:rFonts w:hint="eastAsia" w:ascii="宋体" w:hAnsi="宋体"/>
                <w:sz w:val="24"/>
              </w:rPr>
            </w:pPr>
          </w:p>
        </w:tc>
        <w:tc>
          <w:tcPr>
            <w:tcW w:w="560" w:type="dxa"/>
            <w:gridSpan w:val="2"/>
            <w:vMerge w:val="continue"/>
            <w:shd w:val="clear" w:color="auto" w:fill="auto"/>
            <w:noWrap w:val="0"/>
            <w:vAlign w:val="center"/>
          </w:tcPr>
          <w:p w14:paraId="7C67BCEF">
            <w:pPr>
              <w:spacing w:line="400" w:lineRule="exact"/>
              <w:jc w:val="center"/>
              <w:rPr>
                <w:rFonts w:hint="eastAsia" w:ascii="宋体" w:hAnsi="宋体"/>
                <w:sz w:val="24"/>
              </w:rPr>
            </w:pPr>
          </w:p>
        </w:tc>
        <w:tc>
          <w:tcPr>
            <w:tcW w:w="3173" w:type="dxa"/>
            <w:shd w:val="clear" w:color="auto" w:fill="auto"/>
            <w:noWrap w:val="0"/>
            <w:vAlign w:val="center"/>
          </w:tcPr>
          <w:p w14:paraId="791592A6">
            <w:pPr>
              <w:spacing w:line="400" w:lineRule="exact"/>
              <w:jc w:val="center"/>
              <w:rPr>
                <w:rFonts w:hint="eastAsia" w:ascii="宋体" w:hAnsi="宋体"/>
                <w:sz w:val="24"/>
              </w:rPr>
            </w:pPr>
            <w:r>
              <w:rPr>
                <w:rFonts w:hint="eastAsia" w:ascii="宋体" w:hAnsi="宋体"/>
                <w:sz w:val="24"/>
              </w:rPr>
              <w:t>公用设施营业网点用地（B4）</w:t>
            </w:r>
          </w:p>
        </w:tc>
        <w:tc>
          <w:tcPr>
            <w:tcW w:w="992" w:type="dxa"/>
            <w:noWrap w:val="0"/>
            <w:vAlign w:val="center"/>
          </w:tcPr>
          <w:p w14:paraId="4B81A586">
            <w:pPr>
              <w:spacing w:line="400" w:lineRule="exact"/>
              <w:jc w:val="center"/>
              <w:rPr>
                <w:rFonts w:hint="eastAsia" w:ascii="宋体" w:hAnsi="宋体"/>
                <w:sz w:val="24"/>
              </w:rPr>
            </w:pPr>
            <w:r>
              <w:rPr>
                <w:rFonts w:hint="eastAsia" w:ascii="宋体" w:hAnsi="宋体"/>
                <w:sz w:val="24"/>
              </w:rPr>
              <w:t>1.</w:t>
            </w:r>
            <w:r>
              <w:rPr>
                <w:rFonts w:ascii="宋体" w:hAnsi="宋体"/>
                <w:sz w:val="24"/>
              </w:rPr>
              <w:t>72</w:t>
            </w:r>
          </w:p>
        </w:tc>
        <w:tc>
          <w:tcPr>
            <w:tcW w:w="2457" w:type="dxa"/>
            <w:noWrap w:val="0"/>
            <w:vAlign w:val="center"/>
          </w:tcPr>
          <w:p w14:paraId="0AAF9797">
            <w:pPr>
              <w:spacing w:line="400" w:lineRule="exact"/>
              <w:jc w:val="center"/>
              <w:rPr>
                <w:rFonts w:hint="eastAsia" w:ascii="宋体" w:hAnsi="宋体"/>
                <w:sz w:val="24"/>
              </w:rPr>
            </w:pPr>
          </w:p>
        </w:tc>
        <w:tc>
          <w:tcPr>
            <w:tcW w:w="1323" w:type="dxa"/>
            <w:noWrap w:val="0"/>
            <w:vAlign w:val="top"/>
          </w:tcPr>
          <w:p w14:paraId="2A0441CD">
            <w:pPr>
              <w:spacing w:line="400" w:lineRule="exact"/>
              <w:jc w:val="center"/>
              <w:rPr>
                <w:rFonts w:hint="eastAsia" w:ascii="宋体" w:hAnsi="宋体"/>
                <w:sz w:val="24"/>
              </w:rPr>
            </w:pPr>
          </w:p>
        </w:tc>
      </w:tr>
      <w:tr w14:paraId="36D04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continue"/>
            <w:shd w:val="clear" w:color="auto" w:fill="auto"/>
            <w:noWrap w:val="0"/>
            <w:vAlign w:val="center"/>
          </w:tcPr>
          <w:p w14:paraId="0A37CE5D">
            <w:pPr>
              <w:spacing w:line="400" w:lineRule="exact"/>
              <w:jc w:val="center"/>
              <w:rPr>
                <w:rFonts w:ascii="宋体" w:hAnsi="宋体"/>
                <w:sz w:val="24"/>
              </w:rPr>
            </w:pPr>
          </w:p>
        </w:tc>
        <w:tc>
          <w:tcPr>
            <w:tcW w:w="576" w:type="dxa"/>
            <w:vMerge w:val="continue"/>
            <w:shd w:val="clear" w:color="auto" w:fill="auto"/>
            <w:noWrap w:val="0"/>
            <w:vAlign w:val="center"/>
          </w:tcPr>
          <w:p w14:paraId="1F8A1ADB">
            <w:pPr>
              <w:spacing w:line="400" w:lineRule="exact"/>
              <w:jc w:val="center"/>
              <w:rPr>
                <w:rFonts w:hint="eastAsia" w:ascii="宋体" w:hAnsi="宋体"/>
                <w:sz w:val="24"/>
              </w:rPr>
            </w:pPr>
          </w:p>
        </w:tc>
        <w:tc>
          <w:tcPr>
            <w:tcW w:w="560" w:type="dxa"/>
            <w:gridSpan w:val="2"/>
            <w:vMerge w:val="continue"/>
            <w:shd w:val="clear" w:color="auto" w:fill="auto"/>
            <w:noWrap w:val="0"/>
            <w:vAlign w:val="center"/>
          </w:tcPr>
          <w:p w14:paraId="3A2EBF70">
            <w:pPr>
              <w:spacing w:line="400" w:lineRule="exact"/>
              <w:jc w:val="center"/>
              <w:rPr>
                <w:rFonts w:hint="eastAsia" w:ascii="宋体" w:hAnsi="宋体"/>
                <w:sz w:val="24"/>
              </w:rPr>
            </w:pPr>
          </w:p>
        </w:tc>
        <w:tc>
          <w:tcPr>
            <w:tcW w:w="3173" w:type="dxa"/>
            <w:shd w:val="clear" w:color="auto" w:fill="auto"/>
            <w:noWrap w:val="0"/>
            <w:vAlign w:val="center"/>
          </w:tcPr>
          <w:p w14:paraId="4A5FD9A4">
            <w:pPr>
              <w:spacing w:line="400" w:lineRule="exact"/>
              <w:jc w:val="center"/>
              <w:rPr>
                <w:rFonts w:hint="eastAsia" w:ascii="宋体" w:hAnsi="宋体"/>
                <w:sz w:val="24"/>
              </w:rPr>
            </w:pPr>
            <w:r>
              <w:rPr>
                <w:rFonts w:hint="eastAsia" w:ascii="宋体" w:hAnsi="宋体"/>
                <w:sz w:val="24"/>
              </w:rPr>
              <w:t>其他服务设施用地（B9）</w:t>
            </w:r>
          </w:p>
        </w:tc>
        <w:tc>
          <w:tcPr>
            <w:tcW w:w="992" w:type="dxa"/>
            <w:noWrap w:val="0"/>
            <w:vAlign w:val="center"/>
          </w:tcPr>
          <w:p w14:paraId="3849D3FD">
            <w:pPr>
              <w:spacing w:line="400" w:lineRule="exact"/>
              <w:jc w:val="center"/>
              <w:rPr>
                <w:rFonts w:hint="eastAsia" w:ascii="宋体" w:hAnsi="宋体"/>
                <w:sz w:val="24"/>
              </w:rPr>
            </w:pPr>
            <w:r>
              <w:rPr>
                <w:rFonts w:hint="eastAsia" w:ascii="宋体" w:hAnsi="宋体"/>
                <w:sz w:val="24"/>
              </w:rPr>
              <w:t>1.31</w:t>
            </w:r>
          </w:p>
        </w:tc>
        <w:tc>
          <w:tcPr>
            <w:tcW w:w="2457" w:type="dxa"/>
            <w:noWrap w:val="0"/>
            <w:vAlign w:val="center"/>
          </w:tcPr>
          <w:p w14:paraId="66BFCF7B">
            <w:pPr>
              <w:spacing w:line="400" w:lineRule="exact"/>
              <w:jc w:val="center"/>
              <w:rPr>
                <w:rFonts w:hint="eastAsia" w:ascii="宋体" w:hAnsi="宋体"/>
                <w:sz w:val="24"/>
              </w:rPr>
            </w:pPr>
          </w:p>
        </w:tc>
        <w:tc>
          <w:tcPr>
            <w:tcW w:w="1323" w:type="dxa"/>
            <w:noWrap w:val="0"/>
            <w:vAlign w:val="top"/>
          </w:tcPr>
          <w:p w14:paraId="021BC895">
            <w:pPr>
              <w:spacing w:line="400" w:lineRule="exact"/>
              <w:jc w:val="center"/>
              <w:rPr>
                <w:rFonts w:hint="eastAsia" w:ascii="宋体" w:hAnsi="宋体"/>
                <w:sz w:val="24"/>
              </w:rPr>
            </w:pPr>
          </w:p>
        </w:tc>
      </w:tr>
      <w:tr w14:paraId="0BB41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restart"/>
            <w:noWrap w:val="0"/>
            <w:vAlign w:val="center"/>
          </w:tcPr>
          <w:p w14:paraId="7F13ECDA">
            <w:pPr>
              <w:spacing w:line="400" w:lineRule="exact"/>
              <w:jc w:val="center"/>
              <w:rPr>
                <w:rFonts w:ascii="宋体" w:hAnsi="宋体"/>
                <w:sz w:val="24"/>
              </w:rPr>
            </w:pPr>
            <w:r>
              <w:rPr>
                <w:rFonts w:ascii="宋体" w:hAnsi="宋体"/>
                <w:sz w:val="24"/>
              </w:rPr>
              <w:t>4</w:t>
            </w:r>
          </w:p>
        </w:tc>
        <w:tc>
          <w:tcPr>
            <w:tcW w:w="576" w:type="dxa"/>
            <w:vMerge w:val="restart"/>
            <w:noWrap w:val="0"/>
            <w:vAlign w:val="center"/>
          </w:tcPr>
          <w:p w14:paraId="2E18F68B">
            <w:pPr>
              <w:spacing w:line="400" w:lineRule="exact"/>
              <w:jc w:val="center"/>
              <w:rPr>
                <w:rFonts w:hint="eastAsia" w:ascii="宋体" w:hAnsi="宋体"/>
                <w:sz w:val="24"/>
              </w:rPr>
            </w:pPr>
            <w:r>
              <w:rPr>
                <w:rFonts w:hint="eastAsia" w:ascii="宋体" w:hAnsi="宋体"/>
                <w:sz w:val="24"/>
              </w:rPr>
              <w:t>M</w:t>
            </w:r>
          </w:p>
        </w:tc>
        <w:tc>
          <w:tcPr>
            <w:tcW w:w="3733" w:type="dxa"/>
            <w:gridSpan w:val="3"/>
            <w:noWrap w:val="0"/>
            <w:vAlign w:val="center"/>
          </w:tcPr>
          <w:p w14:paraId="18669723">
            <w:pPr>
              <w:spacing w:line="400" w:lineRule="exact"/>
              <w:jc w:val="center"/>
              <w:rPr>
                <w:rFonts w:hint="eastAsia" w:ascii="宋体" w:hAnsi="宋体"/>
                <w:sz w:val="24"/>
              </w:rPr>
            </w:pPr>
            <w:r>
              <w:rPr>
                <w:rFonts w:hint="eastAsia" w:ascii="宋体" w:hAnsi="宋体"/>
                <w:sz w:val="24"/>
              </w:rPr>
              <w:t>工业用地</w:t>
            </w:r>
          </w:p>
        </w:tc>
        <w:tc>
          <w:tcPr>
            <w:tcW w:w="992" w:type="dxa"/>
            <w:noWrap w:val="0"/>
            <w:vAlign w:val="center"/>
          </w:tcPr>
          <w:p w14:paraId="077EE34E">
            <w:pPr>
              <w:spacing w:line="400" w:lineRule="exact"/>
              <w:jc w:val="center"/>
              <w:rPr>
                <w:rFonts w:hint="eastAsia" w:ascii="宋体" w:hAnsi="宋体"/>
                <w:sz w:val="24"/>
              </w:rPr>
            </w:pPr>
            <w:r>
              <w:rPr>
                <w:rFonts w:ascii="宋体" w:hAnsi="宋体"/>
                <w:sz w:val="24"/>
              </w:rPr>
              <w:t>2.33</w:t>
            </w:r>
          </w:p>
        </w:tc>
        <w:tc>
          <w:tcPr>
            <w:tcW w:w="2457" w:type="dxa"/>
            <w:noWrap w:val="0"/>
            <w:vAlign w:val="center"/>
          </w:tcPr>
          <w:p w14:paraId="08925CC3">
            <w:pPr>
              <w:spacing w:line="400" w:lineRule="exact"/>
              <w:jc w:val="center"/>
              <w:rPr>
                <w:rFonts w:hint="eastAsia" w:ascii="宋体" w:hAnsi="宋体"/>
                <w:sz w:val="24"/>
              </w:rPr>
            </w:pPr>
            <w:r>
              <w:rPr>
                <w:rFonts w:ascii="宋体" w:hAnsi="宋体"/>
                <w:sz w:val="24"/>
              </w:rPr>
              <w:t>2.48</w:t>
            </w:r>
          </w:p>
        </w:tc>
        <w:tc>
          <w:tcPr>
            <w:tcW w:w="1323" w:type="dxa"/>
            <w:noWrap w:val="0"/>
            <w:vAlign w:val="top"/>
          </w:tcPr>
          <w:p w14:paraId="5ED56FB3">
            <w:pPr>
              <w:spacing w:line="400" w:lineRule="exact"/>
              <w:jc w:val="center"/>
              <w:rPr>
                <w:rFonts w:hint="eastAsia" w:ascii="宋体" w:hAnsi="宋体"/>
                <w:sz w:val="24"/>
              </w:rPr>
            </w:pPr>
          </w:p>
        </w:tc>
      </w:tr>
      <w:tr w14:paraId="19FA3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continue"/>
            <w:noWrap w:val="0"/>
            <w:vAlign w:val="center"/>
          </w:tcPr>
          <w:p w14:paraId="44DBE70B">
            <w:pPr>
              <w:spacing w:line="400" w:lineRule="exact"/>
              <w:jc w:val="center"/>
              <w:rPr>
                <w:rFonts w:ascii="宋体" w:hAnsi="宋体"/>
                <w:sz w:val="24"/>
              </w:rPr>
            </w:pPr>
          </w:p>
        </w:tc>
        <w:tc>
          <w:tcPr>
            <w:tcW w:w="576" w:type="dxa"/>
            <w:vMerge w:val="continue"/>
            <w:noWrap w:val="0"/>
            <w:vAlign w:val="center"/>
          </w:tcPr>
          <w:p w14:paraId="4B15F293">
            <w:pPr>
              <w:spacing w:line="400" w:lineRule="exact"/>
              <w:jc w:val="center"/>
              <w:rPr>
                <w:rFonts w:hint="eastAsia" w:ascii="宋体" w:hAnsi="宋体"/>
                <w:sz w:val="24"/>
              </w:rPr>
            </w:pPr>
          </w:p>
        </w:tc>
        <w:tc>
          <w:tcPr>
            <w:tcW w:w="536" w:type="dxa"/>
            <w:vMerge w:val="restart"/>
            <w:noWrap w:val="0"/>
            <w:vAlign w:val="center"/>
          </w:tcPr>
          <w:p w14:paraId="4B17D710">
            <w:pPr>
              <w:spacing w:line="400" w:lineRule="exact"/>
              <w:jc w:val="center"/>
              <w:rPr>
                <w:rFonts w:hint="eastAsia" w:ascii="宋体" w:hAnsi="宋体"/>
                <w:sz w:val="24"/>
              </w:rPr>
            </w:pPr>
            <w:r>
              <w:rPr>
                <w:rFonts w:hint="eastAsia" w:ascii="宋体" w:hAnsi="宋体"/>
                <w:sz w:val="24"/>
              </w:rPr>
              <w:t>其中</w:t>
            </w:r>
          </w:p>
        </w:tc>
        <w:tc>
          <w:tcPr>
            <w:tcW w:w="3197" w:type="dxa"/>
            <w:gridSpan w:val="2"/>
            <w:noWrap w:val="0"/>
            <w:vAlign w:val="center"/>
          </w:tcPr>
          <w:p w14:paraId="69EFD401">
            <w:pPr>
              <w:spacing w:line="400" w:lineRule="exact"/>
              <w:jc w:val="center"/>
              <w:rPr>
                <w:rFonts w:hint="eastAsia" w:ascii="宋体" w:hAnsi="宋体"/>
                <w:sz w:val="24"/>
              </w:rPr>
            </w:pPr>
            <w:r>
              <w:rPr>
                <w:rFonts w:hint="eastAsia" w:ascii="宋体" w:hAnsi="宋体"/>
                <w:sz w:val="24"/>
              </w:rPr>
              <w:t>二类工业用地（M2）</w:t>
            </w:r>
          </w:p>
        </w:tc>
        <w:tc>
          <w:tcPr>
            <w:tcW w:w="992" w:type="dxa"/>
            <w:noWrap w:val="0"/>
            <w:vAlign w:val="center"/>
          </w:tcPr>
          <w:p w14:paraId="58A45B4C">
            <w:pPr>
              <w:spacing w:line="400" w:lineRule="exact"/>
              <w:jc w:val="center"/>
              <w:rPr>
                <w:rFonts w:hint="eastAsia" w:ascii="宋体" w:hAnsi="宋体"/>
                <w:sz w:val="24"/>
              </w:rPr>
            </w:pPr>
            <w:r>
              <w:rPr>
                <w:rFonts w:ascii="宋体" w:hAnsi="宋体"/>
                <w:sz w:val="24"/>
              </w:rPr>
              <w:t>2.33</w:t>
            </w:r>
          </w:p>
        </w:tc>
        <w:tc>
          <w:tcPr>
            <w:tcW w:w="2457" w:type="dxa"/>
            <w:noWrap w:val="0"/>
            <w:vAlign w:val="center"/>
          </w:tcPr>
          <w:p w14:paraId="5C0A03A1">
            <w:pPr>
              <w:spacing w:line="400" w:lineRule="exact"/>
              <w:jc w:val="center"/>
              <w:rPr>
                <w:rFonts w:hint="eastAsia" w:ascii="宋体" w:hAnsi="宋体"/>
                <w:sz w:val="24"/>
              </w:rPr>
            </w:pPr>
          </w:p>
        </w:tc>
        <w:tc>
          <w:tcPr>
            <w:tcW w:w="1323" w:type="dxa"/>
            <w:noWrap w:val="0"/>
            <w:vAlign w:val="top"/>
          </w:tcPr>
          <w:p w14:paraId="247DE696">
            <w:pPr>
              <w:spacing w:line="400" w:lineRule="exact"/>
              <w:jc w:val="center"/>
              <w:rPr>
                <w:rFonts w:hint="eastAsia" w:ascii="宋体" w:hAnsi="宋体"/>
                <w:sz w:val="24"/>
              </w:rPr>
            </w:pPr>
          </w:p>
        </w:tc>
      </w:tr>
      <w:tr w14:paraId="56844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continue"/>
            <w:noWrap w:val="0"/>
            <w:vAlign w:val="center"/>
          </w:tcPr>
          <w:p w14:paraId="5CFD9675">
            <w:pPr>
              <w:spacing w:line="400" w:lineRule="exact"/>
              <w:jc w:val="center"/>
              <w:rPr>
                <w:rFonts w:ascii="宋体" w:hAnsi="宋体"/>
                <w:sz w:val="24"/>
              </w:rPr>
            </w:pPr>
          </w:p>
        </w:tc>
        <w:tc>
          <w:tcPr>
            <w:tcW w:w="576" w:type="dxa"/>
            <w:vMerge w:val="continue"/>
            <w:noWrap w:val="0"/>
            <w:vAlign w:val="center"/>
          </w:tcPr>
          <w:p w14:paraId="684F2106">
            <w:pPr>
              <w:spacing w:line="400" w:lineRule="exact"/>
              <w:jc w:val="center"/>
              <w:rPr>
                <w:rFonts w:hint="eastAsia" w:ascii="宋体" w:hAnsi="宋体"/>
                <w:sz w:val="24"/>
              </w:rPr>
            </w:pPr>
          </w:p>
        </w:tc>
        <w:tc>
          <w:tcPr>
            <w:tcW w:w="536" w:type="dxa"/>
            <w:vMerge w:val="continue"/>
            <w:noWrap w:val="0"/>
            <w:vAlign w:val="center"/>
          </w:tcPr>
          <w:p w14:paraId="4309A53E">
            <w:pPr>
              <w:spacing w:line="400" w:lineRule="exact"/>
              <w:jc w:val="center"/>
              <w:rPr>
                <w:rFonts w:hint="eastAsia" w:ascii="宋体" w:hAnsi="宋体"/>
                <w:sz w:val="24"/>
              </w:rPr>
            </w:pPr>
          </w:p>
        </w:tc>
        <w:tc>
          <w:tcPr>
            <w:tcW w:w="3197" w:type="dxa"/>
            <w:gridSpan w:val="2"/>
            <w:noWrap w:val="0"/>
            <w:vAlign w:val="center"/>
          </w:tcPr>
          <w:p w14:paraId="5D57E77D">
            <w:pPr>
              <w:spacing w:line="400" w:lineRule="exact"/>
              <w:jc w:val="center"/>
              <w:rPr>
                <w:rFonts w:hint="eastAsia" w:ascii="宋体" w:hAnsi="宋体"/>
                <w:sz w:val="24"/>
              </w:rPr>
            </w:pPr>
            <w:r>
              <w:rPr>
                <w:rFonts w:hint="eastAsia" w:ascii="宋体" w:hAnsi="宋体"/>
                <w:sz w:val="24"/>
              </w:rPr>
              <w:t>三类工业用地（M3）</w:t>
            </w:r>
          </w:p>
        </w:tc>
        <w:tc>
          <w:tcPr>
            <w:tcW w:w="992" w:type="dxa"/>
            <w:noWrap w:val="0"/>
            <w:vAlign w:val="center"/>
          </w:tcPr>
          <w:p w14:paraId="39C5D187">
            <w:pPr>
              <w:spacing w:line="400" w:lineRule="exact"/>
              <w:jc w:val="center"/>
              <w:rPr>
                <w:rFonts w:hint="eastAsia" w:ascii="宋体" w:hAnsi="宋体"/>
                <w:sz w:val="24"/>
              </w:rPr>
            </w:pPr>
            <w:r>
              <w:rPr>
                <w:rFonts w:ascii="宋体" w:hAnsi="宋体"/>
                <w:sz w:val="24"/>
              </w:rPr>
              <w:t>-</w:t>
            </w:r>
          </w:p>
        </w:tc>
        <w:tc>
          <w:tcPr>
            <w:tcW w:w="2457" w:type="dxa"/>
            <w:noWrap w:val="0"/>
            <w:vAlign w:val="center"/>
          </w:tcPr>
          <w:p w14:paraId="1B4B4775">
            <w:pPr>
              <w:spacing w:line="400" w:lineRule="exact"/>
              <w:jc w:val="center"/>
              <w:rPr>
                <w:rFonts w:hint="eastAsia" w:ascii="宋体" w:hAnsi="宋体"/>
                <w:sz w:val="24"/>
              </w:rPr>
            </w:pPr>
          </w:p>
        </w:tc>
        <w:tc>
          <w:tcPr>
            <w:tcW w:w="1323" w:type="dxa"/>
            <w:noWrap w:val="0"/>
            <w:vAlign w:val="top"/>
          </w:tcPr>
          <w:p w14:paraId="66D22B56">
            <w:pPr>
              <w:spacing w:line="400" w:lineRule="exact"/>
              <w:jc w:val="center"/>
              <w:rPr>
                <w:rFonts w:hint="eastAsia" w:ascii="宋体" w:hAnsi="宋体"/>
                <w:sz w:val="24"/>
              </w:rPr>
            </w:pPr>
          </w:p>
        </w:tc>
      </w:tr>
      <w:tr w14:paraId="428B3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noWrap w:val="0"/>
            <w:vAlign w:val="center"/>
          </w:tcPr>
          <w:p w14:paraId="09253B25">
            <w:pPr>
              <w:spacing w:line="400" w:lineRule="exact"/>
              <w:jc w:val="center"/>
              <w:rPr>
                <w:rFonts w:ascii="宋体" w:hAnsi="宋体"/>
                <w:sz w:val="24"/>
              </w:rPr>
            </w:pPr>
            <w:r>
              <w:rPr>
                <w:rFonts w:ascii="宋体" w:hAnsi="宋体"/>
                <w:sz w:val="24"/>
              </w:rPr>
              <w:t>5</w:t>
            </w:r>
          </w:p>
        </w:tc>
        <w:tc>
          <w:tcPr>
            <w:tcW w:w="576" w:type="dxa"/>
            <w:noWrap w:val="0"/>
            <w:vAlign w:val="center"/>
          </w:tcPr>
          <w:p w14:paraId="695D8BCC">
            <w:pPr>
              <w:spacing w:line="400" w:lineRule="exact"/>
              <w:jc w:val="center"/>
              <w:rPr>
                <w:rFonts w:hint="eastAsia" w:ascii="宋体" w:hAnsi="宋体"/>
                <w:sz w:val="24"/>
              </w:rPr>
            </w:pPr>
            <w:r>
              <w:rPr>
                <w:rFonts w:hint="eastAsia" w:ascii="宋体" w:hAnsi="宋体"/>
                <w:sz w:val="24"/>
              </w:rPr>
              <w:t>W</w:t>
            </w:r>
          </w:p>
        </w:tc>
        <w:tc>
          <w:tcPr>
            <w:tcW w:w="3733" w:type="dxa"/>
            <w:gridSpan w:val="3"/>
            <w:noWrap w:val="0"/>
            <w:vAlign w:val="center"/>
          </w:tcPr>
          <w:p w14:paraId="18179456">
            <w:pPr>
              <w:spacing w:line="400" w:lineRule="exact"/>
              <w:jc w:val="center"/>
              <w:rPr>
                <w:rFonts w:hint="eastAsia" w:ascii="宋体" w:hAnsi="宋体"/>
                <w:sz w:val="24"/>
              </w:rPr>
            </w:pPr>
            <w:r>
              <w:rPr>
                <w:rFonts w:hint="eastAsia" w:ascii="宋体" w:hAnsi="宋体"/>
                <w:sz w:val="24"/>
              </w:rPr>
              <w:t>一类物流仓储用地（W1）</w:t>
            </w:r>
          </w:p>
        </w:tc>
        <w:tc>
          <w:tcPr>
            <w:tcW w:w="992" w:type="dxa"/>
            <w:noWrap w:val="0"/>
            <w:vAlign w:val="center"/>
          </w:tcPr>
          <w:p w14:paraId="643FED9A">
            <w:pPr>
              <w:spacing w:line="400" w:lineRule="exact"/>
              <w:jc w:val="center"/>
              <w:rPr>
                <w:rFonts w:hint="eastAsia" w:ascii="宋体" w:hAnsi="宋体"/>
                <w:sz w:val="24"/>
              </w:rPr>
            </w:pPr>
            <w:r>
              <w:rPr>
                <w:rFonts w:hint="eastAsia" w:ascii="宋体" w:hAnsi="宋体"/>
                <w:sz w:val="24"/>
              </w:rPr>
              <w:t>0.26</w:t>
            </w:r>
          </w:p>
        </w:tc>
        <w:tc>
          <w:tcPr>
            <w:tcW w:w="2457" w:type="dxa"/>
            <w:noWrap w:val="0"/>
            <w:vAlign w:val="center"/>
          </w:tcPr>
          <w:p w14:paraId="266F8770">
            <w:pPr>
              <w:spacing w:line="400" w:lineRule="exact"/>
              <w:jc w:val="center"/>
              <w:rPr>
                <w:rFonts w:hint="eastAsia" w:ascii="宋体" w:hAnsi="宋体"/>
                <w:sz w:val="24"/>
              </w:rPr>
            </w:pPr>
            <w:r>
              <w:rPr>
                <w:rFonts w:hint="eastAsia" w:ascii="宋体" w:hAnsi="宋体"/>
                <w:sz w:val="24"/>
              </w:rPr>
              <w:t>0.28</w:t>
            </w:r>
          </w:p>
        </w:tc>
        <w:tc>
          <w:tcPr>
            <w:tcW w:w="1323" w:type="dxa"/>
            <w:noWrap w:val="0"/>
            <w:vAlign w:val="top"/>
          </w:tcPr>
          <w:p w14:paraId="28895CA8">
            <w:pPr>
              <w:spacing w:line="400" w:lineRule="exact"/>
              <w:jc w:val="center"/>
              <w:rPr>
                <w:rFonts w:hint="eastAsia" w:ascii="宋体" w:hAnsi="宋体"/>
                <w:sz w:val="24"/>
              </w:rPr>
            </w:pPr>
          </w:p>
        </w:tc>
      </w:tr>
      <w:tr w14:paraId="4A88B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restart"/>
            <w:shd w:val="clear" w:color="auto" w:fill="auto"/>
            <w:noWrap w:val="0"/>
            <w:vAlign w:val="center"/>
          </w:tcPr>
          <w:p w14:paraId="659FB4DB">
            <w:pPr>
              <w:spacing w:line="400" w:lineRule="exact"/>
              <w:jc w:val="center"/>
              <w:rPr>
                <w:rFonts w:ascii="宋体" w:hAnsi="宋体"/>
                <w:sz w:val="24"/>
              </w:rPr>
            </w:pPr>
            <w:r>
              <w:rPr>
                <w:rFonts w:ascii="宋体" w:hAnsi="宋体"/>
                <w:sz w:val="24"/>
              </w:rPr>
              <w:t>6</w:t>
            </w:r>
          </w:p>
        </w:tc>
        <w:tc>
          <w:tcPr>
            <w:tcW w:w="576" w:type="dxa"/>
            <w:vMerge w:val="restart"/>
            <w:noWrap w:val="0"/>
            <w:vAlign w:val="center"/>
          </w:tcPr>
          <w:p w14:paraId="0CDFB1D5">
            <w:pPr>
              <w:spacing w:line="400" w:lineRule="exact"/>
              <w:jc w:val="center"/>
              <w:rPr>
                <w:rFonts w:hint="eastAsia" w:ascii="宋体" w:hAnsi="宋体"/>
                <w:sz w:val="24"/>
              </w:rPr>
            </w:pPr>
            <w:r>
              <w:rPr>
                <w:rFonts w:hint="eastAsia" w:ascii="宋体" w:hAnsi="宋体"/>
                <w:sz w:val="24"/>
              </w:rPr>
              <w:t>S</w:t>
            </w:r>
          </w:p>
        </w:tc>
        <w:tc>
          <w:tcPr>
            <w:tcW w:w="3733" w:type="dxa"/>
            <w:gridSpan w:val="3"/>
            <w:noWrap w:val="0"/>
            <w:vAlign w:val="center"/>
          </w:tcPr>
          <w:p w14:paraId="1BE34CD6">
            <w:pPr>
              <w:spacing w:line="400" w:lineRule="exact"/>
              <w:jc w:val="center"/>
              <w:rPr>
                <w:rFonts w:hint="eastAsia" w:ascii="宋体" w:hAnsi="宋体"/>
                <w:sz w:val="24"/>
              </w:rPr>
            </w:pPr>
            <w:r>
              <w:rPr>
                <w:rFonts w:hint="eastAsia" w:ascii="宋体" w:hAnsi="宋体"/>
                <w:sz w:val="24"/>
              </w:rPr>
              <w:t>道路与交通设施用地（S）</w:t>
            </w:r>
          </w:p>
        </w:tc>
        <w:tc>
          <w:tcPr>
            <w:tcW w:w="992" w:type="dxa"/>
            <w:noWrap w:val="0"/>
            <w:vAlign w:val="center"/>
          </w:tcPr>
          <w:p w14:paraId="56C96404">
            <w:pPr>
              <w:spacing w:line="400" w:lineRule="exact"/>
              <w:jc w:val="center"/>
              <w:rPr>
                <w:rFonts w:hint="eastAsia" w:ascii="宋体" w:hAnsi="宋体"/>
                <w:sz w:val="24"/>
              </w:rPr>
            </w:pPr>
            <w:r>
              <w:rPr>
                <w:rFonts w:ascii="宋体" w:hAnsi="宋体"/>
                <w:sz w:val="24"/>
              </w:rPr>
              <w:t>18.42</w:t>
            </w:r>
          </w:p>
        </w:tc>
        <w:tc>
          <w:tcPr>
            <w:tcW w:w="2457" w:type="dxa"/>
            <w:noWrap w:val="0"/>
            <w:vAlign w:val="center"/>
          </w:tcPr>
          <w:p w14:paraId="2BC40E55">
            <w:pPr>
              <w:spacing w:line="400" w:lineRule="exact"/>
              <w:jc w:val="center"/>
              <w:rPr>
                <w:rFonts w:hint="eastAsia" w:ascii="宋体" w:hAnsi="宋体"/>
                <w:sz w:val="24"/>
              </w:rPr>
            </w:pPr>
            <w:r>
              <w:rPr>
                <w:rFonts w:ascii="宋体" w:hAnsi="宋体"/>
                <w:sz w:val="24"/>
              </w:rPr>
              <w:t>19.58</w:t>
            </w:r>
          </w:p>
        </w:tc>
        <w:tc>
          <w:tcPr>
            <w:tcW w:w="1323" w:type="dxa"/>
            <w:noWrap w:val="0"/>
            <w:vAlign w:val="top"/>
          </w:tcPr>
          <w:p w14:paraId="2D4CA786">
            <w:pPr>
              <w:spacing w:line="400" w:lineRule="exact"/>
              <w:jc w:val="center"/>
              <w:rPr>
                <w:rFonts w:hint="eastAsia" w:ascii="宋体" w:hAnsi="宋体"/>
                <w:sz w:val="24"/>
              </w:rPr>
            </w:pPr>
          </w:p>
        </w:tc>
      </w:tr>
      <w:tr w14:paraId="2AE72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continue"/>
            <w:shd w:val="clear" w:color="auto" w:fill="auto"/>
            <w:noWrap w:val="0"/>
            <w:vAlign w:val="center"/>
          </w:tcPr>
          <w:p w14:paraId="724AEB12">
            <w:pPr>
              <w:spacing w:line="400" w:lineRule="exact"/>
              <w:jc w:val="center"/>
              <w:rPr>
                <w:rFonts w:ascii="宋体" w:hAnsi="宋体"/>
                <w:sz w:val="24"/>
              </w:rPr>
            </w:pPr>
          </w:p>
        </w:tc>
        <w:tc>
          <w:tcPr>
            <w:tcW w:w="576" w:type="dxa"/>
            <w:vMerge w:val="continue"/>
            <w:noWrap w:val="0"/>
            <w:vAlign w:val="center"/>
          </w:tcPr>
          <w:p w14:paraId="5C62EC93">
            <w:pPr>
              <w:spacing w:line="400" w:lineRule="exact"/>
              <w:jc w:val="center"/>
              <w:rPr>
                <w:rFonts w:hint="eastAsia" w:ascii="宋体" w:hAnsi="宋体"/>
                <w:sz w:val="24"/>
              </w:rPr>
            </w:pPr>
          </w:p>
        </w:tc>
        <w:tc>
          <w:tcPr>
            <w:tcW w:w="560" w:type="dxa"/>
            <w:gridSpan w:val="2"/>
            <w:vMerge w:val="restart"/>
            <w:noWrap w:val="0"/>
            <w:vAlign w:val="center"/>
          </w:tcPr>
          <w:p w14:paraId="2787F0E1">
            <w:pPr>
              <w:spacing w:line="400" w:lineRule="exact"/>
              <w:jc w:val="center"/>
              <w:rPr>
                <w:rFonts w:hint="eastAsia" w:ascii="宋体" w:hAnsi="宋体"/>
                <w:sz w:val="24"/>
              </w:rPr>
            </w:pPr>
            <w:r>
              <w:rPr>
                <w:rFonts w:hint="eastAsia" w:ascii="宋体" w:hAnsi="宋体"/>
                <w:sz w:val="24"/>
              </w:rPr>
              <w:t>其中</w:t>
            </w:r>
          </w:p>
        </w:tc>
        <w:tc>
          <w:tcPr>
            <w:tcW w:w="3173" w:type="dxa"/>
            <w:noWrap w:val="0"/>
            <w:vAlign w:val="center"/>
          </w:tcPr>
          <w:p w14:paraId="79CE74D7">
            <w:pPr>
              <w:spacing w:line="400" w:lineRule="exact"/>
              <w:jc w:val="center"/>
              <w:rPr>
                <w:rFonts w:hint="eastAsia" w:ascii="宋体" w:hAnsi="宋体"/>
                <w:sz w:val="24"/>
              </w:rPr>
            </w:pPr>
            <w:r>
              <w:rPr>
                <w:rFonts w:hint="eastAsia" w:ascii="宋体" w:hAnsi="宋体"/>
                <w:sz w:val="24"/>
              </w:rPr>
              <w:t>城市道路用地(S1)</w:t>
            </w:r>
          </w:p>
        </w:tc>
        <w:tc>
          <w:tcPr>
            <w:tcW w:w="992" w:type="dxa"/>
            <w:noWrap w:val="0"/>
            <w:vAlign w:val="center"/>
          </w:tcPr>
          <w:p w14:paraId="6BC272C2">
            <w:pPr>
              <w:spacing w:line="400" w:lineRule="exact"/>
              <w:jc w:val="center"/>
              <w:rPr>
                <w:rFonts w:hint="eastAsia" w:ascii="宋体" w:hAnsi="宋体"/>
                <w:sz w:val="24"/>
              </w:rPr>
            </w:pPr>
            <w:r>
              <w:rPr>
                <w:rFonts w:ascii="宋体" w:hAnsi="宋体"/>
                <w:sz w:val="24"/>
              </w:rPr>
              <w:t>12.94</w:t>
            </w:r>
          </w:p>
        </w:tc>
        <w:tc>
          <w:tcPr>
            <w:tcW w:w="2457" w:type="dxa"/>
            <w:noWrap w:val="0"/>
            <w:vAlign w:val="center"/>
          </w:tcPr>
          <w:p w14:paraId="2034EFED">
            <w:pPr>
              <w:spacing w:line="400" w:lineRule="exact"/>
              <w:jc w:val="center"/>
              <w:rPr>
                <w:rFonts w:hint="eastAsia" w:ascii="宋体" w:hAnsi="宋体"/>
                <w:sz w:val="24"/>
              </w:rPr>
            </w:pPr>
          </w:p>
        </w:tc>
        <w:tc>
          <w:tcPr>
            <w:tcW w:w="1323" w:type="dxa"/>
            <w:noWrap w:val="0"/>
            <w:vAlign w:val="top"/>
          </w:tcPr>
          <w:p w14:paraId="37713203">
            <w:pPr>
              <w:spacing w:line="400" w:lineRule="exact"/>
              <w:jc w:val="center"/>
              <w:rPr>
                <w:rFonts w:hint="eastAsia" w:ascii="宋体" w:hAnsi="宋体"/>
                <w:sz w:val="24"/>
              </w:rPr>
            </w:pPr>
          </w:p>
        </w:tc>
      </w:tr>
      <w:tr w14:paraId="24017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continue"/>
            <w:shd w:val="clear" w:color="auto" w:fill="auto"/>
            <w:noWrap w:val="0"/>
            <w:vAlign w:val="center"/>
          </w:tcPr>
          <w:p w14:paraId="30114ACD">
            <w:pPr>
              <w:spacing w:line="400" w:lineRule="exact"/>
              <w:jc w:val="center"/>
              <w:rPr>
                <w:rFonts w:ascii="宋体" w:hAnsi="宋体"/>
                <w:sz w:val="24"/>
              </w:rPr>
            </w:pPr>
          </w:p>
        </w:tc>
        <w:tc>
          <w:tcPr>
            <w:tcW w:w="576" w:type="dxa"/>
            <w:vMerge w:val="continue"/>
            <w:noWrap w:val="0"/>
            <w:vAlign w:val="center"/>
          </w:tcPr>
          <w:p w14:paraId="4373360A">
            <w:pPr>
              <w:spacing w:line="400" w:lineRule="exact"/>
              <w:jc w:val="center"/>
              <w:rPr>
                <w:rFonts w:hint="eastAsia" w:ascii="宋体" w:hAnsi="宋体"/>
                <w:sz w:val="24"/>
              </w:rPr>
            </w:pPr>
          </w:p>
        </w:tc>
        <w:tc>
          <w:tcPr>
            <w:tcW w:w="560" w:type="dxa"/>
            <w:gridSpan w:val="2"/>
            <w:vMerge w:val="continue"/>
            <w:noWrap w:val="0"/>
            <w:vAlign w:val="center"/>
          </w:tcPr>
          <w:p w14:paraId="69A3B579">
            <w:pPr>
              <w:spacing w:line="400" w:lineRule="exact"/>
              <w:jc w:val="center"/>
              <w:rPr>
                <w:rFonts w:hint="eastAsia" w:ascii="宋体" w:hAnsi="宋体"/>
                <w:sz w:val="24"/>
              </w:rPr>
            </w:pPr>
          </w:p>
        </w:tc>
        <w:tc>
          <w:tcPr>
            <w:tcW w:w="3173" w:type="dxa"/>
            <w:noWrap w:val="0"/>
            <w:vAlign w:val="center"/>
          </w:tcPr>
          <w:p w14:paraId="71F18974">
            <w:pPr>
              <w:spacing w:line="400" w:lineRule="exact"/>
              <w:jc w:val="center"/>
              <w:rPr>
                <w:rFonts w:hint="eastAsia" w:ascii="宋体" w:hAnsi="宋体"/>
                <w:sz w:val="24"/>
              </w:rPr>
            </w:pPr>
            <w:r>
              <w:rPr>
                <w:rFonts w:hint="eastAsia" w:ascii="宋体" w:hAnsi="宋体"/>
                <w:sz w:val="24"/>
              </w:rPr>
              <w:t>交通站场用地(S4)</w:t>
            </w:r>
          </w:p>
        </w:tc>
        <w:tc>
          <w:tcPr>
            <w:tcW w:w="992" w:type="dxa"/>
            <w:noWrap w:val="0"/>
            <w:vAlign w:val="center"/>
          </w:tcPr>
          <w:p w14:paraId="515B6D43">
            <w:pPr>
              <w:spacing w:line="400" w:lineRule="exact"/>
              <w:jc w:val="center"/>
              <w:rPr>
                <w:rFonts w:hint="eastAsia" w:ascii="宋体" w:hAnsi="宋体"/>
                <w:sz w:val="24"/>
              </w:rPr>
            </w:pPr>
            <w:r>
              <w:rPr>
                <w:rFonts w:ascii="宋体" w:hAnsi="宋体"/>
                <w:sz w:val="24"/>
              </w:rPr>
              <w:t>3.21</w:t>
            </w:r>
          </w:p>
        </w:tc>
        <w:tc>
          <w:tcPr>
            <w:tcW w:w="2457" w:type="dxa"/>
            <w:noWrap w:val="0"/>
            <w:vAlign w:val="center"/>
          </w:tcPr>
          <w:p w14:paraId="0541615B">
            <w:pPr>
              <w:spacing w:line="400" w:lineRule="exact"/>
              <w:jc w:val="center"/>
              <w:rPr>
                <w:rFonts w:hint="eastAsia" w:ascii="宋体" w:hAnsi="宋体"/>
                <w:sz w:val="24"/>
              </w:rPr>
            </w:pPr>
          </w:p>
        </w:tc>
        <w:tc>
          <w:tcPr>
            <w:tcW w:w="1323" w:type="dxa"/>
            <w:noWrap w:val="0"/>
            <w:vAlign w:val="top"/>
          </w:tcPr>
          <w:p w14:paraId="4DC2A1A3">
            <w:pPr>
              <w:spacing w:line="400" w:lineRule="exact"/>
              <w:jc w:val="center"/>
              <w:rPr>
                <w:rFonts w:hint="eastAsia" w:ascii="宋体" w:hAnsi="宋体"/>
                <w:sz w:val="24"/>
              </w:rPr>
            </w:pPr>
          </w:p>
        </w:tc>
      </w:tr>
      <w:tr w14:paraId="60E6B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continue"/>
            <w:shd w:val="clear" w:color="auto" w:fill="auto"/>
            <w:noWrap w:val="0"/>
            <w:vAlign w:val="center"/>
          </w:tcPr>
          <w:p w14:paraId="38EC6229">
            <w:pPr>
              <w:spacing w:line="400" w:lineRule="exact"/>
              <w:jc w:val="center"/>
              <w:rPr>
                <w:rFonts w:ascii="宋体" w:hAnsi="宋体"/>
                <w:sz w:val="24"/>
              </w:rPr>
            </w:pPr>
          </w:p>
        </w:tc>
        <w:tc>
          <w:tcPr>
            <w:tcW w:w="576" w:type="dxa"/>
            <w:vMerge w:val="continue"/>
            <w:noWrap w:val="0"/>
            <w:vAlign w:val="center"/>
          </w:tcPr>
          <w:p w14:paraId="7727DA4F">
            <w:pPr>
              <w:spacing w:line="400" w:lineRule="exact"/>
              <w:jc w:val="center"/>
              <w:rPr>
                <w:rFonts w:hint="eastAsia" w:ascii="宋体" w:hAnsi="宋体"/>
                <w:sz w:val="24"/>
              </w:rPr>
            </w:pPr>
          </w:p>
        </w:tc>
        <w:tc>
          <w:tcPr>
            <w:tcW w:w="560" w:type="dxa"/>
            <w:gridSpan w:val="2"/>
            <w:vMerge w:val="continue"/>
            <w:noWrap w:val="0"/>
            <w:vAlign w:val="center"/>
          </w:tcPr>
          <w:p w14:paraId="2345E200">
            <w:pPr>
              <w:spacing w:line="400" w:lineRule="exact"/>
              <w:jc w:val="center"/>
              <w:rPr>
                <w:rFonts w:hint="eastAsia" w:ascii="宋体" w:hAnsi="宋体"/>
                <w:sz w:val="24"/>
              </w:rPr>
            </w:pPr>
          </w:p>
        </w:tc>
        <w:tc>
          <w:tcPr>
            <w:tcW w:w="3173" w:type="dxa"/>
            <w:noWrap w:val="0"/>
            <w:vAlign w:val="center"/>
          </w:tcPr>
          <w:p w14:paraId="5E590539">
            <w:pPr>
              <w:spacing w:line="400" w:lineRule="exact"/>
              <w:jc w:val="center"/>
              <w:rPr>
                <w:rFonts w:hint="eastAsia" w:ascii="宋体" w:hAnsi="宋体"/>
                <w:sz w:val="24"/>
              </w:rPr>
            </w:pPr>
            <w:r>
              <w:rPr>
                <w:rFonts w:hint="eastAsia" w:ascii="宋体" w:hAnsi="宋体"/>
                <w:sz w:val="24"/>
              </w:rPr>
              <w:t>其他交通用地(S9)</w:t>
            </w:r>
          </w:p>
        </w:tc>
        <w:tc>
          <w:tcPr>
            <w:tcW w:w="992" w:type="dxa"/>
            <w:noWrap w:val="0"/>
            <w:vAlign w:val="center"/>
          </w:tcPr>
          <w:p w14:paraId="16B0EC9A">
            <w:pPr>
              <w:spacing w:line="400" w:lineRule="exact"/>
              <w:jc w:val="center"/>
              <w:rPr>
                <w:rFonts w:hint="eastAsia" w:ascii="宋体" w:hAnsi="宋体"/>
                <w:sz w:val="24"/>
              </w:rPr>
            </w:pPr>
            <w:r>
              <w:rPr>
                <w:rFonts w:ascii="宋体" w:hAnsi="宋体"/>
                <w:sz w:val="24"/>
              </w:rPr>
              <w:t>2.27</w:t>
            </w:r>
          </w:p>
        </w:tc>
        <w:tc>
          <w:tcPr>
            <w:tcW w:w="2457" w:type="dxa"/>
            <w:noWrap w:val="0"/>
            <w:vAlign w:val="center"/>
          </w:tcPr>
          <w:p w14:paraId="0F9457CC">
            <w:pPr>
              <w:spacing w:line="400" w:lineRule="exact"/>
              <w:jc w:val="center"/>
              <w:rPr>
                <w:rFonts w:hint="eastAsia" w:ascii="宋体" w:hAnsi="宋体"/>
                <w:sz w:val="24"/>
              </w:rPr>
            </w:pPr>
          </w:p>
        </w:tc>
        <w:tc>
          <w:tcPr>
            <w:tcW w:w="1323" w:type="dxa"/>
            <w:noWrap w:val="0"/>
            <w:vAlign w:val="top"/>
          </w:tcPr>
          <w:p w14:paraId="484D2BAE">
            <w:pPr>
              <w:spacing w:line="400" w:lineRule="exact"/>
              <w:jc w:val="center"/>
              <w:rPr>
                <w:rFonts w:hint="eastAsia" w:ascii="宋体" w:hAnsi="宋体"/>
                <w:sz w:val="24"/>
              </w:rPr>
            </w:pPr>
          </w:p>
        </w:tc>
      </w:tr>
      <w:tr w14:paraId="3BB9F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restart"/>
            <w:shd w:val="clear" w:color="auto" w:fill="auto"/>
            <w:noWrap w:val="0"/>
            <w:vAlign w:val="center"/>
          </w:tcPr>
          <w:p w14:paraId="77034A6C">
            <w:pPr>
              <w:spacing w:line="400" w:lineRule="exact"/>
              <w:jc w:val="center"/>
              <w:rPr>
                <w:rFonts w:hint="eastAsia" w:ascii="宋体" w:hAnsi="宋体"/>
                <w:sz w:val="24"/>
              </w:rPr>
            </w:pPr>
            <w:r>
              <w:rPr>
                <w:rFonts w:hint="eastAsia" w:ascii="宋体" w:hAnsi="宋体"/>
                <w:sz w:val="24"/>
              </w:rPr>
              <w:t>7</w:t>
            </w:r>
          </w:p>
        </w:tc>
        <w:tc>
          <w:tcPr>
            <w:tcW w:w="576" w:type="dxa"/>
            <w:vMerge w:val="restart"/>
            <w:noWrap w:val="0"/>
            <w:vAlign w:val="center"/>
          </w:tcPr>
          <w:p w14:paraId="0B94035F">
            <w:pPr>
              <w:spacing w:line="400" w:lineRule="exact"/>
              <w:jc w:val="center"/>
              <w:rPr>
                <w:rFonts w:hint="eastAsia" w:ascii="宋体" w:hAnsi="宋体"/>
                <w:sz w:val="24"/>
              </w:rPr>
            </w:pPr>
            <w:r>
              <w:rPr>
                <w:rFonts w:hint="eastAsia" w:ascii="宋体" w:hAnsi="宋体"/>
                <w:sz w:val="24"/>
              </w:rPr>
              <w:t>U</w:t>
            </w:r>
          </w:p>
        </w:tc>
        <w:tc>
          <w:tcPr>
            <w:tcW w:w="3733" w:type="dxa"/>
            <w:gridSpan w:val="3"/>
            <w:noWrap w:val="0"/>
            <w:vAlign w:val="center"/>
          </w:tcPr>
          <w:p w14:paraId="05525331">
            <w:pPr>
              <w:spacing w:line="400" w:lineRule="exact"/>
              <w:jc w:val="center"/>
              <w:rPr>
                <w:rFonts w:hint="eastAsia" w:ascii="宋体" w:hAnsi="宋体"/>
                <w:sz w:val="24"/>
              </w:rPr>
            </w:pPr>
            <w:r>
              <w:rPr>
                <w:rFonts w:hint="eastAsia" w:ascii="宋体" w:hAnsi="宋体"/>
                <w:sz w:val="24"/>
              </w:rPr>
              <w:t>公用设施用地（U）</w:t>
            </w:r>
          </w:p>
        </w:tc>
        <w:tc>
          <w:tcPr>
            <w:tcW w:w="992" w:type="dxa"/>
            <w:noWrap w:val="0"/>
            <w:vAlign w:val="center"/>
          </w:tcPr>
          <w:p w14:paraId="4DB5B601">
            <w:pPr>
              <w:spacing w:line="400" w:lineRule="exact"/>
              <w:jc w:val="center"/>
              <w:rPr>
                <w:rFonts w:hint="eastAsia" w:ascii="宋体" w:hAnsi="宋体"/>
                <w:sz w:val="24"/>
              </w:rPr>
            </w:pPr>
            <w:r>
              <w:rPr>
                <w:rFonts w:hint="eastAsia" w:ascii="宋体" w:hAnsi="宋体"/>
                <w:sz w:val="24"/>
              </w:rPr>
              <w:t>0.46</w:t>
            </w:r>
          </w:p>
        </w:tc>
        <w:tc>
          <w:tcPr>
            <w:tcW w:w="2457" w:type="dxa"/>
            <w:noWrap w:val="0"/>
            <w:vAlign w:val="center"/>
          </w:tcPr>
          <w:p w14:paraId="41B4BAE4">
            <w:pPr>
              <w:spacing w:line="400" w:lineRule="exact"/>
              <w:jc w:val="center"/>
              <w:rPr>
                <w:rFonts w:hint="eastAsia" w:ascii="宋体" w:hAnsi="宋体"/>
                <w:sz w:val="24"/>
              </w:rPr>
            </w:pPr>
            <w:r>
              <w:rPr>
                <w:rFonts w:hint="eastAsia" w:ascii="宋体" w:hAnsi="宋体"/>
                <w:sz w:val="24"/>
              </w:rPr>
              <w:t>0.4</w:t>
            </w:r>
            <w:r>
              <w:rPr>
                <w:rFonts w:ascii="宋体" w:hAnsi="宋体"/>
                <w:sz w:val="24"/>
              </w:rPr>
              <w:t>9</w:t>
            </w:r>
          </w:p>
        </w:tc>
        <w:tc>
          <w:tcPr>
            <w:tcW w:w="1323" w:type="dxa"/>
            <w:noWrap w:val="0"/>
            <w:vAlign w:val="top"/>
          </w:tcPr>
          <w:p w14:paraId="48ACE494">
            <w:pPr>
              <w:spacing w:line="400" w:lineRule="exact"/>
              <w:jc w:val="center"/>
              <w:rPr>
                <w:rFonts w:hint="eastAsia" w:ascii="宋体" w:hAnsi="宋体"/>
                <w:sz w:val="24"/>
              </w:rPr>
            </w:pPr>
          </w:p>
        </w:tc>
      </w:tr>
      <w:tr w14:paraId="5848D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continue"/>
            <w:shd w:val="clear" w:color="auto" w:fill="auto"/>
            <w:noWrap w:val="0"/>
            <w:vAlign w:val="center"/>
          </w:tcPr>
          <w:p w14:paraId="0B1F1952">
            <w:pPr>
              <w:spacing w:line="400" w:lineRule="exact"/>
              <w:jc w:val="center"/>
              <w:rPr>
                <w:rFonts w:hint="eastAsia" w:ascii="宋体" w:hAnsi="宋体"/>
                <w:sz w:val="24"/>
              </w:rPr>
            </w:pPr>
          </w:p>
        </w:tc>
        <w:tc>
          <w:tcPr>
            <w:tcW w:w="576" w:type="dxa"/>
            <w:vMerge w:val="continue"/>
            <w:noWrap w:val="0"/>
            <w:vAlign w:val="center"/>
          </w:tcPr>
          <w:p w14:paraId="19EAC6D8">
            <w:pPr>
              <w:spacing w:line="400" w:lineRule="exact"/>
              <w:jc w:val="center"/>
              <w:rPr>
                <w:rFonts w:hint="eastAsia" w:ascii="宋体" w:hAnsi="宋体"/>
                <w:sz w:val="24"/>
              </w:rPr>
            </w:pPr>
          </w:p>
        </w:tc>
        <w:tc>
          <w:tcPr>
            <w:tcW w:w="560" w:type="dxa"/>
            <w:gridSpan w:val="2"/>
            <w:vMerge w:val="restart"/>
            <w:noWrap w:val="0"/>
            <w:vAlign w:val="center"/>
          </w:tcPr>
          <w:p w14:paraId="56F49CDB">
            <w:pPr>
              <w:spacing w:line="400" w:lineRule="exact"/>
              <w:jc w:val="center"/>
              <w:rPr>
                <w:rFonts w:hint="eastAsia" w:ascii="宋体" w:hAnsi="宋体"/>
                <w:sz w:val="24"/>
              </w:rPr>
            </w:pPr>
            <w:r>
              <w:rPr>
                <w:rFonts w:hint="eastAsia" w:ascii="宋体" w:hAnsi="宋体"/>
                <w:sz w:val="24"/>
              </w:rPr>
              <w:t>其中</w:t>
            </w:r>
          </w:p>
        </w:tc>
        <w:tc>
          <w:tcPr>
            <w:tcW w:w="3173" w:type="dxa"/>
            <w:noWrap w:val="0"/>
            <w:vAlign w:val="center"/>
          </w:tcPr>
          <w:p w14:paraId="445D0F8C">
            <w:pPr>
              <w:spacing w:line="400" w:lineRule="exact"/>
              <w:jc w:val="center"/>
              <w:rPr>
                <w:rFonts w:hint="eastAsia" w:ascii="宋体" w:hAnsi="宋体"/>
                <w:sz w:val="24"/>
              </w:rPr>
            </w:pPr>
            <w:r>
              <w:rPr>
                <w:rFonts w:hint="eastAsia" w:ascii="宋体" w:hAnsi="宋体"/>
                <w:sz w:val="24"/>
              </w:rPr>
              <w:t>供应设施用地(U1)</w:t>
            </w:r>
          </w:p>
        </w:tc>
        <w:tc>
          <w:tcPr>
            <w:tcW w:w="992" w:type="dxa"/>
            <w:noWrap w:val="0"/>
            <w:vAlign w:val="center"/>
          </w:tcPr>
          <w:p w14:paraId="4C8450CE">
            <w:pPr>
              <w:spacing w:line="400" w:lineRule="exact"/>
              <w:jc w:val="center"/>
              <w:rPr>
                <w:rFonts w:hint="eastAsia" w:ascii="宋体" w:hAnsi="宋体"/>
                <w:sz w:val="24"/>
              </w:rPr>
            </w:pPr>
            <w:r>
              <w:rPr>
                <w:rFonts w:hint="eastAsia" w:ascii="宋体" w:hAnsi="宋体"/>
                <w:sz w:val="24"/>
              </w:rPr>
              <w:t>0.46</w:t>
            </w:r>
          </w:p>
        </w:tc>
        <w:tc>
          <w:tcPr>
            <w:tcW w:w="2457" w:type="dxa"/>
            <w:noWrap w:val="0"/>
            <w:vAlign w:val="center"/>
          </w:tcPr>
          <w:p w14:paraId="78AA8FD0">
            <w:pPr>
              <w:spacing w:line="400" w:lineRule="exact"/>
              <w:jc w:val="center"/>
              <w:rPr>
                <w:rFonts w:hint="eastAsia" w:ascii="宋体" w:hAnsi="宋体"/>
                <w:sz w:val="24"/>
              </w:rPr>
            </w:pPr>
          </w:p>
        </w:tc>
        <w:tc>
          <w:tcPr>
            <w:tcW w:w="1323" w:type="dxa"/>
            <w:noWrap w:val="0"/>
            <w:vAlign w:val="top"/>
          </w:tcPr>
          <w:p w14:paraId="408ACAAF">
            <w:pPr>
              <w:spacing w:line="400" w:lineRule="exact"/>
              <w:jc w:val="center"/>
              <w:rPr>
                <w:rFonts w:hint="eastAsia" w:ascii="宋体" w:hAnsi="宋体"/>
                <w:sz w:val="24"/>
              </w:rPr>
            </w:pPr>
          </w:p>
        </w:tc>
      </w:tr>
      <w:tr w14:paraId="1E2DC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continue"/>
            <w:shd w:val="clear" w:color="auto" w:fill="auto"/>
            <w:noWrap w:val="0"/>
            <w:vAlign w:val="center"/>
          </w:tcPr>
          <w:p w14:paraId="4A6440CA">
            <w:pPr>
              <w:spacing w:line="400" w:lineRule="exact"/>
              <w:jc w:val="center"/>
              <w:rPr>
                <w:rFonts w:hint="eastAsia" w:ascii="宋体" w:hAnsi="宋体"/>
                <w:sz w:val="24"/>
              </w:rPr>
            </w:pPr>
          </w:p>
        </w:tc>
        <w:tc>
          <w:tcPr>
            <w:tcW w:w="576" w:type="dxa"/>
            <w:vMerge w:val="continue"/>
            <w:noWrap w:val="0"/>
            <w:vAlign w:val="center"/>
          </w:tcPr>
          <w:p w14:paraId="1F3BD5DF">
            <w:pPr>
              <w:spacing w:line="400" w:lineRule="exact"/>
              <w:jc w:val="center"/>
              <w:rPr>
                <w:rFonts w:hint="eastAsia" w:ascii="宋体" w:hAnsi="宋体"/>
                <w:sz w:val="24"/>
              </w:rPr>
            </w:pPr>
          </w:p>
        </w:tc>
        <w:tc>
          <w:tcPr>
            <w:tcW w:w="560" w:type="dxa"/>
            <w:gridSpan w:val="2"/>
            <w:vMerge w:val="continue"/>
            <w:noWrap w:val="0"/>
            <w:vAlign w:val="center"/>
          </w:tcPr>
          <w:p w14:paraId="3C229B2D">
            <w:pPr>
              <w:spacing w:line="400" w:lineRule="exact"/>
              <w:jc w:val="center"/>
              <w:rPr>
                <w:rFonts w:hint="eastAsia" w:ascii="宋体" w:hAnsi="宋体"/>
                <w:sz w:val="24"/>
              </w:rPr>
            </w:pPr>
          </w:p>
        </w:tc>
        <w:tc>
          <w:tcPr>
            <w:tcW w:w="3173" w:type="dxa"/>
            <w:noWrap w:val="0"/>
            <w:vAlign w:val="center"/>
          </w:tcPr>
          <w:p w14:paraId="0453960C">
            <w:pPr>
              <w:spacing w:line="400" w:lineRule="exact"/>
              <w:jc w:val="center"/>
              <w:rPr>
                <w:rFonts w:hint="eastAsia" w:ascii="宋体" w:hAnsi="宋体"/>
                <w:sz w:val="24"/>
              </w:rPr>
            </w:pPr>
            <w:r>
              <w:rPr>
                <w:rFonts w:hint="eastAsia" w:ascii="宋体" w:hAnsi="宋体"/>
                <w:sz w:val="24"/>
              </w:rPr>
              <w:t>环境设施用地(U2)</w:t>
            </w:r>
          </w:p>
        </w:tc>
        <w:tc>
          <w:tcPr>
            <w:tcW w:w="992" w:type="dxa"/>
            <w:noWrap w:val="0"/>
            <w:vAlign w:val="center"/>
          </w:tcPr>
          <w:p w14:paraId="1112007F">
            <w:pPr>
              <w:spacing w:line="400" w:lineRule="exact"/>
              <w:jc w:val="center"/>
              <w:rPr>
                <w:rFonts w:hint="eastAsia" w:ascii="宋体" w:hAnsi="宋体"/>
                <w:sz w:val="24"/>
              </w:rPr>
            </w:pPr>
            <w:r>
              <w:rPr>
                <w:rFonts w:hint="eastAsia" w:ascii="宋体" w:hAnsi="宋体"/>
                <w:sz w:val="24"/>
              </w:rPr>
              <w:t>-</w:t>
            </w:r>
          </w:p>
        </w:tc>
        <w:tc>
          <w:tcPr>
            <w:tcW w:w="2457" w:type="dxa"/>
            <w:noWrap w:val="0"/>
            <w:vAlign w:val="center"/>
          </w:tcPr>
          <w:p w14:paraId="5F29AC75">
            <w:pPr>
              <w:spacing w:line="400" w:lineRule="exact"/>
              <w:jc w:val="center"/>
              <w:rPr>
                <w:rFonts w:hint="eastAsia" w:ascii="宋体" w:hAnsi="宋体"/>
                <w:sz w:val="24"/>
              </w:rPr>
            </w:pPr>
          </w:p>
        </w:tc>
        <w:tc>
          <w:tcPr>
            <w:tcW w:w="1323" w:type="dxa"/>
            <w:noWrap w:val="0"/>
            <w:vAlign w:val="top"/>
          </w:tcPr>
          <w:p w14:paraId="05ED0824">
            <w:pPr>
              <w:spacing w:line="400" w:lineRule="exact"/>
              <w:jc w:val="center"/>
              <w:rPr>
                <w:rFonts w:hint="eastAsia" w:ascii="宋体" w:hAnsi="宋体"/>
                <w:sz w:val="24"/>
              </w:rPr>
            </w:pPr>
          </w:p>
        </w:tc>
      </w:tr>
      <w:tr w14:paraId="5080E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restart"/>
            <w:shd w:val="clear" w:color="auto" w:fill="auto"/>
            <w:noWrap w:val="0"/>
            <w:vAlign w:val="center"/>
          </w:tcPr>
          <w:p w14:paraId="1927169F">
            <w:pPr>
              <w:spacing w:line="400" w:lineRule="exact"/>
              <w:jc w:val="center"/>
              <w:rPr>
                <w:rFonts w:hint="eastAsia" w:ascii="宋体" w:hAnsi="宋体"/>
                <w:sz w:val="24"/>
              </w:rPr>
            </w:pPr>
            <w:r>
              <w:rPr>
                <w:rFonts w:hint="eastAsia" w:ascii="宋体" w:hAnsi="宋体"/>
                <w:sz w:val="24"/>
              </w:rPr>
              <w:t>8</w:t>
            </w:r>
          </w:p>
        </w:tc>
        <w:tc>
          <w:tcPr>
            <w:tcW w:w="576" w:type="dxa"/>
            <w:vMerge w:val="restart"/>
            <w:noWrap w:val="0"/>
            <w:vAlign w:val="center"/>
          </w:tcPr>
          <w:p w14:paraId="744AA37D">
            <w:pPr>
              <w:spacing w:line="400" w:lineRule="exact"/>
              <w:jc w:val="center"/>
              <w:rPr>
                <w:rFonts w:hint="eastAsia" w:ascii="宋体" w:hAnsi="宋体"/>
                <w:sz w:val="24"/>
              </w:rPr>
            </w:pPr>
            <w:r>
              <w:rPr>
                <w:rFonts w:hint="eastAsia" w:ascii="宋体" w:hAnsi="宋体"/>
                <w:sz w:val="24"/>
              </w:rPr>
              <w:t>G</w:t>
            </w:r>
          </w:p>
        </w:tc>
        <w:tc>
          <w:tcPr>
            <w:tcW w:w="3733" w:type="dxa"/>
            <w:gridSpan w:val="3"/>
            <w:noWrap w:val="0"/>
            <w:vAlign w:val="center"/>
          </w:tcPr>
          <w:p w14:paraId="050BE60D">
            <w:pPr>
              <w:spacing w:line="400" w:lineRule="exact"/>
              <w:jc w:val="center"/>
              <w:rPr>
                <w:rFonts w:hint="eastAsia" w:ascii="宋体" w:hAnsi="宋体"/>
                <w:sz w:val="24"/>
              </w:rPr>
            </w:pPr>
            <w:r>
              <w:rPr>
                <w:rFonts w:hint="eastAsia" w:ascii="宋体" w:hAnsi="宋体"/>
                <w:sz w:val="24"/>
              </w:rPr>
              <w:t>绿地与广场用地（G）</w:t>
            </w:r>
          </w:p>
        </w:tc>
        <w:tc>
          <w:tcPr>
            <w:tcW w:w="992" w:type="dxa"/>
            <w:noWrap w:val="0"/>
            <w:vAlign w:val="center"/>
          </w:tcPr>
          <w:p w14:paraId="57588EFE">
            <w:pPr>
              <w:spacing w:line="400" w:lineRule="exact"/>
              <w:jc w:val="center"/>
              <w:rPr>
                <w:rFonts w:hint="eastAsia" w:ascii="宋体" w:hAnsi="宋体"/>
                <w:sz w:val="24"/>
              </w:rPr>
            </w:pPr>
            <w:r>
              <w:rPr>
                <w:rFonts w:hint="eastAsia" w:ascii="宋体" w:hAnsi="宋体"/>
                <w:sz w:val="24"/>
              </w:rPr>
              <w:t>-</w:t>
            </w:r>
          </w:p>
        </w:tc>
        <w:tc>
          <w:tcPr>
            <w:tcW w:w="2457" w:type="dxa"/>
            <w:noWrap w:val="0"/>
            <w:vAlign w:val="center"/>
          </w:tcPr>
          <w:p w14:paraId="734E9E63">
            <w:pPr>
              <w:spacing w:line="400" w:lineRule="exact"/>
              <w:jc w:val="center"/>
              <w:rPr>
                <w:rFonts w:hint="eastAsia" w:ascii="宋体" w:hAnsi="宋体"/>
                <w:sz w:val="24"/>
              </w:rPr>
            </w:pPr>
          </w:p>
        </w:tc>
        <w:tc>
          <w:tcPr>
            <w:tcW w:w="1323" w:type="dxa"/>
            <w:noWrap w:val="0"/>
            <w:vAlign w:val="top"/>
          </w:tcPr>
          <w:p w14:paraId="507090A7">
            <w:pPr>
              <w:spacing w:line="400" w:lineRule="exact"/>
              <w:jc w:val="center"/>
              <w:rPr>
                <w:rFonts w:hint="eastAsia" w:ascii="宋体" w:hAnsi="宋体"/>
                <w:sz w:val="24"/>
              </w:rPr>
            </w:pPr>
          </w:p>
        </w:tc>
      </w:tr>
      <w:tr w14:paraId="4A2EC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continue"/>
            <w:shd w:val="clear" w:color="auto" w:fill="auto"/>
            <w:noWrap w:val="0"/>
            <w:vAlign w:val="center"/>
          </w:tcPr>
          <w:p w14:paraId="081E9297">
            <w:pPr>
              <w:spacing w:line="400" w:lineRule="exact"/>
              <w:jc w:val="center"/>
              <w:rPr>
                <w:rFonts w:hint="eastAsia" w:ascii="宋体" w:hAnsi="宋体"/>
                <w:sz w:val="24"/>
              </w:rPr>
            </w:pPr>
          </w:p>
        </w:tc>
        <w:tc>
          <w:tcPr>
            <w:tcW w:w="576" w:type="dxa"/>
            <w:vMerge w:val="continue"/>
            <w:noWrap w:val="0"/>
            <w:vAlign w:val="center"/>
          </w:tcPr>
          <w:p w14:paraId="1B7B9FC7">
            <w:pPr>
              <w:spacing w:line="400" w:lineRule="exact"/>
              <w:jc w:val="center"/>
              <w:rPr>
                <w:rFonts w:hint="eastAsia" w:ascii="宋体" w:hAnsi="宋体"/>
                <w:sz w:val="24"/>
              </w:rPr>
            </w:pPr>
          </w:p>
        </w:tc>
        <w:tc>
          <w:tcPr>
            <w:tcW w:w="560" w:type="dxa"/>
            <w:gridSpan w:val="2"/>
            <w:vMerge w:val="restart"/>
            <w:noWrap w:val="0"/>
            <w:vAlign w:val="center"/>
          </w:tcPr>
          <w:p w14:paraId="784C05E0">
            <w:pPr>
              <w:spacing w:line="400" w:lineRule="exact"/>
              <w:jc w:val="center"/>
              <w:rPr>
                <w:rFonts w:hint="eastAsia" w:ascii="宋体" w:hAnsi="宋体"/>
                <w:sz w:val="24"/>
              </w:rPr>
            </w:pPr>
            <w:r>
              <w:rPr>
                <w:rFonts w:hint="eastAsia" w:ascii="宋体" w:hAnsi="宋体"/>
                <w:sz w:val="24"/>
              </w:rPr>
              <w:t>其中</w:t>
            </w:r>
          </w:p>
        </w:tc>
        <w:tc>
          <w:tcPr>
            <w:tcW w:w="3173" w:type="dxa"/>
            <w:noWrap w:val="0"/>
            <w:vAlign w:val="center"/>
          </w:tcPr>
          <w:p w14:paraId="034635AC">
            <w:pPr>
              <w:spacing w:line="400" w:lineRule="exact"/>
              <w:jc w:val="center"/>
              <w:rPr>
                <w:rFonts w:hint="eastAsia" w:ascii="宋体" w:hAnsi="宋体"/>
                <w:sz w:val="24"/>
              </w:rPr>
            </w:pPr>
            <w:r>
              <w:rPr>
                <w:rFonts w:hint="eastAsia" w:ascii="宋体" w:hAnsi="宋体"/>
                <w:sz w:val="24"/>
              </w:rPr>
              <w:t>公园绿地（G1）</w:t>
            </w:r>
          </w:p>
        </w:tc>
        <w:tc>
          <w:tcPr>
            <w:tcW w:w="992" w:type="dxa"/>
            <w:noWrap w:val="0"/>
            <w:vAlign w:val="center"/>
          </w:tcPr>
          <w:p w14:paraId="26DAD4B0">
            <w:pPr>
              <w:spacing w:line="400" w:lineRule="exact"/>
              <w:jc w:val="center"/>
              <w:rPr>
                <w:rFonts w:hint="eastAsia" w:ascii="宋体" w:hAnsi="宋体"/>
                <w:sz w:val="24"/>
              </w:rPr>
            </w:pPr>
            <w:r>
              <w:rPr>
                <w:rFonts w:hint="eastAsia" w:ascii="宋体" w:hAnsi="宋体"/>
                <w:sz w:val="24"/>
              </w:rPr>
              <w:t>-</w:t>
            </w:r>
          </w:p>
        </w:tc>
        <w:tc>
          <w:tcPr>
            <w:tcW w:w="2457" w:type="dxa"/>
            <w:noWrap w:val="0"/>
            <w:vAlign w:val="center"/>
          </w:tcPr>
          <w:p w14:paraId="7E7EBB7D">
            <w:pPr>
              <w:spacing w:line="400" w:lineRule="exact"/>
              <w:jc w:val="center"/>
              <w:rPr>
                <w:rFonts w:hint="eastAsia" w:ascii="宋体" w:hAnsi="宋体"/>
                <w:sz w:val="24"/>
              </w:rPr>
            </w:pPr>
          </w:p>
        </w:tc>
        <w:tc>
          <w:tcPr>
            <w:tcW w:w="1323" w:type="dxa"/>
            <w:noWrap w:val="0"/>
            <w:vAlign w:val="top"/>
          </w:tcPr>
          <w:p w14:paraId="57C31A69">
            <w:pPr>
              <w:spacing w:line="400" w:lineRule="exact"/>
              <w:jc w:val="center"/>
              <w:rPr>
                <w:rFonts w:hint="eastAsia" w:ascii="宋体" w:hAnsi="宋体"/>
                <w:sz w:val="24"/>
              </w:rPr>
            </w:pPr>
          </w:p>
        </w:tc>
      </w:tr>
      <w:tr w14:paraId="54FA7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continue"/>
            <w:shd w:val="clear" w:color="auto" w:fill="auto"/>
            <w:noWrap w:val="0"/>
            <w:vAlign w:val="center"/>
          </w:tcPr>
          <w:p w14:paraId="58E18F07">
            <w:pPr>
              <w:spacing w:line="400" w:lineRule="exact"/>
              <w:jc w:val="center"/>
              <w:rPr>
                <w:rFonts w:hint="eastAsia" w:ascii="宋体" w:hAnsi="宋体"/>
                <w:sz w:val="24"/>
              </w:rPr>
            </w:pPr>
          </w:p>
        </w:tc>
        <w:tc>
          <w:tcPr>
            <w:tcW w:w="576" w:type="dxa"/>
            <w:vMerge w:val="continue"/>
            <w:noWrap w:val="0"/>
            <w:vAlign w:val="center"/>
          </w:tcPr>
          <w:p w14:paraId="6752E78B">
            <w:pPr>
              <w:spacing w:line="400" w:lineRule="exact"/>
              <w:jc w:val="center"/>
              <w:rPr>
                <w:rFonts w:hint="eastAsia" w:ascii="宋体" w:hAnsi="宋体"/>
                <w:sz w:val="24"/>
              </w:rPr>
            </w:pPr>
          </w:p>
        </w:tc>
        <w:tc>
          <w:tcPr>
            <w:tcW w:w="560" w:type="dxa"/>
            <w:gridSpan w:val="2"/>
            <w:vMerge w:val="continue"/>
            <w:noWrap w:val="0"/>
            <w:vAlign w:val="center"/>
          </w:tcPr>
          <w:p w14:paraId="4DCE14D6">
            <w:pPr>
              <w:spacing w:line="400" w:lineRule="exact"/>
              <w:jc w:val="center"/>
              <w:rPr>
                <w:rFonts w:hint="eastAsia" w:ascii="宋体" w:hAnsi="宋体"/>
                <w:sz w:val="24"/>
              </w:rPr>
            </w:pPr>
          </w:p>
        </w:tc>
        <w:tc>
          <w:tcPr>
            <w:tcW w:w="3173" w:type="dxa"/>
            <w:noWrap w:val="0"/>
            <w:vAlign w:val="center"/>
          </w:tcPr>
          <w:p w14:paraId="5ADA904E">
            <w:pPr>
              <w:spacing w:line="400" w:lineRule="exact"/>
              <w:jc w:val="center"/>
              <w:rPr>
                <w:rFonts w:hint="eastAsia" w:ascii="宋体" w:hAnsi="宋体"/>
                <w:sz w:val="24"/>
              </w:rPr>
            </w:pPr>
            <w:r>
              <w:rPr>
                <w:rFonts w:hint="eastAsia" w:ascii="宋体" w:hAnsi="宋体"/>
                <w:sz w:val="24"/>
              </w:rPr>
              <w:t>防护绿地（G2）</w:t>
            </w:r>
          </w:p>
        </w:tc>
        <w:tc>
          <w:tcPr>
            <w:tcW w:w="992" w:type="dxa"/>
            <w:noWrap w:val="0"/>
            <w:vAlign w:val="center"/>
          </w:tcPr>
          <w:p w14:paraId="0F20909C">
            <w:pPr>
              <w:spacing w:line="400" w:lineRule="exact"/>
              <w:jc w:val="center"/>
              <w:rPr>
                <w:rFonts w:hint="eastAsia" w:ascii="宋体" w:hAnsi="宋体"/>
                <w:sz w:val="24"/>
              </w:rPr>
            </w:pPr>
            <w:r>
              <w:rPr>
                <w:rFonts w:hint="eastAsia" w:ascii="宋体" w:hAnsi="宋体"/>
                <w:sz w:val="24"/>
              </w:rPr>
              <w:t>-</w:t>
            </w:r>
          </w:p>
        </w:tc>
        <w:tc>
          <w:tcPr>
            <w:tcW w:w="2457" w:type="dxa"/>
            <w:noWrap w:val="0"/>
            <w:vAlign w:val="center"/>
          </w:tcPr>
          <w:p w14:paraId="767BA23F">
            <w:pPr>
              <w:spacing w:line="400" w:lineRule="exact"/>
              <w:jc w:val="center"/>
              <w:rPr>
                <w:rFonts w:hint="eastAsia" w:ascii="宋体" w:hAnsi="宋体"/>
                <w:sz w:val="24"/>
              </w:rPr>
            </w:pPr>
          </w:p>
        </w:tc>
        <w:tc>
          <w:tcPr>
            <w:tcW w:w="1323" w:type="dxa"/>
            <w:noWrap w:val="0"/>
            <w:vAlign w:val="top"/>
          </w:tcPr>
          <w:p w14:paraId="41BFA5B0">
            <w:pPr>
              <w:spacing w:line="400" w:lineRule="exact"/>
              <w:jc w:val="center"/>
              <w:rPr>
                <w:rFonts w:hint="eastAsia" w:ascii="宋体" w:hAnsi="宋体"/>
                <w:sz w:val="24"/>
              </w:rPr>
            </w:pPr>
          </w:p>
        </w:tc>
      </w:tr>
      <w:tr w14:paraId="6325A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Merge w:val="continue"/>
            <w:shd w:val="clear" w:color="auto" w:fill="auto"/>
            <w:noWrap w:val="0"/>
            <w:vAlign w:val="center"/>
          </w:tcPr>
          <w:p w14:paraId="6C768091">
            <w:pPr>
              <w:spacing w:line="400" w:lineRule="exact"/>
              <w:jc w:val="center"/>
              <w:rPr>
                <w:rFonts w:hint="eastAsia" w:ascii="宋体" w:hAnsi="宋体"/>
                <w:sz w:val="24"/>
              </w:rPr>
            </w:pPr>
          </w:p>
        </w:tc>
        <w:tc>
          <w:tcPr>
            <w:tcW w:w="576" w:type="dxa"/>
            <w:vMerge w:val="continue"/>
            <w:noWrap w:val="0"/>
            <w:vAlign w:val="center"/>
          </w:tcPr>
          <w:p w14:paraId="5B7F489D">
            <w:pPr>
              <w:spacing w:line="400" w:lineRule="exact"/>
              <w:jc w:val="center"/>
              <w:rPr>
                <w:rFonts w:hint="eastAsia" w:ascii="宋体" w:hAnsi="宋体"/>
                <w:sz w:val="24"/>
              </w:rPr>
            </w:pPr>
          </w:p>
        </w:tc>
        <w:tc>
          <w:tcPr>
            <w:tcW w:w="560" w:type="dxa"/>
            <w:gridSpan w:val="2"/>
            <w:vMerge w:val="continue"/>
            <w:noWrap w:val="0"/>
            <w:vAlign w:val="center"/>
          </w:tcPr>
          <w:p w14:paraId="65CB4363">
            <w:pPr>
              <w:spacing w:line="400" w:lineRule="exact"/>
              <w:jc w:val="center"/>
              <w:rPr>
                <w:rFonts w:hint="eastAsia" w:ascii="宋体" w:hAnsi="宋体"/>
                <w:sz w:val="24"/>
              </w:rPr>
            </w:pPr>
          </w:p>
        </w:tc>
        <w:tc>
          <w:tcPr>
            <w:tcW w:w="3173" w:type="dxa"/>
            <w:noWrap w:val="0"/>
            <w:vAlign w:val="center"/>
          </w:tcPr>
          <w:p w14:paraId="169D165A">
            <w:pPr>
              <w:spacing w:line="400" w:lineRule="exact"/>
              <w:jc w:val="center"/>
              <w:rPr>
                <w:rFonts w:hint="eastAsia" w:ascii="宋体" w:hAnsi="宋体"/>
                <w:sz w:val="24"/>
              </w:rPr>
            </w:pPr>
            <w:r>
              <w:rPr>
                <w:rFonts w:hint="eastAsia" w:ascii="宋体" w:hAnsi="宋体"/>
                <w:sz w:val="24"/>
              </w:rPr>
              <w:t>广场用地（G3）</w:t>
            </w:r>
          </w:p>
        </w:tc>
        <w:tc>
          <w:tcPr>
            <w:tcW w:w="992" w:type="dxa"/>
            <w:noWrap w:val="0"/>
            <w:vAlign w:val="center"/>
          </w:tcPr>
          <w:p w14:paraId="5290AA66">
            <w:pPr>
              <w:spacing w:line="400" w:lineRule="exact"/>
              <w:jc w:val="center"/>
              <w:rPr>
                <w:rFonts w:hint="eastAsia" w:ascii="宋体" w:hAnsi="宋体"/>
                <w:sz w:val="24"/>
              </w:rPr>
            </w:pPr>
            <w:r>
              <w:rPr>
                <w:rFonts w:hint="eastAsia" w:ascii="宋体" w:hAnsi="宋体"/>
                <w:sz w:val="24"/>
              </w:rPr>
              <w:t>-</w:t>
            </w:r>
          </w:p>
        </w:tc>
        <w:tc>
          <w:tcPr>
            <w:tcW w:w="2457" w:type="dxa"/>
            <w:noWrap w:val="0"/>
            <w:vAlign w:val="center"/>
          </w:tcPr>
          <w:p w14:paraId="207998B0">
            <w:pPr>
              <w:spacing w:line="400" w:lineRule="exact"/>
              <w:jc w:val="center"/>
              <w:rPr>
                <w:rFonts w:hint="eastAsia" w:ascii="宋体" w:hAnsi="宋体"/>
                <w:sz w:val="24"/>
              </w:rPr>
            </w:pPr>
          </w:p>
        </w:tc>
        <w:tc>
          <w:tcPr>
            <w:tcW w:w="1323" w:type="dxa"/>
            <w:noWrap w:val="0"/>
            <w:vAlign w:val="top"/>
          </w:tcPr>
          <w:p w14:paraId="0340E281">
            <w:pPr>
              <w:spacing w:line="400" w:lineRule="exact"/>
              <w:jc w:val="center"/>
              <w:rPr>
                <w:rFonts w:hint="eastAsia" w:ascii="宋体" w:hAnsi="宋体"/>
                <w:sz w:val="24"/>
              </w:rPr>
            </w:pPr>
          </w:p>
        </w:tc>
      </w:tr>
      <w:tr w14:paraId="1611B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1" w:type="dxa"/>
            <w:gridSpan w:val="2"/>
            <w:shd w:val="clear" w:color="auto" w:fill="auto"/>
            <w:noWrap w:val="0"/>
            <w:vAlign w:val="center"/>
          </w:tcPr>
          <w:p w14:paraId="7E2A497A">
            <w:pPr>
              <w:spacing w:line="400" w:lineRule="exact"/>
              <w:jc w:val="center"/>
              <w:rPr>
                <w:rFonts w:hint="eastAsia" w:ascii="宋体" w:hAnsi="宋体"/>
                <w:sz w:val="24"/>
              </w:rPr>
            </w:pPr>
            <w:r>
              <w:rPr>
                <w:rFonts w:hint="eastAsia" w:ascii="宋体" w:hAnsi="宋体"/>
                <w:sz w:val="24"/>
              </w:rPr>
              <w:t>小计</w:t>
            </w:r>
          </w:p>
        </w:tc>
        <w:tc>
          <w:tcPr>
            <w:tcW w:w="3733" w:type="dxa"/>
            <w:gridSpan w:val="3"/>
            <w:noWrap w:val="0"/>
            <w:vAlign w:val="center"/>
          </w:tcPr>
          <w:p w14:paraId="1C407EC2">
            <w:pPr>
              <w:spacing w:line="400" w:lineRule="exact"/>
              <w:jc w:val="center"/>
              <w:rPr>
                <w:rFonts w:hint="eastAsia" w:ascii="宋体" w:hAnsi="宋体"/>
                <w:sz w:val="24"/>
              </w:rPr>
            </w:pPr>
            <w:r>
              <w:rPr>
                <w:rFonts w:hint="eastAsia" w:ascii="宋体" w:hAnsi="宋体"/>
                <w:sz w:val="24"/>
              </w:rPr>
              <w:t>城市建设用地</w:t>
            </w:r>
          </w:p>
        </w:tc>
        <w:tc>
          <w:tcPr>
            <w:tcW w:w="992" w:type="dxa"/>
            <w:noWrap w:val="0"/>
            <w:vAlign w:val="center"/>
          </w:tcPr>
          <w:p w14:paraId="3339D578">
            <w:pPr>
              <w:spacing w:line="400" w:lineRule="exact"/>
              <w:jc w:val="center"/>
              <w:rPr>
                <w:rFonts w:hint="eastAsia" w:ascii="宋体" w:hAnsi="宋体"/>
                <w:sz w:val="24"/>
              </w:rPr>
            </w:pPr>
            <w:r>
              <w:rPr>
                <w:rFonts w:hint="eastAsia" w:ascii="宋体" w:hAnsi="宋体"/>
                <w:sz w:val="24"/>
              </w:rPr>
              <w:t>9</w:t>
            </w:r>
            <w:r>
              <w:rPr>
                <w:rFonts w:ascii="宋体" w:hAnsi="宋体"/>
                <w:sz w:val="24"/>
              </w:rPr>
              <w:t>4.08</w:t>
            </w:r>
          </w:p>
        </w:tc>
        <w:tc>
          <w:tcPr>
            <w:tcW w:w="2457" w:type="dxa"/>
            <w:noWrap w:val="0"/>
            <w:vAlign w:val="center"/>
          </w:tcPr>
          <w:p w14:paraId="0E2BD232">
            <w:pPr>
              <w:spacing w:line="400" w:lineRule="exact"/>
              <w:jc w:val="center"/>
              <w:rPr>
                <w:rFonts w:hint="eastAsia" w:ascii="宋体" w:hAnsi="宋体"/>
                <w:sz w:val="24"/>
              </w:rPr>
            </w:pPr>
            <w:r>
              <w:rPr>
                <w:rFonts w:hint="eastAsia" w:ascii="宋体" w:hAnsi="宋体"/>
                <w:sz w:val="24"/>
              </w:rPr>
              <w:t>100</w:t>
            </w:r>
          </w:p>
        </w:tc>
        <w:tc>
          <w:tcPr>
            <w:tcW w:w="1323" w:type="dxa"/>
            <w:noWrap w:val="0"/>
            <w:vAlign w:val="top"/>
          </w:tcPr>
          <w:p w14:paraId="6D00DA9C">
            <w:pPr>
              <w:spacing w:line="400" w:lineRule="exact"/>
              <w:jc w:val="center"/>
              <w:rPr>
                <w:rFonts w:hint="eastAsia" w:ascii="宋体" w:hAnsi="宋体"/>
                <w:sz w:val="24"/>
              </w:rPr>
            </w:pPr>
          </w:p>
        </w:tc>
      </w:tr>
      <w:tr w14:paraId="12C27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shd w:val="clear" w:color="auto" w:fill="auto"/>
            <w:noWrap w:val="0"/>
            <w:vAlign w:val="center"/>
          </w:tcPr>
          <w:p w14:paraId="562A8340">
            <w:pPr>
              <w:spacing w:line="400" w:lineRule="exact"/>
              <w:jc w:val="center"/>
              <w:rPr>
                <w:rFonts w:hint="eastAsia" w:ascii="宋体" w:hAnsi="宋体"/>
                <w:sz w:val="24"/>
              </w:rPr>
            </w:pPr>
            <w:r>
              <w:rPr>
                <w:rFonts w:hint="eastAsia" w:ascii="宋体" w:hAnsi="宋体"/>
                <w:sz w:val="24"/>
              </w:rPr>
              <w:t>9</w:t>
            </w:r>
          </w:p>
        </w:tc>
        <w:tc>
          <w:tcPr>
            <w:tcW w:w="576" w:type="dxa"/>
            <w:shd w:val="clear" w:color="auto" w:fill="auto"/>
            <w:noWrap w:val="0"/>
            <w:vAlign w:val="center"/>
          </w:tcPr>
          <w:p w14:paraId="12C65595">
            <w:pPr>
              <w:spacing w:line="400" w:lineRule="exact"/>
              <w:jc w:val="center"/>
              <w:rPr>
                <w:rFonts w:hint="eastAsia" w:ascii="宋体" w:hAnsi="宋体"/>
                <w:sz w:val="24"/>
              </w:rPr>
            </w:pPr>
            <w:r>
              <w:rPr>
                <w:rFonts w:hint="eastAsia" w:ascii="宋体" w:hAnsi="宋体"/>
                <w:sz w:val="24"/>
              </w:rPr>
              <w:t>H14</w:t>
            </w:r>
          </w:p>
        </w:tc>
        <w:tc>
          <w:tcPr>
            <w:tcW w:w="3733" w:type="dxa"/>
            <w:gridSpan w:val="3"/>
            <w:noWrap w:val="0"/>
            <w:vAlign w:val="center"/>
          </w:tcPr>
          <w:p w14:paraId="373DFD9F">
            <w:pPr>
              <w:spacing w:line="400" w:lineRule="exact"/>
              <w:jc w:val="center"/>
              <w:rPr>
                <w:rFonts w:hint="eastAsia" w:ascii="宋体" w:hAnsi="宋体"/>
                <w:sz w:val="24"/>
              </w:rPr>
            </w:pPr>
            <w:r>
              <w:rPr>
                <w:rFonts w:hint="eastAsia" w:ascii="宋体" w:hAnsi="宋体"/>
                <w:sz w:val="24"/>
              </w:rPr>
              <w:t>村庄建设用地</w:t>
            </w:r>
          </w:p>
        </w:tc>
        <w:tc>
          <w:tcPr>
            <w:tcW w:w="992" w:type="dxa"/>
            <w:noWrap w:val="0"/>
            <w:vAlign w:val="center"/>
          </w:tcPr>
          <w:p w14:paraId="78FDDDCC">
            <w:pPr>
              <w:spacing w:line="400" w:lineRule="exact"/>
              <w:jc w:val="center"/>
              <w:rPr>
                <w:rFonts w:hint="eastAsia" w:ascii="宋体" w:hAnsi="宋体"/>
                <w:sz w:val="24"/>
              </w:rPr>
            </w:pPr>
            <w:r>
              <w:rPr>
                <w:rFonts w:hint="eastAsia" w:ascii="宋体" w:hAnsi="宋体"/>
                <w:sz w:val="24"/>
              </w:rPr>
              <w:t>2</w:t>
            </w:r>
            <w:r>
              <w:rPr>
                <w:rFonts w:ascii="宋体" w:hAnsi="宋体"/>
                <w:sz w:val="24"/>
              </w:rPr>
              <w:t>5.14</w:t>
            </w:r>
          </w:p>
        </w:tc>
        <w:tc>
          <w:tcPr>
            <w:tcW w:w="2457" w:type="dxa"/>
            <w:noWrap w:val="0"/>
            <w:vAlign w:val="center"/>
          </w:tcPr>
          <w:p w14:paraId="2017DF31">
            <w:pPr>
              <w:spacing w:line="400" w:lineRule="exact"/>
              <w:jc w:val="center"/>
              <w:rPr>
                <w:rFonts w:hint="eastAsia" w:ascii="宋体" w:hAnsi="宋体"/>
                <w:sz w:val="24"/>
              </w:rPr>
            </w:pPr>
          </w:p>
        </w:tc>
        <w:tc>
          <w:tcPr>
            <w:tcW w:w="1323" w:type="dxa"/>
            <w:noWrap w:val="0"/>
            <w:vAlign w:val="top"/>
          </w:tcPr>
          <w:p w14:paraId="27A96B30">
            <w:pPr>
              <w:spacing w:line="400" w:lineRule="exact"/>
              <w:jc w:val="center"/>
              <w:rPr>
                <w:rFonts w:hint="eastAsia" w:ascii="宋体" w:hAnsi="宋体"/>
                <w:sz w:val="24"/>
              </w:rPr>
            </w:pPr>
          </w:p>
        </w:tc>
      </w:tr>
      <w:tr w14:paraId="3372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shd w:val="clear" w:color="auto" w:fill="auto"/>
            <w:noWrap w:val="0"/>
            <w:vAlign w:val="center"/>
          </w:tcPr>
          <w:p w14:paraId="51695546">
            <w:pPr>
              <w:spacing w:line="400" w:lineRule="exact"/>
              <w:jc w:val="center"/>
              <w:rPr>
                <w:rFonts w:hint="eastAsia" w:ascii="宋体" w:hAnsi="宋体"/>
                <w:sz w:val="24"/>
              </w:rPr>
            </w:pPr>
            <w:r>
              <w:rPr>
                <w:rFonts w:hint="eastAsia" w:ascii="宋体" w:hAnsi="宋体"/>
                <w:sz w:val="24"/>
              </w:rPr>
              <w:t>10</w:t>
            </w:r>
          </w:p>
        </w:tc>
        <w:tc>
          <w:tcPr>
            <w:tcW w:w="576" w:type="dxa"/>
            <w:shd w:val="clear" w:color="auto" w:fill="auto"/>
            <w:noWrap w:val="0"/>
            <w:vAlign w:val="center"/>
          </w:tcPr>
          <w:p w14:paraId="0467F143">
            <w:pPr>
              <w:spacing w:line="400" w:lineRule="exact"/>
              <w:jc w:val="center"/>
              <w:rPr>
                <w:rFonts w:hint="eastAsia" w:ascii="宋体" w:hAnsi="宋体"/>
                <w:sz w:val="24"/>
              </w:rPr>
            </w:pPr>
            <w:r>
              <w:rPr>
                <w:rFonts w:hint="eastAsia" w:ascii="宋体" w:hAnsi="宋体"/>
                <w:sz w:val="24"/>
              </w:rPr>
              <w:t>H2</w:t>
            </w:r>
          </w:p>
        </w:tc>
        <w:tc>
          <w:tcPr>
            <w:tcW w:w="3733" w:type="dxa"/>
            <w:gridSpan w:val="3"/>
            <w:noWrap w:val="0"/>
            <w:vAlign w:val="center"/>
          </w:tcPr>
          <w:p w14:paraId="74C626D5">
            <w:pPr>
              <w:spacing w:line="400" w:lineRule="exact"/>
              <w:jc w:val="center"/>
              <w:rPr>
                <w:rFonts w:hint="eastAsia" w:ascii="宋体" w:hAnsi="宋体"/>
                <w:sz w:val="24"/>
              </w:rPr>
            </w:pPr>
            <w:r>
              <w:rPr>
                <w:rFonts w:hint="eastAsia" w:ascii="宋体" w:hAnsi="宋体"/>
                <w:sz w:val="24"/>
              </w:rPr>
              <w:t>区域交通设施用地</w:t>
            </w:r>
          </w:p>
        </w:tc>
        <w:tc>
          <w:tcPr>
            <w:tcW w:w="992" w:type="dxa"/>
            <w:noWrap w:val="0"/>
            <w:vAlign w:val="center"/>
          </w:tcPr>
          <w:p w14:paraId="533A0278">
            <w:pPr>
              <w:spacing w:line="400" w:lineRule="exact"/>
              <w:jc w:val="center"/>
              <w:rPr>
                <w:rFonts w:hint="eastAsia" w:ascii="宋体" w:hAnsi="宋体"/>
                <w:sz w:val="24"/>
              </w:rPr>
            </w:pPr>
            <w:r>
              <w:rPr>
                <w:rFonts w:ascii="宋体" w:hAnsi="宋体"/>
                <w:sz w:val="24"/>
              </w:rPr>
              <w:t>15.25</w:t>
            </w:r>
          </w:p>
        </w:tc>
        <w:tc>
          <w:tcPr>
            <w:tcW w:w="2457" w:type="dxa"/>
            <w:noWrap w:val="0"/>
            <w:vAlign w:val="center"/>
          </w:tcPr>
          <w:p w14:paraId="3770B4EC">
            <w:pPr>
              <w:spacing w:line="400" w:lineRule="exact"/>
              <w:jc w:val="center"/>
              <w:rPr>
                <w:rFonts w:hint="eastAsia" w:ascii="宋体" w:hAnsi="宋体"/>
                <w:sz w:val="24"/>
              </w:rPr>
            </w:pPr>
          </w:p>
        </w:tc>
        <w:tc>
          <w:tcPr>
            <w:tcW w:w="1323" w:type="dxa"/>
            <w:noWrap w:val="0"/>
            <w:vAlign w:val="top"/>
          </w:tcPr>
          <w:p w14:paraId="30151259">
            <w:pPr>
              <w:spacing w:line="400" w:lineRule="exact"/>
              <w:jc w:val="center"/>
              <w:rPr>
                <w:rFonts w:hint="eastAsia" w:ascii="宋体" w:hAnsi="宋体"/>
                <w:sz w:val="24"/>
              </w:rPr>
            </w:pPr>
          </w:p>
        </w:tc>
      </w:tr>
      <w:tr w14:paraId="0A751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shd w:val="clear" w:color="auto" w:fill="auto"/>
            <w:noWrap w:val="0"/>
            <w:vAlign w:val="center"/>
          </w:tcPr>
          <w:p w14:paraId="269FD7E8">
            <w:pPr>
              <w:spacing w:line="400" w:lineRule="exact"/>
              <w:jc w:val="center"/>
              <w:rPr>
                <w:rFonts w:hint="eastAsia" w:ascii="宋体" w:hAnsi="宋体"/>
                <w:sz w:val="24"/>
              </w:rPr>
            </w:pPr>
            <w:r>
              <w:rPr>
                <w:rFonts w:hint="eastAsia" w:ascii="宋体" w:hAnsi="宋体"/>
                <w:sz w:val="24"/>
              </w:rPr>
              <w:t>11</w:t>
            </w:r>
          </w:p>
        </w:tc>
        <w:tc>
          <w:tcPr>
            <w:tcW w:w="576" w:type="dxa"/>
            <w:shd w:val="clear" w:color="auto" w:fill="auto"/>
            <w:noWrap w:val="0"/>
            <w:vAlign w:val="center"/>
          </w:tcPr>
          <w:p w14:paraId="585C6028">
            <w:pPr>
              <w:spacing w:line="400" w:lineRule="exact"/>
              <w:jc w:val="center"/>
              <w:rPr>
                <w:rFonts w:hint="eastAsia" w:ascii="宋体" w:hAnsi="宋体"/>
                <w:sz w:val="24"/>
              </w:rPr>
            </w:pPr>
            <w:r>
              <w:rPr>
                <w:rFonts w:hint="eastAsia" w:ascii="宋体" w:hAnsi="宋体"/>
                <w:sz w:val="24"/>
              </w:rPr>
              <w:t>H4</w:t>
            </w:r>
          </w:p>
        </w:tc>
        <w:tc>
          <w:tcPr>
            <w:tcW w:w="3733" w:type="dxa"/>
            <w:gridSpan w:val="3"/>
            <w:noWrap w:val="0"/>
            <w:vAlign w:val="center"/>
          </w:tcPr>
          <w:p w14:paraId="7EAB1ECA">
            <w:pPr>
              <w:spacing w:line="400" w:lineRule="exact"/>
              <w:jc w:val="center"/>
              <w:rPr>
                <w:rFonts w:hint="eastAsia" w:ascii="宋体" w:hAnsi="宋体"/>
                <w:sz w:val="24"/>
              </w:rPr>
            </w:pPr>
            <w:r>
              <w:rPr>
                <w:rFonts w:hint="eastAsia" w:ascii="宋体" w:hAnsi="宋体"/>
                <w:sz w:val="24"/>
              </w:rPr>
              <w:t>特殊用地</w:t>
            </w:r>
          </w:p>
        </w:tc>
        <w:tc>
          <w:tcPr>
            <w:tcW w:w="992" w:type="dxa"/>
            <w:noWrap w:val="0"/>
            <w:vAlign w:val="center"/>
          </w:tcPr>
          <w:p w14:paraId="1E60BAD6">
            <w:pPr>
              <w:spacing w:line="400" w:lineRule="exact"/>
              <w:jc w:val="center"/>
              <w:rPr>
                <w:rFonts w:hint="eastAsia" w:ascii="宋体" w:hAnsi="宋体"/>
                <w:sz w:val="24"/>
              </w:rPr>
            </w:pPr>
            <w:r>
              <w:rPr>
                <w:rFonts w:hint="eastAsia" w:ascii="宋体" w:hAnsi="宋体"/>
                <w:sz w:val="24"/>
              </w:rPr>
              <w:t>2.75</w:t>
            </w:r>
          </w:p>
        </w:tc>
        <w:tc>
          <w:tcPr>
            <w:tcW w:w="2457" w:type="dxa"/>
            <w:noWrap w:val="0"/>
            <w:vAlign w:val="center"/>
          </w:tcPr>
          <w:p w14:paraId="4751FFA8">
            <w:pPr>
              <w:spacing w:line="400" w:lineRule="exact"/>
              <w:jc w:val="center"/>
              <w:rPr>
                <w:rFonts w:hint="eastAsia" w:ascii="宋体" w:hAnsi="宋体"/>
                <w:sz w:val="24"/>
              </w:rPr>
            </w:pPr>
          </w:p>
        </w:tc>
        <w:tc>
          <w:tcPr>
            <w:tcW w:w="1323" w:type="dxa"/>
            <w:noWrap w:val="0"/>
            <w:vAlign w:val="top"/>
          </w:tcPr>
          <w:p w14:paraId="2CA1AE00">
            <w:pPr>
              <w:spacing w:line="400" w:lineRule="exact"/>
              <w:jc w:val="center"/>
              <w:rPr>
                <w:rFonts w:hint="eastAsia" w:ascii="宋体" w:hAnsi="宋体"/>
                <w:sz w:val="24"/>
              </w:rPr>
            </w:pPr>
          </w:p>
        </w:tc>
      </w:tr>
      <w:tr w14:paraId="6B049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shd w:val="clear" w:color="auto" w:fill="auto"/>
            <w:noWrap w:val="0"/>
            <w:vAlign w:val="center"/>
          </w:tcPr>
          <w:p w14:paraId="1862923B">
            <w:pPr>
              <w:spacing w:line="400" w:lineRule="exact"/>
              <w:jc w:val="center"/>
              <w:rPr>
                <w:rFonts w:hint="eastAsia" w:ascii="宋体" w:hAnsi="宋体"/>
                <w:sz w:val="24"/>
              </w:rPr>
            </w:pPr>
            <w:r>
              <w:rPr>
                <w:rFonts w:hint="eastAsia" w:ascii="宋体" w:hAnsi="宋体"/>
                <w:sz w:val="24"/>
              </w:rPr>
              <w:t>1</w:t>
            </w:r>
            <w:r>
              <w:rPr>
                <w:rFonts w:ascii="宋体" w:hAnsi="宋体"/>
                <w:sz w:val="24"/>
              </w:rPr>
              <w:t>2</w:t>
            </w:r>
          </w:p>
        </w:tc>
        <w:tc>
          <w:tcPr>
            <w:tcW w:w="576" w:type="dxa"/>
            <w:noWrap w:val="0"/>
            <w:vAlign w:val="center"/>
          </w:tcPr>
          <w:p w14:paraId="46EBE89F">
            <w:pPr>
              <w:spacing w:line="400" w:lineRule="exact"/>
              <w:jc w:val="center"/>
              <w:rPr>
                <w:rFonts w:hint="eastAsia" w:ascii="宋体" w:hAnsi="宋体"/>
                <w:sz w:val="24"/>
              </w:rPr>
            </w:pPr>
            <w:r>
              <w:rPr>
                <w:rFonts w:hint="eastAsia" w:ascii="宋体" w:hAnsi="宋体"/>
                <w:sz w:val="24"/>
              </w:rPr>
              <w:t>E1</w:t>
            </w:r>
          </w:p>
        </w:tc>
        <w:tc>
          <w:tcPr>
            <w:tcW w:w="3733" w:type="dxa"/>
            <w:gridSpan w:val="3"/>
            <w:noWrap w:val="0"/>
            <w:vAlign w:val="center"/>
          </w:tcPr>
          <w:p w14:paraId="1B8E9DC9">
            <w:pPr>
              <w:spacing w:line="400" w:lineRule="exact"/>
              <w:jc w:val="center"/>
              <w:rPr>
                <w:rFonts w:hint="eastAsia" w:ascii="宋体" w:hAnsi="宋体"/>
                <w:sz w:val="24"/>
              </w:rPr>
            </w:pPr>
            <w:r>
              <w:rPr>
                <w:rFonts w:hint="eastAsia" w:ascii="宋体" w:hAnsi="宋体"/>
                <w:sz w:val="24"/>
              </w:rPr>
              <w:t>水域、滩涂</w:t>
            </w:r>
          </w:p>
        </w:tc>
        <w:tc>
          <w:tcPr>
            <w:tcW w:w="992" w:type="dxa"/>
            <w:noWrap w:val="0"/>
            <w:vAlign w:val="center"/>
          </w:tcPr>
          <w:p w14:paraId="1E91D7B8">
            <w:pPr>
              <w:spacing w:line="400" w:lineRule="exact"/>
              <w:jc w:val="center"/>
              <w:rPr>
                <w:rFonts w:hint="eastAsia" w:ascii="宋体" w:hAnsi="宋体"/>
                <w:sz w:val="24"/>
              </w:rPr>
            </w:pPr>
            <w:r>
              <w:rPr>
                <w:rFonts w:ascii="宋体" w:hAnsi="宋体"/>
                <w:sz w:val="24"/>
              </w:rPr>
              <w:t>26.40</w:t>
            </w:r>
          </w:p>
        </w:tc>
        <w:tc>
          <w:tcPr>
            <w:tcW w:w="2457" w:type="dxa"/>
            <w:noWrap w:val="0"/>
            <w:vAlign w:val="center"/>
          </w:tcPr>
          <w:p w14:paraId="14B928E5">
            <w:pPr>
              <w:spacing w:line="400" w:lineRule="exact"/>
              <w:jc w:val="center"/>
              <w:rPr>
                <w:rFonts w:hint="eastAsia" w:ascii="宋体" w:hAnsi="宋体"/>
                <w:sz w:val="24"/>
              </w:rPr>
            </w:pPr>
          </w:p>
        </w:tc>
        <w:tc>
          <w:tcPr>
            <w:tcW w:w="1323" w:type="dxa"/>
            <w:noWrap w:val="0"/>
            <w:vAlign w:val="top"/>
          </w:tcPr>
          <w:p w14:paraId="15EF8780">
            <w:pPr>
              <w:spacing w:line="400" w:lineRule="exact"/>
              <w:jc w:val="center"/>
              <w:rPr>
                <w:rFonts w:hint="eastAsia" w:ascii="宋体" w:hAnsi="宋体"/>
                <w:sz w:val="24"/>
              </w:rPr>
            </w:pPr>
          </w:p>
        </w:tc>
      </w:tr>
      <w:tr w14:paraId="1BE3C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shd w:val="clear" w:color="auto" w:fill="auto"/>
            <w:noWrap w:val="0"/>
            <w:vAlign w:val="center"/>
          </w:tcPr>
          <w:p w14:paraId="60D857BC">
            <w:pPr>
              <w:spacing w:line="400" w:lineRule="exact"/>
              <w:jc w:val="center"/>
              <w:rPr>
                <w:rFonts w:hint="eastAsia" w:ascii="宋体" w:hAnsi="宋体"/>
                <w:sz w:val="24"/>
              </w:rPr>
            </w:pPr>
            <w:r>
              <w:rPr>
                <w:rFonts w:hint="eastAsia" w:ascii="宋体" w:hAnsi="宋体"/>
                <w:sz w:val="24"/>
              </w:rPr>
              <w:t>1</w:t>
            </w:r>
            <w:r>
              <w:rPr>
                <w:rFonts w:ascii="宋体" w:hAnsi="宋体"/>
                <w:sz w:val="24"/>
              </w:rPr>
              <w:t>3</w:t>
            </w:r>
          </w:p>
        </w:tc>
        <w:tc>
          <w:tcPr>
            <w:tcW w:w="576" w:type="dxa"/>
            <w:noWrap w:val="0"/>
            <w:vAlign w:val="center"/>
          </w:tcPr>
          <w:p w14:paraId="197BA8E4">
            <w:pPr>
              <w:spacing w:line="400" w:lineRule="exact"/>
              <w:jc w:val="center"/>
              <w:rPr>
                <w:rFonts w:hint="eastAsia" w:ascii="宋体" w:hAnsi="宋体"/>
                <w:sz w:val="24"/>
              </w:rPr>
            </w:pPr>
            <w:r>
              <w:rPr>
                <w:rFonts w:hint="eastAsia" w:ascii="宋体" w:hAnsi="宋体"/>
                <w:sz w:val="24"/>
              </w:rPr>
              <w:t>E2</w:t>
            </w:r>
          </w:p>
        </w:tc>
        <w:tc>
          <w:tcPr>
            <w:tcW w:w="3733" w:type="dxa"/>
            <w:gridSpan w:val="3"/>
            <w:noWrap w:val="0"/>
            <w:vAlign w:val="center"/>
          </w:tcPr>
          <w:p w14:paraId="2829FF91">
            <w:pPr>
              <w:spacing w:line="400" w:lineRule="exact"/>
              <w:jc w:val="center"/>
              <w:rPr>
                <w:rFonts w:hint="eastAsia" w:ascii="宋体" w:hAnsi="宋体"/>
                <w:sz w:val="24"/>
              </w:rPr>
            </w:pPr>
            <w:r>
              <w:rPr>
                <w:rFonts w:hint="eastAsia" w:ascii="宋体" w:hAnsi="宋体"/>
                <w:sz w:val="24"/>
              </w:rPr>
              <w:t>生态林地</w:t>
            </w:r>
          </w:p>
        </w:tc>
        <w:tc>
          <w:tcPr>
            <w:tcW w:w="992" w:type="dxa"/>
            <w:noWrap w:val="0"/>
            <w:vAlign w:val="center"/>
          </w:tcPr>
          <w:p w14:paraId="793231E7">
            <w:pPr>
              <w:spacing w:line="400" w:lineRule="exact"/>
              <w:jc w:val="center"/>
              <w:rPr>
                <w:rFonts w:hint="eastAsia" w:ascii="宋体" w:hAnsi="宋体"/>
                <w:sz w:val="24"/>
              </w:rPr>
            </w:pPr>
            <w:r>
              <w:rPr>
                <w:rFonts w:ascii="宋体" w:hAnsi="宋体"/>
                <w:sz w:val="24"/>
              </w:rPr>
              <w:t>495.96</w:t>
            </w:r>
          </w:p>
        </w:tc>
        <w:tc>
          <w:tcPr>
            <w:tcW w:w="2457" w:type="dxa"/>
            <w:noWrap w:val="0"/>
            <w:vAlign w:val="center"/>
          </w:tcPr>
          <w:p w14:paraId="1B1EB1F2">
            <w:pPr>
              <w:spacing w:line="400" w:lineRule="exact"/>
              <w:jc w:val="center"/>
              <w:rPr>
                <w:rFonts w:hint="eastAsia" w:ascii="宋体" w:hAnsi="宋体"/>
                <w:sz w:val="24"/>
              </w:rPr>
            </w:pPr>
          </w:p>
        </w:tc>
        <w:tc>
          <w:tcPr>
            <w:tcW w:w="1323" w:type="dxa"/>
            <w:noWrap w:val="0"/>
            <w:vAlign w:val="top"/>
          </w:tcPr>
          <w:p w14:paraId="492B7386">
            <w:pPr>
              <w:spacing w:line="400" w:lineRule="exact"/>
              <w:jc w:val="center"/>
              <w:rPr>
                <w:rFonts w:hint="eastAsia" w:ascii="宋体" w:hAnsi="宋体"/>
                <w:sz w:val="24"/>
              </w:rPr>
            </w:pPr>
          </w:p>
        </w:tc>
      </w:tr>
      <w:tr w14:paraId="4111A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1" w:type="dxa"/>
            <w:gridSpan w:val="2"/>
            <w:shd w:val="clear" w:color="auto" w:fill="auto"/>
            <w:noWrap w:val="0"/>
            <w:vAlign w:val="center"/>
          </w:tcPr>
          <w:p w14:paraId="6440F062">
            <w:pPr>
              <w:spacing w:line="400" w:lineRule="exact"/>
              <w:jc w:val="center"/>
              <w:rPr>
                <w:rFonts w:hint="eastAsia" w:ascii="宋体" w:hAnsi="宋体"/>
                <w:sz w:val="24"/>
              </w:rPr>
            </w:pPr>
            <w:r>
              <w:rPr>
                <w:rFonts w:hint="eastAsia" w:ascii="宋体" w:hAnsi="宋体"/>
                <w:sz w:val="24"/>
              </w:rPr>
              <w:t>合计</w:t>
            </w:r>
          </w:p>
        </w:tc>
        <w:tc>
          <w:tcPr>
            <w:tcW w:w="3733" w:type="dxa"/>
            <w:gridSpan w:val="3"/>
            <w:noWrap w:val="0"/>
            <w:vAlign w:val="center"/>
          </w:tcPr>
          <w:p w14:paraId="5387FE3F">
            <w:pPr>
              <w:spacing w:line="400" w:lineRule="exact"/>
              <w:jc w:val="center"/>
              <w:rPr>
                <w:rFonts w:hint="eastAsia" w:ascii="宋体" w:hAnsi="宋体"/>
                <w:sz w:val="24"/>
              </w:rPr>
            </w:pPr>
            <w:r>
              <w:rPr>
                <w:rFonts w:hint="eastAsia" w:ascii="宋体" w:hAnsi="宋体"/>
                <w:sz w:val="24"/>
              </w:rPr>
              <w:t>规划范围总用地</w:t>
            </w:r>
          </w:p>
        </w:tc>
        <w:tc>
          <w:tcPr>
            <w:tcW w:w="992" w:type="dxa"/>
            <w:noWrap w:val="0"/>
            <w:vAlign w:val="center"/>
          </w:tcPr>
          <w:p w14:paraId="0C2F1472">
            <w:pPr>
              <w:spacing w:line="400" w:lineRule="exact"/>
              <w:jc w:val="center"/>
              <w:rPr>
                <w:rFonts w:hint="eastAsia" w:ascii="宋体" w:hAnsi="宋体"/>
                <w:sz w:val="24"/>
              </w:rPr>
            </w:pPr>
            <w:r>
              <w:rPr>
                <w:rFonts w:hint="eastAsia" w:ascii="宋体" w:hAnsi="宋体"/>
                <w:sz w:val="24"/>
              </w:rPr>
              <w:t>659.58</w:t>
            </w:r>
          </w:p>
        </w:tc>
        <w:tc>
          <w:tcPr>
            <w:tcW w:w="2457" w:type="dxa"/>
            <w:noWrap w:val="0"/>
            <w:vAlign w:val="center"/>
          </w:tcPr>
          <w:p w14:paraId="5BC316F3">
            <w:pPr>
              <w:spacing w:line="400" w:lineRule="exact"/>
              <w:jc w:val="center"/>
              <w:rPr>
                <w:rFonts w:hint="eastAsia" w:ascii="宋体" w:hAnsi="宋体"/>
                <w:sz w:val="24"/>
              </w:rPr>
            </w:pPr>
          </w:p>
        </w:tc>
        <w:tc>
          <w:tcPr>
            <w:tcW w:w="1323" w:type="dxa"/>
            <w:noWrap w:val="0"/>
            <w:vAlign w:val="top"/>
          </w:tcPr>
          <w:p w14:paraId="4AA27AA1">
            <w:pPr>
              <w:spacing w:line="400" w:lineRule="exact"/>
              <w:jc w:val="center"/>
              <w:rPr>
                <w:rFonts w:hint="eastAsia" w:ascii="宋体" w:hAnsi="宋体"/>
                <w:sz w:val="24"/>
              </w:rPr>
            </w:pPr>
          </w:p>
        </w:tc>
      </w:tr>
    </w:tbl>
    <w:p w14:paraId="26C80BD7">
      <w:pPr>
        <w:pStyle w:val="4"/>
        <w:spacing w:line="660" w:lineRule="exact"/>
        <w:rPr>
          <w:rFonts w:ascii="黑体" w:eastAsia="黑体"/>
        </w:rPr>
      </w:pPr>
      <w:bookmarkStart w:id="27" w:name="_Toc6394567"/>
      <w:r>
        <w:rPr>
          <w:rFonts w:hint="eastAsia" w:ascii="黑体" w:eastAsia="黑体"/>
        </w:rPr>
        <w:t>七、公共服务设施</w:t>
      </w:r>
      <w:bookmarkEnd w:id="27"/>
    </w:p>
    <w:p w14:paraId="5642F518">
      <w:pPr>
        <w:spacing w:line="660" w:lineRule="exact"/>
        <w:ind w:firstLine="560" w:firstLineChars="200"/>
        <w:rPr>
          <w:rFonts w:ascii="宋体" w:hAnsi="宋体"/>
          <w:sz w:val="28"/>
          <w:szCs w:val="28"/>
        </w:rPr>
      </w:pPr>
      <w:r>
        <w:rPr>
          <w:rFonts w:hint="eastAsia" w:ascii="宋体" w:hAnsi="宋体"/>
          <w:sz w:val="28"/>
          <w:szCs w:val="28"/>
        </w:rPr>
        <w:t>岷江东岸片区公共管理与公共服务</w:t>
      </w:r>
      <w:r>
        <w:rPr>
          <w:rFonts w:ascii="宋体" w:hAnsi="宋体"/>
          <w:sz w:val="28"/>
          <w:szCs w:val="28"/>
        </w:rPr>
        <w:t>用地</w:t>
      </w:r>
      <w:r>
        <w:rPr>
          <w:rFonts w:hint="eastAsia" w:ascii="宋体" w:hAnsi="宋体"/>
          <w:sz w:val="28"/>
          <w:szCs w:val="28"/>
        </w:rPr>
        <w:t>主要沿碧山路分散布置，由北向南分布有安定精神病医院、海棠职业学校、驳骨堂医院、市福利院、乐山四中、振兴中等职业技校、军地两用人才学校、乐山市公路局、龙泓路小学等，其用地分散、不规整，规模小。岷江一桥桥头有1处市级文物保护单位——龙泓寺，现有建筑被龙泓小学在使用。</w:t>
      </w:r>
    </w:p>
    <w:p w14:paraId="2E88BBCA">
      <w:pPr>
        <w:spacing w:line="660" w:lineRule="exact"/>
        <w:ind w:firstLine="560" w:firstLineChars="200"/>
        <w:rPr>
          <w:rFonts w:hint="eastAsia" w:ascii="宋体" w:hAnsi="宋体"/>
          <w:sz w:val="28"/>
          <w:szCs w:val="28"/>
        </w:rPr>
      </w:pPr>
      <w:r>
        <w:rPr>
          <w:rFonts w:hint="eastAsia" w:ascii="宋体" w:hAnsi="宋体"/>
          <w:sz w:val="28"/>
          <w:szCs w:val="28"/>
        </w:rPr>
        <w:t>公共服务设施主要存在以下问题：</w:t>
      </w:r>
    </w:p>
    <w:p w14:paraId="15E72078">
      <w:pPr>
        <w:spacing w:line="660" w:lineRule="exact"/>
        <w:ind w:firstLine="560" w:firstLineChars="200"/>
        <w:rPr>
          <w:rFonts w:hint="eastAsia" w:ascii="宋体" w:hAnsi="宋体"/>
          <w:sz w:val="28"/>
          <w:szCs w:val="28"/>
        </w:rPr>
      </w:pPr>
      <w:r>
        <w:rPr>
          <w:rFonts w:hint="eastAsia" w:ascii="宋体" w:hAnsi="宋体"/>
          <w:sz w:val="28"/>
          <w:szCs w:val="28"/>
        </w:rPr>
        <w:t>1、</w:t>
      </w:r>
      <w:r>
        <w:rPr>
          <w:rFonts w:hint="eastAsia" w:hAnsi="宋体"/>
          <w:sz w:val="30"/>
          <w:szCs w:val="30"/>
        </w:rPr>
        <w:t>现状公共服务设施总量规模偏小，服务水平及能力有待提升。</w:t>
      </w:r>
    </w:p>
    <w:p w14:paraId="7E6058FF">
      <w:pPr>
        <w:spacing w:line="660" w:lineRule="exact"/>
        <w:ind w:firstLine="560" w:firstLineChars="200"/>
        <w:rPr>
          <w:rFonts w:hint="eastAsia" w:ascii="宋体" w:hAnsi="宋体"/>
          <w:sz w:val="28"/>
          <w:szCs w:val="28"/>
        </w:rPr>
      </w:pPr>
      <w:r>
        <w:rPr>
          <w:rFonts w:hint="eastAsia" w:ascii="宋体" w:hAnsi="宋体"/>
          <w:sz w:val="28"/>
          <w:szCs w:val="28"/>
        </w:rPr>
        <w:t>2、用地沿碧山路呈带状，分散布置，没有形成明确的功能分区，给岷江东岸片区居民生活带来诸多不便。</w:t>
      </w:r>
    </w:p>
    <w:p w14:paraId="58DB66D2">
      <w:pPr>
        <w:spacing w:line="660" w:lineRule="exact"/>
        <w:ind w:firstLine="560" w:firstLineChars="200"/>
        <w:rPr>
          <w:rFonts w:ascii="宋体" w:hAnsi="宋体"/>
          <w:sz w:val="28"/>
          <w:szCs w:val="28"/>
        </w:rPr>
      </w:pPr>
      <w:r>
        <w:rPr>
          <w:rFonts w:hint="eastAsia" w:ascii="宋体" w:hAnsi="宋体"/>
          <w:sz w:val="28"/>
          <w:szCs w:val="28"/>
        </w:rPr>
        <w:t>3、 现有文物保护单位缺乏科学有效保护。</w:t>
      </w:r>
    </w:p>
    <w:p w14:paraId="60E11BEF">
      <w:pPr>
        <w:pStyle w:val="4"/>
        <w:spacing w:line="660" w:lineRule="exact"/>
        <w:rPr>
          <w:rFonts w:ascii="黑体" w:eastAsia="黑体"/>
        </w:rPr>
      </w:pPr>
      <w:bookmarkStart w:id="28" w:name="_Toc6394568"/>
      <w:r>
        <w:rPr>
          <w:rFonts w:hint="eastAsia" w:ascii="黑体" w:eastAsia="黑体"/>
        </w:rPr>
        <w:t>八、</w:t>
      </w:r>
      <w:r>
        <w:rPr>
          <w:rFonts w:ascii="黑体" w:eastAsia="黑体"/>
        </w:rPr>
        <w:t>道路</w:t>
      </w:r>
      <w:r>
        <w:rPr>
          <w:rFonts w:hint="eastAsia" w:ascii="黑体" w:eastAsia="黑体"/>
        </w:rPr>
        <w:t>及市政设施</w:t>
      </w:r>
      <w:bookmarkEnd w:id="28"/>
    </w:p>
    <w:p w14:paraId="0167C7FB">
      <w:pPr>
        <w:spacing w:line="660" w:lineRule="exact"/>
        <w:ind w:firstLine="562" w:firstLineChars="200"/>
        <w:rPr>
          <w:rFonts w:ascii="宋体" w:hAnsi="宋体"/>
          <w:b/>
          <w:sz w:val="28"/>
          <w:szCs w:val="28"/>
        </w:rPr>
      </w:pPr>
      <w:r>
        <w:rPr>
          <w:rFonts w:ascii="宋体" w:hAnsi="宋体"/>
          <w:b/>
          <w:sz w:val="28"/>
          <w:szCs w:val="28"/>
        </w:rPr>
        <w:t>（</w:t>
      </w:r>
      <w:r>
        <w:rPr>
          <w:rFonts w:hint="eastAsia" w:ascii="宋体" w:hAnsi="宋体"/>
          <w:b/>
          <w:sz w:val="28"/>
          <w:szCs w:val="28"/>
        </w:rPr>
        <w:t>一</w:t>
      </w:r>
      <w:r>
        <w:rPr>
          <w:rFonts w:ascii="宋体" w:hAnsi="宋体"/>
          <w:b/>
          <w:sz w:val="28"/>
          <w:szCs w:val="28"/>
        </w:rPr>
        <w:t>）</w:t>
      </w:r>
      <w:r>
        <w:rPr>
          <w:rFonts w:hint="eastAsia" w:ascii="宋体" w:hAnsi="宋体"/>
          <w:b/>
          <w:sz w:val="28"/>
          <w:szCs w:val="28"/>
        </w:rPr>
        <w:t>道路交通</w:t>
      </w:r>
    </w:p>
    <w:p w14:paraId="28D076B4">
      <w:pPr>
        <w:spacing w:line="660" w:lineRule="exact"/>
        <w:ind w:firstLine="560" w:firstLineChars="200"/>
        <w:rPr>
          <w:rFonts w:hint="eastAsia" w:ascii="宋体" w:hAnsi="宋体"/>
          <w:sz w:val="28"/>
          <w:szCs w:val="28"/>
        </w:rPr>
      </w:pPr>
      <w:r>
        <w:rPr>
          <w:rFonts w:hint="eastAsia" w:ascii="宋体" w:hAnsi="宋体"/>
          <w:sz w:val="28"/>
          <w:szCs w:val="28"/>
        </w:rPr>
        <w:t>现状对外交通便利，片区北有岷江二桥，与柏杨坝片区、通江片区有方便的交通联系；南有岷江大桥与嘉州古城区有较便捷的交通联系；东有城市外环线（国道348线）与乐山各区县有较方便的交通联系；为改善</w:t>
      </w:r>
      <w:r>
        <w:rPr>
          <w:rFonts w:ascii="宋体" w:hAnsi="宋体"/>
          <w:sz w:val="28"/>
          <w:szCs w:val="28"/>
        </w:rPr>
        <w:t>大佛景区外部交通环境</w:t>
      </w:r>
      <w:r>
        <w:rPr>
          <w:rFonts w:hint="eastAsia" w:ascii="宋体" w:hAnsi="宋体"/>
          <w:sz w:val="28"/>
          <w:szCs w:val="28"/>
        </w:rPr>
        <w:t>，</w:t>
      </w:r>
      <w:r>
        <w:rPr>
          <w:rFonts w:ascii="宋体" w:hAnsi="宋体"/>
          <w:sz w:val="28"/>
          <w:szCs w:val="28"/>
        </w:rPr>
        <w:t>致</w:t>
      </w:r>
      <w:r>
        <w:rPr>
          <w:rFonts w:hint="eastAsia" w:ascii="宋体" w:hAnsi="宋体"/>
          <w:sz w:val="28"/>
          <w:szCs w:val="28"/>
        </w:rPr>
        <w:t>江</w:t>
      </w:r>
      <w:r>
        <w:rPr>
          <w:rFonts w:ascii="宋体" w:hAnsi="宋体"/>
          <w:sz w:val="28"/>
          <w:szCs w:val="28"/>
        </w:rPr>
        <w:t>路大桥正在</w:t>
      </w:r>
      <w:r>
        <w:rPr>
          <w:rFonts w:hint="eastAsia" w:ascii="宋体" w:hAnsi="宋体"/>
          <w:sz w:val="28"/>
          <w:szCs w:val="28"/>
        </w:rPr>
        <w:t>施工</w:t>
      </w:r>
      <w:r>
        <w:rPr>
          <w:rFonts w:ascii="宋体" w:hAnsi="宋体"/>
          <w:sz w:val="28"/>
          <w:szCs w:val="28"/>
        </w:rPr>
        <w:t>建设中</w:t>
      </w:r>
      <w:r>
        <w:rPr>
          <w:rFonts w:hint="eastAsia" w:ascii="宋体" w:hAnsi="宋体"/>
          <w:sz w:val="28"/>
          <w:szCs w:val="28"/>
        </w:rPr>
        <w:t>，未来片区交通</w:t>
      </w:r>
      <w:r>
        <w:rPr>
          <w:rFonts w:ascii="宋体" w:hAnsi="宋体"/>
          <w:sz w:val="28"/>
          <w:szCs w:val="28"/>
        </w:rPr>
        <w:t>将得到大大改善，</w:t>
      </w:r>
      <w:r>
        <w:rPr>
          <w:rFonts w:hint="eastAsia" w:ascii="宋体" w:hAnsi="宋体"/>
          <w:sz w:val="28"/>
          <w:szCs w:val="28"/>
        </w:rPr>
        <w:t>北可通牟子片区，南可达乐山大佛风景名胜区，东</w:t>
      </w:r>
      <w:r>
        <w:rPr>
          <w:rFonts w:ascii="宋体" w:hAnsi="宋体"/>
          <w:sz w:val="28"/>
          <w:szCs w:val="28"/>
        </w:rPr>
        <w:t>可通绕城高速，</w:t>
      </w:r>
      <w:r>
        <w:rPr>
          <w:rFonts w:hint="eastAsia" w:ascii="宋体" w:hAnsi="宋体"/>
          <w:sz w:val="28"/>
          <w:szCs w:val="28"/>
        </w:rPr>
        <w:t>对外交通可谓四通八达。</w:t>
      </w:r>
    </w:p>
    <w:p w14:paraId="51A7E615">
      <w:pPr>
        <w:spacing w:line="660" w:lineRule="exact"/>
        <w:ind w:firstLine="560" w:firstLineChars="200"/>
        <w:rPr>
          <w:rFonts w:hint="eastAsia" w:ascii="宋体" w:hAnsi="宋体"/>
          <w:sz w:val="28"/>
          <w:szCs w:val="28"/>
        </w:rPr>
      </w:pPr>
      <w:r>
        <w:rPr>
          <w:rFonts w:hint="eastAsia" w:ascii="宋体" w:hAnsi="宋体"/>
          <w:sz w:val="28"/>
          <w:szCs w:val="28"/>
        </w:rPr>
        <w:t>片区内有两条主要道路，一条是贯通南北的碧山路，路面宽度12-18米，路面状况较为良好，另一条是龙泓路，道路线型不好，路面较窄，宽约6-8米。其余道路多为村道，路幅宽度3-5米，多为水泥路面，通行状况较差。</w:t>
      </w:r>
    </w:p>
    <w:p w14:paraId="7ED40196">
      <w:pPr>
        <w:spacing w:line="660" w:lineRule="exact"/>
        <w:ind w:firstLine="560" w:firstLineChars="200"/>
        <w:rPr>
          <w:rFonts w:hint="eastAsia" w:ascii="宋体" w:hAnsi="宋体"/>
          <w:sz w:val="28"/>
          <w:szCs w:val="28"/>
        </w:rPr>
      </w:pPr>
      <w:r>
        <w:rPr>
          <w:rFonts w:hint="eastAsia" w:ascii="宋体" w:hAnsi="宋体"/>
          <w:sz w:val="28"/>
          <w:szCs w:val="28"/>
        </w:rPr>
        <w:t>片区南部天街项目配有2处社会停车场，可为游客提供停车服务。城市公交线路已基本覆盖本片区，但线路、站点、班次均较少，居民出行较为不便。</w:t>
      </w:r>
    </w:p>
    <w:p w14:paraId="77BE7744">
      <w:pPr>
        <w:spacing w:line="660" w:lineRule="exact"/>
        <w:ind w:firstLine="560" w:firstLineChars="200"/>
        <w:rPr>
          <w:rFonts w:hint="eastAsia" w:ascii="宋体" w:hAnsi="宋体"/>
          <w:sz w:val="28"/>
          <w:szCs w:val="28"/>
        </w:rPr>
      </w:pPr>
      <w:r>
        <w:rPr>
          <w:rFonts w:hint="eastAsia" w:ascii="宋体" w:hAnsi="宋体"/>
          <w:sz w:val="28"/>
          <w:szCs w:val="28"/>
        </w:rPr>
        <w:t>道路交通存在问题：</w:t>
      </w:r>
    </w:p>
    <w:p w14:paraId="68DD5C1A">
      <w:pPr>
        <w:spacing w:line="660" w:lineRule="exact"/>
        <w:ind w:firstLine="560" w:firstLineChars="200"/>
        <w:rPr>
          <w:rFonts w:ascii="宋体" w:hAnsi="宋体"/>
          <w:sz w:val="28"/>
          <w:szCs w:val="28"/>
        </w:rPr>
      </w:pPr>
      <w:r>
        <w:rPr>
          <w:rFonts w:hint="eastAsia" w:ascii="宋体" w:hAnsi="宋体"/>
          <w:sz w:val="28"/>
          <w:szCs w:val="28"/>
        </w:rPr>
        <w:t xml:space="preserve">1、片区道路普遍较窄，通行能力有限。 </w:t>
      </w:r>
    </w:p>
    <w:p w14:paraId="7525E707">
      <w:pPr>
        <w:spacing w:line="660" w:lineRule="exact"/>
        <w:ind w:firstLine="560" w:firstLineChars="200"/>
        <w:rPr>
          <w:rFonts w:ascii="宋体" w:hAnsi="宋体"/>
          <w:sz w:val="28"/>
          <w:szCs w:val="28"/>
        </w:rPr>
      </w:pPr>
      <w:r>
        <w:rPr>
          <w:rFonts w:hint="eastAsia" w:ascii="宋体" w:hAnsi="宋体"/>
          <w:sz w:val="28"/>
          <w:szCs w:val="28"/>
        </w:rPr>
        <w:t xml:space="preserve">2、片区内部路网建设滞后，未形成网络体系，致使主要道路上下班高峰期，交通较为拥堵。 </w:t>
      </w:r>
    </w:p>
    <w:p w14:paraId="2DBDE100">
      <w:pPr>
        <w:spacing w:line="660" w:lineRule="exact"/>
        <w:ind w:firstLine="560" w:firstLineChars="200"/>
        <w:rPr>
          <w:rFonts w:hint="eastAsia" w:ascii="宋体" w:hAnsi="宋体"/>
          <w:sz w:val="28"/>
          <w:szCs w:val="28"/>
        </w:rPr>
      </w:pPr>
      <w:r>
        <w:rPr>
          <w:rFonts w:hint="eastAsia" w:ascii="宋体" w:hAnsi="宋体"/>
          <w:sz w:val="28"/>
          <w:szCs w:val="28"/>
        </w:rPr>
        <w:t>3、公交线路覆盖密度不大，线路、站点、班次均较少，居民出行较为不便。</w:t>
      </w:r>
    </w:p>
    <w:p w14:paraId="5A35E9F1">
      <w:pPr>
        <w:spacing w:line="660" w:lineRule="exact"/>
        <w:ind w:firstLine="562" w:firstLineChars="200"/>
        <w:rPr>
          <w:rFonts w:ascii="宋体" w:hAnsi="宋体"/>
          <w:b/>
          <w:sz w:val="28"/>
          <w:szCs w:val="28"/>
        </w:rPr>
      </w:pPr>
      <w:r>
        <w:rPr>
          <w:rFonts w:ascii="宋体" w:hAnsi="宋体"/>
          <w:b/>
          <w:sz w:val="28"/>
          <w:szCs w:val="28"/>
        </w:rPr>
        <w:t>（</w:t>
      </w:r>
      <w:r>
        <w:rPr>
          <w:rFonts w:hint="eastAsia" w:ascii="宋体" w:hAnsi="宋体"/>
          <w:b/>
          <w:sz w:val="28"/>
          <w:szCs w:val="28"/>
        </w:rPr>
        <w:t>二</w:t>
      </w:r>
      <w:r>
        <w:rPr>
          <w:rFonts w:ascii="宋体" w:hAnsi="宋体"/>
          <w:b/>
          <w:sz w:val="28"/>
          <w:szCs w:val="28"/>
        </w:rPr>
        <w:t>）</w:t>
      </w:r>
      <w:r>
        <w:rPr>
          <w:rFonts w:hint="eastAsia" w:ascii="宋体" w:hAnsi="宋体"/>
          <w:b/>
          <w:sz w:val="28"/>
          <w:szCs w:val="28"/>
        </w:rPr>
        <w:t>市政</w:t>
      </w:r>
      <w:r>
        <w:rPr>
          <w:rFonts w:ascii="宋体" w:hAnsi="宋体"/>
          <w:b/>
          <w:sz w:val="28"/>
          <w:szCs w:val="28"/>
        </w:rPr>
        <w:t>管网</w:t>
      </w:r>
    </w:p>
    <w:p w14:paraId="5470A12C">
      <w:pPr>
        <w:spacing w:line="660" w:lineRule="exact"/>
        <w:ind w:firstLine="560" w:firstLineChars="200"/>
        <w:rPr>
          <w:rFonts w:hint="eastAsia" w:ascii="宋体" w:hAnsi="宋体"/>
          <w:sz w:val="28"/>
          <w:szCs w:val="28"/>
        </w:rPr>
      </w:pPr>
      <w:r>
        <w:rPr>
          <w:rFonts w:hint="eastAsia" w:ascii="宋体" w:hAnsi="宋体"/>
          <w:sz w:val="28"/>
          <w:szCs w:val="28"/>
        </w:rPr>
        <w:t>规划区及周边有加油站2座，加气站1座，气瓶检测站1处以及水厂（市二水厂，已停运）1座。</w:t>
      </w:r>
    </w:p>
    <w:p w14:paraId="5AC86E82">
      <w:pPr>
        <w:spacing w:line="700" w:lineRule="exact"/>
        <w:ind w:firstLine="560" w:firstLineChars="200"/>
        <w:rPr>
          <w:rFonts w:hint="eastAsia" w:ascii="宋体" w:hAnsi="宋体"/>
          <w:sz w:val="28"/>
          <w:szCs w:val="28"/>
        </w:rPr>
      </w:pPr>
      <w:r>
        <w:rPr>
          <w:rFonts w:hint="eastAsia" w:ascii="宋体" w:hAnsi="宋体"/>
          <w:sz w:val="28"/>
          <w:szCs w:val="28"/>
        </w:rPr>
        <w:t>区内供水由市三水厂供给，供水主干管网沿碧山路敷设，向沿线地块供水。     现状沿碧山路布置有DN1200污水主管一根，收集沿线污水，并最终进入乐山市第一污水处理厂，沿线支管较少，存在部分污水直排问题。片区雨水就近排入岷江、泥溪河、碧山湖等自然水体。电力、电信、燃气设施基本到位，区内有天然气</w:t>
      </w:r>
      <w:r>
        <w:rPr>
          <w:rFonts w:ascii="宋体" w:hAnsi="宋体"/>
          <w:sz w:val="28"/>
          <w:szCs w:val="28"/>
        </w:rPr>
        <w:t>门站</w:t>
      </w:r>
      <w:r>
        <w:rPr>
          <w:rFonts w:hint="eastAsia" w:ascii="宋体" w:hAnsi="宋体"/>
          <w:sz w:val="28"/>
          <w:szCs w:val="28"/>
        </w:rPr>
        <w:t>1座</w:t>
      </w:r>
      <w:r>
        <w:rPr>
          <w:rFonts w:ascii="宋体" w:hAnsi="宋体"/>
          <w:sz w:val="28"/>
          <w:szCs w:val="28"/>
        </w:rPr>
        <w:t>，</w:t>
      </w:r>
      <w:r>
        <w:rPr>
          <w:rFonts w:hint="eastAsia" w:ascii="宋体" w:hAnsi="宋体"/>
          <w:sz w:val="28"/>
          <w:szCs w:val="28"/>
        </w:rPr>
        <w:t>4条35</w:t>
      </w:r>
      <w:r>
        <w:rPr>
          <w:rFonts w:ascii="宋体" w:hAnsi="宋体"/>
          <w:sz w:val="28"/>
          <w:szCs w:val="28"/>
        </w:rPr>
        <w:t>KV</w:t>
      </w:r>
      <w:r>
        <w:rPr>
          <w:rFonts w:hint="eastAsia" w:ascii="宋体" w:hAnsi="宋体"/>
          <w:sz w:val="28"/>
          <w:szCs w:val="28"/>
        </w:rPr>
        <w:t>以上高压线穿越规划区。</w:t>
      </w:r>
    </w:p>
    <w:p w14:paraId="2C5450A6">
      <w:pPr>
        <w:spacing w:line="700" w:lineRule="exact"/>
        <w:ind w:firstLine="560" w:firstLineChars="200"/>
        <w:rPr>
          <w:rFonts w:ascii="宋体" w:hAnsi="宋体"/>
          <w:sz w:val="28"/>
          <w:szCs w:val="28"/>
        </w:rPr>
      </w:pPr>
      <w:r>
        <w:rPr>
          <w:rFonts w:hint="eastAsia" w:ascii="宋体" w:hAnsi="宋体"/>
          <w:sz w:val="28"/>
          <w:szCs w:val="28"/>
        </w:rPr>
        <w:t xml:space="preserve">市政管网主要存在的问题： </w:t>
      </w:r>
    </w:p>
    <w:p w14:paraId="3DD63C24">
      <w:pPr>
        <w:spacing w:line="700" w:lineRule="exact"/>
        <w:ind w:firstLine="560" w:firstLineChars="200"/>
        <w:rPr>
          <w:rFonts w:hint="eastAsia" w:ascii="宋体" w:hAnsi="宋体"/>
          <w:sz w:val="28"/>
          <w:szCs w:val="28"/>
        </w:rPr>
      </w:pPr>
      <w:r>
        <w:rPr>
          <w:rFonts w:hint="eastAsia" w:ascii="宋体" w:hAnsi="宋体"/>
          <w:sz w:val="28"/>
          <w:szCs w:val="28"/>
        </w:rPr>
        <w:t xml:space="preserve">1、供水管网呈枝状布置，供水安全应差。 </w:t>
      </w:r>
    </w:p>
    <w:p w14:paraId="51583256">
      <w:pPr>
        <w:spacing w:line="700" w:lineRule="exact"/>
        <w:ind w:firstLine="560" w:firstLineChars="200"/>
        <w:rPr>
          <w:rFonts w:ascii="宋体" w:hAnsi="宋体"/>
          <w:sz w:val="28"/>
          <w:szCs w:val="28"/>
        </w:rPr>
      </w:pPr>
      <w:r>
        <w:rPr>
          <w:rFonts w:hint="eastAsia" w:ascii="宋体" w:hAnsi="宋体"/>
          <w:sz w:val="28"/>
          <w:szCs w:val="28"/>
        </w:rPr>
        <w:t>2、排水管网建设滞后，存在部分污水直排，对周边水环境有影响，亟待解决。</w:t>
      </w:r>
    </w:p>
    <w:p w14:paraId="4AEFEC15">
      <w:pPr>
        <w:spacing w:line="700" w:lineRule="exact"/>
        <w:ind w:firstLine="560" w:firstLineChars="200"/>
        <w:rPr>
          <w:rFonts w:ascii="宋体" w:hAnsi="宋体"/>
          <w:sz w:val="28"/>
          <w:szCs w:val="28"/>
        </w:rPr>
      </w:pPr>
      <w:r>
        <w:rPr>
          <w:rFonts w:hint="eastAsia" w:ascii="宋体" w:hAnsi="宋体"/>
          <w:sz w:val="28"/>
          <w:szCs w:val="28"/>
        </w:rPr>
        <w:t>3、片区内现有高压线对片区开发建设有一定影响。</w:t>
      </w:r>
    </w:p>
    <w:p w14:paraId="1031F9E6">
      <w:pPr>
        <w:pStyle w:val="4"/>
        <w:spacing w:line="700" w:lineRule="exact"/>
        <w:rPr>
          <w:rFonts w:ascii="黑体" w:eastAsia="黑体"/>
        </w:rPr>
      </w:pPr>
      <w:bookmarkStart w:id="29" w:name="_Toc6394569"/>
      <w:r>
        <w:rPr>
          <w:rFonts w:hint="eastAsia" w:ascii="黑体" w:eastAsia="黑体"/>
        </w:rPr>
        <w:t>九、城市</w:t>
      </w:r>
      <w:r>
        <w:rPr>
          <w:rFonts w:ascii="黑体" w:eastAsia="黑体"/>
        </w:rPr>
        <w:t>景观</w:t>
      </w:r>
      <w:r>
        <w:rPr>
          <w:rFonts w:hint="eastAsia" w:ascii="黑体" w:eastAsia="黑体"/>
        </w:rPr>
        <w:t>环境</w:t>
      </w:r>
      <w:bookmarkEnd w:id="29"/>
    </w:p>
    <w:p w14:paraId="6AA279BA">
      <w:pPr>
        <w:spacing w:line="700" w:lineRule="exact"/>
        <w:ind w:firstLine="562" w:firstLineChars="200"/>
        <w:rPr>
          <w:rFonts w:ascii="宋体" w:hAnsi="宋体"/>
          <w:b/>
          <w:sz w:val="28"/>
          <w:szCs w:val="28"/>
        </w:rPr>
      </w:pPr>
      <w:bookmarkStart w:id="30" w:name="_Toc136278849"/>
      <w:bookmarkStart w:id="31" w:name="_Toc155109210"/>
      <w:bookmarkStart w:id="32" w:name="_Toc149834037"/>
      <w:r>
        <w:rPr>
          <w:rFonts w:hint="eastAsia" w:ascii="宋体" w:hAnsi="宋体"/>
          <w:b/>
          <w:sz w:val="28"/>
          <w:szCs w:val="28"/>
        </w:rPr>
        <w:t>（一）现状建筑质量分析</w:t>
      </w:r>
    </w:p>
    <w:p w14:paraId="4CA83BB5">
      <w:pPr>
        <w:spacing w:line="700" w:lineRule="exact"/>
        <w:ind w:firstLine="560" w:firstLineChars="200"/>
        <w:rPr>
          <w:rFonts w:ascii="宋体" w:hAnsi="宋体"/>
          <w:sz w:val="28"/>
          <w:szCs w:val="28"/>
        </w:rPr>
      </w:pPr>
      <w:r>
        <w:rPr>
          <w:rFonts w:ascii="宋体" w:hAnsi="宋体"/>
          <w:sz w:val="28"/>
          <w:szCs w:val="28"/>
        </w:rPr>
        <w:t>为了对现状建筑质量作一个综合评定，根据建筑层数、结构、建筑年代等参数将现状建筑分为</w:t>
      </w:r>
      <w:r>
        <w:rPr>
          <w:rFonts w:hint="eastAsia" w:ascii="宋体" w:hAnsi="宋体"/>
          <w:sz w:val="28"/>
          <w:szCs w:val="28"/>
        </w:rPr>
        <w:t>四</w:t>
      </w:r>
      <w:r>
        <w:rPr>
          <w:rFonts w:ascii="宋体" w:hAnsi="宋体"/>
          <w:sz w:val="28"/>
          <w:szCs w:val="28"/>
        </w:rPr>
        <w:t>类</w:t>
      </w:r>
      <w:r>
        <w:rPr>
          <w:rFonts w:hint="eastAsia" w:ascii="宋体" w:hAnsi="宋体"/>
          <w:sz w:val="28"/>
          <w:szCs w:val="28"/>
        </w:rPr>
        <w:t>（文物古迹建筑除外）</w:t>
      </w:r>
      <w:r>
        <w:rPr>
          <w:rFonts w:ascii="宋体" w:hAnsi="宋体"/>
          <w:sz w:val="28"/>
          <w:szCs w:val="28"/>
        </w:rPr>
        <w:t>：</w:t>
      </w:r>
    </w:p>
    <w:p w14:paraId="04F273AC">
      <w:pPr>
        <w:spacing w:line="700" w:lineRule="exact"/>
        <w:ind w:firstLine="560" w:firstLineChars="200"/>
        <w:rPr>
          <w:rFonts w:ascii="宋体" w:hAnsi="宋体"/>
          <w:sz w:val="28"/>
          <w:szCs w:val="28"/>
        </w:rPr>
      </w:pPr>
      <w:r>
        <w:rPr>
          <w:rFonts w:ascii="宋体" w:hAnsi="宋体"/>
          <w:sz w:val="28"/>
          <w:szCs w:val="28"/>
        </w:rPr>
        <w:t>一类建筑：多层以上框架或砖混结构，新</w:t>
      </w:r>
      <w:r>
        <w:rPr>
          <w:rFonts w:hint="eastAsia" w:ascii="宋体" w:hAnsi="宋体"/>
          <w:sz w:val="28"/>
          <w:szCs w:val="28"/>
        </w:rPr>
        <w:t>建</w:t>
      </w:r>
      <w:r>
        <w:rPr>
          <w:rFonts w:ascii="宋体" w:hAnsi="宋体"/>
          <w:sz w:val="28"/>
          <w:szCs w:val="28"/>
        </w:rPr>
        <w:t>建筑及大型公共建筑。</w:t>
      </w:r>
    </w:p>
    <w:p w14:paraId="2BFEB827">
      <w:pPr>
        <w:spacing w:line="700" w:lineRule="exact"/>
        <w:ind w:firstLine="560" w:firstLineChars="200"/>
        <w:rPr>
          <w:rFonts w:ascii="宋体" w:hAnsi="宋体"/>
          <w:sz w:val="28"/>
          <w:szCs w:val="28"/>
        </w:rPr>
      </w:pPr>
      <w:r>
        <w:rPr>
          <w:rFonts w:ascii="宋体" w:hAnsi="宋体"/>
          <w:sz w:val="28"/>
          <w:szCs w:val="28"/>
        </w:rPr>
        <w:t>二类建筑：结构</w:t>
      </w:r>
      <w:r>
        <w:rPr>
          <w:rFonts w:hint="eastAsia" w:ascii="宋体" w:hAnsi="宋体"/>
          <w:sz w:val="28"/>
          <w:szCs w:val="28"/>
        </w:rPr>
        <w:t>质量</w:t>
      </w:r>
      <w:r>
        <w:rPr>
          <w:rFonts w:ascii="宋体" w:hAnsi="宋体"/>
          <w:sz w:val="28"/>
          <w:szCs w:val="28"/>
        </w:rPr>
        <w:t>较好的中高层、多层建筑。</w:t>
      </w:r>
    </w:p>
    <w:p w14:paraId="1DBE39BF">
      <w:pPr>
        <w:spacing w:line="700" w:lineRule="exact"/>
        <w:ind w:firstLine="560" w:firstLineChars="200"/>
        <w:rPr>
          <w:rFonts w:ascii="宋体" w:hAnsi="宋体"/>
          <w:sz w:val="28"/>
          <w:szCs w:val="28"/>
        </w:rPr>
      </w:pPr>
      <w:r>
        <w:rPr>
          <w:rFonts w:ascii="宋体" w:hAnsi="宋体"/>
          <w:sz w:val="28"/>
          <w:szCs w:val="28"/>
        </w:rPr>
        <w:t>三类建筑：结构</w:t>
      </w:r>
      <w:r>
        <w:rPr>
          <w:rFonts w:hint="eastAsia" w:ascii="宋体" w:hAnsi="宋体"/>
          <w:sz w:val="28"/>
          <w:szCs w:val="28"/>
        </w:rPr>
        <w:t>质量普通</w:t>
      </w:r>
      <w:r>
        <w:rPr>
          <w:rFonts w:ascii="宋体" w:hAnsi="宋体"/>
          <w:sz w:val="28"/>
          <w:szCs w:val="28"/>
        </w:rPr>
        <w:t>的多层、低层建筑。</w:t>
      </w:r>
    </w:p>
    <w:p w14:paraId="433FFF66">
      <w:pPr>
        <w:spacing w:line="700" w:lineRule="exact"/>
        <w:ind w:firstLine="560" w:firstLineChars="200"/>
        <w:rPr>
          <w:rFonts w:ascii="宋体" w:hAnsi="宋体"/>
          <w:sz w:val="28"/>
          <w:szCs w:val="28"/>
        </w:rPr>
      </w:pPr>
      <w:r>
        <w:rPr>
          <w:rFonts w:ascii="宋体" w:hAnsi="宋体"/>
          <w:sz w:val="28"/>
          <w:szCs w:val="28"/>
        </w:rPr>
        <w:t>四类建筑：结构</w:t>
      </w:r>
      <w:r>
        <w:rPr>
          <w:rFonts w:hint="eastAsia" w:ascii="宋体" w:hAnsi="宋体"/>
          <w:sz w:val="28"/>
          <w:szCs w:val="28"/>
        </w:rPr>
        <w:t>质量较差</w:t>
      </w:r>
      <w:r>
        <w:rPr>
          <w:rFonts w:ascii="宋体" w:hAnsi="宋体"/>
          <w:sz w:val="28"/>
          <w:szCs w:val="28"/>
        </w:rPr>
        <w:t>的低层建筑、</w:t>
      </w:r>
      <w:r>
        <w:rPr>
          <w:rFonts w:hint="eastAsia" w:ascii="宋体" w:hAnsi="宋体"/>
          <w:sz w:val="28"/>
          <w:szCs w:val="28"/>
        </w:rPr>
        <w:t>棚户区</w:t>
      </w:r>
      <w:r>
        <w:rPr>
          <w:rFonts w:ascii="宋体" w:hAnsi="宋体"/>
          <w:sz w:val="28"/>
          <w:szCs w:val="28"/>
        </w:rPr>
        <w:t>建筑。</w:t>
      </w:r>
    </w:p>
    <w:p w14:paraId="1733A33D">
      <w:pPr>
        <w:spacing w:line="700" w:lineRule="exact"/>
        <w:ind w:firstLine="560" w:firstLineChars="200"/>
        <w:rPr>
          <w:rFonts w:hint="eastAsia" w:ascii="宋体" w:hAnsi="宋体"/>
          <w:sz w:val="28"/>
          <w:szCs w:val="28"/>
        </w:rPr>
      </w:pPr>
      <w:r>
        <w:rPr>
          <w:rFonts w:ascii="宋体" w:hAnsi="宋体"/>
          <w:sz w:val="28"/>
          <w:szCs w:val="28"/>
        </w:rPr>
        <w:t>按此标准，</w:t>
      </w:r>
      <w:r>
        <w:rPr>
          <w:rFonts w:hint="eastAsia" w:ascii="宋体" w:hAnsi="宋体"/>
          <w:sz w:val="28"/>
          <w:szCs w:val="28"/>
        </w:rPr>
        <w:t>规划区</w:t>
      </w:r>
      <w:r>
        <w:rPr>
          <w:rFonts w:ascii="宋体" w:hAnsi="宋体"/>
          <w:sz w:val="28"/>
          <w:szCs w:val="28"/>
        </w:rPr>
        <w:t>大部分为</w:t>
      </w:r>
      <w:r>
        <w:rPr>
          <w:rFonts w:hint="eastAsia" w:ascii="宋体" w:hAnsi="宋体"/>
          <w:sz w:val="28"/>
          <w:szCs w:val="28"/>
        </w:rPr>
        <w:t>一、二</w:t>
      </w:r>
      <w:r>
        <w:rPr>
          <w:rFonts w:ascii="宋体" w:hAnsi="宋体"/>
          <w:sz w:val="28"/>
          <w:szCs w:val="28"/>
        </w:rPr>
        <w:t>类建筑</w:t>
      </w:r>
      <w:r>
        <w:rPr>
          <w:rFonts w:hint="eastAsia" w:ascii="宋体" w:hAnsi="宋体"/>
          <w:sz w:val="28"/>
          <w:szCs w:val="28"/>
        </w:rPr>
        <w:t>（约占</w:t>
      </w:r>
      <w:r>
        <w:rPr>
          <w:rFonts w:ascii="宋体" w:hAnsi="宋体"/>
          <w:sz w:val="28"/>
          <w:szCs w:val="28"/>
        </w:rPr>
        <w:t>69</w:t>
      </w:r>
      <w:r>
        <w:rPr>
          <w:rFonts w:hint="eastAsia" w:ascii="宋体" w:hAnsi="宋体"/>
          <w:sz w:val="28"/>
          <w:szCs w:val="28"/>
        </w:rPr>
        <w:t>％）</w:t>
      </w:r>
      <w:r>
        <w:rPr>
          <w:rFonts w:ascii="宋体" w:hAnsi="宋体"/>
          <w:sz w:val="28"/>
          <w:szCs w:val="28"/>
        </w:rPr>
        <w:t>，</w:t>
      </w:r>
      <w:r>
        <w:rPr>
          <w:rFonts w:hint="eastAsia" w:ascii="宋体" w:hAnsi="宋体"/>
          <w:sz w:val="28"/>
          <w:szCs w:val="28"/>
        </w:rPr>
        <w:t>一类建筑为近年沿江新建建筑。</w:t>
      </w:r>
    </w:p>
    <w:p w14:paraId="64890491">
      <w:pPr>
        <w:spacing w:line="400" w:lineRule="exact"/>
        <w:jc w:val="center"/>
        <w:rPr>
          <w:rFonts w:hint="eastAsia" w:ascii="黑体" w:eastAsia="黑体"/>
          <w:sz w:val="28"/>
          <w:szCs w:val="28"/>
        </w:rPr>
      </w:pPr>
      <w:r>
        <w:rPr>
          <w:rFonts w:hint="eastAsia" w:ascii="黑体" w:eastAsia="黑体"/>
          <w:sz w:val="28"/>
          <w:szCs w:val="28"/>
        </w:rPr>
        <w:t>岷江东岸片区现状建筑面积统计表</w:t>
      </w:r>
    </w:p>
    <w:p w14:paraId="457C1316">
      <w:pPr>
        <w:spacing w:line="400" w:lineRule="exact"/>
        <w:ind w:firstLine="210" w:firstLineChars="100"/>
        <w:rPr>
          <w:rFonts w:hint="eastAsia" w:ascii="宋体" w:hAnsi="宋体"/>
          <w:szCs w:val="21"/>
        </w:rPr>
      </w:pPr>
      <w:r>
        <w:rPr>
          <w:rFonts w:hint="eastAsia" w:ascii="宋体" w:hAnsi="宋体"/>
          <w:szCs w:val="21"/>
        </w:rPr>
        <w:t>表2-3</w:t>
      </w:r>
    </w:p>
    <w:tbl>
      <w:tblPr>
        <w:tblStyle w:val="40"/>
        <w:tblW w:w="48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7"/>
        <w:gridCol w:w="2187"/>
        <w:gridCol w:w="2187"/>
        <w:gridCol w:w="2060"/>
        <w:gridCol w:w="1649"/>
      </w:tblGrid>
      <w:tr w14:paraId="57C35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68" w:type="pct"/>
            <w:shd w:val="clear" w:color="auto" w:fill="D9D9D9"/>
            <w:noWrap w:val="0"/>
            <w:vAlign w:val="center"/>
          </w:tcPr>
          <w:p w14:paraId="4A6263C0">
            <w:pPr>
              <w:tabs>
                <w:tab w:val="left" w:pos="2077"/>
              </w:tabs>
              <w:spacing w:line="360" w:lineRule="auto"/>
              <w:jc w:val="center"/>
              <w:rPr>
                <w:rFonts w:hint="eastAsia" w:ascii="宋体" w:hAnsi="宋体"/>
                <w:sz w:val="24"/>
              </w:rPr>
            </w:pPr>
            <w:r>
              <w:rPr>
                <w:rFonts w:hint="eastAsia" w:ascii="宋体" w:hAnsi="宋体"/>
                <w:sz w:val="24"/>
              </w:rPr>
              <w:t>建筑类别</w:t>
            </w:r>
          </w:p>
        </w:tc>
        <w:tc>
          <w:tcPr>
            <w:tcW w:w="1118" w:type="pct"/>
            <w:shd w:val="clear" w:color="auto" w:fill="D9D9D9"/>
            <w:noWrap w:val="0"/>
            <w:vAlign w:val="center"/>
          </w:tcPr>
          <w:p w14:paraId="5C0F1BD4">
            <w:pPr>
              <w:tabs>
                <w:tab w:val="left" w:pos="2077"/>
              </w:tabs>
              <w:spacing w:line="360" w:lineRule="auto"/>
              <w:jc w:val="center"/>
              <w:rPr>
                <w:rFonts w:hint="eastAsia" w:ascii="宋体" w:hAnsi="宋体"/>
                <w:sz w:val="24"/>
              </w:rPr>
            </w:pPr>
            <w:r>
              <w:rPr>
                <w:rFonts w:hint="eastAsia" w:ascii="宋体" w:hAnsi="宋体"/>
                <w:sz w:val="24"/>
              </w:rPr>
              <w:t>占地面积（h</w:t>
            </w:r>
            <w:r>
              <w:rPr>
                <w:rFonts w:ascii="宋体" w:hAnsi="宋体"/>
                <w:sz w:val="24"/>
              </w:rPr>
              <w:t>m</w:t>
            </w:r>
            <w:r>
              <w:rPr>
                <w:rFonts w:ascii="宋体" w:hAnsi="宋体"/>
                <w:sz w:val="24"/>
                <w:vertAlign w:val="superscript"/>
              </w:rPr>
              <w:t>2</w:t>
            </w:r>
            <w:r>
              <w:rPr>
                <w:rFonts w:hint="eastAsia" w:ascii="宋体" w:hAnsi="宋体"/>
                <w:sz w:val="24"/>
              </w:rPr>
              <w:t>）</w:t>
            </w:r>
          </w:p>
        </w:tc>
        <w:tc>
          <w:tcPr>
            <w:tcW w:w="1118" w:type="pct"/>
            <w:shd w:val="clear" w:color="auto" w:fill="D9D9D9"/>
            <w:noWrap w:val="0"/>
            <w:vAlign w:val="center"/>
          </w:tcPr>
          <w:p w14:paraId="7B51E6C0">
            <w:pPr>
              <w:tabs>
                <w:tab w:val="left" w:pos="2077"/>
              </w:tabs>
              <w:spacing w:line="360" w:lineRule="auto"/>
              <w:jc w:val="center"/>
              <w:rPr>
                <w:rFonts w:hint="eastAsia" w:ascii="宋体" w:hAnsi="宋体"/>
                <w:sz w:val="24"/>
              </w:rPr>
            </w:pPr>
            <w:r>
              <w:rPr>
                <w:rFonts w:hint="eastAsia" w:ascii="宋体" w:hAnsi="宋体"/>
                <w:sz w:val="24"/>
              </w:rPr>
              <w:t>建筑面积（万</w:t>
            </w:r>
            <w:r>
              <w:rPr>
                <w:rFonts w:ascii="宋体" w:hAnsi="宋体"/>
                <w:sz w:val="24"/>
              </w:rPr>
              <w:t>m</w:t>
            </w:r>
            <w:r>
              <w:rPr>
                <w:rFonts w:ascii="宋体" w:hAnsi="宋体"/>
                <w:sz w:val="24"/>
                <w:vertAlign w:val="superscript"/>
              </w:rPr>
              <w:t>2</w:t>
            </w:r>
            <w:r>
              <w:rPr>
                <w:rFonts w:hint="eastAsia" w:ascii="宋体" w:hAnsi="宋体"/>
                <w:sz w:val="24"/>
              </w:rPr>
              <w:t>）</w:t>
            </w:r>
          </w:p>
        </w:tc>
        <w:tc>
          <w:tcPr>
            <w:tcW w:w="1053" w:type="pct"/>
            <w:shd w:val="clear" w:color="auto" w:fill="D9D9D9"/>
            <w:noWrap w:val="0"/>
            <w:vAlign w:val="center"/>
          </w:tcPr>
          <w:p w14:paraId="665C76E2">
            <w:pPr>
              <w:tabs>
                <w:tab w:val="left" w:pos="2077"/>
              </w:tabs>
              <w:spacing w:line="360" w:lineRule="auto"/>
              <w:jc w:val="center"/>
              <w:rPr>
                <w:rFonts w:hint="eastAsia" w:ascii="宋体" w:hAnsi="宋体"/>
                <w:sz w:val="24"/>
              </w:rPr>
            </w:pPr>
            <w:r>
              <w:rPr>
                <w:rFonts w:hint="eastAsia" w:ascii="宋体" w:hAnsi="宋体"/>
                <w:sz w:val="24"/>
              </w:rPr>
              <w:t>所占比例（</w:t>
            </w:r>
            <w:r>
              <w:rPr>
                <w:rFonts w:ascii="宋体" w:hAnsi="宋体"/>
                <w:sz w:val="24"/>
              </w:rPr>
              <w:t>%</w:t>
            </w:r>
            <w:r>
              <w:rPr>
                <w:rFonts w:hint="eastAsia" w:ascii="宋体" w:hAnsi="宋体"/>
                <w:sz w:val="24"/>
              </w:rPr>
              <w:t>）</w:t>
            </w:r>
          </w:p>
        </w:tc>
        <w:tc>
          <w:tcPr>
            <w:tcW w:w="843" w:type="pct"/>
            <w:shd w:val="clear" w:color="auto" w:fill="D9D9D9"/>
            <w:noWrap w:val="0"/>
            <w:vAlign w:val="center"/>
          </w:tcPr>
          <w:p w14:paraId="0BF1B93A">
            <w:pPr>
              <w:tabs>
                <w:tab w:val="left" w:pos="2077"/>
              </w:tabs>
              <w:spacing w:line="360" w:lineRule="auto"/>
              <w:jc w:val="center"/>
              <w:rPr>
                <w:rFonts w:hint="eastAsia" w:ascii="宋体" w:hAnsi="宋体"/>
                <w:sz w:val="24"/>
              </w:rPr>
            </w:pPr>
            <w:r>
              <w:rPr>
                <w:rFonts w:hint="eastAsia" w:ascii="宋体" w:hAnsi="宋体"/>
                <w:sz w:val="24"/>
              </w:rPr>
              <w:t>备注</w:t>
            </w:r>
          </w:p>
        </w:tc>
      </w:tr>
      <w:tr w14:paraId="54E2A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68" w:type="pct"/>
            <w:noWrap w:val="0"/>
            <w:vAlign w:val="center"/>
          </w:tcPr>
          <w:p w14:paraId="0E923D7C">
            <w:pPr>
              <w:tabs>
                <w:tab w:val="left" w:pos="2077"/>
              </w:tabs>
              <w:spacing w:line="360" w:lineRule="auto"/>
              <w:jc w:val="center"/>
              <w:rPr>
                <w:rFonts w:hint="eastAsia" w:ascii="宋体" w:hAnsi="宋体"/>
                <w:sz w:val="24"/>
              </w:rPr>
            </w:pPr>
            <w:r>
              <w:rPr>
                <w:rFonts w:hint="eastAsia" w:ascii="宋体" w:hAnsi="宋体"/>
                <w:sz w:val="24"/>
              </w:rPr>
              <w:t>一类建筑</w:t>
            </w:r>
          </w:p>
        </w:tc>
        <w:tc>
          <w:tcPr>
            <w:tcW w:w="1118" w:type="pct"/>
            <w:noWrap w:val="0"/>
            <w:vAlign w:val="center"/>
          </w:tcPr>
          <w:p w14:paraId="495CBDD8">
            <w:pPr>
              <w:tabs>
                <w:tab w:val="left" w:pos="2077"/>
              </w:tabs>
              <w:spacing w:line="360" w:lineRule="auto"/>
              <w:jc w:val="center"/>
              <w:rPr>
                <w:rFonts w:hint="eastAsia" w:ascii="宋体" w:hAnsi="宋体"/>
                <w:sz w:val="24"/>
              </w:rPr>
            </w:pPr>
            <w:r>
              <w:rPr>
                <w:rFonts w:ascii="宋体" w:hAnsi="宋体"/>
                <w:sz w:val="24"/>
              </w:rPr>
              <w:t>2.23</w:t>
            </w:r>
          </w:p>
        </w:tc>
        <w:tc>
          <w:tcPr>
            <w:tcW w:w="1118" w:type="pct"/>
            <w:noWrap w:val="0"/>
            <w:vAlign w:val="center"/>
          </w:tcPr>
          <w:p w14:paraId="1F4A6C73">
            <w:pPr>
              <w:tabs>
                <w:tab w:val="left" w:pos="2077"/>
              </w:tabs>
              <w:spacing w:line="360" w:lineRule="auto"/>
              <w:jc w:val="center"/>
              <w:rPr>
                <w:rFonts w:hint="eastAsia" w:ascii="宋体" w:hAnsi="宋体"/>
                <w:sz w:val="24"/>
              </w:rPr>
            </w:pPr>
            <w:r>
              <w:rPr>
                <w:rFonts w:ascii="宋体" w:hAnsi="宋体"/>
                <w:sz w:val="24"/>
              </w:rPr>
              <w:t>58.76</w:t>
            </w:r>
          </w:p>
        </w:tc>
        <w:tc>
          <w:tcPr>
            <w:tcW w:w="1053" w:type="pct"/>
            <w:noWrap w:val="0"/>
            <w:vAlign w:val="center"/>
          </w:tcPr>
          <w:p w14:paraId="5BA850BE">
            <w:pPr>
              <w:tabs>
                <w:tab w:val="left" w:pos="2077"/>
              </w:tabs>
              <w:spacing w:line="360" w:lineRule="auto"/>
              <w:jc w:val="center"/>
              <w:rPr>
                <w:rFonts w:hint="eastAsia" w:ascii="宋体" w:hAnsi="宋体"/>
                <w:sz w:val="24"/>
              </w:rPr>
            </w:pPr>
            <w:r>
              <w:rPr>
                <w:rFonts w:ascii="宋体" w:hAnsi="宋体"/>
                <w:sz w:val="24"/>
              </w:rPr>
              <w:t>39.00</w:t>
            </w:r>
          </w:p>
        </w:tc>
        <w:tc>
          <w:tcPr>
            <w:tcW w:w="843" w:type="pct"/>
            <w:noWrap w:val="0"/>
            <w:vAlign w:val="center"/>
          </w:tcPr>
          <w:p w14:paraId="24D5C915">
            <w:pPr>
              <w:tabs>
                <w:tab w:val="left" w:pos="2077"/>
              </w:tabs>
              <w:spacing w:line="360" w:lineRule="auto"/>
              <w:jc w:val="center"/>
              <w:rPr>
                <w:rFonts w:hint="eastAsia" w:ascii="宋体" w:hAnsi="宋体"/>
                <w:sz w:val="24"/>
              </w:rPr>
            </w:pPr>
          </w:p>
        </w:tc>
      </w:tr>
      <w:tr w14:paraId="08B7E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68" w:type="pct"/>
            <w:noWrap w:val="0"/>
            <w:vAlign w:val="center"/>
          </w:tcPr>
          <w:p w14:paraId="3282A22C">
            <w:pPr>
              <w:tabs>
                <w:tab w:val="left" w:pos="2077"/>
              </w:tabs>
              <w:spacing w:line="360" w:lineRule="auto"/>
              <w:jc w:val="center"/>
              <w:rPr>
                <w:rFonts w:hint="eastAsia" w:ascii="宋体" w:hAnsi="宋体"/>
                <w:sz w:val="24"/>
              </w:rPr>
            </w:pPr>
            <w:r>
              <w:rPr>
                <w:rFonts w:hint="eastAsia" w:ascii="宋体" w:hAnsi="宋体"/>
                <w:sz w:val="24"/>
              </w:rPr>
              <w:t>二类建筑</w:t>
            </w:r>
          </w:p>
        </w:tc>
        <w:tc>
          <w:tcPr>
            <w:tcW w:w="1118" w:type="pct"/>
            <w:noWrap w:val="0"/>
            <w:vAlign w:val="center"/>
          </w:tcPr>
          <w:p w14:paraId="446F9A43">
            <w:pPr>
              <w:tabs>
                <w:tab w:val="left" w:pos="2077"/>
              </w:tabs>
              <w:spacing w:line="360" w:lineRule="auto"/>
              <w:jc w:val="center"/>
              <w:rPr>
                <w:rFonts w:hint="eastAsia" w:ascii="宋体" w:hAnsi="宋体"/>
                <w:sz w:val="24"/>
              </w:rPr>
            </w:pPr>
            <w:r>
              <w:rPr>
                <w:rFonts w:ascii="宋体" w:hAnsi="宋体"/>
                <w:sz w:val="24"/>
              </w:rPr>
              <w:t>2.92</w:t>
            </w:r>
          </w:p>
        </w:tc>
        <w:tc>
          <w:tcPr>
            <w:tcW w:w="1118" w:type="pct"/>
            <w:noWrap w:val="0"/>
            <w:vAlign w:val="center"/>
          </w:tcPr>
          <w:p w14:paraId="43EB4C05">
            <w:pPr>
              <w:tabs>
                <w:tab w:val="left" w:pos="2077"/>
              </w:tabs>
              <w:spacing w:line="360" w:lineRule="auto"/>
              <w:jc w:val="center"/>
              <w:rPr>
                <w:rFonts w:hint="eastAsia" w:ascii="宋体" w:hAnsi="宋体"/>
                <w:sz w:val="24"/>
              </w:rPr>
            </w:pPr>
            <w:r>
              <w:rPr>
                <w:rFonts w:ascii="宋体" w:hAnsi="宋体"/>
                <w:sz w:val="24"/>
              </w:rPr>
              <w:t>43.80</w:t>
            </w:r>
          </w:p>
        </w:tc>
        <w:tc>
          <w:tcPr>
            <w:tcW w:w="1053" w:type="pct"/>
            <w:noWrap w:val="0"/>
            <w:vAlign w:val="center"/>
          </w:tcPr>
          <w:p w14:paraId="11859565">
            <w:pPr>
              <w:tabs>
                <w:tab w:val="left" w:pos="2077"/>
              </w:tabs>
              <w:spacing w:line="360" w:lineRule="auto"/>
              <w:jc w:val="center"/>
              <w:rPr>
                <w:rFonts w:hint="eastAsia" w:ascii="宋体" w:hAnsi="宋体"/>
                <w:sz w:val="24"/>
              </w:rPr>
            </w:pPr>
            <w:r>
              <w:rPr>
                <w:rFonts w:ascii="宋体" w:hAnsi="宋体"/>
                <w:sz w:val="24"/>
              </w:rPr>
              <w:t>30.00</w:t>
            </w:r>
          </w:p>
        </w:tc>
        <w:tc>
          <w:tcPr>
            <w:tcW w:w="843" w:type="pct"/>
            <w:vMerge w:val="restart"/>
            <w:noWrap w:val="0"/>
            <w:vAlign w:val="center"/>
          </w:tcPr>
          <w:p w14:paraId="053A705B">
            <w:pPr>
              <w:tabs>
                <w:tab w:val="left" w:pos="2077"/>
              </w:tabs>
              <w:spacing w:line="360" w:lineRule="auto"/>
              <w:jc w:val="center"/>
              <w:rPr>
                <w:rFonts w:hint="eastAsia" w:ascii="宋体" w:hAnsi="宋体"/>
                <w:sz w:val="24"/>
              </w:rPr>
            </w:pPr>
            <w:r>
              <w:rPr>
                <w:rFonts w:hint="eastAsia" w:ascii="宋体" w:hAnsi="宋体"/>
                <w:sz w:val="24"/>
              </w:rPr>
              <w:t>所占比例只表示建筑面积的比例</w:t>
            </w:r>
          </w:p>
        </w:tc>
      </w:tr>
      <w:tr w14:paraId="77911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68" w:type="pct"/>
            <w:noWrap w:val="0"/>
            <w:vAlign w:val="center"/>
          </w:tcPr>
          <w:p w14:paraId="28DF0A22">
            <w:pPr>
              <w:tabs>
                <w:tab w:val="left" w:pos="2077"/>
              </w:tabs>
              <w:spacing w:line="360" w:lineRule="auto"/>
              <w:jc w:val="center"/>
              <w:rPr>
                <w:rFonts w:hint="eastAsia" w:ascii="宋体" w:hAnsi="宋体"/>
                <w:sz w:val="24"/>
              </w:rPr>
            </w:pPr>
            <w:r>
              <w:rPr>
                <w:rFonts w:hint="eastAsia" w:ascii="宋体" w:hAnsi="宋体"/>
                <w:sz w:val="24"/>
              </w:rPr>
              <w:t>三类建筑</w:t>
            </w:r>
          </w:p>
        </w:tc>
        <w:tc>
          <w:tcPr>
            <w:tcW w:w="1118" w:type="pct"/>
            <w:noWrap w:val="0"/>
            <w:vAlign w:val="center"/>
          </w:tcPr>
          <w:p w14:paraId="5DDD4352">
            <w:pPr>
              <w:tabs>
                <w:tab w:val="left" w:pos="2077"/>
              </w:tabs>
              <w:spacing w:line="360" w:lineRule="auto"/>
              <w:jc w:val="center"/>
              <w:rPr>
                <w:rFonts w:hint="eastAsia" w:ascii="宋体" w:hAnsi="宋体"/>
                <w:sz w:val="24"/>
              </w:rPr>
            </w:pPr>
            <w:r>
              <w:rPr>
                <w:rFonts w:ascii="宋体" w:hAnsi="宋体"/>
                <w:sz w:val="24"/>
              </w:rPr>
              <w:t>12.81</w:t>
            </w:r>
          </w:p>
        </w:tc>
        <w:tc>
          <w:tcPr>
            <w:tcW w:w="1118" w:type="pct"/>
            <w:noWrap w:val="0"/>
            <w:vAlign w:val="center"/>
          </w:tcPr>
          <w:p w14:paraId="31C616D3">
            <w:pPr>
              <w:tabs>
                <w:tab w:val="left" w:pos="2077"/>
              </w:tabs>
              <w:spacing w:line="360" w:lineRule="auto"/>
              <w:jc w:val="center"/>
              <w:rPr>
                <w:rFonts w:hint="eastAsia" w:ascii="宋体" w:hAnsi="宋体"/>
                <w:sz w:val="24"/>
              </w:rPr>
            </w:pPr>
            <w:r>
              <w:rPr>
                <w:rFonts w:ascii="宋体" w:hAnsi="宋体"/>
                <w:sz w:val="24"/>
              </w:rPr>
              <w:t>38.43</w:t>
            </w:r>
          </w:p>
        </w:tc>
        <w:tc>
          <w:tcPr>
            <w:tcW w:w="1053" w:type="pct"/>
            <w:noWrap w:val="0"/>
            <w:vAlign w:val="center"/>
          </w:tcPr>
          <w:p w14:paraId="56C4445A">
            <w:pPr>
              <w:tabs>
                <w:tab w:val="left" w:pos="2077"/>
              </w:tabs>
              <w:spacing w:line="360" w:lineRule="auto"/>
              <w:jc w:val="center"/>
              <w:rPr>
                <w:rFonts w:hint="eastAsia" w:ascii="宋体" w:hAnsi="宋体"/>
                <w:sz w:val="24"/>
              </w:rPr>
            </w:pPr>
            <w:r>
              <w:rPr>
                <w:rFonts w:ascii="宋体" w:hAnsi="宋体"/>
                <w:sz w:val="24"/>
              </w:rPr>
              <w:t>26.00</w:t>
            </w:r>
          </w:p>
        </w:tc>
        <w:tc>
          <w:tcPr>
            <w:tcW w:w="843" w:type="pct"/>
            <w:vMerge w:val="continue"/>
            <w:noWrap w:val="0"/>
            <w:vAlign w:val="center"/>
          </w:tcPr>
          <w:p w14:paraId="4623015A">
            <w:pPr>
              <w:tabs>
                <w:tab w:val="left" w:pos="2077"/>
              </w:tabs>
              <w:spacing w:line="360" w:lineRule="auto"/>
              <w:jc w:val="center"/>
              <w:rPr>
                <w:rFonts w:hint="eastAsia" w:ascii="宋体" w:hAnsi="宋体"/>
                <w:sz w:val="24"/>
              </w:rPr>
            </w:pPr>
          </w:p>
        </w:tc>
      </w:tr>
      <w:tr w14:paraId="0264C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68" w:type="pct"/>
            <w:noWrap w:val="0"/>
            <w:vAlign w:val="center"/>
          </w:tcPr>
          <w:p w14:paraId="1723638D">
            <w:pPr>
              <w:tabs>
                <w:tab w:val="left" w:pos="2077"/>
              </w:tabs>
              <w:spacing w:line="360" w:lineRule="auto"/>
              <w:jc w:val="center"/>
              <w:rPr>
                <w:rFonts w:hint="eastAsia" w:ascii="宋体" w:hAnsi="宋体"/>
                <w:sz w:val="24"/>
              </w:rPr>
            </w:pPr>
            <w:r>
              <w:rPr>
                <w:rFonts w:hint="eastAsia" w:ascii="宋体" w:hAnsi="宋体"/>
                <w:sz w:val="24"/>
              </w:rPr>
              <w:t>四类建筑</w:t>
            </w:r>
          </w:p>
        </w:tc>
        <w:tc>
          <w:tcPr>
            <w:tcW w:w="1118" w:type="pct"/>
            <w:noWrap w:val="0"/>
            <w:vAlign w:val="center"/>
          </w:tcPr>
          <w:p w14:paraId="11B0C50B">
            <w:pPr>
              <w:tabs>
                <w:tab w:val="left" w:pos="2077"/>
              </w:tabs>
              <w:spacing w:line="360" w:lineRule="auto"/>
              <w:jc w:val="center"/>
              <w:rPr>
                <w:rFonts w:hint="eastAsia" w:ascii="宋体" w:hAnsi="宋体"/>
                <w:sz w:val="24"/>
              </w:rPr>
            </w:pPr>
            <w:r>
              <w:rPr>
                <w:rFonts w:ascii="宋体" w:hAnsi="宋体"/>
                <w:sz w:val="24"/>
              </w:rPr>
              <w:t>3.99</w:t>
            </w:r>
          </w:p>
        </w:tc>
        <w:tc>
          <w:tcPr>
            <w:tcW w:w="1118" w:type="pct"/>
            <w:noWrap w:val="0"/>
            <w:vAlign w:val="center"/>
          </w:tcPr>
          <w:p w14:paraId="68CE9851">
            <w:pPr>
              <w:tabs>
                <w:tab w:val="left" w:pos="2077"/>
              </w:tabs>
              <w:spacing w:line="360" w:lineRule="auto"/>
              <w:jc w:val="center"/>
              <w:rPr>
                <w:rFonts w:hint="eastAsia" w:ascii="宋体" w:hAnsi="宋体"/>
                <w:sz w:val="24"/>
              </w:rPr>
            </w:pPr>
            <w:r>
              <w:rPr>
                <w:rFonts w:ascii="宋体" w:hAnsi="宋体"/>
                <w:sz w:val="24"/>
              </w:rPr>
              <w:t>7.98</w:t>
            </w:r>
          </w:p>
        </w:tc>
        <w:tc>
          <w:tcPr>
            <w:tcW w:w="1053" w:type="pct"/>
            <w:noWrap w:val="0"/>
            <w:vAlign w:val="center"/>
          </w:tcPr>
          <w:p w14:paraId="251DB943">
            <w:pPr>
              <w:tabs>
                <w:tab w:val="left" w:pos="2077"/>
              </w:tabs>
              <w:spacing w:line="360" w:lineRule="auto"/>
              <w:jc w:val="center"/>
              <w:rPr>
                <w:rFonts w:hint="eastAsia" w:ascii="宋体" w:hAnsi="宋体"/>
                <w:sz w:val="24"/>
              </w:rPr>
            </w:pPr>
            <w:r>
              <w:rPr>
                <w:rFonts w:ascii="宋体" w:hAnsi="宋体"/>
                <w:sz w:val="24"/>
              </w:rPr>
              <w:t>5.00</w:t>
            </w:r>
          </w:p>
        </w:tc>
        <w:tc>
          <w:tcPr>
            <w:tcW w:w="843" w:type="pct"/>
            <w:vMerge w:val="continue"/>
            <w:noWrap w:val="0"/>
            <w:vAlign w:val="center"/>
          </w:tcPr>
          <w:p w14:paraId="6C5B3863">
            <w:pPr>
              <w:tabs>
                <w:tab w:val="left" w:pos="2077"/>
              </w:tabs>
              <w:spacing w:line="360" w:lineRule="auto"/>
              <w:jc w:val="center"/>
              <w:rPr>
                <w:rFonts w:hint="eastAsia" w:ascii="宋体" w:hAnsi="宋体"/>
                <w:sz w:val="24"/>
              </w:rPr>
            </w:pPr>
          </w:p>
        </w:tc>
      </w:tr>
      <w:tr w14:paraId="3E091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868" w:type="pct"/>
            <w:noWrap w:val="0"/>
            <w:vAlign w:val="center"/>
          </w:tcPr>
          <w:p w14:paraId="6693BD67">
            <w:pPr>
              <w:tabs>
                <w:tab w:val="left" w:pos="2077"/>
              </w:tabs>
              <w:spacing w:line="360" w:lineRule="auto"/>
              <w:jc w:val="center"/>
              <w:rPr>
                <w:rFonts w:hint="eastAsia" w:ascii="宋体" w:hAnsi="宋体"/>
                <w:sz w:val="24"/>
              </w:rPr>
            </w:pPr>
            <w:r>
              <w:rPr>
                <w:rFonts w:hint="eastAsia" w:ascii="宋体" w:hAnsi="宋体"/>
                <w:sz w:val="24"/>
              </w:rPr>
              <w:t>合</w:t>
            </w:r>
            <w:r>
              <w:rPr>
                <w:rFonts w:ascii="宋体" w:hAnsi="宋体"/>
                <w:sz w:val="24"/>
              </w:rPr>
              <w:t xml:space="preserve">   </w:t>
            </w:r>
            <w:r>
              <w:rPr>
                <w:rFonts w:hint="eastAsia" w:ascii="宋体" w:hAnsi="宋体"/>
                <w:sz w:val="24"/>
              </w:rPr>
              <w:t>计</w:t>
            </w:r>
          </w:p>
        </w:tc>
        <w:tc>
          <w:tcPr>
            <w:tcW w:w="1118" w:type="pct"/>
            <w:noWrap w:val="0"/>
            <w:vAlign w:val="center"/>
          </w:tcPr>
          <w:p w14:paraId="63C2F6BF">
            <w:pPr>
              <w:tabs>
                <w:tab w:val="left" w:pos="2077"/>
              </w:tabs>
              <w:spacing w:line="360" w:lineRule="auto"/>
              <w:jc w:val="center"/>
              <w:rPr>
                <w:rFonts w:hint="eastAsia" w:ascii="宋体" w:hAnsi="宋体"/>
                <w:sz w:val="24"/>
              </w:rPr>
            </w:pPr>
            <w:r>
              <w:rPr>
                <w:rFonts w:ascii="宋体" w:hAnsi="宋体"/>
                <w:sz w:val="24"/>
              </w:rPr>
              <w:t>21.90</w:t>
            </w:r>
          </w:p>
        </w:tc>
        <w:tc>
          <w:tcPr>
            <w:tcW w:w="1118" w:type="pct"/>
            <w:noWrap w:val="0"/>
            <w:vAlign w:val="center"/>
          </w:tcPr>
          <w:p w14:paraId="2E25F253">
            <w:pPr>
              <w:tabs>
                <w:tab w:val="left" w:pos="2077"/>
              </w:tabs>
              <w:spacing w:line="360" w:lineRule="auto"/>
              <w:jc w:val="center"/>
              <w:rPr>
                <w:rFonts w:hint="eastAsia" w:ascii="宋体" w:hAnsi="宋体"/>
                <w:sz w:val="24"/>
              </w:rPr>
            </w:pPr>
            <w:r>
              <w:rPr>
                <w:rFonts w:ascii="宋体" w:hAnsi="宋体"/>
                <w:sz w:val="24"/>
              </w:rPr>
              <w:t>148.19</w:t>
            </w:r>
          </w:p>
        </w:tc>
        <w:tc>
          <w:tcPr>
            <w:tcW w:w="1053" w:type="pct"/>
            <w:noWrap w:val="0"/>
            <w:vAlign w:val="center"/>
          </w:tcPr>
          <w:p w14:paraId="06E01B9E">
            <w:pPr>
              <w:tabs>
                <w:tab w:val="left" w:pos="2077"/>
              </w:tabs>
              <w:spacing w:line="360" w:lineRule="auto"/>
              <w:jc w:val="center"/>
              <w:rPr>
                <w:rFonts w:hint="eastAsia" w:ascii="宋体" w:hAnsi="宋体"/>
                <w:sz w:val="24"/>
              </w:rPr>
            </w:pPr>
            <w:r>
              <w:rPr>
                <w:rFonts w:ascii="宋体" w:hAnsi="宋体"/>
                <w:sz w:val="24"/>
              </w:rPr>
              <w:t>100</w:t>
            </w:r>
          </w:p>
        </w:tc>
        <w:tc>
          <w:tcPr>
            <w:tcW w:w="843" w:type="pct"/>
            <w:vMerge w:val="continue"/>
            <w:noWrap w:val="0"/>
            <w:vAlign w:val="center"/>
          </w:tcPr>
          <w:p w14:paraId="7CD2CBA7">
            <w:pPr>
              <w:tabs>
                <w:tab w:val="left" w:pos="2077"/>
              </w:tabs>
              <w:spacing w:line="360" w:lineRule="auto"/>
              <w:jc w:val="center"/>
              <w:rPr>
                <w:rFonts w:hint="eastAsia" w:ascii="宋体" w:hAnsi="宋体"/>
                <w:sz w:val="24"/>
              </w:rPr>
            </w:pPr>
          </w:p>
        </w:tc>
      </w:tr>
    </w:tbl>
    <w:p w14:paraId="77FA5C78">
      <w:pPr>
        <w:spacing w:line="640" w:lineRule="exact"/>
        <w:ind w:firstLine="562" w:firstLineChars="200"/>
        <w:rPr>
          <w:rFonts w:hint="eastAsia" w:ascii="宋体" w:hAnsi="宋体"/>
          <w:b/>
          <w:sz w:val="28"/>
          <w:szCs w:val="28"/>
        </w:rPr>
      </w:pPr>
      <w:r>
        <w:rPr>
          <w:rFonts w:hint="eastAsia" w:ascii="宋体" w:hAnsi="宋体"/>
          <w:b/>
          <w:sz w:val="28"/>
          <w:szCs w:val="28"/>
        </w:rPr>
        <w:t>（二）现状建筑高度分析</w:t>
      </w:r>
    </w:p>
    <w:p w14:paraId="3FFA4055">
      <w:pPr>
        <w:spacing w:line="640" w:lineRule="exact"/>
        <w:ind w:firstLine="560" w:firstLineChars="200"/>
        <w:rPr>
          <w:rFonts w:hint="eastAsia" w:ascii="宋体" w:hAnsi="宋体"/>
          <w:sz w:val="28"/>
          <w:szCs w:val="28"/>
        </w:rPr>
      </w:pPr>
      <w:r>
        <w:rPr>
          <w:rFonts w:hint="eastAsia" w:ascii="宋体" w:hAnsi="宋体"/>
          <w:sz w:val="28"/>
          <w:szCs w:val="28"/>
        </w:rPr>
        <w:t>岷江东岸片区建筑高度总体</w:t>
      </w:r>
      <w:r>
        <w:rPr>
          <w:rFonts w:ascii="宋体" w:hAnsi="宋体"/>
          <w:sz w:val="28"/>
          <w:szCs w:val="28"/>
        </w:rPr>
        <w:t>控制较好，</w:t>
      </w:r>
      <w:r>
        <w:rPr>
          <w:rFonts w:hint="eastAsia" w:ascii="宋体" w:hAnsi="宋体"/>
          <w:sz w:val="28"/>
          <w:szCs w:val="28"/>
        </w:rPr>
        <w:t>仅</w:t>
      </w:r>
      <w:r>
        <w:rPr>
          <w:rFonts w:ascii="宋体" w:hAnsi="宋体"/>
          <w:sz w:val="28"/>
          <w:szCs w:val="28"/>
        </w:rPr>
        <w:t>北部嘉州长卷天玺</w:t>
      </w:r>
      <w:r>
        <w:rPr>
          <w:rFonts w:hint="eastAsia" w:ascii="宋体" w:hAnsi="宋体"/>
          <w:sz w:val="28"/>
          <w:szCs w:val="28"/>
        </w:rPr>
        <w:t>、香木岭\泓桥丽都</w:t>
      </w:r>
      <w:r>
        <w:rPr>
          <w:rFonts w:ascii="宋体" w:hAnsi="宋体"/>
          <w:sz w:val="28"/>
          <w:szCs w:val="28"/>
        </w:rPr>
        <w:t>项目建筑为高层外</w:t>
      </w:r>
      <w:r>
        <w:rPr>
          <w:rFonts w:hint="eastAsia" w:ascii="宋体" w:hAnsi="宋体"/>
          <w:sz w:val="28"/>
          <w:szCs w:val="28"/>
        </w:rPr>
        <w:t>，其他区域多为</w:t>
      </w:r>
      <w:r>
        <w:rPr>
          <w:rFonts w:ascii="宋体" w:hAnsi="宋体"/>
          <w:sz w:val="28"/>
          <w:szCs w:val="28"/>
        </w:rPr>
        <w:t>低层、多层建筑</w:t>
      </w:r>
      <w:r>
        <w:rPr>
          <w:rFonts w:hint="eastAsia" w:ascii="宋体" w:hAnsi="宋体"/>
          <w:sz w:val="28"/>
          <w:szCs w:val="28"/>
        </w:rPr>
        <w:t>。片区 “显山露水”的空间格局管控总体</w:t>
      </w:r>
      <w:r>
        <w:rPr>
          <w:rFonts w:ascii="宋体" w:hAnsi="宋体"/>
          <w:sz w:val="28"/>
          <w:szCs w:val="28"/>
        </w:rPr>
        <w:t>较好</w:t>
      </w:r>
      <w:r>
        <w:rPr>
          <w:rFonts w:hint="eastAsia" w:ascii="宋体" w:hAnsi="宋体"/>
          <w:sz w:val="28"/>
          <w:szCs w:val="28"/>
        </w:rPr>
        <w:t>。规划应继续加强控制，留出必要的视线通廊，</w:t>
      </w:r>
      <w:r>
        <w:rPr>
          <w:rFonts w:ascii="宋体" w:hAnsi="宋体"/>
          <w:sz w:val="28"/>
          <w:szCs w:val="28"/>
        </w:rPr>
        <w:t>与</w:t>
      </w:r>
      <w:r>
        <w:rPr>
          <w:rFonts w:hint="eastAsia" w:ascii="宋体" w:hAnsi="宋体"/>
          <w:sz w:val="28"/>
          <w:szCs w:val="28"/>
        </w:rPr>
        <w:t>乐山</w:t>
      </w:r>
      <w:r>
        <w:rPr>
          <w:rFonts w:ascii="宋体" w:hAnsi="宋体"/>
          <w:sz w:val="28"/>
          <w:szCs w:val="28"/>
        </w:rPr>
        <w:t>大佛景区</w:t>
      </w:r>
      <w:r>
        <w:rPr>
          <w:rFonts w:hint="eastAsia" w:ascii="宋体" w:hAnsi="宋体"/>
          <w:sz w:val="28"/>
          <w:szCs w:val="28"/>
        </w:rPr>
        <w:t>建设相</w:t>
      </w:r>
      <w:r>
        <w:rPr>
          <w:rFonts w:ascii="宋体" w:hAnsi="宋体"/>
          <w:sz w:val="28"/>
          <w:szCs w:val="28"/>
        </w:rPr>
        <w:t>协调</w:t>
      </w:r>
      <w:r>
        <w:rPr>
          <w:rFonts w:hint="eastAsia" w:ascii="宋体" w:hAnsi="宋体"/>
          <w:sz w:val="28"/>
          <w:szCs w:val="28"/>
        </w:rPr>
        <w:t>。</w:t>
      </w:r>
    </w:p>
    <w:p w14:paraId="5490842F">
      <w:pPr>
        <w:spacing w:line="640" w:lineRule="exact"/>
        <w:ind w:firstLine="562" w:firstLineChars="200"/>
        <w:rPr>
          <w:rFonts w:hint="eastAsia" w:ascii="宋体" w:hAnsi="宋体"/>
          <w:b/>
          <w:sz w:val="28"/>
          <w:szCs w:val="28"/>
        </w:rPr>
      </w:pPr>
      <w:r>
        <w:rPr>
          <w:rFonts w:hint="eastAsia" w:ascii="宋体" w:hAnsi="宋体"/>
          <w:b/>
          <w:sz w:val="28"/>
          <w:szCs w:val="28"/>
        </w:rPr>
        <w:t>（三）现状景观环境分析</w:t>
      </w:r>
    </w:p>
    <w:p w14:paraId="708F5544">
      <w:pPr>
        <w:spacing w:line="640" w:lineRule="exact"/>
        <w:ind w:firstLine="560" w:firstLineChars="200"/>
        <w:rPr>
          <w:rFonts w:hint="eastAsia" w:ascii="宋体" w:hAnsi="宋体"/>
          <w:sz w:val="28"/>
          <w:szCs w:val="28"/>
        </w:rPr>
      </w:pPr>
      <w:r>
        <w:rPr>
          <w:rFonts w:hint="eastAsia" w:ascii="宋体" w:hAnsi="宋体"/>
          <w:sz w:val="28"/>
          <w:szCs w:val="28"/>
        </w:rPr>
        <w:t>片区处于岷江东岸，背靠青山，面临绿水，有着独特自然景观环境，区内有泥溪河、胜利水库、碧山湖等自然水体景观，植被茂密的自然山体。片区现状自然山体与大佛景区山体连为一体，成为“睡佛”的一部分，构成嘉州的重要山水画卷。</w:t>
      </w:r>
    </w:p>
    <w:p w14:paraId="22F04E93">
      <w:pPr>
        <w:spacing w:line="640" w:lineRule="exact"/>
        <w:ind w:firstLine="560" w:firstLineChars="200"/>
        <w:rPr>
          <w:rFonts w:hint="eastAsia" w:ascii="宋体" w:hAnsi="宋体"/>
          <w:sz w:val="28"/>
          <w:szCs w:val="28"/>
        </w:rPr>
      </w:pPr>
      <w:r>
        <w:rPr>
          <w:rFonts w:hint="eastAsia" w:ascii="宋体" w:hAnsi="宋体"/>
          <w:sz w:val="28"/>
          <w:szCs w:val="28"/>
        </w:rPr>
        <w:t>片区西临岷江，与正在蓬勃发展的主城区隔江相望，视野开阔，景观唯美。片区滨江绿廊极具地方特色，是乐山城市山水景观环境的重要组成部分。片区内山形起伏，江河汇流，城市建成区与田园村落交互融合，具有良好自然环境及特色景观基底。片区南部的磨儿山是区域的制高点，近可观对岸日新月异的主城区，远可眺城市之肺——绿心，景观环境极佳。同时，区内有碧山湖</w:t>
      </w:r>
    </w:p>
    <w:p w14:paraId="5C910A43">
      <w:pPr>
        <w:spacing w:line="640" w:lineRule="exact"/>
        <w:ind w:firstLine="560" w:firstLineChars="200"/>
        <w:rPr>
          <w:rFonts w:hint="eastAsia" w:ascii="宋体" w:hAnsi="宋体"/>
          <w:sz w:val="28"/>
          <w:szCs w:val="28"/>
        </w:rPr>
      </w:pPr>
      <w:r>
        <w:rPr>
          <w:rFonts w:hint="eastAsia" w:ascii="宋体" w:hAnsi="宋体"/>
          <w:sz w:val="28"/>
          <w:szCs w:val="28"/>
        </w:rPr>
        <w:t>、紫霞宫、天街等自然文化景点，具备发展生态旅游的环境条件。</w:t>
      </w:r>
    </w:p>
    <w:p w14:paraId="45BC2DBA">
      <w:pPr>
        <w:spacing w:line="640" w:lineRule="exact"/>
        <w:ind w:firstLine="560" w:firstLineChars="200"/>
        <w:rPr>
          <w:rFonts w:ascii="宋体" w:hAnsi="宋体"/>
          <w:sz w:val="28"/>
          <w:szCs w:val="28"/>
        </w:rPr>
      </w:pPr>
      <w:r>
        <w:rPr>
          <w:rFonts w:hint="eastAsia" w:ascii="宋体" w:hAnsi="宋体"/>
          <w:sz w:val="28"/>
          <w:szCs w:val="28"/>
        </w:rPr>
        <w:t>区内景观环境虽然良好，但区域公用设施——市殡仪馆布置在片区中部，对片区的开发有较大影响。</w:t>
      </w:r>
    </w:p>
    <w:bookmarkEnd w:id="30"/>
    <w:bookmarkEnd w:id="31"/>
    <w:bookmarkEnd w:id="32"/>
    <w:p w14:paraId="09E562F2">
      <w:pPr>
        <w:pStyle w:val="4"/>
        <w:spacing w:line="640" w:lineRule="exact"/>
        <w:rPr>
          <w:rFonts w:ascii="黑体" w:eastAsia="黑体"/>
        </w:rPr>
      </w:pPr>
      <w:bookmarkStart w:id="33" w:name="_Toc6394570"/>
      <w:r>
        <w:rPr>
          <w:rFonts w:hint="eastAsia" w:ascii="黑体" w:eastAsia="黑体"/>
        </w:rPr>
        <w:t>十、发展环境分析</w:t>
      </w:r>
      <w:bookmarkEnd w:id="33"/>
    </w:p>
    <w:p w14:paraId="48A68578">
      <w:pPr>
        <w:spacing w:line="640" w:lineRule="exact"/>
        <w:ind w:firstLine="562" w:firstLineChars="200"/>
        <w:rPr>
          <w:rFonts w:ascii="宋体" w:hAnsi="宋体"/>
          <w:b/>
          <w:sz w:val="28"/>
          <w:szCs w:val="28"/>
        </w:rPr>
      </w:pPr>
      <w:r>
        <w:rPr>
          <w:rFonts w:hint="eastAsia" w:ascii="宋体" w:hAnsi="宋体"/>
          <w:b/>
          <w:sz w:val="28"/>
          <w:szCs w:val="28"/>
        </w:rPr>
        <w:t>（一）优势</w:t>
      </w:r>
    </w:p>
    <w:p w14:paraId="1E20501C">
      <w:pPr>
        <w:spacing w:line="640" w:lineRule="exact"/>
        <w:ind w:firstLine="560" w:firstLineChars="200"/>
        <w:rPr>
          <w:rFonts w:hint="eastAsia" w:ascii="宋体" w:hAnsi="宋体"/>
          <w:sz w:val="28"/>
          <w:szCs w:val="28"/>
        </w:rPr>
      </w:pPr>
      <w:r>
        <w:rPr>
          <w:rFonts w:hint="eastAsia" w:ascii="宋体" w:hAnsi="宋体"/>
          <w:sz w:val="28"/>
          <w:szCs w:val="28"/>
        </w:rPr>
        <w:t>1、</w:t>
      </w:r>
      <w:r>
        <w:rPr>
          <w:rFonts w:ascii="宋体" w:hAnsi="宋体"/>
          <w:sz w:val="28"/>
          <w:szCs w:val="28"/>
        </w:rPr>
        <w:t>城市发展的背景优势</w:t>
      </w:r>
    </w:p>
    <w:p w14:paraId="3DC4972E">
      <w:pPr>
        <w:widowControl/>
        <w:shd w:val="clear" w:color="auto" w:fill="FFFFFF"/>
        <w:spacing w:line="640" w:lineRule="exact"/>
        <w:ind w:firstLine="560" w:firstLineChars="200"/>
        <w:jc w:val="left"/>
        <w:rPr>
          <w:rFonts w:hint="eastAsia" w:hAnsi="宋体"/>
          <w:sz w:val="28"/>
          <w:szCs w:val="28"/>
        </w:rPr>
      </w:pPr>
      <w:r>
        <w:rPr>
          <w:rFonts w:hint="eastAsia" w:hAnsi="宋体"/>
          <w:sz w:val="28"/>
          <w:szCs w:val="28"/>
        </w:rPr>
        <w:t>《中共四川省委关于全面推动高质量发展的决定》中提出： “加快发展以绵阳、德阳、乐山为区域中心城市的成都平原城市群”和“支持乐山建设世界重要旅游目的地”。乐山市作为成都平原城市群的区域中心城市之一，地处于成都平原城市群、川南城市群和攀西城镇群省内三大城镇群的交汇地带，也处于成都平原地区南向发展的主通道上，具备发展潜力。同时，围绕乐山建设“世界重要旅游目的地，全省区域中心城市”的城市目标，转变城市功能，提升城市发展能级，乐山市委制定了两个五年行动计划，推动乐山高质量发展。良好的城市发展契机为片区发展提供了强大的动力。</w:t>
      </w:r>
    </w:p>
    <w:p w14:paraId="6E90CC7A">
      <w:pPr>
        <w:spacing w:line="640" w:lineRule="exact"/>
        <w:ind w:firstLine="560" w:firstLineChars="200"/>
        <w:rPr>
          <w:rFonts w:hint="eastAsia" w:ascii="宋体" w:hAnsi="宋体"/>
          <w:sz w:val="28"/>
          <w:szCs w:val="28"/>
        </w:rPr>
      </w:pPr>
      <w:r>
        <w:rPr>
          <w:rFonts w:hint="eastAsia" w:ascii="宋体" w:hAnsi="宋体"/>
          <w:sz w:val="28"/>
          <w:szCs w:val="28"/>
        </w:rPr>
        <w:t>2、片区</w:t>
      </w:r>
      <w:r>
        <w:rPr>
          <w:rFonts w:ascii="宋体" w:hAnsi="宋体"/>
          <w:sz w:val="28"/>
          <w:szCs w:val="28"/>
        </w:rPr>
        <w:t>的区位优势</w:t>
      </w:r>
    </w:p>
    <w:p w14:paraId="0EF45E1C">
      <w:pPr>
        <w:spacing w:line="640" w:lineRule="exact"/>
        <w:ind w:firstLine="560" w:firstLineChars="200"/>
        <w:rPr>
          <w:rFonts w:ascii="宋体" w:hAnsi="宋体"/>
          <w:sz w:val="28"/>
          <w:szCs w:val="28"/>
        </w:rPr>
      </w:pPr>
      <w:r>
        <w:rPr>
          <w:rFonts w:hint="eastAsia" w:ascii="宋体" w:hAnsi="宋体"/>
          <w:sz w:val="28"/>
          <w:szCs w:val="28"/>
        </w:rPr>
        <w:t>岷江东岸片区作</w:t>
      </w:r>
      <w:r>
        <w:rPr>
          <w:rFonts w:ascii="宋体" w:hAnsi="宋体"/>
          <w:sz w:val="28"/>
          <w:szCs w:val="28"/>
        </w:rPr>
        <w:t>为乐山</w:t>
      </w:r>
      <w:r>
        <w:rPr>
          <w:rFonts w:hint="eastAsia" w:ascii="宋体" w:hAnsi="宋体"/>
          <w:sz w:val="28"/>
          <w:szCs w:val="28"/>
        </w:rPr>
        <w:t>中心城区主要旅游职能片区之一，处于城市功能片区与乐山大佛景区交接处，是城市转型发展建设世界重要旅游目的地的前沿阵地，示范区域，</w:t>
      </w:r>
      <w:r>
        <w:rPr>
          <w:rFonts w:ascii="宋体" w:hAnsi="宋体"/>
          <w:sz w:val="28"/>
          <w:szCs w:val="28"/>
        </w:rPr>
        <w:t>随着</w:t>
      </w:r>
      <w:r>
        <w:rPr>
          <w:rFonts w:hint="eastAsia" w:ascii="宋体" w:hAnsi="宋体"/>
          <w:sz w:val="28"/>
          <w:szCs w:val="28"/>
        </w:rPr>
        <w:t>乐山市高质量发展行动计划的推进，</w:t>
      </w:r>
      <w:r>
        <w:rPr>
          <w:rFonts w:ascii="宋体" w:hAnsi="宋体"/>
          <w:sz w:val="28"/>
          <w:szCs w:val="28"/>
        </w:rPr>
        <w:t>将会大大加</w:t>
      </w:r>
      <w:r>
        <w:rPr>
          <w:rFonts w:hint="eastAsia" w:ascii="宋体" w:hAnsi="宋体"/>
          <w:sz w:val="28"/>
          <w:szCs w:val="28"/>
        </w:rPr>
        <w:t>加快该片区建设的步伐</w:t>
      </w:r>
      <w:r>
        <w:rPr>
          <w:rFonts w:ascii="宋体" w:hAnsi="宋体"/>
          <w:sz w:val="28"/>
          <w:szCs w:val="28"/>
        </w:rPr>
        <w:t>。</w:t>
      </w:r>
    </w:p>
    <w:p w14:paraId="61F61C34">
      <w:pPr>
        <w:spacing w:line="640" w:lineRule="exact"/>
        <w:ind w:firstLine="560" w:firstLineChars="200"/>
        <w:rPr>
          <w:rFonts w:hint="eastAsia" w:ascii="宋体" w:hAnsi="宋体"/>
          <w:sz w:val="28"/>
          <w:szCs w:val="28"/>
        </w:rPr>
      </w:pPr>
      <w:r>
        <w:rPr>
          <w:rFonts w:hint="eastAsia" w:ascii="宋体" w:hAnsi="宋体"/>
          <w:sz w:val="28"/>
          <w:szCs w:val="28"/>
        </w:rPr>
        <w:t>3、片区良好的自然景观条件。</w:t>
      </w:r>
    </w:p>
    <w:p w14:paraId="7B667069">
      <w:pPr>
        <w:spacing w:line="640" w:lineRule="exact"/>
        <w:ind w:firstLine="560" w:firstLineChars="200"/>
        <w:rPr>
          <w:rFonts w:hint="eastAsia" w:ascii="宋体" w:hAnsi="宋体"/>
          <w:sz w:val="28"/>
          <w:szCs w:val="28"/>
        </w:rPr>
      </w:pPr>
      <w:r>
        <w:rPr>
          <w:rFonts w:hint="eastAsia" w:ascii="宋体" w:hAnsi="宋体"/>
          <w:sz w:val="28"/>
          <w:szCs w:val="28"/>
        </w:rPr>
        <w:t>岷江东岸片区依山傍水，生态景观环境区位极佳，是乐山城市山水景观环境的重要组成部分，嘉州山水画卷的重要载体。其独特景观基底，从视觉、空间、文化环境上都具有较好的条件，具备创造高品质生态旅游的环境条件。</w:t>
      </w:r>
    </w:p>
    <w:p w14:paraId="792D3A14">
      <w:pPr>
        <w:spacing w:line="640" w:lineRule="exact"/>
        <w:ind w:firstLine="562" w:firstLineChars="200"/>
        <w:rPr>
          <w:rFonts w:ascii="宋体" w:hAnsi="宋体"/>
          <w:b/>
          <w:sz w:val="28"/>
          <w:szCs w:val="28"/>
        </w:rPr>
      </w:pPr>
      <w:r>
        <w:rPr>
          <w:rFonts w:hint="eastAsia" w:ascii="宋体" w:hAnsi="宋体"/>
          <w:b/>
          <w:sz w:val="28"/>
          <w:szCs w:val="28"/>
        </w:rPr>
        <w:t>（二）劣势</w:t>
      </w:r>
    </w:p>
    <w:p w14:paraId="746EAC12">
      <w:pPr>
        <w:spacing w:line="640" w:lineRule="exact"/>
        <w:ind w:firstLine="560" w:firstLineChars="200"/>
        <w:rPr>
          <w:rFonts w:hint="eastAsia" w:ascii="宋体" w:hAnsi="宋体"/>
          <w:sz w:val="28"/>
          <w:szCs w:val="28"/>
        </w:rPr>
      </w:pPr>
      <w:r>
        <w:rPr>
          <w:rFonts w:hint="eastAsia" w:ascii="宋体" w:hAnsi="宋体"/>
          <w:sz w:val="28"/>
          <w:szCs w:val="28"/>
        </w:rPr>
        <w:t>1、片区现状建设用地混杂，规划将涉及用地功能的置换或完善等，将会带来一定的困难。</w:t>
      </w:r>
    </w:p>
    <w:p w14:paraId="0DCB3D3A">
      <w:pPr>
        <w:spacing w:line="640" w:lineRule="exact"/>
        <w:ind w:firstLine="560" w:firstLineChars="200"/>
        <w:rPr>
          <w:rFonts w:hint="eastAsia" w:ascii="宋体" w:hAnsi="宋体"/>
          <w:sz w:val="28"/>
          <w:szCs w:val="28"/>
        </w:rPr>
      </w:pPr>
      <w:r>
        <w:rPr>
          <w:rFonts w:hint="eastAsia" w:ascii="宋体" w:hAnsi="宋体"/>
          <w:sz w:val="28"/>
          <w:szCs w:val="28"/>
        </w:rPr>
        <w:t>2、现状建设用地多为村民住宅用地，在开发建设过程中，将面临大量的村民安置问题。</w:t>
      </w:r>
    </w:p>
    <w:p w14:paraId="0FE0E8DF">
      <w:pPr>
        <w:spacing w:line="640" w:lineRule="exact"/>
        <w:ind w:firstLine="560" w:firstLineChars="200"/>
        <w:rPr>
          <w:rFonts w:hint="eastAsia" w:ascii="宋体" w:hAnsi="宋体"/>
          <w:sz w:val="28"/>
          <w:szCs w:val="28"/>
        </w:rPr>
      </w:pPr>
      <w:r>
        <w:rPr>
          <w:rFonts w:hint="eastAsia" w:ascii="宋体" w:hAnsi="宋体"/>
          <w:sz w:val="28"/>
          <w:szCs w:val="28"/>
        </w:rPr>
        <w:t>3、片区生态敏感区域分布广，可供开发建设用地较少。</w:t>
      </w:r>
    </w:p>
    <w:p w14:paraId="2DC2E3C5">
      <w:pPr>
        <w:spacing w:line="640" w:lineRule="exact"/>
        <w:ind w:firstLine="560" w:firstLineChars="200"/>
        <w:rPr>
          <w:rFonts w:hint="eastAsia" w:ascii="宋体" w:hAnsi="宋体"/>
          <w:sz w:val="28"/>
          <w:szCs w:val="28"/>
        </w:rPr>
      </w:pPr>
      <w:r>
        <w:rPr>
          <w:rFonts w:hint="eastAsia" w:ascii="宋体" w:hAnsi="宋体"/>
          <w:sz w:val="28"/>
          <w:szCs w:val="28"/>
        </w:rPr>
        <w:t>4、建设资金短缺，基础设施建设有所欠缺。</w:t>
      </w:r>
    </w:p>
    <w:p w14:paraId="5CA3F1BF">
      <w:pPr>
        <w:spacing w:line="640" w:lineRule="exact"/>
        <w:ind w:firstLine="562" w:firstLineChars="200"/>
        <w:rPr>
          <w:rFonts w:hint="eastAsia" w:ascii="宋体" w:hAnsi="宋体"/>
          <w:sz w:val="28"/>
          <w:szCs w:val="28"/>
        </w:rPr>
      </w:pPr>
      <w:r>
        <w:rPr>
          <w:rFonts w:ascii="宋体" w:hAnsi="宋体"/>
          <w:b/>
          <w:sz w:val="28"/>
          <w:szCs w:val="28"/>
        </w:rPr>
        <w:t>综上所述</w:t>
      </w:r>
      <w:r>
        <w:rPr>
          <w:rFonts w:hint="eastAsia" w:ascii="宋体" w:hAnsi="宋体"/>
          <w:b/>
          <w:sz w:val="28"/>
          <w:szCs w:val="28"/>
        </w:rPr>
        <w:t>：</w:t>
      </w:r>
      <w:r>
        <w:rPr>
          <w:rFonts w:hint="eastAsia" w:ascii="宋体" w:hAnsi="宋体"/>
          <w:sz w:val="28"/>
          <w:szCs w:val="28"/>
        </w:rPr>
        <w:t>岷江东岸片区处于城市功能片区与乐山大佛景区交接处，是城市转型发展建设世界重要旅游目的地的前沿阵地、示范区域，</w:t>
      </w:r>
      <w:r>
        <w:rPr>
          <w:rFonts w:ascii="宋体" w:hAnsi="宋体"/>
          <w:sz w:val="28"/>
          <w:szCs w:val="28"/>
        </w:rPr>
        <w:t>具有</w:t>
      </w:r>
      <w:r>
        <w:rPr>
          <w:rFonts w:hint="eastAsia" w:ascii="宋体" w:hAnsi="宋体"/>
          <w:sz w:val="28"/>
          <w:szCs w:val="28"/>
        </w:rPr>
        <w:t>良好的发展环境条件，但由于原建设杂乱、基础设施欠缺，对片区的建设发展也有一定影响。所以，该片区发展应充分抓住城市转型升级契机，充分利用良好的区位、生态资源优势，顺应市场经济的发展规律，通过高质量的规划和多渠道的招商引资，充分调动社会各阶层力量，将岷江东岸片区建设成为一个环境优美、设施完备的城市滨江休闲度假区。</w:t>
      </w:r>
    </w:p>
    <w:p w14:paraId="3479164D">
      <w:pPr>
        <w:spacing w:line="408" w:lineRule="auto"/>
        <w:ind w:firstLine="482" w:firstLineChars="200"/>
        <w:rPr>
          <w:rFonts w:ascii="宋体" w:hAnsi="宋体"/>
          <w:b/>
          <w:sz w:val="24"/>
          <w:szCs w:val="28"/>
        </w:rPr>
      </w:pPr>
    </w:p>
    <w:p w14:paraId="2D6E7BA5">
      <w:pPr>
        <w:spacing w:line="408" w:lineRule="auto"/>
        <w:ind w:firstLine="482" w:firstLineChars="200"/>
        <w:rPr>
          <w:rFonts w:ascii="宋体" w:hAnsi="宋体"/>
          <w:b/>
          <w:sz w:val="24"/>
          <w:szCs w:val="28"/>
        </w:rPr>
      </w:pPr>
    </w:p>
    <w:p w14:paraId="27026C1B">
      <w:pPr>
        <w:spacing w:line="408" w:lineRule="auto"/>
        <w:ind w:firstLine="482" w:firstLineChars="200"/>
        <w:rPr>
          <w:rFonts w:ascii="宋体" w:hAnsi="宋体"/>
          <w:b/>
          <w:sz w:val="24"/>
          <w:szCs w:val="28"/>
        </w:rPr>
      </w:pPr>
    </w:p>
    <w:p w14:paraId="5B70B407">
      <w:pPr>
        <w:spacing w:line="408" w:lineRule="auto"/>
        <w:ind w:firstLine="482" w:firstLineChars="200"/>
        <w:rPr>
          <w:rFonts w:ascii="宋体" w:hAnsi="宋体"/>
          <w:b/>
          <w:sz w:val="24"/>
          <w:szCs w:val="28"/>
        </w:rPr>
      </w:pPr>
    </w:p>
    <w:p w14:paraId="56780A7B">
      <w:pPr>
        <w:spacing w:line="408" w:lineRule="auto"/>
        <w:ind w:firstLine="482" w:firstLineChars="200"/>
        <w:rPr>
          <w:rFonts w:ascii="宋体" w:hAnsi="宋体"/>
          <w:b/>
          <w:sz w:val="24"/>
          <w:szCs w:val="28"/>
        </w:rPr>
      </w:pPr>
    </w:p>
    <w:p w14:paraId="06B04445">
      <w:pPr>
        <w:spacing w:line="408" w:lineRule="auto"/>
        <w:ind w:firstLine="482" w:firstLineChars="200"/>
        <w:rPr>
          <w:rFonts w:ascii="宋体" w:hAnsi="宋体"/>
          <w:b/>
          <w:sz w:val="24"/>
          <w:szCs w:val="28"/>
        </w:rPr>
      </w:pPr>
    </w:p>
    <w:p w14:paraId="1EE38279">
      <w:pPr>
        <w:spacing w:line="408" w:lineRule="auto"/>
        <w:ind w:firstLine="482" w:firstLineChars="200"/>
        <w:rPr>
          <w:rFonts w:ascii="宋体" w:hAnsi="宋体"/>
          <w:b/>
          <w:sz w:val="24"/>
          <w:szCs w:val="28"/>
        </w:rPr>
      </w:pPr>
    </w:p>
    <w:p w14:paraId="40E3551C">
      <w:pPr>
        <w:pStyle w:val="3"/>
        <w:spacing w:line="660" w:lineRule="exact"/>
        <w:jc w:val="center"/>
        <w:rPr>
          <w:sz w:val="36"/>
          <w:szCs w:val="36"/>
        </w:rPr>
      </w:pPr>
      <w:bookmarkStart w:id="34" w:name="_Toc6394571"/>
      <w:r>
        <w:rPr>
          <w:rFonts w:hint="eastAsia"/>
          <w:sz w:val="36"/>
          <w:szCs w:val="36"/>
        </w:rPr>
        <w:t>第三章 规划总则</w:t>
      </w:r>
      <w:bookmarkEnd w:id="34"/>
    </w:p>
    <w:p w14:paraId="2B7852A3">
      <w:pPr>
        <w:pStyle w:val="4"/>
        <w:spacing w:line="620" w:lineRule="exact"/>
        <w:rPr>
          <w:rFonts w:ascii="黑体" w:eastAsia="黑体"/>
        </w:rPr>
      </w:pPr>
      <w:bookmarkStart w:id="35" w:name="_Toc168711164"/>
      <w:bookmarkStart w:id="36" w:name="_Toc410292452"/>
      <w:bookmarkStart w:id="37" w:name="_Toc6394572"/>
      <w:bookmarkStart w:id="38" w:name="_Toc166388170"/>
      <w:r>
        <w:rPr>
          <w:rFonts w:hint="eastAsia" w:ascii="黑体" w:eastAsia="黑体"/>
        </w:rPr>
        <w:t>一、规划依据</w:t>
      </w:r>
      <w:bookmarkEnd w:id="35"/>
      <w:bookmarkEnd w:id="36"/>
      <w:bookmarkEnd w:id="37"/>
      <w:bookmarkEnd w:id="38"/>
    </w:p>
    <w:p w14:paraId="1D0DB51F">
      <w:pPr>
        <w:spacing w:line="432" w:lineRule="auto"/>
        <w:ind w:firstLine="560" w:firstLineChars="200"/>
        <w:rPr>
          <w:rFonts w:hint="eastAsia" w:ascii="宋体" w:hAnsi="宋体"/>
          <w:sz w:val="28"/>
          <w:szCs w:val="28"/>
        </w:rPr>
      </w:pPr>
      <w:r>
        <w:rPr>
          <w:rFonts w:hint="eastAsia" w:ascii="宋体" w:hAnsi="宋体"/>
          <w:sz w:val="28"/>
          <w:szCs w:val="28"/>
        </w:rPr>
        <w:t>本次规划主要依据以下法规、规范、技术标准和文件：</w:t>
      </w:r>
    </w:p>
    <w:p w14:paraId="7A6F4D16">
      <w:pPr>
        <w:spacing w:line="640" w:lineRule="exact"/>
        <w:ind w:firstLine="560" w:firstLineChars="200"/>
        <w:rPr>
          <w:rFonts w:ascii="宋体" w:hAnsi="宋体"/>
          <w:sz w:val="28"/>
          <w:szCs w:val="28"/>
        </w:rPr>
      </w:pPr>
      <w:bookmarkStart w:id="39" w:name="_Toc216520008"/>
      <w:r>
        <w:rPr>
          <w:rFonts w:ascii="宋体" w:hAnsi="宋体"/>
          <w:sz w:val="28"/>
          <w:szCs w:val="28"/>
        </w:rPr>
        <w:t>1</w:t>
      </w:r>
      <w:r>
        <w:rPr>
          <w:rFonts w:hint="eastAsia" w:ascii="宋体" w:hAnsi="宋体"/>
          <w:sz w:val="28"/>
          <w:szCs w:val="28"/>
        </w:rPr>
        <w:t>、《中华人民共和国城乡规划法》（201</w:t>
      </w:r>
      <w:r>
        <w:rPr>
          <w:rFonts w:ascii="宋体" w:hAnsi="宋体"/>
          <w:sz w:val="28"/>
          <w:szCs w:val="28"/>
        </w:rPr>
        <w:t>9</w:t>
      </w:r>
      <w:r>
        <w:rPr>
          <w:rFonts w:hint="eastAsia" w:ascii="宋体" w:hAnsi="宋体"/>
          <w:sz w:val="28"/>
          <w:szCs w:val="28"/>
        </w:rPr>
        <w:t>）；</w:t>
      </w:r>
    </w:p>
    <w:p w14:paraId="7BE6BCD9">
      <w:pPr>
        <w:spacing w:line="640" w:lineRule="exact"/>
        <w:ind w:firstLine="560" w:firstLineChars="200"/>
        <w:rPr>
          <w:rFonts w:ascii="宋体" w:hAnsi="宋体"/>
          <w:sz w:val="28"/>
          <w:szCs w:val="28"/>
        </w:rPr>
      </w:pPr>
      <w:r>
        <w:rPr>
          <w:rFonts w:ascii="宋体" w:hAnsi="宋体"/>
          <w:sz w:val="28"/>
          <w:szCs w:val="28"/>
        </w:rPr>
        <w:t>2</w:t>
      </w:r>
      <w:r>
        <w:rPr>
          <w:rFonts w:hint="eastAsia" w:ascii="宋体" w:hAnsi="宋体"/>
          <w:sz w:val="28"/>
          <w:szCs w:val="28"/>
        </w:rPr>
        <w:t>、《城市规划编制办法》（2006）；</w:t>
      </w:r>
    </w:p>
    <w:p w14:paraId="795C1A26">
      <w:pPr>
        <w:spacing w:line="640" w:lineRule="exact"/>
        <w:ind w:firstLine="560" w:firstLineChars="200"/>
        <w:rPr>
          <w:rFonts w:ascii="宋体" w:hAnsi="宋体"/>
          <w:sz w:val="28"/>
          <w:szCs w:val="28"/>
        </w:rPr>
      </w:pPr>
      <w:r>
        <w:rPr>
          <w:rFonts w:ascii="宋体" w:hAnsi="宋体"/>
          <w:sz w:val="28"/>
          <w:szCs w:val="28"/>
        </w:rPr>
        <w:t>3</w:t>
      </w:r>
      <w:r>
        <w:rPr>
          <w:rFonts w:hint="eastAsia" w:ascii="宋体" w:hAnsi="宋体"/>
          <w:sz w:val="28"/>
          <w:szCs w:val="28"/>
        </w:rPr>
        <w:t>、《城市用地分类与规划建设用地标准》（</w:t>
      </w:r>
      <w:r>
        <w:rPr>
          <w:rFonts w:ascii="宋体" w:hAnsi="宋体"/>
          <w:sz w:val="28"/>
          <w:szCs w:val="28"/>
        </w:rPr>
        <w:t>GB</w:t>
      </w:r>
      <w:r>
        <w:rPr>
          <w:rFonts w:hint="eastAsia" w:ascii="宋体" w:hAnsi="宋体"/>
          <w:sz w:val="28"/>
          <w:szCs w:val="28"/>
        </w:rPr>
        <w:t>50</w:t>
      </w:r>
      <w:r>
        <w:rPr>
          <w:rFonts w:ascii="宋体" w:hAnsi="宋体"/>
          <w:sz w:val="28"/>
          <w:szCs w:val="28"/>
        </w:rPr>
        <w:t>137</w:t>
      </w:r>
      <w:r>
        <w:rPr>
          <w:rFonts w:hint="eastAsia" w:ascii="宋体" w:hAnsi="宋体"/>
          <w:sz w:val="28"/>
          <w:szCs w:val="28"/>
        </w:rPr>
        <w:t>—2011）；</w:t>
      </w:r>
    </w:p>
    <w:p w14:paraId="4A71E499">
      <w:pPr>
        <w:spacing w:line="640" w:lineRule="exact"/>
        <w:ind w:firstLine="560" w:firstLineChars="200"/>
        <w:rPr>
          <w:rFonts w:ascii="宋体" w:hAnsi="宋体"/>
          <w:sz w:val="28"/>
          <w:szCs w:val="28"/>
        </w:rPr>
      </w:pPr>
      <w:r>
        <w:rPr>
          <w:rFonts w:ascii="宋体" w:hAnsi="宋体"/>
          <w:sz w:val="28"/>
          <w:szCs w:val="28"/>
        </w:rPr>
        <w:t>4</w:t>
      </w:r>
      <w:r>
        <w:rPr>
          <w:rFonts w:hint="eastAsia" w:ascii="宋体" w:hAnsi="宋体"/>
          <w:sz w:val="28"/>
          <w:szCs w:val="28"/>
        </w:rPr>
        <w:t>、《城市道路工程设计规范》（CJJ37-2012）（2016年版）；</w:t>
      </w:r>
    </w:p>
    <w:p w14:paraId="0219248B">
      <w:pPr>
        <w:spacing w:line="640" w:lineRule="exact"/>
        <w:ind w:firstLine="560" w:firstLineChars="200"/>
        <w:rPr>
          <w:rFonts w:ascii="宋体" w:hAnsi="宋体"/>
          <w:sz w:val="28"/>
          <w:szCs w:val="28"/>
        </w:rPr>
      </w:pPr>
      <w:r>
        <w:rPr>
          <w:rFonts w:ascii="宋体" w:hAnsi="宋体"/>
          <w:sz w:val="28"/>
          <w:szCs w:val="28"/>
        </w:rPr>
        <w:t>5</w:t>
      </w:r>
      <w:r>
        <w:rPr>
          <w:rFonts w:hint="eastAsia" w:ascii="宋体" w:hAnsi="宋体"/>
          <w:sz w:val="28"/>
          <w:szCs w:val="28"/>
        </w:rPr>
        <w:t>、《城乡建设用地竖向规划规范》（CJJ83-2016）；</w:t>
      </w:r>
    </w:p>
    <w:p w14:paraId="41F56D8C">
      <w:pPr>
        <w:spacing w:line="640" w:lineRule="exact"/>
        <w:ind w:firstLine="560" w:firstLineChars="200"/>
        <w:rPr>
          <w:rFonts w:ascii="宋体" w:hAnsi="宋体"/>
          <w:sz w:val="28"/>
          <w:szCs w:val="28"/>
        </w:rPr>
      </w:pPr>
      <w:r>
        <w:rPr>
          <w:rFonts w:ascii="宋体" w:hAnsi="宋体"/>
          <w:sz w:val="28"/>
          <w:szCs w:val="28"/>
        </w:rPr>
        <w:t>6</w:t>
      </w:r>
      <w:r>
        <w:rPr>
          <w:rFonts w:hint="eastAsia" w:ascii="宋体" w:hAnsi="宋体"/>
          <w:sz w:val="28"/>
          <w:szCs w:val="28"/>
        </w:rPr>
        <w:t>、</w:t>
      </w:r>
      <w:r>
        <w:rPr>
          <w:rFonts w:ascii="宋体" w:hAnsi="宋体"/>
          <w:sz w:val="28"/>
          <w:szCs w:val="28"/>
        </w:rPr>
        <w:t>《城市居住区规划设计</w:t>
      </w:r>
      <w:r>
        <w:rPr>
          <w:rFonts w:hint="eastAsia" w:ascii="宋体" w:hAnsi="宋体"/>
          <w:sz w:val="28"/>
          <w:szCs w:val="28"/>
        </w:rPr>
        <w:t>标准</w:t>
      </w:r>
      <w:r>
        <w:rPr>
          <w:rFonts w:ascii="宋体" w:hAnsi="宋体"/>
          <w:sz w:val="28"/>
          <w:szCs w:val="28"/>
        </w:rPr>
        <w:t>》</w:t>
      </w:r>
      <w:r>
        <w:rPr>
          <w:rFonts w:hint="eastAsia" w:ascii="宋体" w:hAnsi="宋体"/>
          <w:sz w:val="28"/>
          <w:szCs w:val="28"/>
        </w:rPr>
        <w:t>GB50180-</w:t>
      </w:r>
      <w:r>
        <w:rPr>
          <w:rFonts w:ascii="宋体" w:hAnsi="宋体"/>
          <w:sz w:val="28"/>
          <w:szCs w:val="28"/>
        </w:rPr>
        <w:t>2018</w:t>
      </w:r>
      <w:r>
        <w:rPr>
          <w:rFonts w:hint="eastAsia" w:ascii="宋体" w:hAnsi="宋体"/>
          <w:sz w:val="28"/>
          <w:szCs w:val="28"/>
        </w:rPr>
        <w:t>）；</w:t>
      </w:r>
    </w:p>
    <w:p w14:paraId="5935FCFE">
      <w:pPr>
        <w:spacing w:line="640" w:lineRule="exact"/>
        <w:ind w:firstLine="560" w:firstLineChars="200"/>
        <w:rPr>
          <w:rFonts w:ascii="宋体" w:hAnsi="宋体"/>
          <w:sz w:val="28"/>
          <w:szCs w:val="28"/>
        </w:rPr>
      </w:pPr>
      <w:r>
        <w:rPr>
          <w:rFonts w:ascii="宋体" w:hAnsi="宋体"/>
          <w:sz w:val="28"/>
          <w:szCs w:val="28"/>
        </w:rPr>
        <w:t>7</w:t>
      </w:r>
      <w:r>
        <w:rPr>
          <w:rFonts w:hint="eastAsia" w:ascii="宋体" w:hAnsi="宋体"/>
          <w:sz w:val="28"/>
          <w:szCs w:val="28"/>
        </w:rPr>
        <w:t>、《城市工程管线综合规划规范》（GB50289-2016）；</w:t>
      </w:r>
    </w:p>
    <w:p w14:paraId="3D2283EB">
      <w:pPr>
        <w:spacing w:line="640" w:lineRule="exact"/>
        <w:ind w:firstLine="560" w:firstLineChars="200"/>
        <w:rPr>
          <w:rFonts w:ascii="宋体" w:hAnsi="宋体"/>
          <w:sz w:val="28"/>
          <w:szCs w:val="28"/>
        </w:rPr>
      </w:pPr>
      <w:r>
        <w:rPr>
          <w:rFonts w:ascii="宋体" w:hAnsi="宋体"/>
          <w:sz w:val="28"/>
          <w:szCs w:val="28"/>
        </w:rPr>
        <w:t>8</w:t>
      </w:r>
      <w:r>
        <w:rPr>
          <w:rFonts w:hint="eastAsia" w:ascii="宋体" w:hAnsi="宋体"/>
          <w:sz w:val="28"/>
          <w:szCs w:val="28"/>
        </w:rPr>
        <w:t>、《城市、镇控制性详细规划编制审批办法》（2010）；</w:t>
      </w:r>
    </w:p>
    <w:p w14:paraId="184A45A9">
      <w:pPr>
        <w:spacing w:line="640" w:lineRule="exact"/>
        <w:ind w:firstLine="560" w:firstLineChars="200"/>
        <w:rPr>
          <w:rFonts w:hint="eastAsia" w:ascii="宋体" w:hAnsi="宋体"/>
          <w:sz w:val="28"/>
          <w:szCs w:val="28"/>
        </w:rPr>
      </w:pPr>
      <w:r>
        <w:rPr>
          <w:rFonts w:ascii="宋体" w:hAnsi="宋体"/>
          <w:sz w:val="28"/>
          <w:szCs w:val="28"/>
        </w:rPr>
        <w:t>9</w:t>
      </w:r>
      <w:r>
        <w:rPr>
          <w:rFonts w:hint="eastAsia" w:ascii="宋体" w:hAnsi="宋体"/>
          <w:sz w:val="28"/>
          <w:szCs w:val="28"/>
        </w:rPr>
        <w:t>、《四川省城乡规划条例》（2011）；</w:t>
      </w:r>
    </w:p>
    <w:p w14:paraId="4A2E3033">
      <w:pPr>
        <w:spacing w:line="640" w:lineRule="exact"/>
        <w:ind w:firstLine="560" w:firstLineChars="200"/>
        <w:rPr>
          <w:rFonts w:ascii="宋体" w:hAnsi="宋体"/>
          <w:sz w:val="28"/>
          <w:szCs w:val="28"/>
        </w:rPr>
      </w:pPr>
      <w:r>
        <w:rPr>
          <w:rFonts w:hint="eastAsia" w:ascii="宋体" w:hAnsi="宋体"/>
          <w:sz w:val="28"/>
          <w:szCs w:val="28"/>
        </w:rPr>
        <w:t>1</w:t>
      </w:r>
      <w:r>
        <w:rPr>
          <w:rFonts w:ascii="宋体" w:hAnsi="宋体"/>
          <w:sz w:val="28"/>
          <w:szCs w:val="28"/>
        </w:rPr>
        <w:t>0</w:t>
      </w:r>
      <w:r>
        <w:rPr>
          <w:rFonts w:hint="eastAsia" w:ascii="宋体" w:hAnsi="宋体"/>
          <w:sz w:val="28"/>
          <w:szCs w:val="28"/>
        </w:rPr>
        <w:t>、《乐山市城市总体规划》（2011-2030）2017修改版；</w:t>
      </w:r>
    </w:p>
    <w:p w14:paraId="3A01C310">
      <w:pPr>
        <w:spacing w:line="640" w:lineRule="exact"/>
        <w:ind w:firstLine="560" w:firstLineChars="200"/>
        <w:rPr>
          <w:rFonts w:ascii="宋体" w:hAnsi="宋体"/>
          <w:sz w:val="28"/>
          <w:szCs w:val="28"/>
        </w:rPr>
      </w:pPr>
      <w:r>
        <w:rPr>
          <w:rFonts w:ascii="宋体" w:hAnsi="宋体"/>
          <w:sz w:val="28"/>
          <w:szCs w:val="28"/>
        </w:rPr>
        <w:t>11</w:t>
      </w:r>
      <w:r>
        <w:rPr>
          <w:rFonts w:hint="eastAsia" w:ascii="宋体" w:hAnsi="宋体"/>
          <w:sz w:val="28"/>
          <w:szCs w:val="28"/>
        </w:rPr>
        <w:t>、《乐山市土地利用总体规划》（2006-2020）；</w:t>
      </w:r>
    </w:p>
    <w:p w14:paraId="3A301288">
      <w:pPr>
        <w:spacing w:line="640" w:lineRule="exact"/>
        <w:ind w:firstLine="560" w:firstLineChars="200"/>
        <w:rPr>
          <w:rFonts w:ascii="宋体" w:hAnsi="宋体"/>
          <w:sz w:val="28"/>
          <w:szCs w:val="28"/>
        </w:rPr>
      </w:pPr>
      <w:r>
        <w:rPr>
          <w:rFonts w:hint="eastAsia" w:ascii="宋体" w:hAnsi="宋体"/>
          <w:sz w:val="28"/>
          <w:szCs w:val="28"/>
        </w:rPr>
        <w:t>1</w:t>
      </w:r>
      <w:r>
        <w:rPr>
          <w:rFonts w:ascii="宋体" w:hAnsi="宋体"/>
          <w:sz w:val="28"/>
          <w:szCs w:val="28"/>
        </w:rPr>
        <w:t>2</w:t>
      </w:r>
      <w:r>
        <w:rPr>
          <w:rFonts w:hint="eastAsia" w:ascii="宋体" w:hAnsi="宋体"/>
          <w:sz w:val="28"/>
          <w:szCs w:val="28"/>
        </w:rPr>
        <w:t>、国家及四川省、乐山市其他相关技术标准、规范和规定；</w:t>
      </w:r>
    </w:p>
    <w:p w14:paraId="7254C3F2">
      <w:pPr>
        <w:spacing w:line="640" w:lineRule="exact"/>
        <w:ind w:firstLine="560" w:firstLineChars="200"/>
        <w:rPr>
          <w:rFonts w:ascii="宋体" w:hAnsi="宋体"/>
          <w:sz w:val="28"/>
          <w:szCs w:val="28"/>
        </w:rPr>
      </w:pPr>
      <w:r>
        <w:rPr>
          <w:rFonts w:ascii="宋体" w:hAnsi="宋体"/>
          <w:sz w:val="28"/>
          <w:szCs w:val="28"/>
        </w:rPr>
        <w:t>13</w:t>
      </w:r>
      <w:r>
        <w:rPr>
          <w:rFonts w:hint="eastAsia" w:ascii="宋体" w:hAnsi="宋体"/>
          <w:sz w:val="28"/>
          <w:szCs w:val="28"/>
        </w:rPr>
        <w:t>、乐山市住房和城乡规划建设局提供的电子地形图及其它相关资料。</w:t>
      </w:r>
    </w:p>
    <w:bookmarkEnd w:id="39"/>
    <w:p w14:paraId="511E1443">
      <w:pPr>
        <w:pStyle w:val="4"/>
        <w:spacing w:line="620" w:lineRule="exact"/>
        <w:rPr>
          <w:rFonts w:ascii="黑体" w:eastAsia="黑体"/>
        </w:rPr>
      </w:pPr>
      <w:bookmarkStart w:id="40" w:name="_Toc6394573"/>
      <w:r>
        <w:rPr>
          <w:rFonts w:hint="eastAsia" w:ascii="黑体" w:eastAsia="黑体"/>
        </w:rPr>
        <w:t>二、规划原则</w:t>
      </w:r>
      <w:bookmarkEnd w:id="40"/>
    </w:p>
    <w:p w14:paraId="1C9F53F2">
      <w:pPr>
        <w:spacing w:line="640" w:lineRule="exact"/>
        <w:ind w:firstLine="562" w:firstLineChars="200"/>
        <w:rPr>
          <w:rFonts w:ascii="宋体" w:hAnsi="宋体"/>
          <w:b/>
          <w:sz w:val="28"/>
          <w:szCs w:val="28"/>
        </w:rPr>
      </w:pPr>
      <w:r>
        <w:rPr>
          <w:rFonts w:hint="eastAsia" w:ascii="宋体" w:hAnsi="宋体"/>
          <w:b/>
          <w:sz w:val="28"/>
          <w:szCs w:val="28"/>
        </w:rPr>
        <w:t>（一）区域协调、统一规划原则</w:t>
      </w:r>
      <w:r>
        <w:rPr>
          <w:rFonts w:ascii="宋体" w:hAnsi="宋体"/>
          <w:b/>
          <w:sz w:val="28"/>
          <w:szCs w:val="28"/>
        </w:rPr>
        <w:t xml:space="preserve"> </w:t>
      </w:r>
    </w:p>
    <w:p w14:paraId="4D58C923">
      <w:pPr>
        <w:spacing w:line="640" w:lineRule="exact"/>
        <w:ind w:firstLine="560" w:firstLineChars="200"/>
        <w:rPr>
          <w:rFonts w:ascii="宋体" w:hAnsi="宋体"/>
          <w:sz w:val="28"/>
          <w:szCs w:val="28"/>
        </w:rPr>
      </w:pPr>
      <w:r>
        <w:rPr>
          <w:rFonts w:hint="eastAsia" w:ascii="宋体" w:hAnsi="宋体"/>
          <w:sz w:val="28"/>
          <w:szCs w:val="28"/>
        </w:rPr>
        <w:t>从乐山市城市总体发展战略出发，寻求和论证规划片区在城市中的地位与职能，从而实现与中心城区区域协调发展，促进城市高效运营。</w:t>
      </w:r>
      <w:r>
        <w:rPr>
          <w:rFonts w:ascii="宋体" w:hAnsi="宋体"/>
          <w:sz w:val="28"/>
          <w:szCs w:val="28"/>
        </w:rPr>
        <w:t xml:space="preserve"> </w:t>
      </w:r>
    </w:p>
    <w:p w14:paraId="3D2DE7A3">
      <w:pPr>
        <w:spacing w:line="640" w:lineRule="exact"/>
        <w:ind w:firstLine="562" w:firstLineChars="200"/>
        <w:rPr>
          <w:rFonts w:ascii="宋体" w:hAnsi="宋体"/>
          <w:b/>
          <w:sz w:val="28"/>
          <w:szCs w:val="28"/>
        </w:rPr>
      </w:pPr>
      <w:r>
        <w:rPr>
          <w:rFonts w:hint="eastAsia" w:ascii="宋体" w:hAnsi="宋体"/>
          <w:b/>
          <w:sz w:val="28"/>
          <w:szCs w:val="28"/>
        </w:rPr>
        <w:t>（二）综合开发、协调发展原则</w:t>
      </w:r>
    </w:p>
    <w:p w14:paraId="4F61CF9C">
      <w:pPr>
        <w:spacing w:line="640" w:lineRule="exact"/>
        <w:ind w:firstLine="560" w:firstLineChars="200"/>
        <w:rPr>
          <w:rFonts w:ascii="宋体" w:hAnsi="宋体"/>
          <w:sz w:val="28"/>
          <w:szCs w:val="28"/>
        </w:rPr>
      </w:pPr>
      <w:r>
        <w:rPr>
          <w:rFonts w:hint="eastAsia" w:ascii="宋体" w:hAnsi="宋体"/>
          <w:sz w:val="28"/>
          <w:szCs w:val="28"/>
        </w:rPr>
        <w:t>遵循综合开发、协调发展的原则，妥善处理好规划建设中的各种关系和矛盾，特别是经济效益与社会效益和环境效益的矛盾，以及各种专项规划之间的矛盾。要以总体规划为指导，在空间布局、环境设计、指标控制等方面与城市其它地区取得衔接和协调。</w:t>
      </w:r>
    </w:p>
    <w:p w14:paraId="10F4FBA3">
      <w:pPr>
        <w:spacing w:line="640" w:lineRule="exact"/>
        <w:ind w:firstLine="562" w:firstLineChars="200"/>
        <w:rPr>
          <w:rFonts w:ascii="宋体" w:hAnsi="宋体"/>
          <w:b/>
          <w:sz w:val="28"/>
          <w:szCs w:val="28"/>
        </w:rPr>
      </w:pPr>
      <w:r>
        <w:rPr>
          <w:rFonts w:hint="eastAsia" w:ascii="宋体" w:hAnsi="宋体"/>
          <w:b/>
          <w:sz w:val="28"/>
          <w:szCs w:val="28"/>
        </w:rPr>
        <w:t>（三）以人为本，可持续发展原则</w:t>
      </w:r>
    </w:p>
    <w:p w14:paraId="4926D295">
      <w:pPr>
        <w:spacing w:line="640" w:lineRule="exact"/>
        <w:ind w:firstLine="560" w:firstLineChars="200"/>
        <w:rPr>
          <w:rFonts w:ascii="宋体" w:hAnsi="宋体"/>
          <w:sz w:val="28"/>
          <w:szCs w:val="28"/>
        </w:rPr>
      </w:pPr>
      <w:r>
        <w:rPr>
          <w:rFonts w:hint="eastAsia" w:ascii="宋体" w:hAnsi="宋体"/>
          <w:sz w:val="28"/>
          <w:szCs w:val="28"/>
        </w:rPr>
        <w:t>坚持“以人为本”的设计原则和可持续发展原则，着力于营造高品质的“人性化”城市环境和景观，建立良好的城市空间秩序和绿化景观系统，构建完备的社区服务系统、健康的社区文化生活，实现片区开发建设的经济效益、环境效益和社会效益的完美统一。</w:t>
      </w:r>
    </w:p>
    <w:p w14:paraId="065DAA84">
      <w:pPr>
        <w:spacing w:line="640" w:lineRule="exact"/>
        <w:ind w:firstLine="562" w:firstLineChars="200"/>
        <w:rPr>
          <w:rFonts w:ascii="宋体" w:hAnsi="宋体"/>
          <w:b/>
          <w:sz w:val="28"/>
          <w:szCs w:val="28"/>
        </w:rPr>
      </w:pPr>
      <w:r>
        <w:rPr>
          <w:rFonts w:hint="eastAsia" w:ascii="宋体" w:hAnsi="宋体"/>
          <w:b/>
          <w:sz w:val="28"/>
          <w:szCs w:val="28"/>
        </w:rPr>
        <w:t>（四）高效率、市场化原则</w:t>
      </w:r>
    </w:p>
    <w:p w14:paraId="282CF595">
      <w:pPr>
        <w:spacing w:line="640" w:lineRule="exact"/>
        <w:ind w:firstLine="560" w:firstLineChars="200"/>
        <w:rPr>
          <w:rFonts w:ascii="宋体" w:hAnsi="宋体"/>
          <w:sz w:val="28"/>
          <w:szCs w:val="28"/>
        </w:rPr>
      </w:pPr>
      <w:r>
        <w:rPr>
          <w:rFonts w:hint="eastAsia" w:ascii="宋体" w:hAnsi="宋体"/>
          <w:sz w:val="28"/>
          <w:szCs w:val="28"/>
        </w:rPr>
        <w:t>以城市功能为根本，从片区的功能分区、交通组织、土地开发、城市景观与配套设施等方面入手，科学制订规划，建成功能合理、交通便捷、生活方便、设施保障良好的高效率的城市片区。以市场经济机制为导向，在规划设计中贯彻市场经济原则，采用灵活多样的规划设计手段，制订适宜的规划管理策略，提高规划设计、管理的可操作性和弹性，保证片区开发建设的经济效益。</w:t>
      </w:r>
    </w:p>
    <w:p w14:paraId="15D415FF">
      <w:pPr>
        <w:spacing w:line="640" w:lineRule="exact"/>
        <w:ind w:firstLine="562" w:firstLineChars="200"/>
        <w:rPr>
          <w:rFonts w:hint="eastAsia" w:ascii="宋体" w:hAnsi="宋体"/>
          <w:b/>
          <w:sz w:val="28"/>
          <w:szCs w:val="28"/>
        </w:rPr>
      </w:pPr>
      <w:r>
        <w:rPr>
          <w:rFonts w:hint="eastAsia" w:ascii="宋体" w:hAnsi="宋体"/>
          <w:b/>
          <w:sz w:val="28"/>
          <w:szCs w:val="28"/>
        </w:rPr>
        <w:t>（五）近远期结合、有机开发原则</w:t>
      </w:r>
    </w:p>
    <w:p w14:paraId="26483060">
      <w:pPr>
        <w:spacing w:line="640" w:lineRule="exact"/>
        <w:ind w:firstLine="548" w:firstLineChars="196"/>
        <w:rPr>
          <w:rFonts w:hint="eastAsia" w:ascii="宋体" w:hAnsi="宋体"/>
          <w:sz w:val="30"/>
          <w:szCs w:val="28"/>
        </w:rPr>
      </w:pPr>
      <w:r>
        <w:rPr>
          <w:rFonts w:ascii="宋体" w:hAnsi="宋体"/>
          <w:sz w:val="28"/>
          <w:szCs w:val="28"/>
        </w:rPr>
        <w:t>合理安排开发建设时序，指导土地及空间的有序开发与建设。根据规划区建设中的实际情况，远、近期建设结合，有效控制建设用地的供给规模，保证</w:t>
      </w:r>
      <w:r>
        <w:rPr>
          <w:rFonts w:hint="eastAsia" w:ascii="宋体" w:hAnsi="宋体"/>
          <w:sz w:val="28"/>
          <w:szCs w:val="28"/>
        </w:rPr>
        <w:t>片</w:t>
      </w:r>
      <w:r>
        <w:rPr>
          <w:rFonts w:ascii="宋体" w:hAnsi="宋体"/>
          <w:sz w:val="28"/>
          <w:szCs w:val="28"/>
        </w:rPr>
        <w:t>区开发质量，为日后的建设留有余地。</w:t>
      </w:r>
      <w:r>
        <w:rPr>
          <w:rFonts w:ascii="宋体" w:hAnsi="宋体"/>
          <w:sz w:val="30"/>
          <w:szCs w:val="28"/>
        </w:rPr>
        <w:t xml:space="preserve"> </w:t>
      </w:r>
    </w:p>
    <w:p w14:paraId="7E6E4FA1">
      <w:pPr>
        <w:pStyle w:val="4"/>
        <w:spacing w:line="620" w:lineRule="exact"/>
        <w:rPr>
          <w:rFonts w:ascii="黑体" w:eastAsia="黑体"/>
        </w:rPr>
      </w:pPr>
      <w:bookmarkStart w:id="41" w:name="_Toc6394574"/>
      <w:bookmarkStart w:id="42" w:name="_Toc410292453"/>
      <w:r>
        <w:rPr>
          <w:rFonts w:hint="eastAsia" w:ascii="黑体" w:eastAsia="黑体"/>
        </w:rPr>
        <w:t>三、规划范围</w:t>
      </w:r>
      <w:bookmarkEnd w:id="41"/>
      <w:bookmarkEnd w:id="42"/>
    </w:p>
    <w:p w14:paraId="54E9954E">
      <w:pPr>
        <w:spacing w:line="432" w:lineRule="auto"/>
        <w:ind w:firstLine="560" w:firstLineChars="200"/>
        <w:rPr>
          <w:rFonts w:ascii="宋体" w:hAnsi="宋体"/>
          <w:bCs/>
          <w:sz w:val="28"/>
          <w:szCs w:val="28"/>
        </w:rPr>
      </w:pPr>
      <w:bookmarkStart w:id="43" w:name="_Toc16847520"/>
      <w:r>
        <w:rPr>
          <w:rFonts w:hint="eastAsia" w:ascii="宋体" w:hAnsi="宋体"/>
          <w:bCs/>
          <w:sz w:val="28"/>
          <w:szCs w:val="28"/>
        </w:rPr>
        <w:t>规划区用地范围东至国道348线,南至山龙路，与乐山大佛风景名胜区紧密相连，西至岷江，北至佛光路。规划用地沿岷江东岸呈不规则的带状。本次岷江东岸片区规划用地面积为659.58公顷。</w:t>
      </w:r>
    </w:p>
    <w:p w14:paraId="64909448">
      <w:pPr>
        <w:spacing w:line="432" w:lineRule="auto"/>
        <w:ind w:firstLine="560" w:firstLineChars="200"/>
        <w:rPr>
          <w:rFonts w:ascii="宋体" w:hAnsi="宋体"/>
          <w:bCs/>
          <w:sz w:val="28"/>
          <w:szCs w:val="28"/>
        </w:rPr>
      </w:pPr>
    </w:p>
    <w:bookmarkEnd w:id="43"/>
    <w:p w14:paraId="0A9C9ACF">
      <w:pPr>
        <w:pStyle w:val="64"/>
        <w:spacing w:before="240" w:after="480"/>
        <w:rPr>
          <w:rFonts w:hint="eastAsia"/>
        </w:rPr>
      </w:pPr>
      <w:bookmarkStart w:id="44" w:name="_Toc410292463"/>
      <w:bookmarkStart w:id="45" w:name="_Toc245737254"/>
      <w:bookmarkStart w:id="46" w:name="_Toc6394575"/>
      <w:bookmarkStart w:id="47" w:name="_Toc174606285"/>
      <w:r>
        <w:rPr>
          <w:rFonts w:hint="eastAsia"/>
        </w:rPr>
        <w:t>第四章 功能定位及目标策略</w:t>
      </w:r>
      <w:bookmarkEnd w:id="44"/>
      <w:bookmarkEnd w:id="45"/>
      <w:bookmarkEnd w:id="46"/>
      <w:bookmarkEnd w:id="47"/>
      <w:bookmarkStart w:id="48" w:name="_Toc245737256"/>
      <w:bookmarkStart w:id="49" w:name="_Toc174606287"/>
      <w:bookmarkStart w:id="50" w:name="_Toc410292465"/>
      <w:bookmarkStart w:id="51" w:name="_Toc245737258"/>
      <w:bookmarkStart w:id="52" w:name="_Toc174606289"/>
      <w:bookmarkStart w:id="53" w:name="_Toc410292467"/>
      <w:bookmarkStart w:id="54" w:name="_Toc410292464"/>
      <w:bookmarkStart w:id="55" w:name="_Toc174606286"/>
      <w:bookmarkStart w:id="56" w:name="_Toc245737255"/>
    </w:p>
    <w:p w14:paraId="5599B9FC">
      <w:pPr>
        <w:pStyle w:val="4"/>
        <w:spacing w:line="640" w:lineRule="exact"/>
        <w:rPr>
          <w:rFonts w:ascii="黑体" w:eastAsia="黑体"/>
        </w:rPr>
      </w:pPr>
      <w:bookmarkStart w:id="57" w:name="_Toc6394576"/>
      <w:r>
        <w:rPr>
          <w:rFonts w:hint="eastAsia" w:ascii="黑体" w:eastAsia="黑体"/>
        </w:rPr>
        <w:t>一、规划理念</w:t>
      </w:r>
      <w:bookmarkEnd w:id="57"/>
    </w:p>
    <w:p w14:paraId="7EA24CD4">
      <w:pPr>
        <w:spacing w:line="432" w:lineRule="auto"/>
        <w:ind w:firstLine="562" w:firstLineChars="200"/>
        <w:rPr>
          <w:rFonts w:hint="eastAsia" w:ascii="宋体" w:hAnsi="宋体"/>
          <w:b/>
          <w:sz w:val="28"/>
          <w:szCs w:val="28"/>
        </w:rPr>
      </w:pPr>
      <w:r>
        <w:rPr>
          <w:rFonts w:hint="eastAsia" w:ascii="宋体" w:hAnsi="宋体"/>
          <w:b/>
          <w:sz w:val="28"/>
          <w:szCs w:val="28"/>
        </w:rPr>
        <w:t>（一）功能复合，业态升级</w:t>
      </w:r>
    </w:p>
    <w:p w14:paraId="479638A4">
      <w:pPr>
        <w:spacing w:line="432" w:lineRule="auto"/>
        <w:ind w:firstLine="560" w:firstLineChars="200"/>
        <w:rPr>
          <w:rFonts w:hint="eastAsia" w:ascii="宋体" w:hAnsi="宋体"/>
          <w:sz w:val="28"/>
          <w:szCs w:val="28"/>
        </w:rPr>
      </w:pPr>
      <w:r>
        <w:rPr>
          <w:rFonts w:hint="eastAsia" w:ascii="宋体" w:hAnsi="宋体"/>
          <w:sz w:val="28"/>
          <w:szCs w:val="28"/>
        </w:rPr>
        <w:t>充分认知生态优势与文化优势对产业价值的提升，整合淘汰传统服务业，发展休闲商业、文化创意、旅游度假、高端康养、运动科研等新兴业态，并强调多种业态之间的复合，产生集聚效应与联动效应，形成充满活力的高品质城市旅游职能空间。</w:t>
      </w:r>
    </w:p>
    <w:p w14:paraId="69562E54">
      <w:pPr>
        <w:spacing w:line="432" w:lineRule="auto"/>
        <w:ind w:firstLine="562" w:firstLineChars="200"/>
        <w:rPr>
          <w:rFonts w:hint="eastAsia" w:ascii="宋体" w:hAnsi="宋体"/>
          <w:b/>
          <w:sz w:val="28"/>
          <w:szCs w:val="28"/>
        </w:rPr>
      </w:pPr>
      <w:r>
        <w:rPr>
          <w:rFonts w:hint="eastAsia" w:ascii="宋体" w:hAnsi="宋体"/>
          <w:b/>
          <w:sz w:val="28"/>
          <w:szCs w:val="28"/>
        </w:rPr>
        <w:t>（二）文旅融合，重塑印象</w:t>
      </w:r>
    </w:p>
    <w:p w14:paraId="0DC083E8">
      <w:pPr>
        <w:spacing w:line="432" w:lineRule="auto"/>
        <w:ind w:firstLine="560" w:firstLineChars="200"/>
        <w:rPr>
          <w:rFonts w:ascii="宋体" w:hAnsi="宋体"/>
          <w:sz w:val="28"/>
          <w:szCs w:val="28"/>
        </w:rPr>
      </w:pPr>
      <w:r>
        <w:rPr>
          <w:rFonts w:hint="eastAsia" w:ascii="宋体" w:hAnsi="宋体"/>
          <w:sz w:val="28"/>
          <w:szCs w:val="28"/>
        </w:rPr>
        <w:t xml:space="preserve">依托独特厚重的佛文化资源，做好保护与开发，推进乐山大佛“佛国乐园”建设，巩固提升山水禅意经典旅游线路，重塑乐山旅游形象；以嘉州历史文化遗存，建构文化地标；以公共步道，景观绿带串联文化节点和自然环境，打造连续、开放的文化走廊，全方位展现的乐山城市风貌独特魅力，重塑嘉州文化意向。 </w:t>
      </w:r>
    </w:p>
    <w:p w14:paraId="13869D21">
      <w:pPr>
        <w:spacing w:line="432" w:lineRule="auto"/>
        <w:ind w:firstLine="562" w:firstLineChars="200"/>
        <w:rPr>
          <w:rFonts w:hint="eastAsia" w:ascii="宋体" w:hAnsi="宋体"/>
          <w:b/>
          <w:sz w:val="28"/>
          <w:szCs w:val="28"/>
        </w:rPr>
      </w:pPr>
      <w:r>
        <w:rPr>
          <w:rFonts w:hint="eastAsia" w:ascii="宋体" w:hAnsi="宋体"/>
          <w:b/>
          <w:sz w:val="28"/>
          <w:szCs w:val="28"/>
        </w:rPr>
        <w:t>（三）山水筑城，</w:t>
      </w:r>
      <w:r>
        <w:rPr>
          <w:rFonts w:hint="eastAsia" w:ascii="宋体" w:hAnsi="宋体"/>
          <w:b/>
          <w:bCs/>
          <w:sz w:val="28"/>
          <w:szCs w:val="28"/>
        </w:rPr>
        <w:t>相借相生</w:t>
      </w:r>
    </w:p>
    <w:p w14:paraId="30001D9F">
      <w:pPr>
        <w:spacing w:line="432" w:lineRule="auto"/>
        <w:ind w:firstLine="560" w:firstLineChars="200"/>
        <w:rPr>
          <w:rFonts w:ascii="宋体" w:hAnsi="宋体"/>
          <w:sz w:val="28"/>
          <w:szCs w:val="28"/>
        </w:rPr>
      </w:pPr>
      <w:r>
        <w:rPr>
          <w:rFonts w:hint="eastAsia" w:ascii="宋体" w:hAnsi="宋体"/>
          <w:sz w:val="28"/>
          <w:szCs w:val="28"/>
        </w:rPr>
        <w:t xml:space="preserve">片区背山面水，山水环境颇具意境，规划应最大限度发挥既有的生态禀赋，从三位空间视角对城市形态进行有机梳理。城市密度组团被生态廊道有机分割，建筑群疏密有致地依山延展，山脉、水脉、城脉有机聚合，营造“看得见山，望得见水”的山水城市格局。 </w:t>
      </w:r>
    </w:p>
    <w:p w14:paraId="0EB2401D">
      <w:pPr>
        <w:pStyle w:val="4"/>
        <w:spacing w:line="640" w:lineRule="exact"/>
        <w:rPr>
          <w:rFonts w:ascii="黑体" w:eastAsia="黑体"/>
        </w:rPr>
      </w:pPr>
      <w:bookmarkStart w:id="58" w:name="_Toc6394577"/>
      <w:r>
        <w:rPr>
          <w:rFonts w:hint="eastAsia" w:ascii="黑体" w:eastAsia="黑体"/>
        </w:rPr>
        <w:t>二、规划策略</w:t>
      </w:r>
      <w:bookmarkEnd w:id="48"/>
      <w:bookmarkEnd w:id="49"/>
      <w:bookmarkEnd w:id="50"/>
      <w:bookmarkEnd w:id="58"/>
    </w:p>
    <w:p w14:paraId="680ED2FD">
      <w:pPr>
        <w:spacing w:line="640" w:lineRule="exact"/>
        <w:ind w:firstLine="562" w:firstLineChars="200"/>
        <w:rPr>
          <w:rFonts w:ascii="宋体" w:hAnsi="宋体"/>
          <w:b/>
          <w:sz w:val="28"/>
          <w:szCs w:val="28"/>
        </w:rPr>
      </w:pPr>
      <w:r>
        <w:rPr>
          <w:rFonts w:hint="eastAsia" w:ascii="宋体" w:hAnsi="宋体"/>
          <w:b/>
          <w:sz w:val="28"/>
          <w:szCs w:val="28"/>
        </w:rPr>
        <w:t>（一）产业发展策略——旅游引领，</w:t>
      </w:r>
      <w:r>
        <w:rPr>
          <w:rFonts w:ascii="宋体" w:hAnsi="宋体"/>
          <w:b/>
          <w:sz w:val="28"/>
          <w:szCs w:val="28"/>
        </w:rPr>
        <w:t xml:space="preserve"> </w:t>
      </w:r>
      <w:r>
        <w:rPr>
          <w:rFonts w:hint="eastAsia" w:ascii="宋体" w:hAnsi="宋体"/>
          <w:b/>
          <w:sz w:val="28"/>
          <w:szCs w:val="28"/>
        </w:rPr>
        <w:t>多元协同</w:t>
      </w:r>
    </w:p>
    <w:p w14:paraId="5EDF909A">
      <w:pPr>
        <w:spacing w:line="640" w:lineRule="exact"/>
        <w:ind w:firstLine="560" w:firstLineChars="200"/>
        <w:rPr>
          <w:rFonts w:ascii="宋体" w:hAnsi="宋体"/>
          <w:sz w:val="28"/>
          <w:szCs w:val="28"/>
        </w:rPr>
      </w:pPr>
      <w:r>
        <w:rPr>
          <w:rFonts w:hint="eastAsia" w:ascii="宋体" w:hAnsi="宋体"/>
          <w:sz w:val="28"/>
          <w:szCs w:val="28"/>
        </w:rPr>
        <w:t>将泛旅游服务业作为片区主导产业，复合生态休闲、健康养生、文化创意、休闲度假协同发展，精品打造，融入禅修文化、滨江文化、休闲文化等主题元素，发展特色主题旅游休闲服务产业。将岷江东岸片区定位为城市与旅游相融合的先行示范区域，整体包装为泛旅游产业的汇集区，塑造乐山城市旅游休闲度假的第一核心区域。</w:t>
      </w:r>
    </w:p>
    <w:p w14:paraId="148D54ED">
      <w:pPr>
        <w:spacing w:line="640" w:lineRule="exact"/>
        <w:ind w:firstLine="562" w:firstLineChars="200"/>
        <w:rPr>
          <w:rFonts w:ascii="宋体" w:hAnsi="宋体"/>
          <w:b/>
          <w:sz w:val="28"/>
          <w:szCs w:val="28"/>
        </w:rPr>
      </w:pPr>
      <w:r>
        <w:rPr>
          <w:rFonts w:hint="eastAsia" w:ascii="宋体" w:hAnsi="宋体"/>
          <w:b/>
          <w:sz w:val="28"/>
          <w:szCs w:val="28"/>
        </w:rPr>
        <w:t>（二）空间发展策略——山水交融，江聚林散</w:t>
      </w:r>
    </w:p>
    <w:p w14:paraId="08A38668">
      <w:pPr>
        <w:spacing w:line="640" w:lineRule="exact"/>
        <w:ind w:firstLine="560" w:firstLineChars="200"/>
        <w:rPr>
          <w:rFonts w:ascii="宋体" w:hAnsi="宋体"/>
          <w:sz w:val="28"/>
          <w:szCs w:val="28"/>
        </w:rPr>
      </w:pPr>
      <w:r>
        <w:rPr>
          <w:rFonts w:hint="eastAsia" w:ascii="宋体" w:hAnsi="宋体"/>
          <w:sz w:val="28"/>
          <w:szCs w:val="28"/>
        </w:rPr>
        <w:t>在生态优先的基础上，进行片区空间合理布局。结合现有的空间发展机理，改善滨水空间环境，构建自然山水廊道，使城市与山水和谐共生；利用片区地形地貌，采取“沿江集聚，山林分散 ”的布局方式，遴选合理的业态，使片区土地利用生态化、高效益化，做到社会效益、经济效益、环境效益的协调统一。</w:t>
      </w:r>
    </w:p>
    <w:p w14:paraId="3F086497">
      <w:pPr>
        <w:spacing w:line="640" w:lineRule="exact"/>
        <w:ind w:firstLine="562" w:firstLineChars="200"/>
        <w:rPr>
          <w:rFonts w:ascii="宋体" w:hAnsi="宋体"/>
          <w:b/>
          <w:sz w:val="28"/>
          <w:szCs w:val="28"/>
        </w:rPr>
      </w:pPr>
      <w:r>
        <w:rPr>
          <w:rFonts w:hint="eastAsia" w:ascii="宋体" w:hAnsi="宋体"/>
          <w:b/>
          <w:sz w:val="28"/>
          <w:szCs w:val="28"/>
        </w:rPr>
        <w:t xml:space="preserve">（三）生态景观策略——山水禅意，景城一体 </w:t>
      </w:r>
    </w:p>
    <w:p w14:paraId="7E62E9B2">
      <w:pPr>
        <w:spacing w:line="640" w:lineRule="exact"/>
        <w:ind w:firstLine="560" w:firstLineChars="200"/>
        <w:rPr>
          <w:rFonts w:hint="eastAsia"/>
          <w:sz w:val="28"/>
          <w:szCs w:val="28"/>
        </w:rPr>
      </w:pPr>
      <w:r>
        <w:rPr>
          <w:rFonts w:hint="eastAsia" w:ascii="宋体" w:hAnsi="宋体"/>
          <w:sz w:val="28"/>
          <w:szCs w:val="28"/>
        </w:rPr>
        <w:t>充分挖掘和展示片区山、水、佛、城共同形成的佛意禅缘，营造与山水相伴、与禅意共生的独特山水禅意空间。保护片区山脉和水系，展现自然天成的山水禅意景观。</w:t>
      </w:r>
      <w:r>
        <w:rPr>
          <w:rFonts w:hint="eastAsia"/>
          <w:sz w:val="28"/>
          <w:szCs w:val="28"/>
        </w:rPr>
        <w:t>通过禅意空间制作与旅游活动打造，将佛教文化融入滨水环境、山体环境，形成区域代表佛教大爱、豁达、无争的人文环境。构建禅居、禅味、禅作、禅行结合的禅意文化核心区。通过生态乐道串联大佛、滨水、城市、山林等空间，形成景城一体的滨水休闲度假旅游空间。</w:t>
      </w:r>
    </w:p>
    <w:p w14:paraId="2B72A634">
      <w:pPr>
        <w:pStyle w:val="4"/>
        <w:spacing w:line="640" w:lineRule="exact"/>
        <w:rPr>
          <w:rFonts w:ascii="黑体" w:eastAsia="黑体"/>
        </w:rPr>
      </w:pPr>
      <w:bookmarkStart w:id="59" w:name="_Toc6394578"/>
      <w:r>
        <w:rPr>
          <w:rFonts w:hint="eastAsia" w:ascii="黑体" w:eastAsia="黑体"/>
        </w:rPr>
        <w:t>三、功能定位</w:t>
      </w:r>
      <w:bookmarkEnd w:id="59"/>
    </w:p>
    <w:p w14:paraId="00058960">
      <w:pPr>
        <w:spacing w:line="640" w:lineRule="exact"/>
        <w:ind w:firstLine="560" w:firstLineChars="200"/>
        <w:rPr>
          <w:rFonts w:hint="eastAsia" w:ascii="宋体" w:hAnsi="宋体"/>
          <w:sz w:val="28"/>
          <w:szCs w:val="28"/>
        </w:rPr>
      </w:pPr>
      <w:r>
        <w:rPr>
          <w:rFonts w:hint="eastAsia" w:ascii="宋体" w:hAnsi="宋体"/>
          <w:sz w:val="28"/>
          <w:szCs w:val="28"/>
        </w:rPr>
        <w:t xml:space="preserve">根据《乐山市城市总体规划》，结合片区发展趋势分析，确定本次规划区域的功能为： </w:t>
      </w:r>
    </w:p>
    <w:p w14:paraId="376856F8">
      <w:pPr>
        <w:spacing w:line="640" w:lineRule="exact"/>
        <w:ind w:firstLine="562" w:firstLineChars="200"/>
        <w:rPr>
          <w:rFonts w:hint="eastAsia" w:ascii="宋体" w:hAnsi="宋体"/>
          <w:b/>
          <w:bCs/>
          <w:sz w:val="28"/>
          <w:szCs w:val="28"/>
          <w:shd w:val="pct15" w:color="auto" w:fill="FFFFFF"/>
        </w:rPr>
      </w:pPr>
      <w:r>
        <w:rPr>
          <w:rFonts w:hint="eastAsia" w:ascii="宋体" w:hAnsi="宋体"/>
          <w:b/>
          <w:bCs/>
          <w:sz w:val="28"/>
          <w:szCs w:val="28"/>
          <w:shd w:val="pct15" w:color="auto" w:fill="FFFFFF"/>
        </w:rPr>
        <w:t xml:space="preserve">以旅游服务为核心，集休闲商业、文化娱乐、民宿酒店、生态居住、禅修康养于一体的城市滨江休闲度假区  </w:t>
      </w:r>
    </w:p>
    <w:bookmarkEnd w:id="51"/>
    <w:bookmarkEnd w:id="52"/>
    <w:bookmarkEnd w:id="53"/>
    <w:p w14:paraId="261F7BB1">
      <w:pPr>
        <w:pStyle w:val="4"/>
        <w:spacing w:line="640" w:lineRule="exact"/>
        <w:rPr>
          <w:rFonts w:ascii="黑体" w:eastAsia="黑体"/>
        </w:rPr>
      </w:pPr>
      <w:bookmarkStart w:id="60" w:name="_Toc6394579"/>
      <w:r>
        <w:rPr>
          <w:rFonts w:hint="eastAsia" w:ascii="黑体" w:eastAsia="黑体"/>
        </w:rPr>
        <w:t>四、规划目标</w:t>
      </w:r>
      <w:bookmarkEnd w:id="60"/>
    </w:p>
    <w:p w14:paraId="21DF73DE">
      <w:pPr>
        <w:spacing w:line="640" w:lineRule="exact"/>
        <w:ind w:firstLine="560" w:firstLineChars="200"/>
        <w:rPr>
          <w:rFonts w:hint="eastAsia" w:ascii="宋体" w:hAnsi="宋体"/>
          <w:sz w:val="28"/>
          <w:szCs w:val="28"/>
        </w:rPr>
      </w:pPr>
      <w:r>
        <w:rPr>
          <w:rFonts w:ascii="宋体" w:hAnsi="宋体"/>
          <w:sz w:val="28"/>
          <w:szCs w:val="28"/>
        </w:rPr>
        <w:t>合理布局规划区内用地，完善片区功能，高效组织道路系统和绿地景观系统，加强公共服务设施和市政基础设施的配套建设，把</w:t>
      </w:r>
      <w:r>
        <w:rPr>
          <w:rFonts w:hint="eastAsia" w:ascii="宋体" w:hAnsi="宋体"/>
          <w:sz w:val="28"/>
          <w:szCs w:val="28"/>
        </w:rPr>
        <w:t>岷江东岸片区</w:t>
      </w:r>
      <w:r>
        <w:rPr>
          <w:rFonts w:ascii="宋体" w:hAnsi="宋体"/>
          <w:sz w:val="28"/>
          <w:szCs w:val="28"/>
        </w:rPr>
        <w:t>建设成为</w:t>
      </w:r>
      <w:r>
        <w:rPr>
          <w:rFonts w:hint="eastAsia" w:ascii="宋体" w:hAnsi="宋体"/>
          <w:sz w:val="28"/>
          <w:szCs w:val="28"/>
        </w:rPr>
        <w:t>：</w:t>
      </w:r>
    </w:p>
    <w:p w14:paraId="10E61822">
      <w:pPr>
        <w:spacing w:line="640" w:lineRule="exact"/>
        <w:ind w:firstLine="562" w:firstLineChars="200"/>
        <w:jc w:val="center"/>
        <w:rPr>
          <w:rFonts w:hint="eastAsia" w:ascii="宋体" w:hAnsi="宋体"/>
          <w:b/>
          <w:bCs/>
          <w:sz w:val="28"/>
          <w:szCs w:val="28"/>
          <w:shd w:val="pct15" w:color="auto" w:fill="FFFFFF"/>
        </w:rPr>
      </w:pPr>
      <w:r>
        <w:rPr>
          <w:rFonts w:hint="eastAsia" w:ascii="宋体" w:hAnsi="宋体"/>
          <w:b/>
          <w:bCs/>
          <w:sz w:val="28"/>
          <w:szCs w:val="28"/>
          <w:shd w:val="pct15" w:color="auto" w:fill="FFFFFF"/>
        </w:rPr>
        <w:t>城市滨水休闲度假核心区</w:t>
      </w:r>
    </w:p>
    <w:p w14:paraId="6A95D974">
      <w:pPr>
        <w:spacing w:line="640" w:lineRule="exact"/>
        <w:ind w:firstLine="562" w:firstLineChars="200"/>
        <w:jc w:val="center"/>
        <w:rPr>
          <w:rFonts w:hint="eastAsia" w:ascii="宋体" w:hAnsi="宋体"/>
          <w:b/>
          <w:bCs/>
          <w:sz w:val="28"/>
          <w:szCs w:val="28"/>
          <w:shd w:val="pct15" w:color="auto" w:fill="FFFFFF"/>
        </w:rPr>
      </w:pPr>
      <w:r>
        <w:rPr>
          <w:rFonts w:hint="eastAsia" w:ascii="宋体" w:hAnsi="宋体"/>
          <w:b/>
          <w:bCs/>
          <w:sz w:val="28"/>
          <w:szCs w:val="28"/>
          <w:shd w:val="pct15" w:color="auto" w:fill="FFFFFF"/>
        </w:rPr>
        <w:t>城市</w:t>
      </w:r>
      <w:r>
        <w:rPr>
          <w:rFonts w:ascii="宋体" w:hAnsi="宋体"/>
          <w:b/>
          <w:bCs/>
          <w:sz w:val="28"/>
          <w:szCs w:val="28"/>
          <w:shd w:val="pct15" w:color="auto" w:fill="FFFFFF"/>
        </w:rPr>
        <w:t>文化休闲禅修康养产业</w:t>
      </w:r>
      <w:r>
        <w:rPr>
          <w:rFonts w:hint="eastAsia" w:ascii="宋体" w:hAnsi="宋体"/>
          <w:b/>
          <w:bCs/>
          <w:sz w:val="28"/>
          <w:szCs w:val="28"/>
          <w:shd w:val="pct15" w:color="auto" w:fill="FFFFFF"/>
        </w:rPr>
        <w:t>示范区</w:t>
      </w:r>
    </w:p>
    <w:p w14:paraId="02AD2703">
      <w:pPr>
        <w:spacing w:line="640" w:lineRule="exact"/>
        <w:ind w:firstLine="562" w:firstLineChars="200"/>
        <w:jc w:val="center"/>
        <w:rPr>
          <w:rFonts w:hint="eastAsia" w:ascii="宋体" w:hAnsi="宋体"/>
          <w:b/>
          <w:bCs/>
          <w:sz w:val="28"/>
          <w:szCs w:val="28"/>
          <w:shd w:val="pct15" w:color="auto" w:fill="FFFFFF"/>
        </w:rPr>
      </w:pPr>
      <w:r>
        <w:rPr>
          <w:rFonts w:hint="eastAsia" w:ascii="宋体" w:hAnsi="宋体"/>
          <w:b/>
          <w:bCs/>
          <w:sz w:val="28"/>
          <w:szCs w:val="28"/>
          <w:shd w:val="pct15" w:color="auto" w:fill="FFFFFF"/>
        </w:rPr>
        <w:t>乐山大佛风景区北入口门户形象区</w:t>
      </w:r>
    </w:p>
    <w:p w14:paraId="602CDB5A">
      <w:pPr>
        <w:pStyle w:val="4"/>
        <w:spacing w:line="640" w:lineRule="exact"/>
        <w:rPr>
          <w:rFonts w:ascii="黑体" w:eastAsia="黑体"/>
        </w:rPr>
      </w:pPr>
      <w:bookmarkStart w:id="61" w:name="_Toc6394580"/>
      <w:r>
        <w:rPr>
          <w:rFonts w:hint="eastAsia" w:ascii="黑体" w:eastAsia="黑体"/>
        </w:rPr>
        <w:t>五、发展规模</w:t>
      </w:r>
      <w:bookmarkEnd w:id="61"/>
    </w:p>
    <w:p w14:paraId="47C62ACB">
      <w:pPr>
        <w:spacing w:line="640" w:lineRule="exact"/>
        <w:ind w:firstLine="562" w:firstLineChars="200"/>
        <w:rPr>
          <w:rFonts w:ascii="宋体" w:hAnsi="宋体"/>
          <w:b/>
          <w:sz w:val="28"/>
          <w:szCs w:val="28"/>
        </w:rPr>
      </w:pPr>
      <w:r>
        <w:rPr>
          <w:rFonts w:hint="eastAsia" w:ascii="宋体" w:hAnsi="宋体"/>
          <w:b/>
          <w:sz w:val="28"/>
          <w:szCs w:val="28"/>
        </w:rPr>
        <w:t>（一）用地规模</w:t>
      </w:r>
    </w:p>
    <w:p w14:paraId="54BC9502">
      <w:pPr>
        <w:spacing w:line="640" w:lineRule="exact"/>
        <w:ind w:firstLine="560" w:firstLineChars="200"/>
        <w:rPr>
          <w:rFonts w:ascii="宋体" w:hAnsi="宋体"/>
          <w:sz w:val="28"/>
          <w:szCs w:val="28"/>
        </w:rPr>
      </w:pPr>
      <w:r>
        <w:rPr>
          <w:rFonts w:hint="eastAsia" w:ascii="宋体" w:hAnsi="宋体"/>
          <w:sz w:val="28"/>
          <w:szCs w:val="28"/>
        </w:rPr>
        <w:t>本次控规范围总用地面积为</w:t>
      </w:r>
      <w:r>
        <w:rPr>
          <w:rFonts w:ascii="宋体" w:hAnsi="宋体"/>
          <w:sz w:val="28"/>
          <w:szCs w:val="28"/>
        </w:rPr>
        <w:t>659.58</w:t>
      </w:r>
      <w:r>
        <w:rPr>
          <w:rFonts w:hint="eastAsia" w:ascii="宋体" w:hAnsi="宋体"/>
          <w:sz w:val="28"/>
          <w:szCs w:val="28"/>
        </w:rPr>
        <w:t>公顷，其中规划期内城市建设用地面积2</w:t>
      </w:r>
      <w:r>
        <w:rPr>
          <w:rFonts w:ascii="宋体" w:hAnsi="宋体"/>
          <w:sz w:val="28"/>
          <w:szCs w:val="28"/>
        </w:rPr>
        <w:t>37.06</w:t>
      </w:r>
      <w:r>
        <w:rPr>
          <w:rFonts w:hint="eastAsia" w:ascii="宋体" w:hAnsi="宋体"/>
          <w:sz w:val="28"/>
          <w:szCs w:val="28"/>
        </w:rPr>
        <w:t>公顷，区域</w:t>
      </w:r>
      <w:r>
        <w:rPr>
          <w:rFonts w:ascii="宋体" w:hAnsi="宋体"/>
          <w:sz w:val="28"/>
          <w:szCs w:val="28"/>
        </w:rPr>
        <w:t>交通设施</w:t>
      </w:r>
      <w:r>
        <w:rPr>
          <w:rFonts w:hint="eastAsia" w:ascii="宋体" w:hAnsi="宋体"/>
          <w:sz w:val="28"/>
          <w:szCs w:val="28"/>
        </w:rPr>
        <w:t>用地</w:t>
      </w:r>
      <w:r>
        <w:rPr>
          <w:rFonts w:ascii="宋体" w:hAnsi="宋体"/>
          <w:sz w:val="28"/>
          <w:szCs w:val="28"/>
        </w:rPr>
        <w:t>32.04</w:t>
      </w:r>
      <w:r>
        <w:rPr>
          <w:rFonts w:hint="eastAsia" w:ascii="宋体" w:hAnsi="宋体"/>
          <w:sz w:val="28"/>
          <w:szCs w:val="28"/>
        </w:rPr>
        <w:t>公顷，非建设用地</w:t>
      </w:r>
      <w:r>
        <w:rPr>
          <w:rFonts w:ascii="宋体" w:hAnsi="宋体"/>
          <w:sz w:val="28"/>
          <w:szCs w:val="28"/>
        </w:rPr>
        <w:t>390.48</w:t>
      </w:r>
      <w:r>
        <w:rPr>
          <w:rFonts w:hint="eastAsia" w:ascii="宋体" w:hAnsi="宋体"/>
          <w:sz w:val="28"/>
          <w:szCs w:val="28"/>
        </w:rPr>
        <w:t>公顷。</w:t>
      </w:r>
    </w:p>
    <w:p w14:paraId="4ABEAFCA">
      <w:pPr>
        <w:spacing w:line="640" w:lineRule="exact"/>
        <w:ind w:firstLine="562" w:firstLineChars="200"/>
        <w:rPr>
          <w:rFonts w:ascii="宋体" w:hAnsi="宋体"/>
          <w:b/>
          <w:sz w:val="28"/>
          <w:szCs w:val="28"/>
        </w:rPr>
      </w:pPr>
      <w:r>
        <w:rPr>
          <w:rFonts w:hint="eastAsia" w:ascii="宋体" w:hAnsi="宋体"/>
          <w:b/>
          <w:sz w:val="28"/>
          <w:szCs w:val="28"/>
        </w:rPr>
        <w:t>（二）人口规模</w:t>
      </w:r>
    </w:p>
    <w:p w14:paraId="3401BF31">
      <w:pPr>
        <w:spacing w:line="640" w:lineRule="exact"/>
        <w:ind w:firstLine="560" w:firstLineChars="200"/>
        <w:rPr>
          <w:rFonts w:hint="eastAsia" w:ascii="宋体" w:hAnsi="宋体"/>
          <w:sz w:val="28"/>
          <w:szCs w:val="28"/>
        </w:rPr>
      </w:pPr>
      <w:r>
        <w:rPr>
          <w:rFonts w:hint="eastAsia" w:ascii="宋体" w:hAnsi="宋体"/>
          <w:sz w:val="28"/>
          <w:szCs w:val="28"/>
        </w:rPr>
        <w:t>规划区居住用地</w:t>
      </w:r>
      <w:r>
        <w:rPr>
          <w:rFonts w:ascii="宋体" w:hAnsi="宋体"/>
          <w:sz w:val="28"/>
          <w:szCs w:val="28"/>
        </w:rPr>
        <w:t>47.45</w:t>
      </w:r>
      <w:r>
        <w:rPr>
          <w:rFonts w:hint="eastAsia" w:ascii="宋体" w:hAnsi="宋体"/>
          <w:sz w:val="28"/>
          <w:szCs w:val="28"/>
        </w:rPr>
        <w:t>公顷。根据我国建筑气候区划乐山属于第Ⅲ建筑气候区，按照《城市用地分类与规划建设用地标准》（GB50137-2011）的要求，人均居住用地面积控制在23–36平方米，则规划范围内在保证良好居住环境的情况下适宜容纳约</w:t>
      </w:r>
      <w:r>
        <w:rPr>
          <w:rFonts w:ascii="宋体" w:hAnsi="宋体"/>
          <w:sz w:val="28"/>
          <w:szCs w:val="28"/>
        </w:rPr>
        <w:t>2.0</w:t>
      </w:r>
      <w:r>
        <w:rPr>
          <w:rFonts w:hint="eastAsia" w:ascii="宋体" w:hAnsi="宋体"/>
          <w:sz w:val="28"/>
          <w:szCs w:val="28"/>
        </w:rPr>
        <w:t>万人。</w:t>
      </w:r>
    </w:p>
    <w:p w14:paraId="2E2A5DB3">
      <w:pPr>
        <w:spacing w:line="640" w:lineRule="exact"/>
        <w:ind w:firstLine="560" w:firstLineChars="200"/>
        <w:rPr>
          <w:rFonts w:hint="eastAsia" w:ascii="宋体" w:hAnsi="宋体"/>
          <w:color w:val="FF0000"/>
          <w:sz w:val="28"/>
          <w:szCs w:val="28"/>
        </w:rPr>
      </w:pPr>
    </w:p>
    <w:bookmarkEnd w:id="54"/>
    <w:bookmarkEnd w:id="55"/>
    <w:bookmarkEnd w:id="56"/>
    <w:p w14:paraId="13DFDFDF">
      <w:pPr>
        <w:pStyle w:val="3"/>
        <w:spacing w:line="660" w:lineRule="exact"/>
        <w:jc w:val="center"/>
        <w:rPr>
          <w:sz w:val="36"/>
          <w:szCs w:val="36"/>
        </w:rPr>
      </w:pPr>
      <w:bookmarkStart w:id="62" w:name="_Toc410292468"/>
      <w:bookmarkStart w:id="63" w:name="_Toc6394581"/>
      <w:bookmarkStart w:id="64" w:name="_Toc168711174"/>
      <w:bookmarkStart w:id="65" w:name="_Toc166388183"/>
      <w:r>
        <w:rPr>
          <w:rFonts w:hint="eastAsia"/>
          <w:sz w:val="36"/>
          <w:szCs w:val="36"/>
        </w:rPr>
        <w:t>第五章 用地布局规划</w:t>
      </w:r>
      <w:bookmarkEnd w:id="62"/>
      <w:bookmarkEnd w:id="63"/>
      <w:bookmarkEnd w:id="64"/>
      <w:bookmarkEnd w:id="65"/>
    </w:p>
    <w:p w14:paraId="19D2E108">
      <w:pPr>
        <w:pStyle w:val="4"/>
        <w:spacing w:line="660" w:lineRule="exact"/>
        <w:rPr>
          <w:rFonts w:ascii="黑体" w:eastAsia="黑体"/>
        </w:rPr>
      </w:pPr>
      <w:bookmarkStart w:id="66" w:name="_Toc166388184"/>
      <w:bookmarkStart w:id="67" w:name="_Toc410292469"/>
      <w:bookmarkStart w:id="68" w:name="_Toc168711175"/>
      <w:bookmarkStart w:id="69" w:name="_Toc6394582"/>
      <w:r>
        <w:rPr>
          <w:rFonts w:hint="eastAsia" w:ascii="黑体" w:eastAsia="黑体"/>
        </w:rPr>
        <w:t>一、规划布局</w:t>
      </w:r>
      <w:bookmarkEnd w:id="66"/>
      <w:bookmarkEnd w:id="67"/>
      <w:bookmarkEnd w:id="68"/>
      <w:r>
        <w:rPr>
          <w:rFonts w:hint="eastAsia" w:ascii="黑体" w:eastAsia="黑体"/>
        </w:rPr>
        <w:t>思路</w:t>
      </w:r>
      <w:bookmarkEnd w:id="69"/>
    </w:p>
    <w:p w14:paraId="5FE3CACA">
      <w:pPr>
        <w:spacing w:line="660" w:lineRule="exact"/>
        <w:ind w:firstLine="560" w:firstLineChars="200"/>
        <w:rPr>
          <w:rFonts w:ascii="宋体" w:hAnsi="宋体"/>
          <w:sz w:val="28"/>
          <w:szCs w:val="28"/>
        </w:rPr>
      </w:pPr>
      <w:r>
        <w:rPr>
          <w:rFonts w:hint="eastAsia" w:ascii="宋体" w:hAnsi="宋体"/>
          <w:sz w:val="28"/>
          <w:szCs w:val="28"/>
        </w:rPr>
        <w:t>规划坚持生态优先、可持续发展的理念，充分利用滨江沿岸空间环境以及东部自然山林资源，结合现状自然环境，树立尊重自然、生态优先的环保意识，同时构建多元化的路网结构和公共交通系统，最终展示“青山绿水，城景交融”的山水城市格局，全面体现新时期乐山城市高质量发展的新理念。</w:t>
      </w:r>
    </w:p>
    <w:p w14:paraId="4D2A2236">
      <w:pPr>
        <w:pStyle w:val="4"/>
        <w:spacing w:line="660" w:lineRule="exact"/>
        <w:rPr>
          <w:rFonts w:ascii="黑体" w:eastAsia="黑体"/>
        </w:rPr>
      </w:pPr>
      <w:bookmarkStart w:id="70" w:name="_Toc166388185"/>
      <w:bookmarkStart w:id="71" w:name="_Toc6394583"/>
      <w:bookmarkStart w:id="72" w:name="_Toc410292470"/>
      <w:bookmarkStart w:id="73" w:name="_Toc168711176"/>
      <w:r>
        <w:rPr>
          <w:rFonts w:hint="eastAsia" w:ascii="黑体" w:eastAsia="黑体"/>
        </w:rPr>
        <w:t>二、用地布局结构</w:t>
      </w:r>
      <w:bookmarkEnd w:id="70"/>
      <w:bookmarkEnd w:id="71"/>
      <w:bookmarkEnd w:id="72"/>
      <w:bookmarkEnd w:id="73"/>
    </w:p>
    <w:p w14:paraId="511EB51A">
      <w:pPr>
        <w:spacing w:line="660" w:lineRule="exact"/>
        <w:ind w:firstLine="560" w:firstLineChars="200"/>
        <w:rPr>
          <w:rFonts w:hint="eastAsia" w:ascii="宋体" w:hAnsi="宋体"/>
          <w:sz w:val="28"/>
          <w:szCs w:val="28"/>
        </w:rPr>
      </w:pPr>
      <w:r>
        <w:rPr>
          <w:rFonts w:hint="eastAsia" w:ascii="宋体" w:hAnsi="宋体"/>
          <w:sz w:val="28"/>
          <w:szCs w:val="28"/>
        </w:rPr>
        <w:t>根据岷江东岸片区在乐山市城市总体规划中所确定的功能定位，结合岷江东岸片区的地理区位、自然生态环境及建设用地现状，规划岷江东岸片区形成</w:t>
      </w:r>
      <w:r>
        <w:rPr>
          <w:rFonts w:hint="eastAsia" w:ascii="宋体" w:hAnsi="宋体"/>
          <w:b/>
          <w:sz w:val="28"/>
          <w:szCs w:val="28"/>
        </w:rPr>
        <w:t>“一轴、一带、两心、两区”</w:t>
      </w:r>
      <w:r>
        <w:rPr>
          <w:rFonts w:hint="eastAsia" w:ascii="宋体" w:hAnsi="宋体"/>
          <w:sz w:val="28"/>
          <w:szCs w:val="28"/>
        </w:rPr>
        <w:t>的结构形式。</w:t>
      </w:r>
    </w:p>
    <w:p w14:paraId="24F673EE">
      <w:pPr>
        <w:spacing w:line="660" w:lineRule="exact"/>
        <w:ind w:firstLine="562" w:firstLineChars="200"/>
        <w:rPr>
          <w:rFonts w:ascii="宋体" w:hAnsi="宋体"/>
          <w:sz w:val="28"/>
          <w:szCs w:val="28"/>
        </w:rPr>
      </w:pPr>
      <w:r>
        <w:rPr>
          <w:rFonts w:hint="eastAsia" w:ascii="宋体" w:hAnsi="宋体"/>
          <w:b/>
          <w:sz w:val="28"/>
          <w:szCs w:val="28"/>
        </w:rPr>
        <w:t>“一轴”：</w:t>
      </w:r>
      <w:r>
        <w:rPr>
          <w:rFonts w:hint="eastAsia" w:ascii="宋体" w:hAnsi="宋体"/>
          <w:sz w:val="30"/>
        </w:rPr>
        <w:t>指贯穿片区南北的滨江景观大道——碧山路，是片区的发展主轴，同时也是片区重要的景观主轴；</w:t>
      </w:r>
      <w:r>
        <w:rPr>
          <w:rFonts w:ascii="宋体" w:hAnsi="宋体"/>
          <w:sz w:val="28"/>
          <w:szCs w:val="28"/>
        </w:rPr>
        <w:t xml:space="preserve"> </w:t>
      </w:r>
    </w:p>
    <w:p w14:paraId="3DFEEF44">
      <w:pPr>
        <w:spacing w:line="660" w:lineRule="exact"/>
        <w:ind w:firstLine="562" w:firstLineChars="200"/>
        <w:rPr>
          <w:rFonts w:hint="eastAsia" w:ascii="宋体" w:hAnsi="宋体"/>
          <w:sz w:val="28"/>
          <w:szCs w:val="28"/>
        </w:rPr>
      </w:pPr>
      <w:r>
        <w:rPr>
          <w:rFonts w:hint="eastAsia" w:ascii="宋体" w:hAnsi="宋体"/>
          <w:b/>
          <w:sz w:val="28"/>
          <w:szCs w:val="28"/>
        </w:rPr>
        <w:t>“一带”：</w:t>
      </w:r>
      <w:r>
        <w:rPr>
          <w:rFonts w:hint="eastAsia" w:ascii="宋体" w:hAnsi="宋体"/>
          <w:sz w:val="28"/>
          <w:szCs w:val="28"/>
        </w:rPr>
        <w:t>是指位于规划区东部以</w:t>
      </w:r>
      <w:r>
        <w:rPr>
          <w:rFonts w:ascii="宋体" w:hAnsi="宋体"/>
          <w:sz w:val="28"/>
          <w:szCs w:val="28"/>
        </w:rPr>
        <w:t>碧山湖</w:t>
      </w:r>
      <w:r>
        <w:rPr>
          <w:rFonts w:hint="eastAsia" w:ascii="宋体" w:hAnsi="宋体"/>
          <w:sz w:val="28"/>
          <w:szCs w:val="28"/>
        </w:rPr>
        <w:t>为核心的休闲度假旅游</w:t>
      </w:r>
      <w:r>
        <w:rPr>
          <w:rFonts w:ascii="宋体" w:hAnsi="宋体"/>
          <w:sz w:val="28"/>
          <w:szCs w:val="28"/>
        </w:rPr>
        <w:t>带</w:t>
      </w:r>
      <w:r>
        <w:rPr>
          <w:rFonts w:hint="eastAsia" w:ascii="宋体" w:hAnsi="宋体"/>
          <w:sz w:val="28"/>
          <w:szCs w:val="28"/>
        </w:rPr>
        <w:t>。</w:t>
      </w:r>
    </w:p>
    <w:p w14:paraId="5AC38913">
      <w:pPr>
        <w:spacing w:line="660" w:lineRule="exact"/>
        <w:ind w:firstLine="562" w:firstLineChars="200"/>
        <w:rPr>
          <w:rFonts w:ascii="宋体" w:hAnsi="宋体"/>
          <w:sz w:val="28"/>
          <w:szCs w:val="28"/>
        </w:rPr>
      </w:pPr>
      <w:r>
        <w:rPr>
          <w:rFonts w:hint="eastAsia" w:ascii="宋体" w:hAnsi="宋体"/>
          <w:b/>
          <w:sz w:val="28"/>
          <w:szCs w:val="28"/>
        </w:rPr>
        <w:t>“两心”：</w:t>
      </w:r>
      <w:r>
        <w:rPr>
          <w:rFonts w:hint="eastAsia" w:ascii="宋体" w:hAnsi="宋体"/>
          <w:sz w:val="28"/>
          <w:szCs w:val="28"/>
        </w:rPr>
        <w:t>指位于岷江大桥、岷江二桥桥头附近的两个</w:t>
      </w:r>
      <w:r>
        <w:rPr>
          <w:rFonts w:hint="eastAsia" w:ascii="宋体" w:hAnsi="宋体"/>
          <w:bCs/>
          <w:sz w:val="28"/>
          <w:szCs w:val="28"/>
        </w:rPr>
        <w:t>商业</w:t>
      </w:r>
      <w:r>
        <w:rPr>
          <w:rFonts w:hint="eastAsia" w:ascii="宋体" w:hAnsi="宋体"/>
          <w:sz w:val="28"/>
          <w:szCs w:val="28"/>
        </w:rPr>
        <w:t>服务中心节点；</w:t>
      </w:r>
    </w:p>
    <w:p w14:paraId="759C8D0B">
      <w:pPr>
        <w:spacing w:line="660" w:lineRule="exact"/>
        <w:ind w:firstLine="562" w:firstLineChars="200"/>
        <w:rPr>
          <w:rFonts w:hint="eastAsia" w:ascii="宋体" w:hAnsi="宋体"/>
          <w:sz w:val="28"/>
          <w:szCs w:val="28"/>
        </w:rPr>
      </w:pPr>
      <w:r>
        <w:rPr>
          <w:rFonts w:hint="eastAsia" w:ascii="宋体" w:hAnsi="宋体"/>
          <w:b/>
          <w:sz w:val="28"/>
          <w:szCs w:val="28"/>
        </w:rPr>
        <w:t>“两区”：</w:t>
      </w:r>
      <w:r>
        <w:rPr>
          <w:rFonts w:hint="eastAsia" w:ascii="宋体" w:hAnsi="宋体"/>
          <w:sz w:val="28"/>
          <w:szCs w:val="28"/>
        </w:rPr>
        <w:t>指沿碧山路滨江景观大道东侧形成的两个居住小区。</w:t>
      </w:r>
    </w:p>
    <w:p w14:paraId="02A92656">
      <w:pPr>
        <w:pStyle w:val="4"/>
        <w:spacing w:line="660" w:lineRule="exact"/>
        <w:rPr>
          <w:rFonts w:ascii="黑体" w:eastAsia="黑体"/>
        </w:rPr>
      </w:pPr>
      <w:bookmarkStart w:id="74" w:name="_Toc410292471"/>
      <w:bookmarkStart w:id="75" w:name="_Toc166388187"/>
      <w:bookmarkStart w:id="76" w:name="_Toc6394584"/>
      <w:bookmarkStart w:id="77" w:name="_Toc168711177"/>
      <w:r>
        <w:rPr>
          <w:rFonts w:hint="eastAsia" w:ascii="黑体" w:eastAsia="黑体"/>
        </w:rPr>
        <w:t>三、各类用地布局规划</w:t>
      </w:r>
      <w:bookmarkEnd w:id="74"/>
      <w:bookmarkEnd w:id="75"/>
      <w:bookmarkEnd w:id="76"/>
      <w:bookmarkEnd w:id="77"/>
    </w:p>
    <w:p w14:paraId="71D21DFF">
      <w:pPr>
        <w:spacing w:line="700" w:lineRule="exact"/>
        <w:ind w:firstLine="562" w:firstLineChars="200"/>
        <w:rPr>
          <w:rFonts w:hint="eastAsia" w:ascii="宋体" w:hAnsi="宋体"/>
          <w:b/>
          <w:sz w:val="28"/>
          <w:szCs w:val="28"/>
        </w:rPr>
      </w:pPr>
      <w:bookmarkStart w:id="78" w:name="_Toc168711178"/>
      <w:bookmarkStart w:id="79" w:name="_Toc167762158"/>
      <w:r>
        <w:rPr>
          <w:rFonts w:hint="eastAsia" w:ascii="宋体" w:hAnsi="宋体"/>
          <w:b/>
          <w:sz w:val="28"/>
          <w:szCs w:val="28"/>
        </w:rPr>
        <w:t>（一）居住用地规划</w:t>
      </w:r>
    </w:p>
    <w:p w14:paraId="7DAF1410">
      <w:pPr>
        <w:spacing w:line="700" w:lineRule="exact"/>
        <w:ind w:firstLine="560" w:firstLineChars="200"/>
        <w:rPr>
          <w:rFonts w:hint="eastAsia" w:ascii="宋体" w:hAnsi="宋体"/>
          <w:sz w:val="28"/>
          <w:szCs w:val="28"/>
        </w:rPr>
      </w:pPr>
      <w:r>
        <w:rPr>
          <w:rFonts w:hint="eastAsia" w:ascii="宋体" w:hAnsi="宋体"/>
          <w:sz w:val="28"/>
          <w:szCs w:val="28"/>
        </w:rPr>
        <w:t>规划居住用地主要沿碧山路东侧布局，居住用地共</w:t>
      </w:r>
      <w:r>
        <w:rPr>
          <w:rFonts w:ascii="宋体" w:hAnsi="宋体"/>
          <w:sz w:val="28"/>
          <w:szCs w:val="28"/>
        </w:rPr>
        <w:t>47.45</w:t>
      </w:r>
      <w:r>
        <w:rPr>
          <w:rFonts w:hint="eastAsia" w:ascii="宋体" w:hAnsi="宋体"/>
          <w:sz w:val="28"/>
          <w:szCs w:val="28"/>
        </w:rPr>
        <w:t>公顷，占城市建设用地的</w:t>
      </w:r>
      <w:r>
        <w:rPr>
          <w:rFonts w:ascii="宋体" w:hAnsi="宋体"/>
          <w:sz w:val="28"/>
          <w:szCs w:val="28"/>
        </w:rPr>
        <w:t>20.01</w:t>
      </w:r>
      <w:r>
        <w:rPr>
          <w:rFonts w:hint="eastAsia" w:ascii="宋体" w:hAnsi="宋体"/>
          <w:sz w:val="28"/>
          <w:szCs w:val="28"/>
        </w:rPr>
        <w:t>％，人均</w:t>
      </w:r>
      <w:r>
        <w:rPr>
          <w:rFonts w:ascii="宋体" w:hAnsi="宋体"/>
          <w:sz w:val="28"/>
          <w:szCs w:val="28"/>
        </w:rPr>
        <w:t>23.73</w:t>
      </w:r>
      <w:r>
        <w:rPr>
          <w:rFonts w:hint="eastAsia" w:ascii="宋体" w:hAnsi="宋体"/>
          <w:sz w:val="28"/>
          <w:szCs w:val="28"/>
        </w:rPr>
        <w:t>平方米。</w:t>
      </w:r>
    </w:p>
    <w:p w14:paraId="3F5CFF1B">
      <w:pPr>
        <w:spacing w:line="700" w:lineRule="exact"/>
        <w:ind w:firstLine="560" w:firstLineChars="200"/>
        <w:rPr>
          <w:rFonts w:hint="eastAsia" w:ascii="宋体" w:hAnsi="宋体"/>
          <w:sz w:val="28"/>
          <w:szCs w:val="28"/>
        </w:rPr>
      </w:pPr>
      <w:r>
        <w:rPr>
          <w:rFonts w:hint="eastAsia" w:ascii="宋体" w:hAnsi="宋体"/>
          <w:sz w:val="28"/>
          <w:szCs w:val="28"/>
        </w:rPr>
        <w:t>岷江东岸片区规划以泥溪河为界划分成两个居住小区——泥溪河以北依托北部商业服务中心发展而</w:t>
      </w:r>
      <w:r>
        <w:rPr>
          <w:rFonts w:ascii="宋体" w:hAnsi="宋体"/>
          <w:sz w:val="28"/>
          <w:szCs w:val="28"/>
        </w:rPr>
        <w:t>形成</w:t>
      </w:r>
      <w:r>
        <w:rPr>
          <w:rFonts w:hint="eastAsia" w:ascii="宋体" w:hAnsi="宋体"/>
          <w:sz w:val="28"/>
          <w:szCs w:val="28"/>
        </w:rPr>
        <w:t>的山湾居住小区和泥溪河以南</w:t>
      </w:r>
      <w:r>
        <w:rPr>
          <w:rFonts w:ascii="宋体" w:hAnsi="宋体"/>
          <w:sz w:val="28"/>
          <w:szCs w:val="28"/>
        </w:rPr>
        <w:t>依托</w:t>
      </w:r>
      <w:r>
        <w:rPr>
          <w:rFonts w:hint="eastAsia" w:ascii="宋体" w:hAnsi="宋体"/>
          <w:sz w:val="28"/>
          <w:szCs w:val="28"/>
        </w:rPr>
        <w:t>任家坝村发展而形成的任家坝居住小区。两个居住小区规划居住总人口约</w:t>
      </w:r>
      <w:r>
        <w:rPr>
          <w:rFonts w:ascii="宋体" w:hAnsi="宋体"/>
          <w:sz w:val="28"/>
          <w:szCs w:val="28"/>
        </w:rPr>
        <w:t>2.0</w:t>
      </w:r>
      <w:r>
        <w:rPr>
          <w:rFonts w:hint="eastAsia" w:ascii="宋体" w:hAnsi="宋体"/>
          <w:sz w:val="28"/>
          <w:szCs w:val="28"/>
        </w:rPr>
        <w:t>万人。</w:t>
      </w:r>
    </w:p>
    <w:p w14:paraId="6B448C3A">
      <w:pPr>
        <w:spacing w:line="700" w:lineRule="exact"/>
        <w:ind w:firstLine="560" w:firstLineChars="200"/>
        <w:rPr>
          <w:rFonts w:hint="eastAsia" w:ascii="宋体" w:hAnsi="宋体"/>
          <w:sz w:val="28"/>
          <w:szCs w:val="28"/>
        </w:rPr>
      </w:pPr>
      <w:r>
        <w:rPr>
          <w:rFonts w:hint="eastAsia" w:ascii="宋体" w:hAnsi="宋体"/>
          <w:sz w:val="28"/>
          <w:szCs w:val="28"/>
        </w:rPr>
        <w:t>山湾居住小区中心设置有小学、幼儿园、农贸市场等公共设施，小区部分配套设施与片区北部商业服务等设施共享。任家坝居住小区现有农贸市场、龙泓小学等公共服务设施予以保留，并充分利用；增设幼儿园、社区综合服务中心</w:t>
      </w:r>
      <w:r>
        <w:rPr>
          <w:rFonts w:ascii="宋体" w:hAnsi="宋体"/>
          <w:sz w:val="28"/>
          <w:szCs w:val="28"/>
        </w:rPr>
        <w:t>（</w:t>
      </w:r>
      <w:r>
        <w:rPr>
          <w:rFonts w:hint="eastAsia" w:ascii="宋体" w:hAnsi="宋体"/>
          <w:sz w:val="28"/>
          <w:szCs w:val="28"/>
        </w:rPr>
        <w:t>含社区</w:t>
      </w:r>
      <w:r>
        <w:rPr>
          <w:rFonts w:ascii="宋体" w:hAnsi="宋体"/>
          <w:sz w:val="28"/>
          <w:szCs w:val="28"/>
        </w:rPr>
        <w:t>服务</w:t>
      </w:r>
      <w:r>
        <w:rPr>
          <w:rFonts w:hint="eastAsia" w:ascii="宋体" w:hAnsi="宋体"/>
          <w:sz w:val="28"/>
          <w:szCs w:val="28"/>
        </w:rPr>
        <w:t>站</w:t>
      </w:r>
      <w:r>
        <w:rPr>
          <w:rFonts w:ascii="宋体" w:hAnsi="宋体"/>
          <w:sz w:val="28"/>
          <w:szCs w:val="28"/>
        </w:rPr>
        <w:t>、文化活动</w:t>
      </w:r>
      <w:r>
        <w:rPr>
          <w:rFonts w:hint="eastAsia" w:ascii="宋体" w:hAnsi="宋体"/>
          <w:sz w:val="28"/>
          <w:szCs w:val="28"/>
        </w:rPr>
        <w:t>站、托老所、社区</w:t>
      </w:r>
      <w:r>
        <w:rPr>
          <w:rFonts w:ascii="宋体" w:hAnsi="宋体"/>
          <w:sz w:val="28"/>
          <w:szCs w:val="28"/>
        </w:rPr>
        <w:t>卫生服务站、社区商业网点等设施）</w:t>
      </w:r>
      <w:r>
        <w:rPr>
          <w:rFonts w:hint="eastAsia" w:ascii="宋体" w:hAnsi="宋体"/>
          <w:sz w:val="28"/>
          <w:szCs w:val="28"/>
        </w:rPr>
        <w:t>、户外健身</w:t>
      </w:r>
      <w:r>
        <w:rPr>
          <w:rFonts w:ascii="宋体" w:hAnsi="宋体"/>
          <w:sz w:val="28"/>
          <w:szCs w:val="28"/>
        </w:rPr>
        <w:t>设施</w:t>
      </w:r>
      <w:r>
        <w:rPr>
          <w:rFonts w:hint="eastAsia" w:ascii="宋体" w:hAnsi="宋体"/>
          <w:sz w:val="28"/>
          <w:szCs w:val="28"/>
        </w:rPr>
        <w:t>站等公共服务设施，以完善小区配套服务功能。</w:t>
      </w:r>
    </w:p>
    <w:p w14:paraId="1F3DD532">
      <w:pPr>
        <w:spacing w:line="700" w:lineRule="exact"/>
        <w:ind w:firstLine="562" w:firstLineChars="200"/>
        <w:rPr>
          <w:rFonts w:hint="eastAsia" w:ascii="宋体" w:hAnsi="宋体"/>
          <w:b/>
          <w:sz w:val="28"/>
          <w:szCs w:val="28"/>
        </w:rPr>
      </w:pPr>
      <w:r>
        <w:rPr>
          <w:rFonts w:hint="eastAsia" w:ascii="宋体" w:hAnsi="宋体"/>
          <w:b/>
          <w:sz w:val="28"/>
          <w:szCs w:val="28"/>
        </w:rPr>
        <w:t>（二）居住社区级服务设施用地规划</w:t>
      </w:r>
    </w:p>
    <w:p w14:paraId="61B2321D">
      <w:pPr>
        <w:spacing w:line="700" w:lineRule="exact"/>
        <w:ind w:firstLine="560" w:firstLineChars="200"/>
        <w:rPr>
          <w:rFonts w:hint="eastAsia" w:ascii="宋体" w:hAnsi="宋体"/>
          <w:sz w:val="28"/>
          <w:szCs w:val="28"/>
        </w:rPr>
      </w:pPr>
      <w:r>
        <w:rPr>
          <w:rFonts w:hint="eastAsia" w:ascii="宋体" w:hAnsi="宋体"/>
          <w:sz w:val="28"/>
          <w:szCs w:val="28"/>
        </w:rPr>
        <w:t>居住社区级服务设施包括居住小区及小区级以下的幼托、文化、体育、商业服务、医疗卫生、行政管理及社区服务等设施，居住社区级服务设施除幼儿园、农贸市场、派出所、社区综合服务中心等部分设施具有独立用地，其他设施主要结合绿地、广场、商住建筑或住宅建筑底层设置。规划岷江东岸片区内共配套</w:t>
      </w:r>
      <w:r>
        <w:rPr>
          <w:rFonts w:ascii="宋体" w:hAnsi="宋体"/>
          <w:sz w:val="28"/>
          <w:szCs w:val="28"/>
        </w:rPr>
        <w:t>4</w:t>
      </w:r>
      <w:r>
        <w:rPr>
          <w:rFonts w:hint="eastAsia" w:ascii="宋体" w:hAnsi="宋体"/>
          <w:sz w:val="28"/>
          <w:szCs w:val="28"/>
        </w:rPr>
        <w:t>所独立占地幼儿园；设置有2处社区综合体，</w:t>
      </w:r>
      <w:r>
        <w:rPr>
          <w:rFonts w:ascii="宋体" w:hAnsi="宋体"/>
          <w:sz w:val="28"/>
          <w:szCs w:val="28"/>
        </w:rPr>
        <w:t>2</w:t>
      </w:r>
      <w:r>
        <w:rPr>
          <w:rFonts w:hint="eastAsia" w:ascii="宋体" w:hAnsi="宋体"/>
          <w:sz w:val="28"/>
          <w:szCs w:val="28"/>
        </w:rPr>
        <w:t>处独立占地的农贸市场，1处</w:t>
      </w:r>
      <w:r>
        <w:rPr>
          <w:rFonts w:ascii="宋体" w:hAnsi="宋体"/>
          <w:sz w:val="28"/>
          <w:szCs w:val="28"/>
        </w:rPr>
        <w:t>配建农贸市场</w:t>
      </w:r>
      <w:r>
        <w:rPr>
          <w:rFonts w:hint="eastAsia" w:ascii="宋体" w:hAnsi="宋体"/>
          <w:sz w:val="28"/>
          <w:szCs w:val="28"/>
        </w:rPr>
        <w:t>。居住社区级服务设施设置内容、规划建设要求、数量详见表5-1。</w:t>
      </w:r>
    </w:p>
    <w:p w14:paraId="1CBC7B1E">
      <w:pPr>
        <w:pStyle w:val="14"/>
        <w:spacing w:line="500" w:lineRule="exact"/>
        <w:ind w:firstLine="0" w:firstLineChars="0"/>
        <w:jc w:val="center"/>
        <w:rPr>
          <w:rFonts w:hint="eastAsia" w:ascii="黑体" w:eastAsia="黑体"/>
          <w:sz w:val="28"/>
          <w:szCs w:val="28"/>
        </w:rPr>
      </w:pPr>
      <w:r>
        <w:rPr>
          <w:rFonts w:hint="eastAsia" w:ascii="黑体" w:eastAsia="黑体"/>
          <w:sz w:val="28"/>
          <w:szCs w:val="28"/>
        </w:rPr>
        <w:t xml:space="preserve">居住社区级配套服务设施规划一览表 </w:t>
      </w:r>
    </w:p>
    <w:p w14:paraId="71E3227D">
      <w:pPr>
        <w:spacing w:line="440" w:lineRule="exact"/>
        <w:rPr>
          <w:rFonts w:hint="eastAsia"/>
          <w:szCs w:val="21"/>
        </w:rPr>
      </w:pPr>
      <w:r>
        <w:rPr>
          <w:rFonts w:hint="eastAsia" w:ascii="宋体" w:hAnsi="宋体"/>
          <w:szCs w:val="21"/>
        </w:rPr>
        <w:t>表5-1</w:t>
      </w:r>
    </w:p>
    <w:tbl>
      <w:tblPr>
        <w:tblStyle w:val="4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278"/>
        <w:gridCol w:w="2831"/>
        <w:gridCol w:w="3049"/>
        <w:gridCol w:w="1803"/>
      </w:tblGrid>
      <w:tr w14:paraId="41E6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547" w:type="pct"/>
            <w:vMerge w:val="restart"/>
            <w:shd w:val="clear" w:color="auto" w:fill="D9D9D9"/>
            <w:noWrap w:val="0"/>
            <w:vAlign w:val="center"/>
          </w:tcPr>
          <w:p w14:paraId="1D717B42">
            <w:pPr>
              <w:widowControl/>
              <w:jc w:val="center"/>
              <w:rPr>
                <w:rFonts w:hint="eastAsia" w:ascii="宋体" w:hAnsi="宋体" w:cs="宋体"/>
                <w:color w:val="000000"/>
                <w:kern w:val="0"/>
                <w:szCs w:val="21"/>
              </w:rPr>
            </w:pPr>
            <w:r>
              <w:rPr>
                <w:rFonts w:hint="eastAsia" w:ascii="宋体" w:hAnsi="宋体" w:cs="宋体"/>
                <w:color w:val="000000"/>
                <w:kern w:val="0"/>
                <w:szCs w:val="21"/>
              </w:rPr>
              <w:t>类别</w:t>
            </w:r>
          </w:p>
        </w:tc>
        <w:tc>
          <w:tcPr>
            <w:tcW w:w="635" w:type="pct"/>
            <w:vMerge w:val="restart"/>
            <w:shd w:val="clear" w:color="auto" w:fill="D9D9D9"/>
            <w:noWrap w:val="0"/>
            <w:vAlign w:val="center"/>
          </w:tcPr>
          <w:p w14:paraId="1A077101">
            <w:pPr>
              <w:widowControl/>
              <w:jc w:val="center"/>
              <w:rPr>
                <w:rFonts w:hint="eastAsia" w:ascii="宋体" w:hAnsi="宋体" w:cs="宋体"/>
                <w:color w:val="000000"/>
                <w:kern w:val="0"/>
                <w:szCs w:val="21"/>
              </w:rPr>
            </w:pPr>
            <w:r>
              <w:rPr>
                <w:rFonts w:hint="eastAsia" w:ascii="宋体" w:hAnsi="宋体" w:cs="宋体"/>
                <w:color w:val="000000"/>
                <w:kern w:val="0"/>
                <w:szCs w:val="21"/>
              </w:rPr>
              <w:t>设置</w:t>
            </w:r>
          </w:p>
          <w:p w14:paraId="62A07CFD">
            <w:pPr>
              <w:widowControl/>
              <w:jc w:val="center"/>
              <w:rPr>
                <w:rFonts w:hint="eastAsia" w:ascii="宋体" w:hAnsi="宋体" w:cs="宋体"/>
                <w:color w:val="000000"/>
                <w:kern w:val="0"/>
                <w:szCs w:val="21"/>
              </w:rPr>
            </w:pPr>
            <w:r>
              <w:rPr>
                <w:rFonts w:hint="eastAsia" w:ascii="宋体" w:hAnsi="宋体" w:cs="宋体"/>
                <w:color w:val="000000"/>
                <w:kern w:val="0"/>
                <w:szCs w:val="21"/>
              </w:rPr>
              <w:t>项目</w:t>
            </w:r>
          </w:p>
        </w:tc>
        <w:tc>
          <w:tcPr>
            <w:tcW w:w="1407" w:type="pct"/>
            <w:vMerge w:val="restart"/>
            <w:shd w:val="clear" w:color="auto" w:fill="D9D9D9"/>
            <w:noWrap w:val="0"/>
            <w:vAlign w:val="center"/>
          </w:tcPr>
          <w:p w14:paraId="110030C0">
            <w:pPr>
              <w:widowControl/>
              <w:jc w:val="center"/>
              <w:rPr>
                <w:rFonts w:hint="eastAsia" w:ascii="宋体" w:hAnsi="宋体" w:cs="宋体"/>
                <w:color w:val="000000"/>
                <w:kern w:val="0"/>
                <w:szCs w:val="21"/>
              </w:rPr>
            </w:pPr>
            <w:r>
              <w:rPr>
                <w:rFonts w:hint="eastAsia" w:ascii="宋体" w:hAnsi="宋体" w:cs="宋体"/>
                <w:color w:val="000000"/>
                <w:kern w:val="0"/>
                <w:szCs w:val="21"/>
              </w:rPr>
              <w:t>设置内容</w:t>
            </w:r>
          </w:p>
        </w:tc>
        <w:tc>
          <w:tcPr>
            <w:tcW w:w="1515" w:type="pct"/>
            <w:vMerge w:val="restart"/>
            <w:shd w:val="clear" w:color="auto" w:fill="D9D9D9"/>
            <w:noWrap w:val="0"/>
            <w:vAlign w:val="center"/>
          </w:tcPr>
          <w:p w14:paraId="43AD040B">
            <w:pPr>
              <w:widowControl/>
              <w:jc w:val="center"/>
              <w:rPr>
                <w:rFonts w:hint="eastAsia" w:ascii="宋体" w:hAnsi="宋体" w:cs="宋体"/>
                <w:color w:val="000000"/>
                <w:kern w:val="0"/>
                <w:szCs w:val="21"/>
              </w:rPr>
            </w:pPr>
            <w:r>
              <w:rPr>
                <w:rFonts w:hint="eastAsia" w:ascii="宋体" w:hAnsi="宋体" w:cs="宋体"/>
                <w:color w:val="000000"/>
                <w:kern w:val="0"/>
                <w:szCs w:val="21"/>
              </w:rPr>
              <w:t>建设要求</w:t>
            </w:r>
          </w:p>
        </w:tc>
        <w:tc>
          <w:tcPr>
            <w:tcW w:w="896" w:type="pct"/>
            <w:vMerge w:val="restart"/>
            <w:shd w:val="clear" w:color="auto" w:fill="D9D9D9"/>
            <w:noWrap w:val="0"/>
            <w:vAlign w:val="center"/>
          </w:tcPr>
          <w:p w14:paraId="004B59FC">
            <w:pPr>
              <w:widowControl/>
              <w:jc w:val="center"/>
              <w:rPr>
                <w:rFonts w:hint="eastAsia" w:ascii="宋体" w:hAnsi="宋体" w:cs="宋体"/>
                <w:color w:val="000000"/>
                <w:kern w:val="0"/>
                <w:szCs w:val="21"/>
              </w:rPr>
            </w:pPr>
            <w:r>
              <w:rPr>
                <w:rFonts w:hint="eastAsia" w:ascii="宋体" w:hAnsi="宋体" w:cs="宋体"/>
                <w:color w:val="000000"/>
                <w:kern w:val="0"/>
                <w:sz w:val="24"/>
              </w:rPr>
              <w:t>数量（个/处）</w:t>
            </w:r>
          </w:p>
        </w:tc>
      </w:tr>
      <w:tr w14:paraId="4F032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547" w:type="pct"/>
            <w:vMerge w:val="continue"/>
            <w:noWrap w:val="0"/>
            <w:vAlign w:val="center"/>
          </w:tcPr>
          <w:p w14:paraId="46E079DC">
            <w:pPr>
              <w:widowControl/>
              <w:jc w:val="center"/>
              <w:rPr>
                <w:rFonts w:hint="eastAsia" w:ascii="宋体" w:hAnsi="宋体" w:cs="宋体"/>
                <w:color w:val="000000"/>
                <w:kern w:val="0"/>
                <w:szCs w:val="21"/>
              </w:rPr>
            </w:pPr>
          </w:p>
        </w:tc>
        <w:tc>
          <w:tcPr>
            <w:tcW w:w="635" w:type="pct"/>
            <w:vMerge w:val="continue"/>
            <w:noWrap w:val="0"/>
            <w:vAlign w:val="center"/>
          </w:tcPr>
          <w:p w14:paraId="2BD3E830">
            <w:pPr>
              <w:widowControl/>
              <w:jc w:val="center"/>
              <w:rPr>
                <w:rFonts w:hint="eastAsia" w:ascii="宋体" w:hAnsi="宋体" w:cs="宋体"/>
                <w:color w:val="000000"/>
                <w:kern w:val="0"/>
                <w:szCs w:val="21"/>
              </w:rPr>
            </w:pPr>
          </w:p>
        </w:tc>
        <w:tc>
          <w:tcPr>
            <w:tcW w:w="1407" w:type="pct"/>
            <w:vMerge w:val="continue"/>
            <w:noWrap w:val="0"/>
            <w:vAlign w:val="center"/>
          </w:tcPr>
          <w:p w14:paraId="0DE3099E">
            <w:pPr>
              <w:widowControl/>
              <w:jc w:val="center"/>
              <w:rPr>
                <w:rFonts w:hint="eastAsia" w:ascii="宋体" w:hAnsi="宋体" w:cs="宋体"/>
                <w:color w:val="000000"/>
                <w:kern w:val="0"/>
                <w:szCs w:val="21"/>
              </w:rPr>
            </w:pPr>
          </w:p>
        </w:tc>
        <w:tc>
          <w:tcPr>
            <w:tcW w:w="1515" w:type="pct"/>
            <w:vMerge w:val="continue"/>
            <w:noWrap w:val="0"/>
            <w:vAlign w:val="center"/>
          </w:tcPr>
          <w:p w14:paraId="55D43C2E">
            <w:pPr>
              <w:widowControl/>
              <w:jc w:val="center"/>
              <w:rPr>
                <w:rFonts w:hint="eastAsia" w:ascii="宋体" w:hAnsi="宋体" w:cs="宋体"/>
                <w:color w:val="000000"/>
                <w:kern w:val="0"/>
                <w:szCs w:val="21"/>
              </w:rPr>
            </w:pPr>
          </w:p>
        </w:tc>
        <w:tc>
          <w:tcPr>
            <w:tcW w:w="896" w:type="pct"/>
            <w:vMerge w:val="continue"/>
            <w:noWrap w:val="0"/>
            <w:vAlign w:val="center"/>
          </w:tcPr>
          <w:p w14:paraId="553F8A91">
            <w:pPr>
              <w:widowControl/>
              <w:jc w:val="center"/>
              <w:rPr>
                <w:rFonts w:hint="eastAsia" w:ascii="宋体" w:hAnsi="宋体" w:cs="宋体"/>
                <w:color w:val="000000"/>
                <w:kern w:val="0"/>
                <w:szCs w:val="21"/>
              </w:rPr>
            </w:pPr>
          </w:p>
        </w:tc>
      </w:tr>
      <w:tr w14:paraId="747C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noWrap w:val="0"/>
            <w:vAlign w:val="center"/>
          </w:tcPr>
          <w:p w14:paraId="7A9E880E">
            <w:pPr>
              <w:widowControl/>
              <w:jc w:val="center"/>
              <w:rPr>
                <w:rFonts w:hint="eastAsia" w:ascii="宋体" w:hAnsi="宋体" w:cs="宋体"/>
                <w:color w:val="000000"/>
                <w:kern w:val="0"/>
                <w:szCs w:val="21"/>
              </w:rPr>
            </w:pPr>
            <w:r>
              <w:rPr>
                <w:rFonts w:hint="eastAsia" w:ascii="宋体" w:hAnsi="宋体" w:cs="宋体"/>
                <w:color w:val="000000"/>
                <w:kern w:val="0"/>
                <w:szCs w:val="21"/>
              </w:rPr>
              <w:t>教育设施</w:t>
            </w:r>
          </w:p>
        </w:tc>
        <w:tc>
          <w:tcPr>
            <w:tcW w:w="635" w:type="pct"/>
            <w:noWrap w:val="0"/>
            <w:vAlign w:val="center"/>
          </w:tcPr>
          <w:p w14:paraId="084C9D15">
            <w:pPr>
              <w:widowControl/>
              <w:jc w:val="center"/>
              <w:rPr>
                <w:rFonts w:hint="eastAsia" w:ascii="宋体" w:hAnsi="宋体" w:cs="宋体"/>
                <w:color w:val="000000"/>
                <w:kern w:val="0"/>
                <w:szCs w:val="21"/>
              </w:rPr>
            </w:pPr>
            <w:r>
              <w:rPr>
                <w:rFonts w:hint="eastAsia" w:ascii="宋体" w:hAnsi="宋体" w:cs="宋体"/>
                <w:color w:val="000000"/>
                <w:kern w:val="0"/>
                <w:szCs w:val="21"/>
              </w:rPr>
              <w:t>幼儿园</w:t>
            </w:r>
          </w:p>
        </w:tc>
        <w:tc>
          <w:tcPr>
            <w:tcW w:w="1407" w:type="pct"/>
            <w:noWrap w:val="0"/>
            <w:vAlign w:val="center"/>
          </w:tcPr>
          <w:p w14:paraId="6B93E225">
            <w:pPr>
              <w:widowControl/>
              <w:rPr>
                <w:rFonts w:hint="eastAsia" w:ascii="宋体" w:hAnsi="宋体" w:cs="宋体"/>
                <w:color w:val="000000"/>
                <w:kern w:val="0"/>
                <w:szCs w:val="21"/>
              </w:rPr>
            </w:pPr>
            <w:r>
              <w:rPr>
                <w:rFonts w:hint="eastAsia" w:ascii="宋体" w:hAnsi="宋体" w:cs="宋体"/>
                <w:color w:val="000000"/>
                <w:kern w:val="0"/>
                <w:szCs w:val="21"/>
              </w:rPr>
              <w:t>保教学龄前儿童。</w:t>
            </w:r>
          </w:p>
        </w:tc>
        <w:tc>
          <w:tcPr>
            <w:tcW w:w="1515" w:type="pct"/>
            <w:noWrap w:val="0"/>
            <w:vAlign w:val="center"/>
          </w:tcPr>
          <w:p w14:paraId="719E0C23">
            <w:pPr>
              <w:widowControl/>
              <w:rPr>
                <w:rFonts w:hint="eastAsia" w:ascii="宋体" w:hAnsi="宋体" w:cs="宋体"/>
                <w:color w:val="000000"/>
                <w:kern w:val="0"/>
                <w:szCs w:val="21"/>
              </w:rPr>
            </w:pPr>
            <w:r>
              <w:rPr>
                <w:rFonts w:hint="eastAsia" w:ascii="宋体" w:hAnsi="宋体" w:cs="宋体"/>
                <w:color w:val="000000"/>
                <w:kern w:val="0"/>
                <w:szCs w:val="21"/>
              </w:rPr>
              <w:t>独立设置，应有独立院落和出入口，层数不宜高于3层，建筑面积</w:t>
            </w:r>
            <w:r>
              <w:rPr>
                <w:rFonts w:ascii="宋体" w:hAnsi="宋体" w:cs="宋体"/>
                <w:color w:val="000000"/>
                <w:kern w:val="0"/>
                <w:szCs w:val="21"/>
              </w:rPr>
              <w:t>,3150</w:t>
            </w:r>
            <w:r>
              <w:rPr>
                <w:rFonts w:hint="eastAsia" w:ascii="宋体" w:hAnsi="宋体" w:cs="宋体"/>
                <w:color w:val="000000"/>
                <w:kern w:val="0"/>
                <w:szCs w:val="21"/>
              </w:rPr>
              <w:t>-</w:t>
            </w:r>
            <w:r>
              <w:rPr>
                <w:rFonts w:ascii="宋体" w:hAnsi="宋体" w:cs="宋体"/>
                <w:color w:val="000000"/>
                <w:kern w:val="0"/>
                <w:szCs w:val="21"/>
              </w:rPr>
              <w:t>4550</w:t>
            </w:r>
            <w:r>
              <w:rPr>
                <w:rFonts w:hint="eastAsia" w:ascii="宋体" w:hAnsi="宋体" w:cs="宋体"/>
                <w:color w:val="000000"/>
                <w:kern w:val="0"/>
                <w:szCs w:val="21"/>
              </w:rPr>
              <w:t>㎡。</w:t>
            </w:r>
          </w:p>
        </w:tc>
        <w:tc>
          <w:tcPr>
            <w:tcW w:w="896" w:type="pct"/>
            <w:noWrap w:val="0"/>
            <w:vAlign w:val="center"/>
          </w:tcPr>
          <w:p w14:paraId="71FB60EC">
            <w:pPr>
              <w:widowControl/>
              <w:jc w:val="center"/>
              <w:rPr>
                <w:rFonts w:hint="eastAsia" w:ascii="宋体" w:hAnsi="宋体" w:cs="宋体"/>
                <w:color w:val="000000"/>
                <w:kern w:val="0"/>
                <w:szCs w:val="21"/>
              </w:rPr>
            </w:pPr>
            <w:r>
              <w:rPr>
                <w:rFonts w:ascii="宋体" w:hAnsi="宋体" w:cs="宋体"/>
                <w:color w:val="000000"/>
                <w:kern w:val="0"/>
                <w:szCs w:val="21"/>
              </w:rPr>
              <w:t>4</w:t>
            </w:r>
          </w:p>
        </w:tc>
      </w:tr>
      <w:tr w14:paraId="21D8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noWrap w:val="0"/>
            <w:vAlign w:val="center"/>
          </w:tcPr>
          <w:p w14:paraId="402E9AA5">
            <w:pPr>
              <w:widowControl/>
              <w:jc w:val="center"/>
              <w:rPr>
                <w:rFonts w:hint="eastAsia" w:ascii="宋体" w:hAnsi="宋体" w:cs="宋体"/>
                <w:color w:val="000000"/>
                <w:kern w:val="0"/>
                <w:szCs w:val="21"/>
              </w:rPr>
            </w:pPr>
            <w:r>
              <w:rPr>
                <w:rFonts w:hint="eastAsia" w:ascii="宋体" w:hAnsi="宋体" w:cs="宋体"/>
                <w:color w:val="000000"/>
                <w:kern w:val="0"/>
                <w:szCs w:val="21"/>
              </w:rPr>
              <w:t>医疗卫生</w:t>
            </w:r>
          </w:p>
        </w:tc>
        <w:tc>
          <w:tcPr>
            <w:tcW w:w="635" w:type="pct"/>
            <w:noWrap w:val="0"/>
            <w:vAlign w:val="center"/>
          </w:tcPr>
          <w:p w14:paraId="733A643C">
            <w:pPr>
              <w:widowControl/>
              <w:jc w:val="center"/>
              <w:rPr>
                <w:rFonts w:hint="eastAsia" w:ascii="宋体" w:hAnsi="宋体" w:cs="宋体"/>
                <w:color w:val="000000"/>
                <w:kern w:val="0"/>
                <w:szCs w:val="21"/>
              </w:rPr>
            </w:pPr>
            <w:r>
              <w:rPr>
                <w:rFonts w:hint="eastAsia" w:ascii="宋体" w:hAnsi="宋体" w:cs="宋体"/>
                <w:color w:val="000000"/>
                <w:kern w:val="0"/>
                <w:szCs w:val="21"/>
              </w:rPr>
              <w:t>卫生服务站</w:t>
            </w:r>
          </w:p>
        </w:tc>
        <w:tc>
          <w:tcPr>
            <w:tcW w:w="1407" w:type="pct"/>
            <w:noWrap w:val="0"/>
            <w:vAlign w:val="center"/>
          </w:tcPr>
          <w:p w14:paraId="38B0946D">
            <w:pPr>
              <w:widowControl/>
              <w:rPr>
                <w:rFonts w:hint="eastAsia" w:ascii="宋体" w:hAnsi="宋体" w:cs="宋体"/>
                <w:color w:val="000000"/>
                <w:kern w:val="0"/>
                <w:szCs w:val="21"/>
              </w:rPr>
            </w:pPr>
            <w:r>
              <w:rPr>
                <w:rFonts w:hint="eastAsia" w:ascii="宋体" w:hAnsi="宋体" w:cs="宋体"/>
                <w:color w:val="000000"/>
                <w:kern w:val="0"/>
                <w:szCs w:val="21"/>
              </w:rPr>
              <w:t>房屋建筑包括临床科室、预防保健科室、医技科室等用房。</w:t>
            </w:r>
          </w:p>
        </w:tc>
        <w:tc>
          <w:tcPr>
            <w:tcW w:w="1515" w:type="pct"/>
            <w:noWrap w:val="0"/>
            <w:vAlign w:val="center"/>
          </w:tcPr>
          <w:p w14:paraId="7F6B66B8">
            <w:pPr>
              <w:widowControl/>
              <w:rPr>
                <w:rFonts w:hint="eastAsia" w:ascii="宋体" w:hAnsi="宋体" w:cs="宋体"/>
                <w:color w:val="000000"/>
                <w:kern w:val="0"/>
                <w:szCs w:val="21"/>
              </w:rPr>
            </w:pPr>
            <w:r>
              <w:rPr>
                <w:rFonts w:hint="eastAsia" w:ascii="宋体" w:hAnsi="宋体" w:cs="宋体"/>
                <w:color w:val="000000"/>
                <w:kern w:val="0"/>
                <w:szCs w:val="21"/>
              </w:rPr>
              <w:t>结合社区综合</w:t>
            </w:r>
            <w:r>
              <w:rPr>
                <w:rFonts w:ascii="宋体" w:hAnsi="宋体" w:cs="宋体"/>
                <w:color w:val="000000"/>
                <w:kern w:val="0"/>
                <w:szCs w:val="21"/>
              </w:rPr>
              <w:t>服务中心设置，应在建筑首层并应有专用出入口</w:t>
            </w:r>
            <w:r>
              <w:rPr>
                <w:rFonts w:hint="eastAsia" w:ascii="宋体" w:hAnsi="宋体" w:cs="宋体"/>
                <w:color w:val="000000"/>
                <w:kern w:val="0"/>
                <w:szCs w:val="21"/>
              </w:rPr>
              <w:t>，建筑面积</w:t>
            </w:r>
            <w:r>
              <w:rPr>
                <w:rFonts w:ascii="宋体" w:hAnsi="宋体" w:cs="宋体"/>
                <w:color w:val="000000"/>
                <w:kern w:val="0"/>
                <w:szCs w:val="21"/>
              </w:rPr>
              <w:t>12</w:t>
            </w:r>
            <w:r>
              <w:rPr>
                <w:rFonts w:hint="eastAsia" w:ascii="宋体" w:hAnsi="宋体" w:cs="宋体"/>
                <w:color w:val="000000"/>
                <w:kern w:val="0"/>
                <w:szCs w:val="21"/>
              </w:rPr>
              <w:t>0-</w:t>
            </w:r>
            <w:r>
              <w:rPr>
                <w:rFonts w:ascii="宋体" w:hAnsi="宋体" w:cs="宋体"/>
                <w:color w:val="000000"/>
                <w:kern w:val="0"/>
                <w:szCs w:val="21"/>
              </w:rPr>
              <w:t>27</w:t>
            </w:r>
            <w:r>
              <w:rPr>
                <w:rFonts w:hint="eastAsia" w:ascii="宋体" w:hAnsi="宋体" w:cs="宋体"/>
                <w:color w:val="000000"/>
                <w:kern w:val="0"/>
                <w:szCs w:val="21"/>
              </w:rPr>
              <w:t>0㎡，附近有医院的可结合设置。</w:t>
            </w:r>
          </w:p>
        </w:tc>
        <w:tc>
          <w:tcPr>
            <w:tcW w:w="896" w:type="pct"/>
            <w:noWrap w:val="0"/>
            <w:vAlign w:val="center"/>
          </w:tcPr>
          <w:p w14:paraId="2DAB198C">
            <w:pPr>
              <w:widowControl/>
              <w:jc w:val="center"/>
              <w:rPr>
                <w:rFonts w:hint="eastAsia" w:ascii="宋体" w:hAnsi="宋体" w:cs="宋体"/>
                <w:color w:val="000000"/>
                <w:kern w:val="0"/>
                <w:szCs w:val="21"/>
              </w:rPr>
            </w:pPr>
            <w:r>
              <w:rPr>
                <w:rFonts w:ascii="宋体" w:hAnsi="宋体" w:cs="宋体"/>
                <w:color w:val="000000"/>
                <w:kern w:val="0"/>
                <w:szCs w:val="21"/>
              </w:rPr>
              <w:t>2</w:t>
            </w:r>
          </w:p>
        </w:tc>
      </w:tr>
      <w:tr w14:paraId="3D443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Merge w:val="restart"/>
            <w:noWrap w:val="0"/>
            <w:vAlign w:val="center"/>
          </w:tcPr>
          <w:p w14:paraId="03B28398">
            <w:pPr>
              <w:widowControl/>
              <w:jc w:val="center"/>
              <w:rPr>
                <w:rFonts w:hint="eastAsia" w:ascii="宋体" w:hAnsi="宋体" w:cs="宋体"/>
                <w:color w:val="000000"/>
                <w:kern w:val="0"/>
                <w:szCs w:val="21"/>
              </w:rPr>
            </w:pPr>
            <w:r>
              <w:rPr>
                <w:rFonts w:hint="eastAsia" w:ascii="宋体" w:hAnsi="宋体" w:cs="宋体"/>
                <w:color w:val="000000"/>
                <w:kern w:val="0"/>
                <w:szCs w:val="21"/>
              </w:rPr>
              <w:t>文体设施</w:t>
            </w:r>
          </w:p>
        </w:tc>
        <w:tc>
          <w:tcPr>
            <w:tcW w:w="635" w:type="pct"/>
            <w:noWrap w:val="0"/>
            <w:vAlign w:val="center"/>
          </w:tcPr>
          <w:p w14:paraId="4004C754">
            <w:pPr>
              <w:widowControl/>
              <w:jc w:val="center"/>
              <w:rPr>
                <w:rFonts w:hint="eastAsia" w:ascii="宋体" w:hAnsi="宋体" w:cs="宋体"/>
                <w:color w:val="000000"/>
                <w:kern w:val="0"/>
                <w:szCs w:val="21"/>
              </w:rPr>
            </w:pPr>
            <w:r>
              <w:rPr>
                <w:rFonts w:hint="eastAsia" w:ascii="宋体" w:hAnsi="宋体" w:cs="宋体"/>
                <w:color w:val="000000"/>
                <w:kern w:val="0"/>
                <w:szCs w:val="21"/>
              </w:rPr>
              <w:t>文化活动站</w:t>
            </w:r>
          </w:p>
        </w:tc>
        <w:tc>
          <w:tcPr>
            <w:tcW w:w="1407" w:type="pct"/>
            <w:noWrap w:val="0"/>
            <w:vAlign w:val="center"/>
          </w:tcPr>
          <w:p w14:paraId="2407383B">
            <w:pPr>
              <w:widowControl/>
              <w:rPr>
                <w:rFonts w:hint="eastAsia" w:ascii="宋体" w:hAnsi="宋体" w:cs="宋体"/>
                <w:color w:val="000000"/>
                <w:kern w:val="0"/>
                <w:szCs w:val="21"/>
              </w:rPr>
            </w:pPr>
            <w:r>
              <w:rPr>
                <w:rFonts w:hint="eastAsia" w:ascii="宋体" w:hAnsi="宋体" w:cs="宋体"/>
                <w:color w:val="000000"/>
                <w:kern w:val="0"/>
                <w:szCs w:val="21"/>
              </w:rPr>
              <w:t>书报阅览、书画、文娱、健身、音乐欣赏、茶座等主要供青少年和老年人活动。</w:t>
            </w:r>
          </w:p>
        </w:tc>
        <w:tc>
          <w:tcPr>
            <w:tcW w:w="1515" w:type="pct"/>
            <w:noWrap w:val="0"/>
            <w:vAlign w:val="center"/>
          </w:tcPr>
          <w:p w14:paraId="4593B7FB">
            <w:pPr>
              <w:widowControl/>
              <w:rPr>
                <w:rFonts w:hint="eastAsia" w:ascii="宋体" w:hAnsi="宋体" w:cs="宋体"/>
                <w:color w:val="000000"/>
                <w:kern w:val="0"/>
                <w:szCs w:val="21"/>
              </w:rPr>
            </w:pPr>
            <w:r>
              <w:rPr>
                <w:rFonts w:hint="eastAsia" w:ascii="宋体" w:hAnsi="宋体" w:cs="宋体"/>
                <w:color w:val="000000"/>
                <w:kern w:val="0"/>
                <w:szCs w:val="21"/>
              </w:rPr>
              <w:t>结合社区综合</w:t>
            </w:r>
            <w:r>
              <w:rPr>
                <w:rFonts w:ascii="宋体" w:hAnsi="宋体" w:cs="宋体"/>
                <w:color w:val="000000"/>
                <w:kern w:val="0"/>
                <w:szCs w:val="21"/>
              </w:rPr>
              <w:t>服务中心设置，</w:t>
            </w:r>
            <w:r>
              <w:rPr>
                <w:rFonts w:hint="eastAsia" w:ascii="宋体" w:hAnsi="宋体" w:cs="宋体"/>
                <w:color w:val="000000"/>
                <w:kern w:val="0"/>
                <w:szCs w:val="21"/>
              </w:rPr>
              <w:t>或靠近同级中心绿地安排，建筑面积250-</w:t>
            </w:r>
            <w:r>
              <w:rPr>
                <w:rFonts w:ascii="宋体" w:hAnsi="宋体" w:cs="宋体"/>
                <w:color w:val="000000"/>
                <w:kern w:val="0"/>
                <w:szCs w:val="21"/>
              </w:rPr>
              <w:t>12</w:t>
            </w:r>
            <w:r>
              <w:rPr>
                <w:rFonts w:hint="eastAsia" w:ascii="宋体" w:hAnsi="宋体" w:cs="宋体"/>
                <w:color w:val="000000"/>
                <w:kern w:val="0"/>
                <w:szCs w:val="21"/>
              </w:rPr>
              <w:t>00㎡。</w:t>
            </w:r>
          </w:p>
        </w:tc>
        <w:tc>
          <w:tcPr>
            <w:tcW w:w="896" w:type="pct"/>
            <w:noWrap w:val="0"/>
            <w:vAlign w:val="center"/>
          </w:tcPr>
          <w:p w14:paraId="584A7408">
            <w:pPr>
              <w:widowControl/>
              <w:jc w:val="center"/>
              <w:rPr>
                <w:rFonts w:hint="eastAsia" w:ascii="宋体" w:hAnsi="宋体" w:cs="宋体"/>
                <w:color w:val="000000"/>
                <w:kern w:val="0"/>
                <w:szCs w:val="21"/>
              </w:rPr>
            </w:pPr>
            <w:r>
              <w:rPr>
                <w:rFonts w:ascii="宋体" w:hAnsi="宋体" w:cs="宋体"/>
                <w:color w:val="000000"/>
                <w:kern w:val="0"/>
                <w:szCs w:val="21"/>
              </w:rPr>
              <w:t>2</w:t>
            </w:r>
          </w:p>
        </w:tc>
      </w:tr>
      <w:tr w14:paraId="28470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Merge w:val="continue"/>
            <w:noWrap w:val="0"/>
            <w:vAlign w:val="center"/>
          </w:tcPr>
          <w:p w14:paraId="017AD135">
            <w:pPr>
              <w:widowControl/>
              <w:jc w:val="center"/>
              <w:rPr>
                <w:rFonts w:hint="eastAsia" w:ascii="宋体" w:hAnsi="宋体" w:cs="宋体"/>
                <w:color w:val="000000"/>
                <w:kern w:val="0"/>
                <w:szCs w:val="21"/>
              </w:rPr>
            </w:pPr>
          </w:p>
        </w:tc>
        <w:tc>
          <w:tcPr>
            <w:tcW w:w="635" w:type="pct"/>
            <w:noWrap w:val="0"/>
            <w:vAlign w:val="center"/>
          </w:tcPr>
          <w:p w14:paraId="3136A9B2">
            <w:pPr>
              <w:widowControl/>
              <w:jc w:val="center"/>
              <w:rPr>
                <w:rFonts w:hint="eastAsia" w:ascii="宋体" w:hAnsi="宋体" w:cs="宋体"/>
                <w:color w:val="000000"/>
                <w:kern w:val="0"/>
                <w:szCs w:val="21"/>
              </w:rPr>
            </w:pPr>
            <w:r>
              <w:rPr>
                <w:rFonts w:hint="eastAsia" w:ascii="宋体" w:hAnsi="宋体" w:cs="宋体"/>
                <w:color w:val="000000"/>
                <w:kern w:val="0"/>
                <w:szCs w:val="21"/>
              </w:rPr>
              <w:t>室外</w:t>
            </w:r>
            <w:r>
              <w:rPr>
                <w:rFonts w:ascii="宋体" w:hAnsi="宋体" w:cs="宋体"/>
                <w:color w:val="000000"/>
                <w:kern w:val="0"/>
                <w:szCs w:val="21"/>
              </w:rPr>
              <w:t>综合</w:t>
            </w:r>
            <w:r>
              <w:rPr>
                <w:rFonts w:hint="eastAsia" w:ascii="宋体" w:hAnsi="宋体" w:cs="宋体"/>
                <w:color w:val="000000"/>
                <w:kern w:val="0"/>
                <w:szCs w:val="21"/>
              </w:rPr>
              <w:t>健身场地</w:t>
            </w:r>
          </w:p>
        </w:tc>
        <w:tc>
          <w:tcPr>
            <w:tcW w:w="1407" w:type="pct"/>
            <w:noWrap w:val="0"/>
            <w:vAlign w:val="center"/>
          </w:tcPr>
          <w:p w14:paraId="42819ED6">
            <w:pPr>
              <w:widowControl/>
              <w:rPr>
                <w:rFonts w:hint="eastAsia" w:ascii="宋体" w:hAnsi="宋体" w:cs="宋体"/>
                <w:color w:val="000000"/>
                <w:kern w:val="0"/>
                <w:szCs w:val="21"/>
              </w:rPr>
            </w:pPr>
            <w:r>
              <w:rPr>
                <w:rFonts w:hint="eastAsia" w:ascii="宋体" w:hAnsi="宋体" w:cs="宋体"/>
                <w:color w:val="000000"/>
                <w:kern w:val="0"/>
                <w:szCs w:val="21"/>
              </w:rPr>
              <w:t>篮、排球及小型球类场地，儿童及老年人活动场地和其它简单运动设施场地等。</w:t>
            </w:r>
          </w:p>
        </w:tc>
        <w:tc>
          <w:tcPr>
            <w:tcW w:w="1515" w:type="pct"/>
            <w:noWrap w:val="0"/>
            <w:vAlign w:val="center"/>
          </w:tcPr>
          <w:p w14:paraId="3D666EA9">
            <w:pPr>
              <w:widowControl/>
              <w:rPr>
                <w:rFonts w:hint="eastAsia" w:ascii="宋体" w:hAnsi="宋体" w:cs="宋体"/>
                <w:color w:val="000000"/>
                <w:kern w:val="0"/>
                <w:szCs w:val="21"/>
              </w:rPr>
            </w:pPr>
            <w:r>
              <w:rPr>
                <w:rFonts w:hint="eastAsia" w:ascii="宋体" w:hAnsi="宋体" w:cs="宋体"/>
                <w:color w:val="000000"/>
                <w:kern w:val="0"/>
                <w:szCs w:val="21"/>
              </w:rPr>
              <w:t>结合绿地、广场</w:t>
            </w:r>
            <w:r>
              <w:rPr>
                <w:rFonts w:hint="eastAsia" w:ascii="宋体" w:hAnsi="宋体" w:cs="宋体"/>
                <w:color w:val="000000"/>
                <w:kern w:val="0"/>
                <w:szCs w:val="21"/>
                <w:lang w:val="en-US" w:eastAsia="zh-CN"/>
              </w:rPr>
              <w:t>安</w:t>
            </w:r>
            <w:r>
              <w:rPr>
                <w:rFonts w:hint="eastAsia" w:ascii="宋体" w:hAnsi="宋体" w:cs="宋体"/>
                <w:color w:val="000000"/>
                <w:kern w:val="0"/>
                <w:szCs w:val="21"/>
              </w:rPr>
              <w:t>排。</w:t>
            </w:r>
          </w:p>
        </w:tc>
        <w:tc>
          <w:tcPr>
            <w:tcW w:w="896" w:type="pct"/>
            <w:noWrap w:val="0"/>
            <w:vAlign w:val="center"/>
          </w:tcPr>
          <w:p w14:paraId="72F32A51">
            <w:pPr>
              <w:widowControl/>
              <w:jc w:val="center"/>
              <w:rPr>
                <w:rFonts w:hint="eastAsia" w:ascii="宋体" w:hAnsi="宋体" w:cs="宋体"/>
                <w:color w:val="000000"/>
                <w:kern w:val="0"/>
                <w:szCs w:val="21"/>
              </w:rPr>
            </w:pPr>
            <w:r>
              <w:rPr>
                <w:rFonts w:ascii="宋体" w:hAnsi="宋体" w:cs="宋体"/>
                <w:color w:val="000000"/>
                <w:kern w:val="0"/>
                <w:szCs w:val="21"/>
              </w:rPr>
              <w:t>2</w:t>
            </w:r>
          </w:p>
        </w:tc>
      </w:tr>
      <w:tr w14:paraId="15B1A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Merge w:val="restart"/>
            <w:noWrap w:val="0"/>
            <w:vAlign w:val="center"/>
          </w:tcPr>
          <w:p w14:paraId="13E33B27">
            <w:pPr>
              <w:widowControl/>
              <w:jc w:val="center"/>
              <w:rPr>
                <w:rFonts w:hint="eastAsia" w:ascii="宋体" w:hAnsi="宋体" w:cs="宋体"/>
                <w:color w:val="000000"/>
                <w:kern w:val="0"/>
                <w:szCs w:val="21"/>
              </w:rPr>
            </w:pPr>
            <w:r>
              <w:rPr>
                <w:rFonts w:hint="eastAsia" w:ascii="宋体" w:hAnsi="宋体" w:cs="宋体"/>
                <w:color w:val="000000"/>
                <w:kern w:val="0"/>
                <w:szCs w:val="21"/>
              </w:rPr>
              <w:t>商业服务</w:t>
            </w:r>
          </w:p>
        </w:tc>
        <w:tc>
          <w:tcPr>
            <w:tcW w:w="635" w:type="pct"/>
            <w:noWrap w:val="0"/>
            <w:vAlign w:val="center"/>
          </w:tcPr>
          <w:p w14:paraId="5B403E7A">
            <w:pPr>
              <w:widowControl/>
              <w:jc w:val="center"/>
              <w:rPr>
                <w:rFonts w:hint="eastAsia" w:ascii="宋体" w:hAnsi="宋体" w:cs="宋体"/>
                <w:color w:val="000000"/>
                <w:kern w:val="0"/>
                <w:szCs w:val="21"/>
              </w:rPr>
            </w:pPr>
            <w:r>
              <w:rPr>
                <w:rFonts w:hint="eastAsia" w:ascii="宋体" w:hAnsi="宋体" w:cs="宋体"/>
                <w:color w:val="000000"/>
                <w:kern w:val="0"/>
                <w:szCs w:val="21"/>
              </w:rPr>
              <w:t>农贸市场或</w:t>
            </w:r>
            <w:r>
              <w:rPr>
                <w:rFonts w:ascii="宋体" w:hAnsi="宋体" w:cs="宋体"/>
                <w:color w:val="000000"/>
                <w:kern w:val="0"/>
                <w:szCs w:val="21"/>
              </w:rPr>
              <w:t>生</w:t>
            </w:r>
            <w:r>
              <w:rPr>
                <w:rFonts w:hint="eastAsia" w:ascii="宋体" w:hAnsi="宋体" w:cs="宋体"/>
                <w:color w:val="000000"/>
                <w:kern w:val="0"/>
                <w:szCs w:val="21"/>
              </w:rPr>
              <w:t>鲜</w:t>
            </w:r>
            <w:r>
              <w:rPr>
                <w:rFonts w:ascii="宋体" w:hAnsi="宋体" w:cs="宋体"/>
                <w:color w:val="000000"/>
                <w:kern w:val="0"/>
                <w:szCs w:val="21"/>
              </w:rPr>
              <w:t>超市</w:t>
            </w:r>
          </w:p>
        </w:tc>
        <w:tc>
          <w:tcPr>
            <w:tcW w:w="1407" w:type="pct"/>
            <w:noWrap w:val="0"/>
            <w:vAlign w:val="center"/>
          </w:tcPr>
          <w:p w14:paraId="1D2D5725">
            <w:pPr>
              <w:widowControl/>
              <w:rPr>
                <w:rFonts w:hint="eastAsia" w:ascii="宋体" w:hAnsi="宋体" w:cs="宋体"/>
                <w:color w:val="000000"/>
                <w:kern w:val="0"/>
                <w:szCs w:val="21"/>
              </w:rPr>
            </w:pPr>
            <w:r>
              <w:rPr>
                <w:rFonts w:hint="eastAsia" w:ascii="宋体" w:hAnsi="宋体" w:cs="宋体"/>
                <w:color w:val="000000"/>
                <w:kern w:val="0"/>
                <w:szCs w:val="21"/>
              </w:rPr>
              <w:t>包括蔬菜、肉类、水产品、副食品、水果、熟食等售卖。</w:t>
            </w:r>
          </w:p>
        </w:tc>
        <w:tc>
          <w:tcPr>
            <w:tcW w:w="1515" w:type="pct"/>
            <w:noWrap w:val="0"/>
            <w:vAlign w:val="center"/>
          </w:tcPr>
          <w:p w14:paraId="3B71DF70">
            <w:pPr>
              <w:widowControl/>
              <w:rPr>
                <w:rFonts w:hint="eastAsia" w:ascii="宋体" w:hAnsi="宋体" w:cs="宋体"/>
                <w:color w:val="000000"/>
                <w:kern w:val="0"/>
                <w:szCs w:val="21"/>
              </w:rPr>
            </w:pPr>
            <w:r>
              <w:rPr>
                <w:rFonts w:hint="eastAsia" w:ascii="宋体" w:hAnsi="宋体" w:cs="宋体"/>
                <w:color w:val="000000"/>
                <w:kern w:val="0"/>
                <w:szCs w:val="21"/>
              </w:rPr>
              <w:t>独立占地或结合商业建筑配置。 建筑面积</w:t>
            </w:r>
            <w:r>
              <w:rPr>
                <w:rFonts w:ascii="宋体" w:hAnsi="宋体" w:cs="宋体"/>
                <w:color w:val="000000"/>
                <w:kern w:val="0"/>
                <w:szCs w:val="21"/>
              </w:rPr>
              <w:t>75</w:t>
            </w:r>
            <w:r>
              <w:rPr>
                <w:rFonts w:hint="eastAsia" w:ascii="宋体" w:hAnsi="宋体" w:cs="宋体"/>
                <w:color w:val="000000"/>
                <w:kern w:val="0"/>
                <w:szCs w:val="21"/>
              </w:rPr>
              <w:t>0-</w:t>
            </w:r>
            <w:r>
              <w:rPr>
                <w:rFonts w:ascii="宋体" w:hAnsi="宋体" w:cs="宋体"/>
                <w:color w:val="000000"/>
                <w:kern w:val="0"/>
                <w:szCs w:val="21"/>
              </w:rPr>
              <w:t>25</w:t>
            </w:r>
            <w:r>
              <w:rPr>
                <w:rFonts w:hint="eastAsia" w:ascii="宋体" w:hAnsi="宋体" w:cs="宋体"/>
                <w:color w:val="000000"/>
                <w:kern w:val="0"/>
                <w:szCs w:val="21"/>
              </w:rPr>
              <w:t>00㎡，应配有停车场。</w:t>
            </w:r>
          </w:p>
        </w:tc>
        <w:tc>
          <w:tcPr>
            <w:tcW w:w="896" w:type="pct"/>
            <w:noWrap w:val="0"/>
            <w:vAlign w:val="center"/>
          </w:tcPr>
          <w:p w14:paraId="093694E4">
            <w:pPr>
              <w:widowControl/>
              <w:jc w:val="center"/>
              <w:rPr>
                <w:rFonts w:hint="eastAsia" w:ascii="宋体" w:hAnsi="宋体" w:cs="宋体"/>
                <w:color w:val="000000"/>
                <w:kern w:val="0"/>
                <w:szCs w:val="21"/>
              </w:rPr>
            </w:pPr>
            <w:r>
              <w:rPr>
                <w:rFonts w:ascii="宋体" w:hAnsi="宋体" w:cs="宋体"/>
                <w:color w:val="000000"/>
                <w:kern w:val="0"/>
                <w:szCs w:val="21"/>
              </w:rPr>
              <w:t>3</w:t>
            </w:r>
          </w:p>
        </w:tc>
      </w:tr>
      <w:tr w14:paraId="6068F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Merge w:val="continue"/>
            <w:noWrap w:val="0"/>
            <w:vAlign w:val="center"/>
          </w:tcPr>
          <w:p w14:paraId="5EDB548E">
            <w:pPr>
              <w:widowControl/>
              <w:jc w:val="center"/>
              <w:rPr>
                <w:rFonts w:hint="eastAsia" w:ascii="宋体" w:hAnsi="宋体" w:cs="宋体"/>
                <w:color w:val="000000"/>
                <w:kern w:val="0"/>
                <w:szCs w:val="21"/>
              </w:rPr>
            </w:pPr>
          </w:p>
        </w:tc>
        <w:tc>
          <w:tcPr>
            <w:tcW w:w="635" w:type="pct"/>
            <w:noWrap w:val="0"/>
            <w:vAlign w:val="center"/>
          </w:tcPr>
          <w:p w14:paraId="1C9CFE8F">
            <w:pPr>
              <w:widowControl/>
              <w:jc w:val="center"/>
              <w:rPr>
                <w:rFonts w:hint="eastAsia" w:ascii="宋体" w:hAnsi="宋体" w:cs="宋体"/>
                <w:color w:val="000000"/>
                <w:kern w:val="0"/>
                <w:szCs w:val="21"/>
              </w:rPr>
            </w:pPr>
            <w:r>
              <w:rPr>
                <w:rFonts w:hint="eastAsia" w:ascii="宋体" w:hAnsi="宋体" w:cs="宋体"/>
                <w:color w:val="000000"/>
                <w:kern w:val="0"/>
                <w:szCs w:val="21"/>
              </w:rPr>
              <w:t>其他商业服务设施</w:t>
            </w:r>
          </w:p>
        </w:tc>
        <w:tc>
          <w:tcPr>
            <w:tcW w:w="1407" w:type="pct"/>
            <w:noWrap w:val="0"/>
            <w:vAlign w:val="center"/>
          </w:tcPr>
          <w:p w14:paraId="4C4B081F">
            <w:pPr>
              <w:widowControl/>
              <w:rPr>
                <w:rFonts w:hint="eastAsia" w:ascii="宋体" w:hAnsi="宋体" w:cs="宋体"/>
                <w:color w:val="000000"/>
                <w:kern w:val="0"/>
                <w:szCs w:val="21"/>
              </w:rPr>
            </w:pPr>
            <w:r>
              <w:rPr>
                <w:rFonts w:hint="eastAsia" w:ascii="宋体" w:hAnsi="宋体" w:cs="宋体"/>
                <w:color w:val="000000"/>
                <w:kern w:val="0"/>
                <w:szCs w:val="21"/>
              </w:rPr>
              <w:t>包括商场、健身</w:t>
            </w:r>
            <w:r>
              <w:rPr>
                <w:rFonts w:ascii="宋体" w:hAnsi="宋体" w:cs="宋体"/>
                <w:color w:val="000000"/>
                <w:kern w:val="0"/>
                <w:szCs w:val="21"/>
              </w:rPr>
              <w:t>房、</w:t>
            </w:r>
            <w:r>
              <w:rPr>
                <w:rFonts w:hint="eastAsia" w:ascii="宋体" w:hAnsi="宋体" w:cs="宋体"/>
                <w:color w:val="000000"/>
                <w:kern w:val="0"/>
                <w:szCs w:val="21"/>
              </w:rPr>
              <w:t>餐饮设施、银行营业</w:t>
            </w:r>
            <w:r>
              <w:rPr>
                <w:rFonts w:ascii="宋体" w:hAnsi="宋体" w:cs="宋体"/>
                <w:color w:val="000000"/>
                <w:kern w:val="0"/>
                <w:szCs w:val="21"/>
              </w:rPr>
              <w:t>网点</w:t>
            </w:r>
            <w:r>
              <w:rPr>
                <w:rFonts w:hint="eastAsia" w:ascii="宋体" w:hAnsi="宋体" w:cs="宋体"/>
                <w:color w:val="000000"/>
                <w:kern w:val="0"/>
                <w:szCs w:val="21"/>
              </w:rPr>
              <w:t>、电信营业</w:t>
            </w:r>
            <w:r>
              <w:rPr>
                <w:rFonts w:ascii="宋体" w:hAnsi="宋体" w:cs="宋体"/>
                <w:color w:val="000000"/>
                <w:kern w:val="0"/>
                <w:szCs w:val="21"/>
              </w:rPr>
              <w:t>网点</w:t>
            </w:r>
            <w:r>
              <w:rPr>
                <w:rFonts w:hint="eastAsia" w:ascii="宋体" w:hAnsi="宋体" w:cs="宋体"/>
                <w:color w:val="000000"/>
                <w:kern w:val="0"/>
                <w:szCs w:val="21"/>
              </w:rPr>
              <w:t>、</w:t>
            </w:r>
            <w:r>
              <w:rPr>
                <w:rFonts w:ascii="宋体" w:hAnsi="宋体" w:cs="宋体"/>
                <w:color w:val="000000"/>
                <w:kern w:val="0"/>
                <w:szCs w:val="21"/>
              </w:rPr>
              <w:t>邮政营业场所</w:t>
            </w:r>
            <w:r>
              <w:rPr>
                <w:rFonts w:hint="eastAsia" w:ascii="宋体" w:hAnsi="宋体" w:cs="宋体"/>
                <w:color w:val="000000"/>
                <w:kern w:val="0"/>
                <w:szCs w:val="21"/>
              </w:rPr>
              <w:t>等。</w:t>
            </w:r>
          </w:p>
        </w:tc>
        <w:tc>
          <w:tcPr>
            <w:tcW w:w="1515" w:type="pct"/>
            <w:noWrap w:val="0"/>
            <w:vAlign w:val="center"/>
          </w:tcPr>
          <w:p w14:paraId="794EBCFF">
            <w:pPr>
              <w:widowControl/>
              <w:rPr>
                <w:rFonts w:hint="eastAsia" w:ascii="宋体" w:hAnsi="宋体" w:cs="宋体"/>
                <w:color w:val="000000"/>
                <w:kern w:val="0"/>
                <w:szCs w:val="21"/>
              </w:rPr>
            </w:pPr>
            <w:r>
              <w:rPr>
                <w:rFonts w:hint="eastAsia" w:ascii="宋体" w:hAnsi="宋体" w:cs="宋体"/>
                <w:color w:val="000000"/>
                <w:kern w:val="0"/>
                <w:szCs w:val="21"/>
              </w:rPr>
              <w:t>结合商业、商住建筑配置，宜设于底层。</w:t>
            </w:r>
          </w:p>
        </w:tc>
        <w:tc>
          <w:tcPr>
            <w:tcW w:w="896" w:type="pct"/>
            <w:noWrap w:val="0"/>
            <w:vAlign w:val="center"/>
          </w:tcPr>
          <w:p w14:paraId="32E96BB3">
            <w:pPr>
              <w:widowControl/>
              <w:jc w:val="center"/>
              <w:rPr>
                <w:rFonts w:hint="eastAsia" w:ascii="宋体" w:hAnsi="宋体" w:cs="宋体"/>
                <w:color w:val="000000"/>
                <w:kern w:val="0"/>
                <w:szCs w:val="21"/>
              </w:rPr>
            </w:pPr>
            <w:r>
              <w:rPr>
                <w:rFonts w:hint="eastAsia" w:ascii="宋体" w:hAnsi="宋体" w:cs="宋体"/>
                <w:color w:val="000000"/>
                <w:kern w:val="0"/>
                <w:szCs w:val="21"/>
              </w:rPr>
              <w:t>-</w:t>
            </w:r>
          </w:p>
        </w:tc>
      </w:tr>
      <w:tr w14:paraId="1583B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Merge w:val="restart"/>
            <w:noWrap w:val="0"/>
            <w:vAlign w:val="center"/>
          </w:tcPr>
          <w:p w14:paraId="4A422413">
            <w:pPr>
              <w:widowControl/>
              <w:jc w:val="center"/>
              <w:rPr>
                <w:rFonts w:hint="eastAsia" w:ascii="宋体" w:hAnsi="宋体" w:cs="宋体"/>
                <w:color w:val="000000"/>
                <w:kern w:val="0"/>
                <w:szCs w:val="21"/>
              </w:rPr>
            </w:pPr>
            <w:r>
              <w:rPr>
                <w:rFonts w:hint="eastAsia" w:ascii="宋体" w:hAnsi="宋体" w:cs="宋体"/>
                <w:color w:val="000000"/>
                <w:kern w:val="0"/>
                <w:szCs w:val="21"/>
              </w:rPr>
              <w:t>社区公共管理与社区服务设施</w:t>
            </w:r>
          </w:p>
        </w:tc>
        <w:tc>
          <w:tcPr>
            <w:tcW w:w="635" w:type="pct"/>
            <w:noWrap w:val="0"/>
            <w:vAlign w:val="center"/>
          </w:tcPr>
          <w:p w14:paraId="7E65EA75">
            <w:pPr>
              <w:widowControl/>
              <w:jc w:val="center"/>
              <w:rPr>
                <w:rFonts w:hint="eastAsia" w:ascii="宋体" w:hAnsi="宋体" w:cs="宋体"/>
                <w:color w:val="000000"/>
                <w:kern w:val="0"/>
                <w:szCs w:val="21"/>
              </w:rPr>
            </w:pPr>
            <w:r>
              <w:rPr>
                <w:rFonts w:hint="eastAsia" w:ascii="宋体" w:hAnsi="宋体" w:cs="宋体"/>
                <w:color w:val="000000"/>
                <w:kern w:val="0"/>
                <w:szCs w:val="21"/>
              </w:rPr>
              <w:t>街道办事处</w:t>
            </w:r>
          </w:p>
        </w:tc>
        <w:tc>
          <w:tcPr>
            <w:tcW w:w="1407" w:type="pct"/>
            <w:noWrap w:val="0"/>
            <w:vAlign w:val="center"/>
          </w:tcPr>
          <w:p w14:paraId="6CC1A4E8">
            <w:pPr>
              <w:widowControl/>
              <w:rPr>
                <w:rFonts w:hint="eastAsia" w:ascii="宋体" w:hAnsi="宋体" w:cs="宋体"/>
                <w:color w:val="000000"/>
                <w:kern w:val="0"/>
                <w:szCs w:val="21"/>
              </w:rPr>
            </w:pPr>
            <w:r>
              <w:rPr>
                <w:rFonts w:hint="eastAsia" w:ascii="宋体" w:hAnsi="宋体" w:cs="宋体"/>
                <w:color w:val="000000"/>
                <w:kern w:val="0"/>
                <w:szCs w:val="21"/>
              </w:rPr>
              <w:t>辖区社会</w:t>
            </w:r>
            <w:r>
              <w:rPr>
                <w:rFonts w:ascii="宋体" w:hAnsi="宋体" w:cs="宋体"/>
                <w:color w:val="000000"/>
                <w:kern w:val="0"/>
                <w:szCs w:val="21"/>
              </w:rPr>
              <w:t>事务管理</w:t>
            </w:r>
            <w:r>
              <w:rPr>
                <w:rFonts w:hint="eastAsia" w:ascii="宋体" w:hAnsi="宋体" w:cs="宋体"/>
                <w:color w:val="000000"/>
                <w:kern w:val="0"/>
                <w:szCs w:val="21"/>
              </w:rPr>
              <w:t>办公场所。</w:t>
            </w:r>
          </w:p>
        </w:tc>
        <w:tc>
          <w:tcPr>
            <w:tcW w:w="1515" w:type="pct"/>
            <w:noWrap w:val="0"/>
            <w:vAlign w:val="center"/>
          </w:tcPr>
          <w:p w14:paraId="49F2DCC0">
            <w:pPr>
              <w:widowControl/>
              <w:rPr>
                <w:rFonts w:hint="eastAsia" w:ascii="宋体" w:hAnsi="宋体" w:cs="宋体"/>
                <w:color w:val="000000"/>
                <w:kern w:val="0"/>
                <w:szCs w:val="21"/>
              </w:rPr>
            </w:pPr>
            <w:r>
              <w:rPr>
                <w:rFonts w:hint="eastAsia" w:ascii="宋体" w:hAnsi="宋体" w:cs="宋体"/>
                <w:color w:val="000000"/>
                <w:kern w:val="0"/>
                <w:szCs w:val="21"/>
              </w:rPr>
              <w:t>结合所辖区域设置。</w:t>
            </w:r>
          </w:p>
        </w:tc>
        <w:tc>
          <w:tcPr>
            <w:tcW w:w="896" w:type="pct"/>
            <w:noWrap w:val="0"/>
            <w:vAlign w:val="center"/>
          </w:tcPr>
          <w:p w14:paraId="68B9C536">
            <w:pPr>
              <w:widowControl/>
              <w:jc w:val="center"/>
              <w:rPr>
                <w:rFonts w:hint="eastAsia" w:ascii="宋体" w:hAnsi="宋体" w:cs="宋体"/>
                <w:color w:val="000000"/>
                <w:kern w:val="0"/>
                <w:szCs w:val="21"/>
              </w:rPr>
            </w:pPr>
            <w:r>
              <w:rPr>
                <w:rFonts w:ascii="宋体" w:hAnsi="宋体" w:cs="宋体"/>
                <w:color w:val="000000"/>
                <w:kern w:val="0"/>
                <w:szCs w:val="21"/>
              </w:rPr>
              <w:t>-</w:t>
            </w:r>
          </w:p>
        </w:tc>
      </w:tr>
      <w:tr w14:paraId="1B33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547" w:type="pct"/>
            <w:vMerge w:val="continue"/>
            <w:noWrap w:val="0"/>
            <w:vAlign w:val="center"/>
          </w:tcPr>
          <w:p w14:paraId="45FB3E6E">
            <w:pPr>
              <w:widowControl/>
              <w:jc w:val="center"/>
              <w:rPr>
                <w:rFonts w:hint="eastAsia" w:ascii="宋体" w:hAnsi="宋体" w:cs="宋体"/>
                <w:color w:val="000000"/>
                <w:kern w:val="0"/>
                <w:szCs w:val="21"/>
              </w:rPr>
            </w:pPr>
          </w:p>
        </w:tc>
        <w:tc>
          <w:tcPr>
            <w:tcW w:w="635" w:type="pct"/>
            <w:noWrap w:val="0"/>
            <w:vAlign w:val="center"/>
          </w:tcPr>
          <w:p w14:paraId="1B193C9B">
            <w:pPr>
              <w:widowControl/>
              <w:jc w:val="center"/>
              <w:rPr>
                <w:rFonts w:hint="eastAsia" w:ascii="宋体" w:hAnsi="宋体" w:cs="宋体"/>
                <w:color w:val="000000"/>
                <w:kern w:val="0"/>
                <w:szCs w:val="21"/>
              </w:rPr>
            </w:pPr>
            <w:r>
              <w:rPr>
                <w:rFonts w:hint="eastAsia" w:ascii="宋体" w:hAnsi="宋体" w:cs="宋体"/>
                <w:color w:val="000000"/>
                <w:kern w:val="0"/>
                <w:szCs w:val="21"/>
              </w:rPr>
              <w:t>派出所</w:t>
            </w:r>
          </w:p>
        </w:tc>
        <w:tc>
          <w:tcPr>
            <w:tcW w:w="1407" w:type="pct"/>
            <w:noWrap w:val="0"/>
            <w:vAlign w:val="center"/>
          </w:tcPr>
          <w:p w14:paraId="702090EF">
            <w:pPr>
              <w:widowControl/>
              <w:rPr>
                <w:rFonts w:hint="eastAsia" w:ascii="宋体" w:hAnsi="宋体" w:cs="宋体"/>
                <w:color w:val="000000"/>
                <w:kern w:val="0"/>
                <w:szCs w:val="21"/>
              </w:rPr>
            </w:pPr>
            <w:r>
              <w:rPr>
                <w:rFonts w:hint="eastAsia" w:ascii="宋体" w:hAnsi="宋体" w:cs="宋体"/>
                <w:color w:val="000000"/>
                <w:kern w:val="0"/>
                <w:szCs w:val="21"/>
              </w:rPr>
              <w:t>户籍管理和基层治安工作。</w:t>
            </w:r>
          </w:p>
        </w:tc>
        <w:tc>
          <w:tcPr>
            <w:tcW w:w="1515" w:type="pct"/>
            <w:noWrap w:val="0"/>
            <w:vAlign w:val="center"/>
          </w:tcPr>
          <w:p w14:paraId="65DA4CCF">
            <w:pPr>
              <w:widowControl/>
              <w:rPr>
                <w:rFonts w:hint="eastAsia" w:ascii="宋体" w:hAnsi="宋体" w:cs="宋体"/>
                <w:color w:val="000000"/>
                <w:kern w:val="0"/>
                <w:szCs w:val="21"/>
              </w:rPr>
            </w:pPr>
            <w:r>
              <w:rPr>
                <w:rFonts w:hint="eastAsia" w:ascii="宋体" w:hAnsi="宋体" w:cs="宋体"/>
                <w:color w:val="000000"/>
                <w:kern w:val="0"/>
                <w:szCs w:val="21"/>
              </w:rPr>
              <w:t>独立设置，宜设置于</w:t>
            </w:r>
            <w:r>
              <w:rPr>
                <w:rFonts w:ascii="宋体" w:hAnsi="宋体" w:cs="宋体"/>
                <w:color w:val="000000"/>
                <w:kern w:val="0"/>
                <w:szCs w:val="21"/>
              </w:rPr>
              <w:t>辖区内位置适中、交通方便</w:t>
            </w:r>
            <w:r>
              <w:rPr>
                <w:rFonts w:hint="eastAsia" w:ascii="宋体" w:hAnsi="宋体" w:cs="宋体"/>
                <w:color w:val="000000"/>
                <w:kern w:val="0"/>
                <w:szCs w:val="21"/>
              </w:rPr>
              <w:t>地段，建筑面积</w:t>
            </w:r>
            <w:r>
              <w:rPr>
                <w:rFonts w:ascii="宋体" w:hAnsi="宋体" w:cs="宋体"/>
                <w:color w:val="000000"/>
                <w:kern w:val="0"/>
                <w:szCs w:val="21"/>
              </w:rPr>
              <w:t>1000</w:t>
            </w:r>
            <w:r>
              <w:rPr>
                <w:rFonts w:hint="eastAsia" w:ascii="宋体" w:hAnsi="宋体" w:cs="宋体"/>
                <w:color w:val="000000"/>
                <w:kern w:val="0"/>
                <w:szCs w:val="21"/>
              </w:rPr>
              <w:t>-</w:t>
            </w:r>
            <w:r>
              <w:rPr>
                <w:rFonts w:ascii="宋体" w:hAnsi="宋体" w:cs="宋体"/>
                <w:color w:val="000000"/>
                <w:kern w:val="0"/>
                <w:szCs w:val="21"/>
              </w:rPr>
              <w:t>16</w:t>
            </w:r>
            <w:r>
              <w:rPr>
                <w:rFonts w:hint="eastAsia" w:ascii="宋体" w:hAnsi="宋体" w:cs="宋体"/>
                <w:color w:val="000000"/>
                <w:kern w:val="0"/>
                <w:szCs w:val="21"/>
              </w:rPr>
              <w:t>00㎡。</w:t>
            </w:r>
          </w:p>
        </w:tc>
        <w:tc>
          <w:tcPr>
            <w:tcW w:w="896" w:type="pct"/>
            <w:noWrap w:val="0"/>
            <w:vAlign w:val="center"/>
          </w:tcPr>
          <w:p w14:paraId="7211BD6C">
            <w:pPr>
              <w:widowControl/>
              <w:jc w:val="center"/>
              <w:rPr>
                <w:rFonts w:hint="eastAsia" w:ascii="宋体" w:hAnsi="宋体" w:cs="宋体"/>
                <w:color w:val="000000"/>
                <w:kern w:val="0"/>
                <w:szCs w:val="21"/>
              </w:rPr>
            </w:pPr>
            <w:r>
              <w:rPr>
                <w:rFonts w:ascii="宋体" w:hAnsi="宋体" w:cs="宋体"/>
                <w:color w:val="000000"/>
                <w:kern w:val="0"/>
                <w:szCs w:val="21"/>
              </w:rPr>
              <w:t>-</w:t>
            </w:r>
          </w:p>
        </w:tc>
      </w:tr>
      <w:tr w14:paraId="113FF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Merge w:val="continue"/>
            <w:noWrap w:val="0"/>
            <w:vAlign w:val="center"/>
          </w:tcPr>
          <w:p w14:paraId="4AB41E69">
            <w:pPr>
              <w:widowControl/>
              <w:jc w:val="center"/>
              <w:rPr>
                <w:rFonts w:hint="eastAsia" w:ascii="宋体" w:hAnsi="宋体" w:cs="宋体"/>
                <w:color w:val="000000"/>
                <w:kern w:val="0"/>
                <w:szCs w:val="21"/>
              </w:rPr>
            </w:pPr>
          </w:p>
        </w:tc>
        <w:tc>
          <w:tcPr>
            <w:tcW w:w="635" w:type="pct"/>
            <w:noWrap w:val="0"/>
            <w:vAlign w:val="center"/>
          </w:tcPr>
          <w:p w14:paraId="7B930186">
            <w:pPr>
              <w:widowControl/>
              <w:jc w:val="center"/>
              <w:rPr>
                <w:rFonts w:hint="eastAsia" w:ascii="宋体" w:hAnsi="宋体" w:cs="宋体"/>
                <w:color w:val="000000"/>
                <w:kern w:val="0"/>
                <w:szCs w:val="21"/>
              </w:rPr>
            </w:pPr>
            <w:r>
              <w:rPr>
                <w:rFonts w:hint="eastAsia" w:ascii="宋体" w:hAnsi="宋体" w:cs="宋体"/>
                <w:color w:val="000000"/>
                <w:kern w:val="0"/>
                <w:szCs w:val="21"/>
              </w:rPr>
              <w:t>社区服务站</w:t>
            </w:r>
          </w:p>
        </w:tc>
        <w:tc>
          <w:tcPr>
            <w:tcW w:w="1407" w:type="pct"/>
            <w:noWrap w:val="0"/>
            <w:vAlign w:val="center"/>
          </w:tcPr>
          <w:p w14:paraId="00B6310B">
            <w:pPr>
              <w:widowControl/>
              <w:rPr>
                <w:rFonts w:hint="eastAsia" w:ascii="宋体" w:hAnsi="宋体" w:cs="宋体"/>
                <w:color w:val="000000"/>
                <w:kern w:val="0"/>
                <w:szCs w:val="21"/>
              </w:rPr>
            </w:pPr>
            <w:r>
              <w:rPr>
                <w:rFonts w:hint="eastAsia" w:ascii="宋体" w:hAnsi="宋体" w:cs="宋体"/>
                <w:color w:val="000000"/>
                <w:kern w:val="0"/>
                <w:szCs w:val="21"/>
              </w:rPr>
              <w:t>包括社区</w:t>
            </w:r>
            <w:r>
              <w:rPr>
                <w:rFonts w:ascii="宋体" w:hAnsi="宋体" w:cs="宋体"/>
                <w:color w:val="000000"/>
                <w:kern w:val="0"/>
                <w:szCs w:val="21"/>
              </w:rPr>
              <w:t>服务大厅、警务室、</w:t>
            </w:r>
            <w:r>
              <w:rPr>
                <w:rFonts w:hint="eastAsia" w:ascii="宋体" w:hAnsi="宋体" w:cs="宋体"/>
                <w:color w:val="000000"/>
                <w:kern w:val="0"/>
                <w:szCs w:val="21"/>
              </w:rPr>
              <w:t>居委会办公</w:t>
            </w:r>
            <w:r>
              <w:rPr>
                <w:rFonts w:ascii="宋体" w:hAnsi="宋体" w:cs="宋体"/>
                <w:color w:val="000000"/>
                <w:kern w:val="0"/>
                <w:szCs w:val="21"/>
              </w:rPr>
              <w:t>室、居民活动用房</w:t>
            </w:r>
            <w:r>
              <w:rPr>
                <w:rFonts w:hint="eastAsia" w:ascii="宋体" w:hAnsi="宋体" w:cs="宋体"/>
                <w:color w:val="000000"/>
                <w:kern w:val="0"/>
                <w:szCs w:val="21"/>
              </w:rPr>
              <w:t>，</w:t>
            </w:r>
            <w:r>
              <w:rPr>
                <w:rFonts w:ascii="宋体" w:hAnsi="宋体" w:cs="宋体"/>
                <w:color w:val="000000"/>
                <w:kern w:val="0"/>
                <w:szCs w:val="21"/>
              </w:rPr>
              <w:t>活动室、阅览室、残疾人康复室</w:t>
            </w:r>
            <w:r>
              <w:rPr>
                <w:rFonts w:hint="eastAsia" w:ascii="宋体" w:hAnsi="宋体" w:cs="宋体"/>
                <w:color w:val="000000"/>
                <w:kern w:val="0"/>
                <w:szCs w:val="21"/>
              </w:rPr>
              <w:t>等。</w:t>
            </w:r>
          </w:p>
        </w:tc>
        <w:tc>
          <w:tcPr>
            <w:tcW w:w="1515" w:type="pct"/>
            <w:noWrap w:val="0"/>
            <w:vAlign w:val="center"/>
          </w:tcPr>
          <w:p w14:paraId="2C02F001">
            <w:pPr>
              <w:widowControl/>
              <w:rPr>
                <w:rFonts w:hint="eastAsia" w:ascii="宋体" w:hAnsi="宋体" w:cs="宋体"/>
                <w:color w:val="000000"/>
                <w:kern w:val="0"/>
                <w:szCs w:val="21"/>
              </w:rPr>
            </w:pPr>
            <w:r>
              <w:rPr>
                <w:rFonts w:hint="eastAsia" w:ascii="宋体" w:hAnsi="宋体" w:cs="宋体"/>
                <w:color w:val="000000"/>
                <w:kern w:val="0"/>
                <w:szCs w:val="21"/>
              </w:rPr>
              <w:t>结合社区综合</w:t>
            </w:r>
            <w:r>
              <w:rPr>
                <w:rFonts w:ascii="宋体" w:hAnsi="宋体" w:cs="宋体"/>
                <w:color w:val="000000"/>
                <w:kern w:val="0"/>
                <w:szCs w:val="21"/>
              </w:rPr>
              <w:t>服务中心设置，</w:t>
            </w:r>
            <w:r>
              <w:rPr>
                <w:rFonts w:hint="eastAsia" w:ascii="宋体" w:hAnsi="宋体" w:cs="宋体"/>
                <w:color w:val="000000"/>
                <w:kern w:val="0"/>
                <w:szCs w:val="21"/>
              </w:rPr>
              <w:t>建筑面积</w:t>
            </w:r>
            <w:r>
              <w:rPr>
                <w:rFonts w:ascii="宋体" w:hAnsi="宋体" w:cs="宋体"/>
                <w:color w:val="000000"/>
                <w:kern w:val="0"/>
                <w:szCs w:val="21"/>
              </w:rPr>
              <w:t>600</w:t>
            </w:r>
            <w:r>
              <w:rPr>
                <w:rFonts w:hint="eastAsia" w:ascii="宋体" w:hAnsi="宋体" w:cs="宋体"/>
                <w:color w:val="000000"/>
                <w:kern w:val="0"/>
                <w:szCs w:val="21"/>
              </w:rPr>
              <w:t>-</w:t>
            </w:r>
            <w:r>
              <w:rPr>
                <w:rFonts w:ascii="宋体" w:hAnsi="宋体" w:cs="宋体"/>
                <w:color w:val="000000"/>
                <w:kern w:val="0"/>
                <w:szCs w:val="21"/>
              </w:rPr>
              <w:t>10</w:t>
            </w:r>
            <w:r>
              <w:rPr>
                <w:rFonts w:hint="eastAsia" w:ascii="宋体" w:hAnsi="宋体" w:cs="宋体"/>
                <w:color w:val="000000"/>
                <w:kern w:val="0"/>
                <w:szCs w:val="21"/>
              </w:rPr>
              <w:t>00㎡。</w:t>
            </w:r>
          </w:p>
        </w:tc>
        <w:tc>
          <w:tcPr>
            <w:tcW w:w="896" w:type="pct"/>
            <w:noWrap w:val="0"/>
            <w:vAlign w:val="center"/>
          </w:tcPr>
          <w:p w14:paraId="21DDD57A">
            <w:pPr>
              <w:widowControl/>
              <w:jc w:val="center"/>
              <w:rPr>
                <w:rFonts w:hint="eastAsia" w:ascii="宋体" w:hAnsi="宋体" w:cs="宋体"/>
                <w:color w:val="000000"/>
                <w:kern w:val="0"/>
                <w:szCs w:val="21"/>
              </w:rPr>
            </w:pPr>
            <w:r>
              <w:rPr>
                <w:rFonts w:ascii="宋体" w:hAnsi="宋体" w:cs="宋体"/>
                <w:color w:val="000000"/>
                <w:kern w:val="0"/>
                <w:szCs w:val="21"/>
              </w:rPr>
              <w:t>2</w:t>
            </w:r>
          </w:p>
        </w:tc>
      </w:tr>
      <w:tr w14:paraId="36D13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Merge w:val="continue"/>
            <w:noWrap w:val="0"/>
            <w:vAlign w:val="center"/>
          </w:tcPr>
          <w:p w14:paraId="5F7E6E30">
            <w:pPr>
              <w:widowControl/>
              <w:jc w:val="center"/>
              <w:rPr>
                <w:rFonts w:hint="eastAsia" w:ascii="宋体" w:hAnsi="宋体" w:cs="宋体"/>
                <w:color w:val="000000"/>
                <w:kern w:val="0"/>
                <w:szCs w:val="21"/>
              </w:rPr>
            </w:pPr>
          </w:p>
        </w:tc>
        <w:tc>
          <w:tcPr>
            <w:tcW w:w="635" w:type="pct"/>
            <w:noWrap w:val="0"/>
            <w:vAlign w:val="center"/>
          </w:tcPr>
          <w:p w14:paraId="493CF7CD">
            <w:pPr>
              <w:widowControl/>
              <w:jc w:val="center"/>
              <w:rPr>
                <w:rFonts w:hint="eastAsia" w:ascii="宋体" w:hAnsi="宋体" w:cs="宋体"/>
                <w:color w:val="000000"/>
                <w:kern w:val="0"/>
                <w:szCs w:val="21"/>
              </w:rPr>
            </w:pPr>
            <w:r>
              <w:rPr>
                <w:rFonts w:hint="eastAsia" w:ascii="宋体" w:hAnsi="宋体" w:cs="宋体"/>
                <w:color w:val="000000"/>
                <w:kern w:val="0"/>
                <w:szCs w:val="21"/>
              </w:rPr>
              <w:t>社区</w:t>
            </w:r>
            <w:r>
              <w:rPr>
                <w:rFonts w:ascii="宋体" w:hAnsi="宋体" w:cs="宋体"/>
                <w:color w:val="000000"/>
                <w:kern w:val="0"/>
                <w:szCs w:val="21"/>
              </w:rPr>
              <w:t>食堂</w:t>
            </w:r>
          </w:p>
        </w:tc>
        <w:tc>
          <w:tcPr>
            <w:tcW w:w="1407" w:type="pct"/>
            <w:noWrap w:val="0"/>
            <w:vAlign w:val="center"/>
          </w:tcPr>
          <w:p w14:paraId="157B491C">
            <w:pPr>
              <w:widowControl/>
              <w:rPr>
                <w:rFonts w:hint="eastAsia" w:ascii="宋体" w:hAnsi="宋体" w:cs="宋体"/>
                <w:color w:val="000000"/>
                <w:kern w:val="0"/>
                <w:szCs w:val="21"/>
              </w:rPr>
            </w:pPr>
            <w:r>
              <w:rPr>
                <w:rFonts w:hint="eastAsia" w:ascii="宋体" w:hAnsi="宋体" w:cs="宋体"/>
                <w:color w:val="000000"/>
                <w:kern w:val="0"/>
                <w:szCs w:val="21"/>
              </w:rPr>
              <w:t>为</w:t>
            </w:r>
            <w:r>
              <w:rPr>
                <w:rFonts w:ascii="宋体" w:hAnsi="宋体" w:cs="宋体"/>
                <w:color w:val="000000"/>
                <w:kern w:val="0"/>
                <w:szCs w:val="21"/>
              </w:rPr>
              <w:t>社区居民尤其是老年人提供助</w:t>
            </w:r>
            <w:r>
              <w:rPr>
                <w:rFonts w:hint="eastAsia" w:ascii="宋体" w:hAnsi="宋体" w:cs="宋体"/>
                <w:color w:val="000000"/>
                <w:kern w:val="0"/>
                <w:szCs w:val="21"/>
              </w:rPr>
              <w:t>餐服务</w:t>
            </w:r>
            <w:r>
              <w:rPr>
                <w:rFonts w:ascii="宋体" w:hAnsi="宋体" w:cs="宋体"/>
                <w:color w:val="000000"/>
                <w:kern w:val="0"/>
                <w:szCs w:val="21"/>
              </w:rPr>
              <w:t>。</w:t>
            </w:r>
          </w:p>
        </w:tc>
        <w:tc>
          <w:tcPr>
            <w:tcW w:w="1515" w:type="pct"/>
            <w:noWrap w:val="0"/>
            <w:vAlign w:val="center"/>
          </w:tcPr>
          <w:p w14:paraId="56BA03F6">
            <w:pPr>
              <w:widowControl/>
              <w:rPr>
                <w:rFonts w:hint="eastAsia" w:ascii="宋体" w:hAnsi="宋体" w:cs="宋体"/>
                <w:color w:val="000000"/>
                <w:kern w:val="0"/>
                <w:szCs w:val="21"/>
              </w:rPr>
            </w:pPr>
            <w:r>
              <w:rPr>
                <w:rFonts w:hint="eastAsia" w:ascii="宋体" w:hAnsi="宋体" w:cs="宋体"/>
                <w:color w:val="000000"/>
                <w:kern w:val="0"/>
                <w:szCs w:val="21"/>
              </w:rPr>
              <w:t>结合社区综合</w:t>
            </w:r>
            <w:r>
              <w:rPr>
                <w:rFonts w:ascii="宋体" w:hAnsi="宋体" w:cs="宋体"/>
                <w:color w:val="000000"/>
                <w:kern w:val="0"/>
                <w:szCs w:val="21"/>
              </w:rPr>
              <w:t>服务中心设置</w:t>
            </w:r>
            <w:r>
              <w:rPr>
                <w:rFonts w:hint="eastAsia" w:ascii="宋体" w:hAnsi="宋体" w:cs="宋体"/>
                <w:color w:val="000000"/>
                <w:kern w:val="0"/>
                <w:szCs w:val="21"/>
              </w:rPr>
              <w:t>。</w:t>
            </w:r>
          </w:p>
        </w:tc>
        <w:tc>
          <w:tcPr>
            <w:tcW w:w="896" w:type="pct"/>
            <w:noWrap w:val="0"/>
            <w:vAlign w:val="center"/>
          </w:tcPr>
          <w:p w14:paraId="21B49085">
            <w:pPr>
              <w:widowControl/>
              <w:jc w:val="center"/>
              <w:rPr>
                <w:rFonts w:ascii="宋体" w:hAnsi="宋体" w:cs="宋体"/>
                <w:color w:val="000000"/>
                <w:kern w:val="0"/>
                <w:szCs w:val="21"/>
              </w:rPr>
            </w:pPr>
            <w:r>
              <w:rPr>
                <w:rFonts w:hint="eastAsia" w:ascii="宋体" w:hAnsi="宋体" w:cs="宋体"/>
                <w:color w:val="000000"/>
                <w:kern w:val="0"/>
                <w:szCs w:val="21"/>
              </w:rPr>
              <w:t>2</w:t>
            </w:r>
          </w:p>
        </w:tc>
      </w:tr>
      <w:tr w14:paraId="1C25C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Merge w:val="continue"/>
            <w:noWrap w:val="0"/>
            <w:vAlign w:val="center"/>
          </w:tcPr>
          <w:p w14:paraId="610006B1">
            <w:pPr>
              <w:widowControl/>
              <w:jc w:val="center"/>
              <w:rPr>
                <w:rFonts w:hint="eastAsia" w:ascii="宋体" w:hAnsi="宋体" w:cs="宋体"/>
                <w:color w:val="000000"/>
                <w:kern w:val="0"/>
                <w:szCs w:val="21"/>
              </w:rPr>
            </w:pPr>
          </w:p>
        </w:tc>
        <w:tc>
          <w:tcPr>
            <w:tcW w:w="635" w:type="pct"/>
            <w:noWrap w:val="0"/>
            <w:vAlign w:val="center"/>
          </w:tcPr>
          <w:p w14:paraId="15A73F7D">
            <w:pPr>
              <w:widowControl/>
              <w:jc w:val="center"/>
              <w:rPr>
                <w:rFonts w:hint="eastAsia" w:ascii="宋体" w:hAnsi="宋体" w:cs="宋体"/>
                <w:color w:val="000000"/>
                <w:kern w:val="0"/>
                <w:szCs w:val="21"/>
              </w:rPr>
            </w:pPr>
            <w:r>
              <w:rPr>
                <w:rFonts w:hint="eastAsia" w:ascii="宋体" w:hAnsi="宋体" w:cs="宋体"/>
                <w:color w:val="000000"/>
                <w:kern w:val="0"/>
                <w:szCs w:val="21"/>
              </w:rPr>
              <w:t>老年</w:t>
            </w:r>
            <w:r>
              <w:rPr>
                <w:rFonts w:ascii="宋体" w:hAnsi="宋体" w:cs="宋体"/>
                <w:color w:val="000000"/>
                <w:kern w:val="0"/>
                <w:szCs w:val="21"/>
              </w:rPr>
              <w:t>人日间照料中心（</w:t>
            </w:r>
            <w:r>
              <w:rPr>
                <w:rFonts w:hint="eastAsia" w:ascii="宋体" w:hAnsi="宋体" w:cs="宋体"/>
                <w:color w:val="000000"/>
                <w:kern w:val="0"/>
                <w:szCs w:val="21"/>
              </w:rPr>
              <w:t>托老所</w:t>
            </w:r>
            <w:r>
              <w:rPr>
                <w:rFonts w:ascii="宋体" w:hAnsi="宋体" w:cs="宋体"/>
                <w:color w:val="000000"/>
                <w:kern w:val="0"/>
                <w:szCs w:val="21"/>
              </w:rPr>
              <w:t>）</w:t>
            </w:r>
          </w:p>
        </w:tc>
        <w:tc>
          <w:tcPr>
            <w:tcW w:w="1407" w:type="pct"/>
            <w:noWrap w:val="0"/>
            <w:vAlign w:val="center"/>
          </w:tcPr>
          <w:p w14:paraId="070DFC22">
            <w:pPr>
              <w:widowControl/>
              <w:rPr>
                <w:rFonts w:hint="eastAsia" w:ascii="宋体" w:hAnsi="宋体" w:cs="宋体"/>
                <w:color w:val="000000"/>
                <w:kern w:val="0"/>
                <w:szCs w:val="21"/>
              </w:rPr>
            </w:pPr>
            <w:r>
              <w:rPr>
                <w:rFonts w:hint="eastAsia" w:ascii="宋体" w:hAnsi="宋体" w:cs="宋体"/>
                <w:color w:val="000000"/>
                <w:kern w:val="0"/>
                <w:szCs w:val="21"/>
              </w:rPr>
              <w:t>老年人</w:t>
            </w:r>
            <w:r>
              <w:rPr>
                <w:rFonts w:ascii="宋体" w:hAnsi="宋体" w:cs="宋体"/>
                <w:color w:val="000000"/>
                <w:kern w:val="0"/>
                <w:szCs w:val="21"/>
              </w:rPr>
              <w:t>日托服务，包括餐饮、文娱、健身、医疗保健等。</w:t>
            </w:r>
          </w:p>
        </w:tc>
        <w:tc>
          <w:tcPr>
            <w:tcW w:w="1515" w:type="pct"/>
            <w:noWrap w:val="0"/>
            <w:vAlign w:val="center"/>
          </w:tcPr>
          <w:p w14:paraId="60C3AE54">
            <w:pPr>
              <w:widowControl/>
              <w:rPr>
                <w:rFonts w:hint="eastAsia" w:ascii="宋体" w:hAnsi="宋体" w:cs="宋体"/>
                <w:color w:val="000000"/>
                <w:kern w:val="0"/>
                <w:szCs w:val="21"/>
              </w:rPr>
            </w:pPr>
            <w:r>
              <w:rPr>
                <w:rFonts w:hint="eastAsia" w:ascii="宋体" w:hAnsi="宋体" w:cs="宋体"/>
                <w:color w:val="000000"/>
                <w:kern w:val="0"/>
                <w:szCs w:val="21"/>
              </w:rPr>
              <w:t>结合社区综合</w:t>
            </w:r>
            <w:r>
              <w:rPr>
                <w:rFonts w:ascii="宋体" w:hAnsi="宋体" w:cs="宋体"/>
                <w:color w:val="000000"/>
                <w:kern w:val="0"/>
                <w:szCs w:val="21"/>
              </w:rPr>
              <w:t>服务中心设置，</w:t>
            </w:r>
            <w:r>
              <w:rPr>
                <w:rFonts w:hint="eastAsia" w:ascii="宋体" w:hAnsi="宋体" w:cs="宋体"/>
                <w:color w:val="000000"/>
                <w:kern w:val="0"/>
                <w:szCs w:val="21"/>
              </w:rPr>
              <w:t>建筑面积</w:t>
            </w:r>
            <w:r>
              <w:rPr>
                <w:rFonts w:ascii="宋体" w:hAnsi="宋体" w:cs="宋体"/>
                <w:color w:val="000000"/>
                <w:kern w:val="0"/>
                <w:szCs w:val="21"/>
              </w:rPr>
              <w:t>350</w:t>
            </w:r>
            <w:r>
              <w:rPr>
                <w:rFonts w:hint="eastAsia" w:ascii="宋体" w:hAnsi="宋体" w:cs="宋体"/>
                <w:color w:val="000000"/>
                <w:kern w:val="0"/>
                <w:szCs w:val="21"/>
              </w:rPr>
              <w:t>-</w:t>
            </w:r>
            <w:r>
              <w:rPr>
                <w:rFonts w:ascii="宋体" w:hAnsi="宋体" w:cs="宋体"/>
                <w:color w:val="000000"/>
                <w:kern w:val="0"/>
                <w:szCs w:val="21"/>
              </w:rPr>
              <w:t>75</w:t>
            </w:r>
            <w:r>
              <w:rPr>
                <w:rFonts w:hint="eastAsia" w:ascii="宋体" w:hAnsi="宋体" w:cs="宋体"/>
                <w:color w:val="000000"/>
                <w:kern w:val="0"/>
                <w:szCs w:val="21"/>
              </w:rPr>
              <w:t>0㎡。</w:t>
            </w:r>
          </w:p>
        </w:tc>
        <w:tc>
          <w:tcPr>
            <w:tcW w:w="896" w:type="pct"/>
            <w:noWrap w:val="0"/>
            <w:vAlign w:val="center"/>
          </w:tcPr>
          <w:p w14:paraId="064FEA36">
            <w:pPr>
              <w:widowControl/>
              <w:jc w:val="center"/>
              <w:rPr>
                <w:rFonts w:hint="eastAsia" w:ascii="宋体" w:hAnsi="宋体" w:cs="宋体"/>
                <w:color w:val="000000"/>
                <w:kern w:val="0"/>
                <w:szCs w:val="21"/>
              </w:rPr>
            </w:pPr>
            <w:r>
              <w:rPr>
                <w:rFonts w:hint="eastAsia" w:ascii="宋体" w:hAnsi="宋体" w:cs="宋体"/>
                <w:color w:val="000000"/>
                <w:kern w:val="0"/>
                <w:szCs w:val="21"/>
              </w:rPr>
              <w:t>2</w:t>
            </w:r>
          </w:p>
        </w:tc>
      </w:tr>
      <w:tr w14:paraId="03362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 w:type="pct"/>
            <w:vMerge w:val="continue"/>
            <w:noWrap w:val="0"/>
            <w:vAlign w:val="center"/>
          </w:tcPr>
          <w:p w14:paraId="16C207AC">
            <w:pPr>
              <w:widowControl/>
              <w:jc w:val="center"/>
              <w:rPr>
                <w:rFonts w:hint="eastAsia" w:ascii="宋体" w:hAnsi="宋体" w:cs="宋体"/>
                <w:color w:val="000000"/>
                <w:kern w:val="0"/>
                <w:szCs w:val="21"/>
              </w:rPr>
            </w:pPr>
          </w:p>
        </w:tc>
        <w:tc>
          <w:tcPr>
            <w:tcW w:w="635" w:type="pct"/>
            <w:noWrap w:val="0"/>
            <w:vAlign w:val="center"/>
          </w:tcPr>
          <w:p w14:paraId="65FCEED7">
            <w:pPr>
              <w:widowControl/>
              <w:jc w:val="center"/>
              <w:rPr>
                <w:rFonts w:hint="eastAsia" w:ascii="宋体" w:hAnsi="宋体" w:cs="宋体"/>
                <w:color w:val="000000"/>
                <w:kern w:val="0"/>
                <w:szCs w:val="21"/>
              </w:rPr>
            </w:pPr>
            <w:r>
              <w:rPr>
                <w:rFonts w:hint="eastAsia" w:ascii="宋体" w:hAnsi="宋体" w:cs="宋体"/>
                <w:color w:val="000000"/>
                <w:kern w:val="0"/>
                <w:szCs w:val="21"/>
              </w:rPr>
              <w:t>公共厕所</w:t>
            </w:r>
          </w:p>
        </w:tc>
        <w:tc>
          <w:tcPr>
            <w:tcW w:w="1407" w:type="pct"/>
            <w:noWrap w:val="0"/>
            <w:vAlign w:val="center"/>
          </w:tcPr>
          <w:p w14:paraId="076C4341">
            <w:pPr>
              <w:widowControl/>
              <w:rPr>
                <w:rFonts w:hint="eastAsia" w:ascii="宋体" w:hAnsi="宋体" w:cs="宋体"/>
                <w:color w:val="000000"/>
                <w:kern w:val="0"/>
                <w:szCs w:val="21"/>
              </w:rPr>
            </w:pPr>
            <w:r>
              <w:rPr>
                <w:rFonts w:hint="eastAsia" w:ascii="宋体" w:hAnsi="宋体" w:cs="宋体"/>
                <w:color w:val="000000"/>
                <w:kern w:val="0"/>
                <w:szCs w:val="21"/>
              </w:rPr>
              <w:t>厕所、</w:t>
            </w:r>
            <w:r>
              <w:rPr>
                <w:rFonts w:ascii="宋体" w:hAnsi="宋体" w:cs="宋体"/>
                <w:color w:val="000000"/>
                <w:kern w:val="0"/>
                <w:szCs w:val="21"/>
              </w:rPr>
              <w:t>管理用房</w:t>
            </w:r>
            <w:r>
              <w:rPr>
                <w:rFonts w:hint="eastAsia" w:ascii="宋体" w:hAnsi="宋体" w:cs="宋体"/>
                <w:color w:val="000000"/>
                <w:kern w:val="0"/>
                <w:szCs w:val="21"/>
              </w:rPr>
              <w:t>等</w:t>
            </w:r>
            <w:r>
              <w:rPr>
                <w:rFonts w:ascii="宋体" w:hAnsi="宋体" w:cs="宋体"/>
                <w:color w:val="000000"/>
                <w:kern w:val="0"/>
                <w:szCs w:val="21"/>
              </w:rPr>
              <w:t>。</w:t>
            </w:r>
          </w:p>
        </w:tc>
        <w:tc>
          <w:tcPr>
            <w:tcW w:w="1515" w:type="pct"/>
            <w:noWrap w:val="0"/>
            <w:vAlign w:val="center"/>
          </w:tcPr>
          <w:p w14:paraId="3E705E1F">
            <w:pPr>
              <w:widowControl/>
              <w:rPr>
                <w:rFonts w:hint="eastAsia" w:ascii="宋体" w:hAnsi="宋体" w:cs="宋体"/>
                <w:color w:val="000000"/>
                <w:kern w:val="0"/>
                <w:szCs w:val="21"/>
              </w:rPr>
            </w:pPr>
            <w:r>
              <w:rPr>
                <w:rFonts w:hint="eastAsia" w:ascii="宋体" w:hAnsi="宋体" w:cs="宋体"/>
                <w:color w:val="000000"/>
                <w:kern w:val="0"/>
                <w:szCs w:val="21"/>
              </w:rPr>
              <w:t>设置于</w:t>
            </w:r>
            <w:r>
              <w:rPr>
                <w:rFonts w:ascii="宋体" w:hAnsi="宋体" w:cs="宋体"/>
                <w:color w:val="000000"/>
                <w:kern w:val="0"/>
                <w:szCs w:val="21"/>
              </w:rPr>
              <w:t>人流集中处，结合配套设施及户外</w:t>
            </w:r>
            <w:r>
              <w:rPr>
                <w:rFonts w:hint="eastAsia" w:ascii="宋体" w:hAnsi="宋体" w:cs="宋体"/>
                <w:color w:val="000000"/>
                <w:kern w:val="0"/>
                <w:szCs w:val="21"/>
              </w:rPr>
              <w:t>健身</w:t>
            </w:r>
            <w:r>
              <w:rPr>
                <w:rFonts w:ascii="宋体" w:hAnsi="宋体" w:cs="宋体"/>
                <w:color w:val="000000"/>
                <w:kern w:val="0"/>
                <w:szCs w:val="21"/>
              </w:rPr>
              <w:t>场地设置，</w:t>
            </w:r>
            <w:r>
              <w:rPr>
                <w:rFonts w:hint="eastAsia" w:ascii="宋体" w:hAnsi="宋体" w:cs="宋体"/>
                <w:color w:val="000000"/>
                <w:kern w:val="0"/>
                <w:szCs w:val="21"/>
              </w:rPr>
              <w:t>建筑面积</w:t>
            </w:r>
            <w:r>
              <w:rPr>
                <w:rFonts w:ascii="宋体" w:hAnsi="宋体" w:cs="宋体"/>
                <w:color w:val="000000"/>
                <w:kern w:val="0"/>
                <w:szCs w:val="21"/>
              </w:rPr>
              <w:t>30</w:t>
            </w:r>
            <w:r>
              <w:rPr>
                <w:rFonts w:hint="eastAsia" w:ascii="宋体" w:hAnsi="宋体" w:cs="宋体"/>
                <w:color w:val="000000"/>
                <w:kern w:val="0"/>
                <w:szCs w:val="21"/>
              </w:rPr>
              <w:t>-</w:t>
            </w:r>
            <w:r>
              <w:rPr>
                <w:rFonts w:ascii="宋体" w:hAnsi="宋体" w:cs="宋体"/>
                <w:color w:val="000000"/>
                <w:kern w:val="0"/>
                <w:szCs w:val="21"/>
              </w:rPr>
              <w:t>12</w:t>
            </w:r>
            <w:r>
              <w:rPr>
                <w:rFonts w:hint="eastAsia" w:ascii="宋体" w:hAnsi="宋体" w:cs="宋体"/>
                <w:color w:val="000000"/>
                <w:kern w:val="0"/>
                <w:szCs w:val="21"/>
              </w:rPr>
              <w:t>0㎡。</w:t>
            </w:r>
          </w:p>
        </w:tc>
        <w:tc>
          <w:tcPr>
            <w:tcW w:w="896" w:type="pct"/>
            <w:noWrap w:val="0"/>
            <w:vAlign w:val="center"/>
          </w:tcPr>
          <w:p w14:paraId="2B52F78D">
            <w:pPr>
              <w:widowControl/>
              <w:jc w:val="center"/>
              <w:rPr>
                <w:rFonts w:hint="eastAsia" w:ascii="宋体" w:hAnsi="宋体" w:cs="宋体"/>
                <w:color w:val="000000"/>
                <w:kern w:val="0"/>
                <w:szCs w:val="21"/>
              </w:rPr>
            </w:pPr>
            <w:r>
              <w:rPr>
                <w:rFonts w:hint="eastAsia" w:ascii="宋体" w:hAnsi="宋体" w:cs="宋体"/>
                <w:color w:val="000000"/>
                <w:kern w:val="0"/>
                <w:szCs w:val="21"/>
              </w:rPr>
              <w:t>-</w:t>
            </w:r>
          </w:p>
        </w:tc>
      </w:tr>
    </w:tbl>
    <w:p w14:paraId="58AB4710">
      <w:pPr>
        <w:spacing w:line="640" w:lineRule="exact"/>
        <w:ind w:firstLine="562" w:firstLineChars="200"/>
        <w:rPr>
          <w:rFonts w:hint="eastAsia" w:ascii="宋体" w:hAnsi="宋体"/>
          <w:b/>
          <w:sz w:val="28"/>
          <w:szCs w:val="28"/>
        </w:rPr>
      </w:pPr>
      <w:r>
        <w:rPr>
          <w:rFonts w:hint="eastAsia" w:ascii="宋体" w:hAnsi="宋体"/>
          <w:b/>
          <w:sz w:val="28"/>
          <w:szCs w:val="28"/>
        </w:rPr>
        <w:t>（三）公共管理与公共服务设施用地规划</w:t>
      </w:r>
    </w:p>
    <w:p w14:paraId="21D3F79B">
      <w:pPr>
        <w:spacing w:line="640" w:lineRule="exact"/>
        <w:ind w:firstLine="560" w:firstLineChars="200"/>
        <w:rPr>
          <w:rFonts w:hint="eastAsia" w:ascii="宋体" w:hAnsi="宋体"/>
          <w:sz w:val="28"/>
          <w:szCs w:val="28"/>
        </w:rPr>
      </w:pPr>
      <w:r>
        <w:rPr>
          <w:rFonts w:hint="eastAsia" w:ascii="宋体" w:hAnsi="宋体"/>
          <w:sz w:val="28"/>
          <w:szCs w:val="28"/>
        </w:rPr>
        <w:t>规划区内的公共管理与公共服务设施用地面积</w:t>
      </w:r>
      <w:r>
        <w:rPr>
          <w:rFonts w:ascii="宋体" w:hAnsi="宋体"/>
          <w:sz w:val="28"/>
          <w:szCs w:val="28"/>
        </w:rPr>
        <w:t>23.31</w:t>
      </w:r>
      <w:r>
        <w:rPr>
          <w:rFonts w:hint="eastAsia" w:ascii="宋体" w:hAnsi="宋体"/>
          <w:sz w:val="28"/>
          <w:szCs w:val="28"/>
        </w:rPr>
        <w:t>公顷，占城市建设用地的</w:t>
      </w:r>
      <w:r>
        <w:rPr>
          <w:rFonts w:ascii="宋体" w:hAnsi="宋体"/>
          <w:sz w:val="28"/>
          <w:szCs w:val="28"/>
        </w:rPr>
        <w:t>9.83</w:t>
      </w:r>
      <w:r>
        <w:rPr>
          <w:rFonts w:hint="eastAsia" w:ascii="宋体" w:hAnsi="宋体"/>
          <w:sz w:val="28"/>
          <w:szCs w:val="28"/>
        </w:rPr>
        <w:t>%。规划区公共服务设施主要分布在碧山路沿线</w:t>
      </w:r>
      <w:r>
        <w:rPr>
          <w:rFonts w:ascii="宋体" w:hAnsi="宋体"/>
          <w:sz w:val="28"/>
          <w:szCs w:val="28"/>
        </w:rPr>
        <w:t>，</w:t>
      </w:r>
      <w:r>
        <w:rPr>
          <w:rFonts w:hint="eastAsia" w:ascii="宋体" w:hAnsi="宋体"/>
          <w:sz w:val="28"/>
          <w:szCs w:val="28"/>
        </w:rPr>
        <w:t>岷江大桥、岷江二桥桥头附近。</w:t>
      </w:r>
    </w:p>
    <w:p w14:paraId="3B40F33F">
      <w:pPr>
        <w:spacing w:line="640" w:lineRule="exact"/>
        <w:ind w:firstLine="560" w:firstLineChars="200"/>
        <w:rPr>
          <w:rFonts w:hint="eastAsia" w:ascii="宋体" w:hAnsi="宋体"/>
          <w:sz w:val="28"/>
          <w:szCs w:val="28"/>
        </w:rPr>
      </w:pPr>
      <w:r>
        <w:rPr>
          <w:rFonts w:ascii="宋体" w:hAnsi="宋体"/>
          <w:sz w:val="28"/>
          <w:szCs w:val="28"/>
        </w:rPr>
        <w:t>1</w:t>
      </w:r>
      <w:r>
        <w:rPr>
          <w:rFonts w:hint="eastAsia" w:ascii="宋体" w:hAnsi="宋体"/>
          <w:sz w:val="28"/>
          <w:szCs w:val="28"/>
        </w:rPr>
        <w:t>、行政办公用地</w:t>
      </w:r>
    </w:p>
    <w:p w14:paraId="2377A721">
      <w:pPr>
        <w:spacing w:line="640" w:lineRule="exact"/>
        <w:ind w:firstLine="723" w:firstLineChars="241"/>
        <w:rPr>
          <w:rFonts w:hint="eastAsia" w:hAnsi="宋体"/>
          <w:sz w:val="30"/>
          <w:szCs w:val="30"/>
        </w:rPr>
      </w:pPr>
      <w:r>
        <w:rPr>
          <w:rFonts w:hint="eastAsia" w:hAnsi="宋体"/>
          <w:sz w:val="30"/>
          <w:szCs w:val="30"/>
        </w:rPr>
        <w:t>规划保留现有行政办公用地。</w:t>
      </w:r>
    </w:p>
    <w:p w14:paraId="704DFE9E">
      <w:pPr>
        <w:spacing w:line="640" w:lineRule="exact"/>
        <w:ind w:firstLine="560" w:firstLineChars="200"/>
        <w:rPr>
          <w:rFonts w:hint="eastAsia" w:ascii="宋体" w:hAnsi="宋体"/>
          <w:sz w:val="28"/>
          <w:szCs w:val="28"/>
        </w:rPr>
      </w:pPr>
      <w:r>
        <w:rPr>
          <w:rFonts w:ascii="宋体" w:hAnsi="宋体"/>
          <w:sz w:val="28"/>
          <w:szCs w:val="28"/>
        </w:rPr>
        <w:t>2</w:t>
      </w:r>
      <w:r>
        <w:rPr>
          <w:rFonts w:hint="eastAsia" w:ascii="宋体" w:hAnsi="宋体"/>
          <w:sz w:val="28"/>
          <w:szCs w:val="28"/>
        </w:rPr>
        <w:t>、教育科研用地</w:t>
      </w:r>
    </w:p>
    <w:p w14:paraId="3B66AE7E">
      <w:pPr>
        <w:spacing w:line="640" w:lineRule="exact"/>
        <w:ind w:firstLine="560" w:firstLineChars="200"/>
        <w:rPr>
          <w:rFonts w:hint="eastAsia" w:ascii="宋体" w:hAnsi="宋体"/>
          <w:sz w:val="28"/>
          <w:szCs w:val="28"/>
        </w:rPr>
      </w:pPr>
      <w:r>
        <w:rPr>
          <w:rFonts w:hint="eastAsia" w:ascii="宋体" w:hAnsi="宋体"/>
          <w:sz w:val="28"/>
          <w:szCs w:val="28"/>
        </w:rPr>
        <w:t>规划迁出军地两用人才学校、振兴中等职业技校等教育科研设施用地。结合片区人口分布和现有学校分布情况，根据服务半径，规划迁建</w:t>
      </w:r>
      <w:r>
        <w:rPr>
          <w:rFonts w:ascii="宋体" w:hAnsi="宋体"/>
          <w:sz w:val="28"/>
          <w:szCs w:val="28"/>
        </w:rPr>
        <w:t>现有任家坝小</w:t>
      </w:r>
      <w:r>
        <w:rPr>
          <w:rFonts w:hint="eastAsia" w:ascii="宋体" w:hAnsi="宋体"/>
          <w:sz w:val="28"/>
          <w:szCs w:val="28"/>
        </w:rPr>
        <w:t>学</w:t>
      </w:r>
      <w:r>
        <w:rPr>
          <w:rFonts w:ascii="宋体" w:hAnsi="宋体"/>
          <w:sz w:val="28"/>
          <w:szCs w:val="28"/>
        </w:rPr>
        <w:t>，在山湾居住小区内新建</w:t>
      </w:r>
      <w:r>
        <w:rPr>
          <w:rFonts w:hint="eastAsia" w:ascii="宋体" w:hAnsi="宋体"/>
          <w:sz w:val="28"/>
          <w:szCs w:val="28"/>
        </w:rPr>
        <w:t>1所</w:t>
      </w:r>
      <w:r>
        <w:rPr>
          <w:rFonts w:ascii="宋体" w:hAnsi="宋体"/>
          <w:sz w:val="28"/>
          <w:szCs w:val="28"/>
        </w:rPr>
        <w:t>小学，</w:t>
      </w:r>
      <w:r>
        <w:rPr>
          <w:rFonts w:hint="eastAsia" w:ascii="宋体" w:hAnsi="宋体"/>
          <w:sz w:val="28"/>
          <w:szCs w:val="28"/>
        </w:rPr>
        <w:t>将</w:t>
      </w:r>
      <w:r>
        <w:rPr>
          <w:rFonts w:ascii="宋体" w:hAnsi="宋体"/>
          <w:sz w:val="28"/>
          <w:szCs w:val="28"/>
        </w:rPr>
        <w:t>乐山四中</w:t>
      </w:r>
      <w:r>
        <w:rPr>
          <w:rFonts w:hint="eastAsia" w:ascii="宋体" w:hAnsi="宋体"/>
          <w:sz w:val="28"/>
          <w:szCs w:val="28"/>
        </w:rPr>
        <w:t>迁至</w:t>
      </w:r>
      <w:r>
        <w:rPr>
          <w:rFonts w:ascii="宋体" w:hAnsi="宋体"/>
          <w:sz w:val="28"/>
          <w:szCs w:val="28"/>
        </w:rPr>
        <w:t>牟子片区</w:t>
      </w:r>
      <w:r>
        <w:rPr>
          <w:rFonts w:hint="eastAsia" w:ascii="宋体" w:hAnsi="宋体"/>
          <w:sz w:val="28"/>
          <w:szCs w:val="28"/>
        </w:rPr>
        <w:t>。规划</w:t>
      </w:r>
      <w:r>
        <w:rPr>
          <w:rFonts w:ascii="宋体" w:hAnsi="宋体"/>
          <w:sz w:val="28"/>
          <w:szCs w:val="28"/>
        </w:rPr>
        <w:t>教育科研</w:t>
      </w:r>
      <w:r>
        <w:rPr>
          <w:rFonts w:hint="eastAsia" w:ascii="宋体" w:hAnsi="宋体"/>
          <w:sz w:val="28"/>
          <w:szCs w:val="28"/>
        </w:rPr>
        <w:t>用地</w:t>
      </w:r>
      <w:r>
        <w:rPr>
          <w:rFonts w:ascii="宋体" w:hAnsi="宋体"/>
          <w:sz w:val="28"/>
          <w:szCs w:val="28"/>
        </w:rPr>
        <w:t>面积4.35</w:t>
      </w:r>
      <w:r>
        <w:rPr>
          <w:rFonts w:hint="eastAsia" w:ascii="宋体" w:hAnsi="宋体"/>
          <w:sz w:val="28"/>
          <w:szCs w:val="28"/>
        </w:rPr>
        <w:t>公顷</w:t>
      </w:r>
      <w:r>
        <w:rPr>
          <w:rFonts w:ascii="宋体" w:hAnsi="宋体"/>
          <w:sz w:val="28"/>
          <w:szCs w:val="28"/>
        </w:rPr>
        <w:t>。</w:t>
      </w:r>
    </w:p>
    <w:p w14:paraId="4207D4A8">
      <w:pPr>
        <w:spacing w:line="640" w:lineRule="exact"/>
        <w:ind w:firstLine="560" w:firstLineChars="200"/>
        <w:rPr>
          <w:rFonts w:hint="eastAsia" w:ascii="宋体" w:hAnsi="宋体"/>
          <w:sz w:val="28"/>
          <w:szCs w:val="28"/>
        </w:rPr>
      </w:pPr>
      <w:r>
        <w:rPr>
          <w:rFonts w:ascii="宋体" w:hAnsi="宋体"/>
          <w:sz w:val="28"/>
          <w:szCs w:val="28"/>
        </w:rPr>
        <w:t>3</w:t>
      </w:r>
      <w:r>
        <w:rPr>
          <w:rFonts w:hint="eastAsia" w:ascii="宋体" w:hAnsi="宋体"/>
          <w:sz w:val="28"/>
          <w:szCs w:val="28"/>
        </w:rPr>
        <w:t>、体育用地</w:t>
      </w:r>
    </w:p>
    <w:p w14:paraId="6F843BAA">
      <w:pPr>
        <w:spacing w:line="640" w:lineRule="exact"/>
        <w:ind w:firstLine="560" w:firstLineChars="200"/>
        <w:rPr>
          <w:rFonts w:ascii="宋体" w:hAnsi="宋体"/>
          <w:sz w:val="28"/>
          <w:szCs w:val="28"/>
        </w:rPr>
      </w:pPr>
      <w:r>
        <w:rPr>
          <w:rFonts w:hint="eastAsia" w:ascii="宋体" w:hAnsi="宋体"/>
          <w:sz w:val="28"/>
          <w:szCs w:val="28"/>
        </w:rPr>
        <w:t>岷江东岸片区现状无公共体育设施，其他体育设施场地主要是学校体育用地。规划抓住片区开发契机，以居住小区为单位布置</w:t>
      </w:r>
      <w:r>
        <w:rPr>
          <w:rFonts w:ascii="宋体" w:hAnsi="宋体"/>
          <w:sz w:val="28"/>
          <w:szCs w:val="28"/>
        </w:rPr>
        <w:t>2</w:t>
      </w:r>
      <w:r>
        <w:rPr>
          <w:rFonts w:hint="eastAsia" w:ascii="宋体" w:hAnsi="宋体"/>
          <w:sz w:val="28"/>
          <w:szCs w:val="28"/>
        </w:rPr>
        <w:t>处小区级体育活动中心，内设有户外健身场地、篮球场、网球场、儿童活动场所等体育设施。</w:t>
      </w:r>
    </w:p>
    <w:p w14:paraId="5CF0FF56">
      <w:pPr>
        <w:spacing w:line="640" w:lineRule="exact"/>
        <w:ind w:firstLine="560" w:firstLineChars="200"/>
        <w:rPr>
          <w:rFonts w:hint="eastAsia" w:ascii="宋体" w:hAnsi="宋体"/>
          <w:sz w:val="28"/>
          <w:szCs w:val="28"/>
        </w:rPr>
      </w:pPr>
      <w:r>
        <w:rPr>
          <w:rFonts w:ascii="宋体" w:hAnsi="宋体"/>
          <w:sz w:val="28"/>
          <w:szCs w:val="28"/>
        </w:rPr>
        <w:t>4</w:t>
      </w:r>
      <w:r>
        <w:rPr>
          <w:rFonts w:hint="eastAsia" w:ascii="宋体" w:hAnsi="宋体"/>
          <w:sz w:val="28"/>
          <w:szCs w:val="28"/>
        </w:rPr>
        <w:t>、社会福利用地</w:t>
      </w:r>
    </w:p>
    <w:p w14:paraId="7304D513">
      <w:pPr>
        <w:spacing w:line="640" w:lineRule="exact"/>
        <w:ind w:firstLine="560" w:firstLineChars="200"/>
        <w:rPr>
          <w:rFonts w:ascii="宋体" w:hAnsi="宋体"/>
          <w:sz w:val="28"/>
          <w:szCs w:val="28"/>
        </w:rPr>
      </w:pPr>
      <w:r>
        <w:rPr>
          <w:rFonts w:hint="eastAsia" w:ascii="宋体" w:hAnsi="宋体"/>
          <w:sz w:val="28"/>
          <w:szCs w:val="28"/>
        </w:rPr>
        <w:t>保留现有市社会福利院、孝</w:t>
      </w:r>
      <w:r>
        <w:rPr>
          <w:rFonts w:ascii="宋体" w:hAnsi="宋体"/>
          <w:sz w:val="28"/>
          <w:szCs w:val="28"/>
        </w:rPr>
        <w:t>老院</w:t>
      </w:r>
      <w:r>
        <w:rPr>
          <w:rFonts w:hint="eastAsia" w:ascii="宋体" w:hAnsi="宋体"/>
          <w:sz w:val="28"/>
          <w:szCs w:val="28"/>
        </w:rPr>
        <w:t>，并留足发展建设用地，迁出市殡仪馆。规划社会福利用地面积1</w:t>
      </w:r>
      <w:r>
        <w:rPr>
          <w:rFonts w:ascii="宋体" w:hAnsi="宋体"/>
          <w:sz w:val="28"/>
          <w:szCs w:val="28"/>
        </w:rPr>
        <w:t>3.29</w:t>
      </w:r>
      <w:r>
        <w:rPr>
          <w:rFonts w:hint="eastAsia" w:ascii="宋体" w:hAnsi="宋体"/>
          <w:sz w:val="28"/>
          <w:szCs w:val="28"/>
        </w:rPr>
        <w:t>公顷。</w:t>
      </w:r>
    </w:p>
    <w:p w14:paraId="36A43CBD">
      <w:pPr>
        <w:spacing w:line="640" w:lineRule="exact"/>
        <w:ind w:firstLine="560" w:firstLineChars="200"/>
        <w:rPr>
          <w:rFonts w:ascii="宋体" w:hAnsi="宋体"/>
          <w:sz w:val="28"/>
          <w:szCs w:val="28"/>
        </w:rPr>
      </w:pPr>
      <w:r>
        <w:rPr>
          <w:rFonts w:hint="eastAsia" w:ascii="宋体" w:hAnsi="宋体"/>
          <w:sz w:val="28"/>
          <w:szCs w:val="28"/>
        </w:rPr>
        <w:t>5、</w:t>
      </w:r>
      <w:r>
        <w:rPr>
          <w:rFonts w:ascii="宋体" w:hAnsi="宋体"/>
          <w:sz w:val="28"/>
          <w:szCs w:val="28"/>
        </w:rPr>
        <w:t>文物古迹用地</w:t>
      </w:r>
    </w:p>
    <w:p w14:paraId="626A3B39">
      <w:pPr>
        <w:tabs>
          <w:tab w:val="left" w:pos="8280"/>
        </w:tabs>
        <w:spacing w:line="640" w:lineRule="exact"/>
        <w:ind w:right="-31" w:firstLine="600"/>
        <w:rPr>
          <w:rFonts w:hint="eastAsia" w:ascii="宋体" w:hAnsi="宋体"/>
          <w:sz w:val="30"/>
          <w:szCs w:val="30"/>
        </w:rPr>
      </w:pPr>
      <w:r>
        <w:rPr>
          <w:rFonts w:hint="eastAsia" w:ascii="宋体" w:hAnsi="宋体"/>
          <w:sz w:val="30"/>
          <w:szCs w:val="30"/>
        </w:rPr>
        <w:t>按乐山历史文化</w:t>
      </w:r>
      <w:r>
        <w:rPr>
          <w:rFonts w:ascii="宋体" w:hAnsi="宋体"/>
          <w:sz w:val="30"/>
          <w:szCs w:val="30"/>
        </w:rPr>
        <w:t>名城保护</w:t>
      </w:r>
      <w:r>
        <w:rPr>
          <w:rFonts w:hint="eastAsia" w:ascii="宋体" w:hAnsi="宋体"/>
          <w:sz w:val="30"/>
          <w:szCs w:val="30"/>
        </w:rPr>
        <w:t>规划要求严格保护区内</w:t>
      </w:r>
      <w:r>
        <w:rPr>
          <w:rFonts w:ascii="宋体" w:hAnsi="宋体"/>
          <w:sz w:val="28"/>
          <w:szCs w:val="28"/>
        </w:rPr>
        <w:t>龙泓寺</w:t>
      </w:r>
      <w:r>
        <w:rPr>
          <w:rFonts w:hint="eastAsia" w:ascii="宋体" w:hAnsi="宋体"/>
          <w:sz w:val="28"/>
          <w:szCs w:val="28"/>
        </w:rPr>
        <w:t>，规划</w:t>
      </w:r>
      <w:r>
        <w:rPr>
          <w:rFonts w:ascii="宋体" w:hAnsi="宋体"/>
          <w:sz w:val="28"/>
          <w:szCs w:val="28"/>
        </w:rPr>
        <w:t>保留其</w:t>
      </w:r>
      <w:r>
        <w:rPr>
          <w:rFonts w:hint="eastAsia" w:ascii="宋体" w:hAnsi="宋体"/>
          <w:sz w:val="28"/>
          <w:szCs w:val="28"/>
        </w:rPr>
        <w:t>法定</w:t>
      </w:r>
      <w:r>
        <w:rPr>
          <w:rFonts w:ascii="宋体" w:hAnsi="宋体"/>
          <w:sz w:val="28"/>
          <w:szCs w:val="28"/>
        </w:rPr>
        <w:t>保护范围用地。</w:t>
      </w:r>
    </w:p>
    <w:p w14:paraId="63A48008">
      <w:pPr>
        <w:spacing w:line="640" w:lineRule="exact"/>
        <w:ind w:firstLine="560" w:firstLineChars="200"/>
        <w:rPr>
          <w:rFonts w:ascii="宋体" w:hAnsi="宋体"/>
          <w:sz w:val="28"/>
          <w:szCs w:val="28"/>
        </w:rPr>
      </w:pPr>
      <w:r>
        <w:rPr>
          <w:rFonts w:ascii="宋体" w:hAnsi="宋体"/>
          <w:sz w:val="28"/>
          <w:szCs w:val="28"/>
        </w:rPr>
        <w:t>6</w:t>
      </w:r>
      <w:r>
        <w:rPr>
          <w:rFonts w:hint="eastAsia" w:ascii="宋体" w:hAnsi="宋体"/>
          <w:sz w:val="28"/>
          <w:szCs w:val="28"/>
        </w:rPr>
        <w:t>、</w:t>
      </w:r>
      <w:r>
        <w:rPr>
          <w:rFonts w:ascii="宋体" w:hAnsi="宋体"/>
          <w:sz w:val="28"/>
          <w:szCs w:val="28"/>
        </w:rPr>
        <w:t>宗教用地</w:t>
      </w:r>
    </w:p>
    <w:p w14:paraId="249C8DC1">
      <w:pPr>
        <w:spacing w:line="640" w:lineRule="exact"/>
        <w:ind w:firstLine="560" w:firstLineChars="200"/>
        <w:rPr>
          <w:rFonts w:hint="eastAsia" w:ascii="宋体" w:hAnsi="宋体"/>
          <w:sz w:val="28"/>
          <w:szCs w:val="28"/>
        </w:rPr>
      </w:pPr>
      <w:r>
        <w:rPr>
          <w:rFonts w:hint="eastAsia" w:ascii="宋体" w:hAnsi="宋体"/>
          <w:sz w:val="28"/>
          <w:szCs w:val="28"/>
        </w:rPr>
        <w:t>保留</w:t>
      </w:r>
      <w:r>
        <w:rPr>
          <w:rFonts w:ascii="宋体" w:hAnsi="宋体"/>
          <w:sz w:val="28"/>
          <w:szCs w:val="28"/>
        </w:rPr>
        <w:t>现</w:t>
      </w:r>
      <w:r>
        <w:rPr>
          <w:rFonts w:hint="eastAsia" w:ascii="宋体" w:hAnsi="宋体"/>
          <w:sz w:val="28"/>
          <w:szCs w:val="28"/>
        </w:rPr>
        <w:t>紫霞宫</w:t>
      </w:r>
      <w:r>
        <w:rPr>
          <w:rFonts w:ascii="宋体" w:hAnsi="宋体"/>
          <w:sz w:val="28"/>
          <w:szCs w:val="28"/>
        </w:rPr>
        <w:t>用地，不</w:t>
      </w:r>
      <w:r>
        <w:rPr>
          <w:rFonts w:hint="eastAsia" w:ascii="宋体" w:hAnsi="宋体"/>
          <w:sz w:val="28"/>
          <w:szCs w:val="28"/>
        </w:rPr>
        <w:t>再</w:t>
      </w:r>
      <w:r>
        <w:rPr>
          <w:rFonts w:ascii="宋体" w:hAnsi="宋体"/>
          <w:sz w:val="28"/>
          <w:szCs w:val="28"/>
        </w:rPr>
        <w:t>新增用地。</w:t>
      </w:r>
      <w:r>
        <w:rPr>
          <w:rFonts w:hint="eastAsia" w:ascii="宋体" w:hAnsi="宋体"/>
          <w:sz w:val="28"/>
          <w:szCs w:val="28"/>
        </w:rPr>
        <w:t xml:space="preserve"> </w:t>
      </w:r>
    </w:p>
    <w:p w14:paraId="71D16BD1">
      <w:pPr>
        <w:spacing w:line="640" w:lineRule="exact"/>
        <w:ind w:firstLine="562" w:firstLineChars="200"/>
        <w:rPr>
          <w:rFonts w:hint="eastAsia" w:ascii="宋体" w:hAnsi="宋体"/>
          <w:b/>
          <w:sz w:val="28"/>
          <w:szCs w:val="28"/>
        </w:rPr>
      </w:pPr>
      <w:r>
        <w:rPr>
          <w:rFonts w:hint="eastAsia" w:ascii="宋体" w:hAnsi="宋体"/>
          <w:b/>
          <w:sz w:val="28"/>
          <w:szCs w:val="28"/>
        </w:rPr>
        <w:t>（四）商业服务业设施用地规划</w:t>
      </w:r>
    </w:p>
    <w:p w14:paraId="7A54801F">
      <w:pPr>
        <w:spacing w:line="640" w:lineRule="exact"/>
        <w:ind w:firstLine="560" w:firstLineChars="200"/>
        <w:rPr>
          <w:rFonts w:hint="eastAsia" w:ascii="宋体" w:hAnsi="宋体"/>
          <w:sz w:val="28"/>
          <w:szCs w:val="28"/>
        </w:rPr>
      </w:pPr>
      <w:r>
        <w:rPr>
          <w:rFonts w:hint="eastAsia" w:ascii="宋体" w:hAnsi="宋体"/>
          <w:sz w:val="28"/>
          <w:szCs w:val="28"/>
        </w:rPr>
        <w:t>规划商业服务业设施用地</w:t>
      </w:r>
      <w:r>
        <w:rPr>
          <w:rFonts w:ascii="宋体" w:hAnsi="宋体"/>
          <w:sz w:val="28"/>
          <w:szCs w:val="28"/>
        </w:rPr>
        <w:t>60.09</w:t>
      </w:r>
      <w:r>
        <w:rPr>
          <w:rFonts w:hint="eastAsia" w:ascii="宋体" w:hAnsi="宋体"/>
          <w:sz w:val="28"/>
          <w:szCs w:val="28"/>
        </w:rPr>
        <w:t>公顷，占城市建设用地的</w:t>
      </w:r>
      <w:r>
        <w:rPr>
          <w:rFonts w:ascii="宋体" w:hAnsi="宋体"/>
          <w:sz w:val="28"/>
          <w:szCs w:val="28"/>
        </w:rPr>
        <w:t>25.35</w:t>
      </w:r>
      <w:r>
        <w:rPr>
          <w:rFonts w:hint="eastAsia" w:ascii="宋体" w:hAnsi="宋体"/>
          <w:sz w:val="28"/>
          <w:szCs w:val="28"/>
        </w:rPr>
        <w:t>%。其用地分布于片区各居住小区中心区域以及</w:t>
      </w:r>
      <w:r>
        <w:rPr>
          <w:rFonts w:ascii="宋体" w:hAnsi="宋体"/>
          <w:sz w:val="28"/>
          <w:szCs w:val="28"/>
        </w:rPr>
        <w:t>休闲度假旅游带沿线</w:t>
      </w:r>
      <w:r>
        <w:rPr>
          <w:rFonts w:hint="eastAsia" w:ascii="宋体" w:hAnsi="宋体"/>
          <w:sz w:val="28"/>
          <w:szCs w:val="28"/>
        </w:rPr>
        <w:t>。</w:t>
      </w:r>
    </w:p>
    <w:p w14:paraId="7DAE5A81">
      <w:pPr>
        <w:spacing w:line="640" w:lineRule="exact"/>
        <w:ind w:firstLine="560" w:firstLineChars="200"/>
        <w:rPr>
          <w:rFonts w:hint="eastAsia" w:ascii="宋体" w:hAnsi="宋体"/>
          <w:sz w:val="28"/>
          <w:szCs w:val="28"/>
        </w:rPr>
      </w:pPr>
      <w:r>
        <w:rPr>
          <w:rFonts w:hint="eastAsia" w:ascii="宋体" w:hAnsi="宋体"/>
          <w:sz w:val="28"/>
          <w:szCs w:val="28"/>
        </w:rPr>
        <w:t>1、商业用地</w:t>
      </w:r>
    </w:p>
    <w:p w14:paraId="0B7FA310">
      <w:pPr>
        <w:spacing w:line="640" w:lineRule="exact"/>
        <w:ind w:firstLine="560" w:firstLineChars="200"/>
        <w:rPr>
          <w:rFonts w:ascii="宋体" w:hAnsi="宋体"/>
          <w:sz w:val="28"/>
          <w:szCs w:val="28"/>
        </w:rPr>
      </w:pPr>
      <w:r>
        <w:rPr>
          <w:rFonts w:hint="eastAsia" w:ascii="宋体" w:hAnsi="宋体"/>
          <w:sz w:val="28"/>
          <w:szCs w:val="28"/>
        </w:rPr>
        <w:t>岷江东岸片区商业用地以旅游商业</w:t>
      </w:r>
      <w:r>
        <w:rPr>
          <w:rFonts w:ascii="宋体" w:hAnsi="宋体"/>
          <w:sz w:val="28"/>
          <w:szCs w:val="28"/>
        </w:rPr>
        <w:t>服务</w:t>
      </w:r>
      <w:r>
        <w:rPr>
          <w:rFonts w:hint="eastAsia" w:ascii="宋体" w:hAnsi="宋体"/>
          <w:sz w:val="28"/>
          <w:szCs w:val="28"/>
        </w:rPr>
        <w:t>为主，包括零售商业、餐饮、旅馆、</w:t>
      </w:r>
      <w:r>
        <w:rPr>
          <w:rFonts w:ascii="宋体" w:hAnsi="宋体"/>
          <w:sz w:val="28"/>
          <w:szCs w:val="28"/>
        </w:rPr>
        <w:t>酒店、度假村</w:t>
      </w:r>
      <w:r>
        <w:rPr>
          <w:rFonts w:hint="eastAsia" w:ascii="宋体" w:hAnsi="宋体"/>
          <w:sz w:val="28"/>
          <w:szCs w:val="28"/>
        </w:rPr>
        <w:t>用地等。规划在</w:t>
      </w:r>
      <w:r>
        <w:rPr>
          <w:rFonts w:ascii="宋体" w:hAnsi="宋体"/>
          <w:sz w:val="28"/>
          <w:szCs w:val="28"/>
        </w:rPr>
        <w:t>片区北部围绕胜利水库</w:t>
      </w:r>
      <w:r>
        <w:rPr>
          <w:rFonts w:hint="eastAsia" w:ascii="宋体" w:hAnsi="宋体"/>
          <w:sz w:val="28"/>
          <w:szCs w:val="28"/>
        </w:rPr>
        <w:t>、</w:t>
      </w:r>
      <w:r>
        <w:rPr>
          <w:rFonts w:ascii="宋体" w:hAnsi="宋体"/>
          <w:sz w:val="28"/>
          <w:szCs w:val="28"/>
        </w:rPr>
        <w:t>山湾宾馆改造形成北部</w:t>
      </w:r>
      <w:r>
        <w:rPr>
          <w:rFonts w:hint="eastAsia" w:ascii="宋体" w:hAnsi="宋体"/>
          <w:sz w:val="28"/>
          <w:szCs w:val="28"/>
        </w:rPr>
        <w:t>商业</w:t>
      </w:r>
      <w:r>
        <w:rPr>
          <w:rFonts w:ascii="宋体" w:hAnsi="宋体"/>
          <w:sz w:val="28"/>
          <w:szCs w:val="28"/>
        </w:rPr>
        <w:t>服务中心</w:t>
      </w:r>
      <w:r>
        <w:rPr>
          <w:rFonts w:hint="eastAsia" w:ascii="宋体" w:hAnsi="宋体"/>
          <w:sz w:val="28"/>
          <w:szCs w:val="28"/>
        </w:rPr>
        <w:t>；片区</w:t>
      </w:r>
      <w:r>
        <w:rPr>
          <w:rFonts w:ascii="宋体" w:hAnsi="宋体"/>
          <w:sz w:val="28"/>
          <w:szCs w:val="28"/>
        </w:rPr>
        <w:t>南部</w:t>
      </w:r>
      <w:r>
        <w:rPr>
          <w:rFonts w:hint="eastAsia" w:ascii="宋体" w:hAnsi="宋体"/>
          <w:sz w:val="28"/>
          <w:szCs w:val="28"/>
        </w:rPr>
        <w:t>在现有嘉州</w:t>
      </w:r>
      <w:r>
        <w:rPr>
          <w:rFonts w:ascii="宋体" w:hAnsi="宋体"/>
          <w:sz w:val="28"/>
          <w:szCs w:val="28"/>
        </w:rPr>
        <w:t>长卷</w:t>
      </w:r>
      <w:r>
        <w:rPr>
          <w:rFonts w:hint="eastAsia" w:ascii="宋体" w:hAnsi="宋体"/>
          <w:sz w:val="28"/>
          <w:szCs w:val="28"/>
        </w:rPr>
        <w:t>天街旅游</w:t>
      </w:r>
      <w:r>
        <w:rPr>
          <w:rFonts w:ascii="宋体" w:hAnsi="宋体"/>
          <w:sz w:val="28"/>
          <w:szCs w:val="28"/>
        </w:rPr>
        <w:t>商业</w:t>
      </w:r>
      <w:r>
        <w:rPr>
          <w:rFonts w:hint="eastAsia" w:ascii="宋体" w:hAnsi="宋体"/>
          <w:sz w:val="28"/>
          <w:szCs w:val="28"/>
        </w:rPr>
        <w:t>服务项目</w:t>
      </w:r>
      <w:r>
        <w:rPr>
          <w:rFonts w:ascii="宋体" w:hAnsi="宋体"/>
          <w:sz w:val="28"/>
          <w:szCs w:val="28"/>
        </w:rPr>
        <w:t>基础上扩大规模，</w:t>
      </w:r>
      <w:r>
        <w:rPr>
          <w:rFonts w:hint="eastAsia" w:ascii="宋体" w:hAnsi="宋体"/>
          <w:sz w:val="28"/>
          <w:szCs w:val="28"/>
        </w:rPr>
        <w:t>向</w:t>
      </w:r>
      <w:r>
        <w:rPr>
          <w:rFonts w:ascii="宋体" w:hAnsi="宋体"/>
          <w:sz w:val="28"/>
          <w:szCs w:val="28"/>
        </w:rPr>
        <w:t>任家坝冲内延伸，</w:t>
      </w:r>
      <w:r>
        <w:rPr>
          <w:rFonts w:hint="eastAsia" w:ascii="宋体" w:hAnsi="宋体"/>
          <w:sz w:val="28"/>
          <w:szCs w:val="28"/>
        </w:rPr>
        <w:t>形成</w:t>
      </w:r>
      <w:r>
        <w:rPr>
          <w:rFonts w:ascii="宋体" w:hAnsi="宋体"/>
          <w:sz w:val="28"/>
          <w:szCs w:val="28"/>
        </w:rPr>
        <w:t>片区</w:t>
      </w:r>
      <w:r>
        <w:rPr>
          <w:rFonts w:hint="eastAsia" w:ascii="宋体" w:hAnsi="宋体"/>
          <w:sz w:val="28"/>
          <w:szCs w:val="28"/>
        </w:rPr>
        <w:t>南部商业服务中心，与大佛</w:t>
      </w:r>
      <w:r>
        <w:rPr>
          <w:rFonts w:ascii="宋体" w:hAnsi="宋体"/>
          <w:sz w:val="28"/>
          <w:szCs w:val="28"/>
        </w:rPr>
        <w:t>景区</w:t>
      </w:r>
      <w:r>
        <w:rPr>
          <w:rFonts w:hint="eastAsia" w:ascii="宋体" w:hAnsi="宋体"/>
          <w:sz w:val="28"/>
          <w:szCs w:val="28"/>
        </w:rPr>
        <w:t>文化休闲、旅游服务、娱乐康体等设施充分结合，营造良好的旅游商业购物环境。</w:t>
      </w:r>
    </w:p>
    <w:p w14:paraId="1A0AF1C7">
      <w:pPr>
        <w:spacing w:line="640" w:lineRule="exact"/>
        <w:ind w:firstLine="560" w:firstLineChars="200"/>
        <w:rPr>
          <w:rFonts w:hint="eastAsia" w:ascii="宋体" w:hAnsi="宋体"/>
          <w:sz w:val="28"/>
          <w:szCs w:val="28"/>
        </w:rPr>
      </w:pPr>
      <w:r>
        <w:rPr>
          <w:rFonts w:hint="eastAsia" w:ascii="宋体" w:hAnsi="宋体"/>
          <w:sz w:val="28"/>
          <w:szCs w:val="28"/>
        </w:rPr>
        <w:t>居住小区级商业设施设于沿街区域，应设置独立的出入口。社区农贸市场设在运输车辆易于进出的相对独立地段，规划片区布置</w:t>
      </w:r>
      <w:r>
        <w:rPr>
          <w:rFonts w:ascii="宋体" w:hAnsi="宋体"/>
          <w:sz w:val="28"/>
          <w:szCs w:val="28"/>
        </w:rPr>
        <w:t>3</w:t>
      </w:r>
      <w:r>
        <w:rPr>
          <w:rFonts w:hint="eastAsia" w:ascii="宋体" w:hAnsi="宋体"/>
          <w:sz w:val="28"/>
          <w:szCs w:val="28"/>
        </w:rPr>
        <w:t>处独立占地的农贸市场。</w:t>
      </w:r>
    </w:p>
    <w:p w14:paraId="0AE7BBE9">
      <w:pPr>
        <w:spacing w:line="640" w:lineRule="exact"/>
        <w:ind w:firstLine="560" w:firstLineChars="200"/>
        <w:rPr>
          <w:rFonts w:hint="eastAsia" w:ascii="宋体" w:hAnsi="宋体"/>
          <w:sz w:val="28"/>
          <w:szCs w:val="28"/>
        </w:rPr>
      </w:pPr>
      <w:r>
        <w:rPr>
          <w:rFonts w:hint="eastAsia" w:ascii="宋体" w:hAnsi="宋体"/>
          <w:sz w:val="28"/>
          <w:szCs w:val="28"/>
        </w:rPr>
        <w:t>片区商业用地面积</w:t>
      </w:r>
      <w:r>
        <w:rPr>
          <w:rFonts w:ascii="宋体" w:hAnsi="宋体"/>
          <w:sz w:val="28"/>
          <w:szCs w:val="28"/>
        </w:rPr>
        <w:t>55.39</w:t>
      </w:r>
      <w:r>
        <w:rPr>
          <w:rFonts w:hint="eastAsia" w:ascii="宋体" w:hAnsi="宋体"/>
          <w:sz w:val="28"/>
          <w:szCs w:val="28"/>
        </w:rPr>
        <w:t>公顷。</w:t>
      </w:r>
    </w:p>
    <w:p w14:paraId="141C5887">
      <w:pPr>
        <w:spacing w:line="640" w:lineRule="exact"/>
        <w:ind w:firstLine="560" w:firstLineChars="200"/>
        <w:rPr>
          <w:rFonts w:hint="eastAsia" w:ascii="宋体" w:hAnsi="宋体"/>
          <w:sz w:val="28"/>
          <w:szCs w:val="28"/>
        </w:rPr>
      </w:pPr>
      <w:r>
        <w:rPr>
          <w:rFonts w:hint="eastAsia" w:ascii="宋体" w:hAnsi="宋体"/>
          <w:sz w:val="28"/>
          <w:szCs w:val="28"/>
        </w:rPr>
        <w:t>2、娱乐康体用地</w:t>
      </w:r>
    </w:p>
    <w:p w14:paraId="7F97B6FC">
      <w:pPr>
        <w:spacing w:line="640" w:lineRule="exact"/>
        <w:ind w:firstLine="560" w:firstLineChars="200"/>
        <w:rPr>
          <w:rFonts w:hint="eastAsia" w:ascii="宋体" w:hAnsi="宋体"/>
          <w:sz w:val="28"/>
          <w:szCs w:val="28"/>
        </w:rPr>
      </w:pPr>
      <w:r>
        <w:rPr>
          <w:rFonts w:hint="eastAsia" w:ascii="宋体" w:hAnsi="宋体"/>
          <w:sz w:val="28"/>
          <w:szCs w:val="28"/>
        </w:rPr>
        <w:t>规划娱乐康体用地</w:t>
      </w:r>
      <w:r>
        <w:rPr>
          <w:rFonts w:ascii="宋体" w:hAnsi="宋体"/>
          <w:sz w:val="28"/>
          <w:szCs w:val="28"/>
        </w:rPr>
        <w:t>3.83</w:t>
      </w:r>
      <w:r>
        <w:rPr>
          <w:rFonts w:hint="eastAsia" w:ascii="宋体" w:hAnsi="宋体"/>
          <w:sz w:val="28"/>
          <w:szCs w:val="28"/>
        </w:rPr>
        <w:t>公顷。结合片区中部碧山湖布置，主要为游乐、休闲娱乐等设施用地。</w:t>
      </w:r>
    </w:p>
    <w:p w14:paraId="2284CB87">
      <w:pPr>
        <w:spacing w:line="640" w:lineRule="exact"/>
        <w:ind w:firstLine="560" w:firstLineChars="200"/>
        <w:rPr>
          <w:rFonts w:hint="eastAsia" w:ascii="宋体" w:hAnsi="宋体"/>
          <w:sz w:val="28"/>
          <w:szCs w:val="28"/>
        </w:rPr>
      </w:pPr>
      <w:r>
        <w:rPr>
          <w:rFonts w:ascii="宋体" w:hAnsi="宋体"/>
          <w:sz w:val="28"/>
          <w:szCs w:val="28"/>
        </w:rPr>
        <w:t>3</w:t>
      </w:r>
      <w:r>
        <w:rPr>
          <w:rFonts w:hint="eastAsia" w:ascii="宋体" w:hAnsi="宋体"/>
          <w:sz w:val="28"/>
          <w:szCs w:val="28"/>
        </w:rPr>
        <w:t>、公用设施营业网点用地</w:t>
      </w:r>
    </w:p>
    <w:p w14:paraId="08267DC4">
      <w:pPr>
        <w:spacing w:line="640" w:lineRule="exact"/>
        <w:ind w:firstLine="560" w:firstLineChars="200"/>
        <w:rPr>
          <w:rFonts w:hint="eastAsia" w:ascii="宋体" w:hAnsi="宋体"/>
          <w:sz w:val="28"/>
          <w:szCs w:val="28"/>
        </w:rPr>
      </w:pPr>
      <w:r>
        <w:rPr>
          <w:rFonts w:hint="eastAsia" w:ascii="宋体" w:hAnsi="宋体"/>
          <w:sz w:val="28"/>
          <w:szCs w:val="28"/>
        </w:rPr>
        <w:t>规划保留并</w:t>
      </w:r>
      <w:r>
        <w:rPr>
          <w:rFonts w:ascii="宋体" w:hAnsi="宋体"/>
          <w:sz w:val="28"/>
          <w:szCs w:val="28"/>
        </w:rPr>
        <w:t>改扩建</w:t>
      </w:r>
      <w:r>
        <w:rPr>
          <w:rFonts w:hint="eastAsia" w:ascii="宋体" w:hAnsi="宋体"/>
          <w:sz w:val="28"/>
          <w:szCs w:val="28"/>
        </w:rPr>
        <w:t>现有加油站、</w:t>
      </w:r>
      <w:r>
        <w:rPr>
          <w:rFonts w:ascii="宋体" w:hAnsi="宋体"/>
          <w:sz w:val="28"/>
          <w:szCs w:val="28"/>
        </w:rPr>
        <w:t>加气站</w:t>
      </w:r>
      <w:r>
        <w:rPr>
          <w:rFonts w:hint="eastAsia" w:ascii="宋体" w:hAnsi="宋体"/>
          <w:sz w:val="28"/>
          <w:szCs w:val="28"/>
        </w:rPr>
        <w:t>，做好</w:t>
      </w:r>
      <w:r>
        <w:rPr>
          <w:rFonts w:ascii="宋体" w:hAnsi="宋体"/>
          <w:sz w:val="28"/>
          <w:szCs w:val="28"/>
        </w:rPr>
        <w:t>安全防护工作</w:t>
      </w:r>
      <w:r>
        <w:rPr>
          <w:rFonts w:hint="eastAsia" w:ascii="宋体" w:hAnsi="宋体"/>
          <w:sz w:val="28"/>
          <w:szCs w:val="28"/>
        </w:rPr>
        <w:t>。各居住小区根据人口规模及实际需求，在沿街住宅底层设置其他公用设施营业网点，方便居民就近办理业务。</w:t>
      </w:r>
    </w:p>
    <w:p w14:paraId="06FDF6CC">
      <w:pPr>
        <w:spacing w:line="640" w:lineRule="exact"/>
        <w:ind w:firstLine="560" w:firstLineChars="200"/>
        <w:rPr>
          <w:rFonts w:hint="eastAsia" w:ascii="宋体" w:hAnsi="宋体"/>
          <w:sz w:val="28"/>
          <w:szCs w:val="28"/>
        </w:rPr>
      </w:pPr>
      <w:r>
        <w:rPr>
          <w:rFonts w:hint="eastAsia" w:ascii="宋体" w:hAnsi="宋体"/>
          <w:sz w:val="28"/>
          <w:szCs w:val="28"/>
        </w:rPr>
        <w:t>片区公用设施营业网点用地</w:t>
      </w:r>
      <w:r>
        <w:rPr>
          <w:rFonts w:ascii="宋体" w:hAnsi="宋体"/>
          <w:sz w:val="28"/>
          <w:szCs w:val="28"/>
        </w:rPr>
        <w:t>0.87</w:t>
      </w:r>
      <w:r>
        <w:rPr>
          <w:rFonts w:hint="eastAsia" w:ascii="宋体" w:hAnsi="宋体"/>
          <w:sz w:val="28"/>
          <w:szCs w:val="28"/>
        </w:rPr>
        <w:t>公顷。</w:t>
      </w:r>
    </w:p>
    <w:p w14:paraId="475D852D">
      <w:pPr>
        <w:spacing w:line="640" w:lineRule="exact"/>
        <w:ind w:firstLine="562" w:firstLineChars="200"/>
        <w:rPr>
          <w:rFonts w:hint="eastAsia" w:ascii="宋体" w:hAnsi="宋体"/>
          <w:b/>
          <w:sz w:val="28"/>
          <w:szCs w:val="28"/>
        </w:rPr>
      </w:pPr>
      <w:r>
        <w:rPr>
          <w:rFonts w:hint="eastAsia" w:ascii="宋体" w:hAnsi="宋体"/>
          <w:b/>
          <w:sz w:val="28"/>
          <w:szCs w:val="28"/>
        </w:rPr>
        <w:t>（五）道路与交通设施用地规划</w:t>
      </w:r>
    </w:p>
    <w:p w14:paraId="75B7003B">
      <w:pPr>
        <w:spacing w:line="640" w:lineRule="exact"/>
        <w:ind w:firstLine="560" w:firstLineChars="200"/>
        <w:rPr>
          <w:rFonts w:hint="eastAsia" w:ascii="宋体" w:hAnsi="宋体"/>
          <w:sz w:val="28"/>
          <w:szCs w:val="28"/>
        </w:rPr>
      </w:pPr>
      <w:r>
        <w:rPr>
          <w:rFonts w:hint="eastAsia" w:ascii="宋体" w:hAnsi="宋体"/>
          <w:sz w:val="28"/>
          <w:szCs w:val="28"/>
        </w:rPr>
        <w:t>按照</w:t>
      </w:r>
      <w:r>
        <w:rPr>
          <w:rFonts w:ascii="宋体" w:hAnsi="宋体"/>
          <w:sz w:val="28"/>
          <w:szCs w:val="28"/>
        </w:rPr>
        <w:t>乐山市城市总体规划要求，完善片区</w:t>
      </w:r>
      <w:r>
        <w:rPr>
          <w:rFonts w:hint="eastAsia" w:ascii="宋体" w:hAnsi="宋体"/>
          <w:sz w:val="28"/>
          <w:szCs w:val="28"/>
        </w:rPr>
        <w:t>城市</w:t>
      </w:r>
      <w:r>
        <w:rPr>
          <w:rFonts w:ascii="宋体" w:hAnsi="宋体"/>
          <w:sz w:val="28"/>
          <w:szCs w:val="28"/>
        </w:rPr>
        <w:t>道路系统，并结合</w:t>
      </w:r>
      <w:r>
        <w:rPr>
          <w:rFonts w:hint="eastAsia" w:ascii="宋体" w:hAnsi="宋体"/>
          <w:sz w:val="28"/>
          <w:szCs w:val="28"/>
        </w:rPr>
        <w:t>旅游</w:t>
      </w:r>
      <w:r>
        <w:rPr>
          <w:rFonts w:ascii="宋体" w:hAnsi="宋体"/>
          <w:sz w:val="28"/>
          <w:szCs w:val="28"/>
        </w:rPr>
        <w:t>度假</w:t>
      </w:r>
      <w:r>
        <w:rPr>
          <w:rFonts w:hint="eastAsia" w:ascii="宋体" w:hAnsi="宋体"/>
          <w:sz w:val="28"/>
          <w:szCs w:val="28"/>
        </w:rPr>
        <w:t>项目建设合理配套</w:t>
      </w:r>
      <w:r>
        <w:rPr>
          <w:rFonts w:ascii="宋体" w:hAnsi="宋体"/>
          <w:sz w:val="28"/>
          <w:szCs w:val="28"/>
        </w:rPr>
        <w:t>游览道路基础设施用地。</w:t>
      </w:r>
    </w:p>
    <w:p w14:paraId="638F2B1D">
      <w:pPr>
        <w:spacing w:line="640" w:lineRule="exact"/>
        <w:ind w:firstLine="560" w:firstLineChars="200"/>
        <w:rPr>
          <w:rFonts w:hint="eastAsia" w:ascii="宋体" w:hAnsi="宋体"/>
          <w:sz w:val="28"/>
          <w:szCs w:val="28"/>
        </w:rPr>
      </w:pPr>
      <w:r>
        <w:rPr>
          <w:rFonts w:hint="eastAsia" w:ascii="宋体" w:hAnsi="宋体"/>
          <w:sz w:val="28"/>
          <w:szCs w:val="28"/>
        </w:rPr>
        <w:t>针对岷江东岸片区商业</w:t>
      </w:r>
      <w:r>
        <w:rPr>
          <w:rFonts w:ascii="宋体" w:hAnsi="宋体"/>
          <w:sz w:val="28"/>
          <w:szCs w:val="28"/>
        </w:rPr>
        <w:t>、</w:t>
      </w:r>
      <w:r>
        <w:rPr>
          <w:rFonts w:hint="eastAsia" w:ascii="宋体" w:hAnsi="宋体"/>
          <w:sz w:val="28"/>
          <w:szCs w:val="28"/>
        </w:rPr>
        <w:t>旅游服务等</w:t>
      </w:r>
      <w:r>
        <w:rPr>
          <w:rFonts w:ascii="宋体" w:hAnsi="宋体"/>
          <w:sz w:val="28"/>
          <w:szCs w:val="28"/>
        </w:rPr>
        <w:t>方面的停车需求</w:t>
      </w:r>
      <w:r>
        <w:rPr>
          <w:rFonts w:hint="eastAsia" w:ascii="宋体" w:hAnsi="宋体"/>
          <w:sz w:val="28"/>
          <w:szCs w:val="28"/>
        </w:rPr>
        <w:t>情况，规划在学校、市场、商业服务</w:t>
      </w:r>
      <w:r>
        <w:rPr>
          <w:rFonts w:ascii="宋体" w:hAnsi="宋体"/>
          <w:sz w:val="28"/>
          <w:szCs w:val="28"/>
        </w:rPr>
        <w:t>中心、休闲度假旅游设施</w:t>
      </w:r>
      <w:r>
        <w:rPr>
          <w:rFonts w:hint="eastAsia" w:ascii="宋体" w:hAnsi="宋体"/>
          <w:sz w:val="28"/>
          <w:szCs w:val="28"/>
        </w:rPr>
        <w:t>集中地段或周边区域设置社会停车场，共设置有6处社会停车场用地，社会停车场规模控制在100-200个泊位左右，采取地面停车和地下停车相结合方式。</w:t>
      </w:r>
    </w:p>
    <w:p w14:paraId="30B35FE8">
      <w:pPr>
        <w:spacing w:line="640" w:lineRule="exact"/>
        <w:ind w:firstLine="560" w:firstLineChars="200"/>
        <w:rPr>
          <w:rFonts w:hint="eastAsia" w:ascii="宋体" w:hAnsi="宋体"/>
          <w:sz w:val="28"/>
          <w:szCs w:val="28"/>
        </w:rPr>
      </w:pPr>
      <w:r>
        <w:rPr>
          <w:rFonts w:hint="eastAsia" w:ascii="宋体" w:hAnsi="宋体"/>
          <w:sz w:val="28"/>
          <w:szCs w:val="28"/>
        </w:rPr>
        <w:t>规划道路与交通设施用地</w:t>
      </w:r>
      <w:r>
        <w:rPr>
          <w:rFonts w:ascii="宋体" w:hAnsi="宋体"/>
          <w:sz w:val="28"/>
          <w:szCs w:val="28"/>
        </w:rPr>
        <w:t>65.07</w:t>
      </w:r>
      <w:r>
        <w:rPr>
          <w:rFonts w:hint="eastAsia" w:ascii="宋体" w:hAnsi="宋体"/>
          <w:sz w:val="28"/>
          <w:szCs w:val="28"/>
        </w:rPr>
        <w:t>公顷，占城市建设用地的2</w:t>
      </w:r>
      <w:r>
        <w:rPr>
          <w:rFonts w:ascii="宋体" w:hAnsi="宋体"/>
          <w:sz w:val="28"/>
          <w:szCs w:val="28"/>
        </w:rPr>
        <w:t>7.45</w:t>
      </w:r>
      <w:r>
        <w:rPr>
          <w:rFonts w:hint="eastAsia" w:ascii="宋体" w:hAnsi="宋体"/>
          <w:sz w:val="28"/>
          <w:szCs w:val="28"/>
        </w:rPr>
        <w:t>%。</w:t>
      </w:r>
    </w:p>
    <w:p w14:paraId="538BEE40">
      <w:pPr>
        <w:spacing w:line="640" w:lineRule="exact"/>
        <w:ind w:firstLine="562" w:firstLineChars="200"/>
        <w:rPr>
          <w:rFonts w:hint="eastAsia" w:ascii="宋体" w:hAnsi="宋体"/>
          <w:b/>
          <w:sz w:val="28"/>
          <w:szCs w:val="28"/>
        </w:rPr>
      </w:pPr>
      <w:r>
        <w:rPr>
          <w:rFonts w:hint="eastAsia" w:ascii="宋体" w:hAnsi="宋体"/>
          <w:b/>
          <w:sz w:val="28"/>
          <w:szCs w:val="28"/>
        </w:rPr>
        <w:t>（六）公用设施用地规划</w:t>
      </w:r>
    </w:p>
    <w:p w14:paraId="6B2324DE">
      <w:pPr>
        <w:spacing w:line="640" w:lineRule="exact"/>
        <w:ind w:firstLine="560" w:firstLineChars="200"/>
        <w:rPr>
          <w:rFonts w:hint="eastAsia" w:ascii="宋体" w:hAnsi="宋体"/>
          <w:sz w:val="28"/>
          <w:szCs w:val="28"/>
        </w:rPr>
      </w:pPr>
      <w:r>
        <w:rPr>
          <w:rFonts w:hint="eastAsia" w:ascii="宋体" w:hAnsi="宋体"/>
          <w:sz w:val="28"/>
          <w:szCs w:val="28"/>
        </w:rPr>
        <w:t>根据总体规划的要求，</w:t>
      </w:r>
      <w:r>
        <w:rPr>
          <w:rFonts w:ascii="宋体" w:hAnsi="宋体"/>
          <w:sz w:val="28"/>
          <w:szCs w:val="28"/>
        </w:rPr>
        <w:t xml:space="preserve"> </w:t>
      </w:r>
      <w:r>
        <w:rPr>
          <w:rFonts w:hint="eastAsia" w:ascii="宋体" w:hAnsi="宋体"/>
          <w:sz w:val="28"/>
          <w:szCs w:val="28"/>
        </w:rPr>
        <w:t>迁出现有二水厂、气瓶检测站，保留并</w:t>
      </w:r>
      <w:r>
        <w:rPr>
          <w:rFonts w:ascii="宋体" w:hAnsi="宋体"/>
          <w:sz w:val="28"/>
          <w:szCs w:val="28"/>
        </w:rPr>
        <w:t>扩建</w:t>
      </w:r>
      <w:r>
        <w:rPr>
          <w:rFonts w:hint="eastAsia" w:ascii="宋体" w:hAnsi="宋体"/>
          <w:sz w:val="28"/>
          <w:szCs w:val="28"/>
        </w:rPr>
        <w:t>碧山</w:t>
      </w:r>
      <w:r>
        <w:rPr>
          <w:rFonts w:ascii="宋体" w:hAnsi="宋体"/>
          <w:sz w:val="28"/>
          <w:szCs w:val="28"/>
        </w:rPr>
        <w:t>路</w:t>
      </w:r>
      <w:r>
        <w:rPr>
          <w:rFonts w:hint="eastAsia" w:ascii="宋体" w:hAnsi="宋体"/>
          <w:sz w:val="28"/>
          <w:szCs w:val="28"/>
        </w:rPr>
        <w:t>现有</w:t>
      </w:r>
      <w:r>
        <w:rPr>
          <w:rFonts w:ascii="宋体" w:hAnsi="宋体"/>
          <w:sz w:val="28"/>
          <w:szCs w:val="28"/>
        </w:rPr>
        <w:t>天然气门站</w:t>
      </w:r>
      <w:r>
        <w:rPr>
          <w:rFonts w:hint="eastAsia" w:ascii="宋体" w:hAnsi="宋体"/>
          <w:sz w:val="28"/>
          <w:szCs w:val="28"/>
        </w:rPr>
        <w:t>。按照城市环境卫生专项规划要求，在碧山</w:t>
      </w:r>
      <w:r>
        <w:rPr>
          <w:rFonts w:ascii="宋体" w:hAnsi="宋体"/>
          <w:sz w:val="28"/>
          <w:szCs w:val="28"/>
        </w:rPr>
        <w:t>路中段</w:t>
      </w:r>
      <w:r>
        <w:rPr>
          <w:rFonts w:hint="eastAsia" w:ascii="宋体" w:hAnsi="宋体"/>
          <w:sz w:val="28"/>
          <w:szCs w:val="28"/>
        </w:rPr>
        <w:t>适当位置规划设置</w:t>
      </w:r>
      <w:r>
        <w:rPr>
          <w:rFonts w:ascii="宋体" w:hAnsi="宋体"/>
          <w:sz w:val="28"/>
          <w:szCs w:val="28"/>
        </w:rPr>
        <w:t>1</w:t>
      </w:r>
      <w:r>
        <w:rPr>
          <w:rFonts w:hint="eastAsia" w:ascii="宋体" w:hAnsi="宋体"/>
          <w:sz w:val="28"/>
          <w:szCs w:val="28"/>
        </w:rPr>
        <w:t>处小型</w:t>
      </w:r>
      <w:r>
        <w:rPr>
          <w:rFonts w:ascii="宋体" w:hAnsi="宋体"/>
          <w:sz w:val="28"/>
          <w:szCs w:val="28"/>
        </w:rPr>
        <w:t>的</w:t>
      </w:r>
      <w:r>
        <w:rPr>
          <w:rFonts w:hint="eastAsia" w:ascii="宋体" w:hAnsi="宋体"/>
          <w:sz w:val="28"/>
          <w:szCs w:val="28"/>
        </w:rPr>
        <w:t>垃圾转运站。</w:t>
      </w:r>
    </w:p>
    <w:p w14:paraId="783F5DBA">
      <w:pPr>
        <w:spacing w:line="640" w:lineRule="exact"/>
        <w:ind w:firstLine="560" w:firstLineChars="200"/>
        <w:rPr>
          <w:rFonts w:hint="eastAsia" w:ascii="宋体" w:hAnsi="宋体"/>
          <w:sz w:val="28"/>
          <w:szCs w:val="28"/>
        </w:rPr>
      </w:pPr>
      <w:r>
        <w:rPr>
          <w:rFonts w:hint="eastAsia" w:ascii="宋体" w:hAnsi="宋体"/>
          <w:sz w:val="28"/>
          <w:szCs w:val="28"/>
        </w:rPr>
        <w:t>规划公用设施用地</w:t>
      </w:r>
      <w:r>
        <w:rPr>
          <w:rFonts w:ascii="宋体" w:hAnsi="宋体"/>
          <w:sz w:val="28"/>
          <w:szCs w:val="28"/>
        </w:rPr>
        <w:t>0.45</w:t>
      </w:r>
      <w:r>
        <w:rPr>
          <w:rFonts w:hint="eastAsia" w:ascii="宋体" w:hAnsi="宋体"/>
          <w:sz w:val="28"/>
          <w:szCs w:val="28"/>
        </w:rPr>
        <w:t>公顷，占规划城市建设用地的</w:t>
      </w:r>
      <w:r>
        <w:rPr>
          <w:rFonts w:ascii="宋体" w:hAnsi="宋体"/>
          <w:sz w:val="28"/>
          <w:szCs w:val="28"/>
        </w:rPr>
        <w:t>0.19</w:t>
      </w:r>
      <w:r>
        <w:rPr>
          <w:rFonts w:hint="eastAsia" w:ascii="宋体" w:hAnsi="宋体"/>
          <w:sz w:val="28"/>
          <w:szCs w:val="28"/>
        </w:rPr>
        <w:t>%。</w:t>
      </w:r>
    </w:p>
    <w:p w14:paraId="149AA34F">
      <w:pPr>
        <w:spacing w:line="640" w:lineRule="exact"/>
        <w:ind w:firstLine="562" w:firstLineChars="200"/>
        <w:rPr>
          <w:rFonts w:hint="eastAsia" w:ascii="宋体" w:hAnsi="宋体"/>
          <w:b/>
          <w:sz w:val="28"/>
          <w:szCs w:val="28"/>
        </w:rPr>
      </w:pPr>
      <w:r>
        <w:rPr>
          <w:rFonts w:hint="eastAsia" w:ascii="宋体" w:hAnsi="宋体"/>
          <w:b/>
          <w:sz w:val="28"/>
          <w:szCs w:val="28"/>
        </w:rPr>
        <w:t>（七）绿地与广场用地规划</w:t>
      </w:r>
    </w:p>
    <w:p w14:paraId="637D3FC0">
      <w:pPr>
        <w:spacing w:line="640" w:lineRule="exact"/>
        <w:ind w:firstLine="560" w:firstLineChars="200"/>
        <w:rPr>
          <w:rFonts w:hint="eastAsia" w:ascii="宋体" w:hAnsi="宋体"/>
          <w:sz w:val="28"/>
          <w:szCs w:val="28"/>
        </w:rPr>
      </w:pPr>
      <w:r>
        <w:rPr>
          <w:rFonts w:hint="eastAsia" w:ascii="宋体" w:hAnsi="宋体"/>
          <w:sz w:val="28"/>
          <w:szCs w:val="28"/>
        </w:rPr>
        <w:t>规划绿地与广场用地</w:t>
      </w:r>
      <w:r>
        <w:rPr>
          <w:rFonts w:ascii="宋体" w:hAnsi="宋体"/>
          <w:sz w:val="28"/>
          <w:szCs w:val="28"/>
        </w:rPr>
        <w:t>38.94</w:t>
      </w:r>
      <w:r>
        <w:rPr>
          <w:rFonts w:hint="eastAsia" w:ascii="宋体" w:hAnsi="宋体"/>
          <w:sz w:val="28"/>
          <w:szCs w:val="28"/>
        </w:rPr>
        <w:t>公顷，占城市建设用地的1</w:t>
      </w:r>
      <w:r>
        <w:rPr>
          <w:rFonts w:ascii="宋体" w:hAnsi="宋体"/>
          <w:sz w:val="28"/>
          <w:szCs w:val="28"/>
        </w:rPr>
        <w:t>6.43</w:t>
      </w:r>
      <w:r>
        <w:rPr>
          <w:rFonts w:hint="eastAsia" w:ascii="宋体" w:hAnsi="宋体"/>
          <w:sz w:val="28"/>
          <w:szCs w:val="28"/>
        </w:rPr>
        <w:t>％。其中公园绿地</w:t>
      </w:r>
      <w:r>
        <w:rPr>
          <w:rFonts w:ascii="宋体" w:hAnsi="宋体"/>
          <w:sz w:val="28"/>
          <w:szCs w:val="28"/>
        </w:rPr>
        <w:t>28.04</w:t>
      </w:r>
      <w:r>
        <w:rPr>
          <w:rFonts w:hint="eastAsia" w:ascii="宋体" w:hAnsi="宋体"/>
          <w:sz w:val="28"/>
          <w:szCs w:val="28"/>
        </w:rPr>
        <w:t>公顷，防护绿地</w:t>
      </w:r>
      <w:r>
        <w:rPr>
          <w:rFonts w:ascii="宋体" w:hAnsi="宋体"/>
          <w:sz w:val="28"/>
          <w:szCs w:val="28"/>
        </w:rPr>
        <w:t>8.60</w:t>
      </w:r>
      <w:r>
        <w:rPr>
          <w:rFonts w:hint="eastAsia" w:ascii="宋体" w:hAnsi="宋体"/>
          <w:sz w:val="28"/>
          <w:szCs w:val="28"/>
        </w:rPr>
        <w:t>公顷，广场用地</w:t>
      </w:r>
      <w:r>
        <w:rPr>
          <w:rFonts w:ascii="宋体" w:hAnsi="宋体"/>
          <w:sz w:val="28"/>
          <w:szCs w:val="28"/>
        </w:rPr>
        <w:t>2.30</w:t>
      </w:r>
      <w:r>
        <w:rPr>
          <w:rFonts w:hint="eastAsia" w:ascii="宋体" w:hAnsi="宋体"/>
          <w:sz w:val="28"/>
          <w:szCs w:val="28"/>
        </w:rPr>
        <w:t>公顷。</w:t>
      </w:r>
    </w:p>
    <w:p w14:paraId="6A0220A8">
      <w:pPr>
        <w:spacing w:line="640" w:lineRule="exact"/>
        <w:ind w:firstLine="560" w:firstLineChars="200"/>
        <w:rPr>
          <w:rFonts w:ascii="宋体" w:hAnsi="宋体"/>
          <w:sz w:val="28"/>
          <w:szCs w:val="28"/>
        </w:rPr>
      </w:pPr>
      <w:r>
        <w:rPr>
          <w:rFonts w:hint="eastAsia" w:ascii="宋体" w:hAnsi="宋体"/>
          <w:sz w:val="28"/>
          <w:szCs w:val="28"/>
        </w:rPr>
        <w:t>根据总体规划对绿地系统的规划要求，岷江东岸片区绿地系统结合岷江、泥</w:t>
      </w:r>
      <w:r>
        <w:rPr>
          <w:rFonts w:ascii="宋体" w:hAnsi="宋体"/>
          <w:sz w:val="28"/>
          <w:szCs w:val="28"/>
        </w:rPr>
        <w:t>溪河</w:t>
      </w:r>
      <w:r>
        <w:rPr>
          <w:rFonts w:hint="eastAsia" w:ascii="宋体" w:hAnsi="宋体"/>
          <w:sz w:val="28"/>
          <w:szCs w:val="28"/>
        </w:rPr>
        <w:t>以及</w:t>
      </w:r>
      <w:r>
        <w:rPr>
          <w:rFonts w:ascii="宋体" w:hAnsi="宋体"/>
          <w:sz w:val="28"/>
          <w:szCs w:val="28"/>
        </w:rPr>
        <w:t>任家坝冲溪沟</w:t>
      </w:r>
      <w:r>
        <w:rPr>
          <w:rFonts w:hint="eastAsia" w:ascii="宋体" w:hAnsi="宋体"/>
          <w:sz w:val="28"/>
          <w:szCs w:val="28"/>
        </w:rPr>
        <w:t>水生态建设，布置公园绿地、绿化广场、生态绿地，逐步形成点、线、面相结合的城市绿地网架。同时，加强碧山湖</w:t>
      </w:r>
      <w:r>
        <w:rPr>
          <w:rFonts w:ascii="宋体" w:hAnsi="宋体"/>
          <w:sz w:val="28"/>
          <w:szCs w:val="28"/>
        </w:rPr>
        <w:t>、</w:t>
      </w:r>
      <w:r>
        <w:rPr>
          <w:rFonts w:hint="eastAsia" w:ascii="宋体" w:hAnsi="宋体"/>
          <w:sz w:val="28"/>
          <w:szCs w:val="28"/>
        </w:rPr>
        <w:t>国道348线生态绿化建设，提升</w:t>
      </w:r>
      <w:r>
        <w:rPr>
          <w:rFonts w:ascii="宋体" w:hAnsi="宋体"/>
          <w:sz w:val="28"/>
          <w:szCs w:val="28"/>
        </w:rPr>
        <w:t>区域</w:t>
      </w:r>
      <w:r>
        <w:rPr>
          <w:rFonts w:hint="eastAsia" w:ascii="宋体" w:hAnsi="宋体"/>
          <w:sz w:val="28"/>
          <w:szCs w:val="28"/>
        </w:rPr>
        <w:t>生态</w:t>
      </w:r>
      <w:r>
        <w:rPr>
          <w:rFonts w:ascii="宋体" w:hAnsi="宋体"/>
          <w:sz w:val="28"/>
          <w:szCs w:val="28"/>
        </w:rPr>
        <w:t>景观环境</w:t>
      </w:r>
      <w:r>
        <w:rPr>
          <w:rFonts w:hint="eastAsia" w:ascii="宋体" w:hAnsi="宋体"/>
          <w:sz w:val="28"/>
          <w:szCs w:val="28"/>
        </w:rPr>
        <w:t>，</w:t>
      </w:r>
      <w:r>
        <w:rPr>
          <w:rFonts w:ascii="宋体" w:hAnsi="宋体"/>
          <w:sz w:val="28"/>
          <w:szCs w:val="28"/>
        </w:rPr>
        <w:t>促进</w:t>
      </w:r>
      <w:r>
        <w:rPr>
          <w:rFonts w:hint="eastAsia" w:ascii="宋体" w:hAnsi="宋体"/>
          <w:sz w:val="28"/>
          <w:szCs w:val="28"/>
        </w:rPr>
        <w:t>片区休闲</w:t>
      </w:r>
      <w:r>
        <w:rPr>
          <w:rFonts w:ascii="宋体" w:hAnsi="宋体"/>
          <w:sz w:val="28"/>
          <w:szCs w:val="28"/>
        </w:rPr>
        <w:t>度假旅游产业发展</w:t>
      </w:r>
      <w:r>
        <w:rPr>
          <w:rFonts w:hint="eastAsia" w:ascii="宋体" w:hAnsi="宋体"/>
          <w:sz w:val="28"/>
          <w:szCs w:val="28"/>
        </w:rPr>
        <w:t>。</w:t>
      </w:r>
    </w:p>
    <w:p w14:paraId="76AF0A1A">
      <w:pPr>
        <w:spacing w:line="640" w:lineRule="exact"/>
        <w:ind w:firstLine="562" w:firstLineChars="200"/>
        <w:rPr>
          <w:rFonts w:hint="eastAsia" w:ascii="宋体" w:hAnsi="宋体"/>
          <w:b/>
          <w:sz w:val="28"/>
          <w:szCs w:val="28"/>
        </w:rPr>
      </w:pPr>
      <w:r>
        <w:rPr>
          <w:rFonts w:hint="eastAsia" w:ascii="宋体" w:hAnsi="宋体"/>
          <w:b/>
          <w:sz w:val="28"/>
          <w:szCs w:val="28"/>
        </w:rPr>
        <w:t>（八）弹性用地规划</w:t>
      </w:r>
    </w:p>
    <w:p w14:paraId="2B8B8AC7">
      <w:pPr>
        <w:spacing w:line="640" w:lineRule="exact"/>
        <w:ind w:firstLine="560" w:firstLineChars="200"/>
        <w:rPr>
          <w:rFonts w:ascii="宋体" w:hAnsi="宋体"/>
          <w:sz w:val="28"/>
          <w:szCs w:val="28"/>
        </w:rPr>
      </w:pPr>
      <w:r>
        <w:rPr>
          <w:rFonts w:hint="eastAsia" w:ascii="宋体" w:hAnsi="宋体"/>
          <w:sz w:val="28"/>
          <w:szCs w:val="28"/>
        </w:rPr>
        <w:t>规划将</w:t>
      </w:r>
      <w:r>
        <w:rPr>
          <w:rFonts w:ascii="宋体" w:hAnsi="宋体"/>
          <w:sz w:val="28"/>
          <w:szCs w:val="28"/>
        </w:rPr>
        <w:t>乐山四中搬迁后</w:t>
      </w:r>
      <w:r>
        <w:rPr>
          <w:rFonts w:hint="eastAsia" w:ascii="宋体" w:hAnsi="宋体"/>
          <w:sz w:val="28"/>
          <w:szCs w:val="28"/>
        </w:rPr>
        <w:t>的</w:t>
      </w:r>
      <w:r>
        <w:rPr>
          <w:rFonts w:ascii="宋体" w:hAnsi="宋体"/>
          <w:sz w:val="28"/>
          <w:szCs w:val="28"/>
        </w:rPr>
        <w:t>用地</w:t>
      </w:r>
      <w:r>
        <w:rPr>
          <w:rFonts w:hint="eastAsia" w:ascii="宋体" w:hAnsi="宋体"/>
          <w:sz w:val="28"/>
          <w:szCs w:val="28"/>
        </w:rPr>
        <w:t>（面积1.37公顷）调整</w:t>
      </w:r>
      <w:r>
        <w:rPr>
          <w:rFonts w:ascii="宋体" w:hAnsi="宋体"/>
          <w:sz w:val="28"/>
          <w:szCs w:val="28"/>
        </w:rPr>
        <w:t>为弹性用地，</w:t>
      </w:r>
      <w:r>
        <w:rPr>
          <w:rFonts w:hint="eastAsia" w:ascii="宋体" w:hAnsi="宋体"/>
          <w:sz w:val="28"/>
          <w:szCs w:val="28"/>
        </w:rPr>
        <w:t>用于</w:t>
      </w:r>
      <w:r>
        <w:rPr>
          <w:rFonts w:ascii="宋体" w:hAnsi="宋体"/>
          <w:sz w:val="28"/>
          <w:szCs w:val="28"/>
        </w:rPr>
        <w:t>补充</w:t>
      </w:r>
      <w:r>
        <w:rPr>
          <w:rFonts w:hint="eastAsia" w:ascii="宋体" w:hAnsi="宋体"/>
          <w:sz w:val="28"/>
          <w:szCs w:val="28"/>
        </w:rPr>
        <w:t>片区公共管理与公共服务设施、</w:t>
      </w:r>
      <w:r>
        <w:rPr>
          <w:rFonts w:ascii="宋体" w:hAnsi="宋体"/>
          <w:sz w:val="28"/>
          <w:szCs w:val="28"/>
        </w:rPr>
        <w:t>商业服务设施建设</w:t>
      </w:r>
      <w:r>
        <w:rPr>
          <w:rFonts w:hint="eastAsia" w:ascii="宋体" w:hAnsi="宋体"/>
          <w:sz w:val="28"/>
          <w:szCs w:val="28"/>
        </w:rPr>
        <w:t>不足</w:t>
      </w:r>
      <w:r>
        <w:rPr>
          <w:rFonts w:ascii="宋体" w:hAnsi="宋体"/>
          <w:sz w:val="28"/>
          <w:szCs w:val="28"/>
        </w:rPr>
        <w:t>；另在</w:t>
      </w:r>
      <w:r>
        <w:rPr>
          <w:rFonts w:hint="eastAsia" w:ascii="宋体" w:hAnsi="宋体"/>
          <w:sz w:val="28"/>
          <w:szCs w:val="28"/>
        </w:rPr>
        <w:t>山龙</w:t>
      </w:r>
      <w:r>
        <w:rPr>
          <w:rFonts w:ascii="宋体" w:hAnsi="宋体"/>
          <w:sz w:val="28"/>
          <w:szCs w:val="28"/>
        </w:rPr>
        <w:t>路中段北侧预留一处弹性用地</w:t>
      </w:r>
      <w:r>
        <w:rPr>
          <w:rFonts w:hint="eastAsia" w:ascii="宋体" w:hAnsi="宋体"/>
          <w:sz w:val="28"/>
          <w:szCs w:val="28"/>
        </w:rPr>
        <w:t>0.38公顷</w:t>
      </w:r>
      <w:r>
        <w:rPr>
          <w:rFonts w:ascii="宋体" w:hAnsi="宋体"/>
          <w:sz w:val="28"/>
          <w:szCs w:val="28"/>
        </w:rPr>
        <w:t>，用于</w:t>
      </w:r>
      <w:r>
        <w:rPr>
          <w:rFonts w:hint="eastAsia" w:ascii="宋体" w:hAnsi="宋体"/>
          <w:sz w:val="28"/>
          <w:szCs w:val="28"/>
        </w:rPr>
        <w:t>公共管理与公共服务设施、市政公用设施建设</w:t>
      </w:r>
      <w:r>
        <w:rPr>
          <w:rFonts w:ascii="宋体" w:hAnsi="宋体"/>
          <w:sz w:val="28"/>
          <w:szCs w:val="28"/>
        </w:rPr>
        <w:t>。</w:t>
      </w:r>
    </w:p>
    <w:p w14:paraId="5C11C817">
      <w:pPr>
        <w:spacing w:line="640" w:lineRule="exact"/>
        <w:ind w:firstLine="562" w:firstLineChars="200"/>
        <w:rPr>
          <w:rFonts w:hint="eastAsia" w:ascii="宋体" w:hAnsi="宋体"/>
          <w:b/>
          <w:sz w:val="28"/>
          <w:szCs w:val="28"/>
        </w:rPr>
      </w:pPr>
      <w:r>
        <w:rPr>
          <w:rFonts w:hint="eastAsia" w:ascii="宋体" w:hAnsi="宋体"/>
          <w:b/>
          <w:sz w:val="28"/>
          <w:szCs w:val="28"/>
        </w:rPr>
        <w:t>（九）非</w:t>
      </w:r>
      <w:r>
        <w:rPr>
          <w:rFonts w:ascii="宋体" w:hAnsi="宋体"/>
          <w:b/>
          <w:sz w:val="28"/>
          <w:szCs w:val="28"/>
        </w:rPr>
        <w:t>建设用地规划</w:t>
      </w:r>
    </w:p>
    <w:p w14:paraId="7C2B7136">
      <w:pPr>
        <w:spacing w:line="640" w:lineRule="exact"/>
        <w:ind w:firstLine="560" w:firstLineChars="200"/>
        <w:rPr>
          <w:rFonts w:hint="eastAsia" w:ascii="宋体" w:hAnsi="宋体"/>
          <w:sz w:val="28"/>
          <w:szCs w:val="28"/>
        </w:rPr>
      </w:pPr>
      <w:r>
        <w:rPr>
          <w:rFonts w:hint="eastAsia" w:ascii="宋体" w:hAnsi="宋体"/>
          <w:sz w:val="28"/>
          <w:szCs w:val="28"/>
        </w:rPr>
        <w:t>规划区</w:t>
      </w:r>
      <w:r>
        <w:rPr>
          <w:rFonts w:ascii="宋体" w:hAnsi="宋体"/>
          <w:sz w:val="28"/>
          <w:szCs w:val="28"/>
        </w:rPr>
        <w:t>内非建设用地共计</w:t>
      </w:r>
      <w:r>
        <w:rPr>
          <w:rFonts w:hint="eastAsia" w:ascii="宋体" w:hAnsi="宋体"/>
          <w:sz w:val="28"/>
          <w:szCs w:val="28"/>
        </w:rPr>
        <w:t>390.48公顷</w:t>
      </w:r>
      <w:r>
        <w:rPr>
          <w:rFonts w:ascii="宋体" w:hAnsi="宋体"/>
          <w:sz w:val="28"/>
          <w:szCs w:val="28"/>
        </w:rPr>
        <w:t>，规划农林用地范围内允许适当的新</w:t>
      </w:r>
      <w:r>
        <w:rPr>
          <w:rFonts w:hint="eastAsia" w:ascii="宋体" w:hAnsi="宋体"/>
          <w:sz w:val="28"/>
          <w:szCs w:val="28"/>
        </w:rPr>
        <w:t>农村</w:t>
      </w:r>
      <w:r>
        <w:rPr>
          <w:rFonts w:ascii="宋体" w:hAnsi="宋体"/>
          <w:sz w:val="28"/>
          <w:szCs w:val="28"/>
        </w:rPr>
        <w:t>建设、重大基础设施建设等建设行为。</w:t>
      </w:r>
    </w:p>
    <w:p w14:paraId="3037C46D">
      <w:pPr>
        <w:pStyle w:val="14"/>
        <w:spacing w:line="500" w:lineRule="exact"/>
        <w:ind w:firstLine="0" w:firstLineChars="0"/>
        <w:jc w:val="center"/>
        <w:rPr>
          <w:rFonts w:hint="eastAsia" w:ascii="黑体" w:eastAsia="黑体"/>
          <w:sz w:val="28"/>
          <w:szCs w:val="28"/>
        </w:rPr>
      </w:pPr>
      <w:r>
        <w:rPr>
          <w:rFonts w:hint="eastAsia" w:ascii="黑体" w:eastAsia="黑体"/>
          <w:sz w:val="28"/>
          <w:szCs w:val="28"/>
        </w:rPr>
        <w:t>城市建设用地平衡表</w:t>
      </w:r>
    </w:p>
    <w:p w14:paraId="7210C1F9">
      <w:pPr>
        <w:spacing w:line="440" w:lineRule="exact"/>
        <w:rPr>
          <w:rFonts w:hint="eastAsia"/>
          <w:szCs w:val="21"/>
        </w:rPr>
      </w:pPr>
      <w:r>
        <w:rPr>
          <w:rFonts w:hint="eastAsia" w:ascii="宋体" w:hAnsi="宋体"/>
          <w:szCs w:val="21"/>
        </w:rPr>
        <w:t>表5-2</w:t>
      </w:r>
    </w:p>
    <w:tbl>
      <w:tblPr>
        <w:tblStyle w:val="4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396"/>
        <w:gridCol w:w="570"/>
        <w:gridCol w:w="3210"/>
        <w:gridCol w:w="1134"/>
        <w:gridCol w:w="1323"/>
        <w:gridCol w:w="1134"/>
        <w:gridCol w:w="1796"/>
      </w:tblGrid>
      <w:tr w14:paraId="67081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8" w:type="dxa"/>
            <w:shd w:val="clear" w:color="auto" w:fill="D9D9D9"/>
            <w:noWrap w:val="0"/>
            <w:vAlign w:val="center"/>
          </w:tcPr>
          <w:p w14:paraId="4FCDB21D">
            <w:pPr>
              <w:widowControl/>
              <w:spacing w:line="340" w:lineRule="exact"/>
              <w:jc w:val="center"/>
              <w:rPr>
                <w:rFonts w:hint="eastAsia" w:ascii="宋体" w:hAnsi="宋体"/>
                <w:szCs w:val="21"/>
              </w:rPr>
            </w:pPr>
            <w:r>
              <w:rPr>
                <w:rFonts w:hint="eastAsia" w:ascii="宋体" w:hAnsi="宋体"/>
                <w:szCs w:val="21"/>
              </w:rPr>
              <w:t>序</w:t>
            </w:r>
          </w:p>
          <w:p w14:paraId="2723DCAB">
            <w:pPr>
              <w:spacing w:line="340" w:lineRule="exact"/>
              <w:jc w:val="center"/>
              <w:outlineLvl w:val="0"/>
              <w:rPr>
                <w:rFonts w:hint="eastAsia" w:ascii="宋体" w:hAnsi="宋体"/>
                <w:szCs w:val="21"/>
              </w:rPr>
            </w:pPr>
            <w:bookmarkStart w:id="80" w:name="_Toc418581525"/>
            <w:bookmarkStart w:id="81" w:name="_Toc6394585"/>
            <w:bookmarkStart w:id="82" w:name="_Toc36646765"/>
            <w:bookmarkStart w:id="83" w:name="_Toc516750920"/>
            <w:bookmarkStart w:id="84" w:name="_Toc440987346"/>
            <w:bookmarkStart w:id="85" w:name="_Toc26539931"/>
            <w:bookmarkStart w:id="86" w:name="_Toc418171796"/>
            <w:bookmarkStart w:id="87" w:name="_Toc418773905"/>
            <w:bookmarkStart w:id="88" w:name="_Toc418775113"/>
            <w:bookmarkStart w:id="89" w:name="_Toc5117149"/>
            <w:r>
              <w:rPr>
                <w:rFonts w:hint="eastAsia" w:ascii="宋体" w:hAnsi="宋体"/>
                <w:szCs w:val="21"/>
              </w:rPr>
              <w:t>号</w:t>
            </w:r>
            <w:bookmarkEnd w:id="80"/>
            <w:bookmarkEnd w:id="81"/>
            <w:bookmarkEnd w:id="82"/>
            <w:bookmarkEnd w:id="83"/>
            <w:bookmarkEnd w:id="84"/>
            <w:bookmarkEnd w:id="85"/>
            <w:bookmarkEnd w:id="86"/>
            <w:bookmarkEnd w:id="87"/>
            <w:bookmarkEnd w:id="88"/>
            <w:bookmarkEnd w:id="89"/>
          </w:p>
        </w:tc>
        <w:tc>
          <w:tcPr>
            <w:tcW w:w="396" w:type="dxa"/>
            <w:shd w:val="clear" w:color="auto" w:fill="D9D9D9"/>
            <w:noWrap w:val="0"/>
            <w:vAlign w:val="center"/>
          </w:tcPr>
          <w:p w14:paraId="4DD5FF92">
            <w:pPr>
              <w:spacing w:line="340" w:lineRule="exact"/>
              <w:jc w:val="center"/>
              <w:outlineLvl w:val="0"/>
              <w:rPr>
                <w:rFonts w:hint="eastAsia" w:ascii="宋体" w:hAnsi="宋体"/>
                <w:szCs w:val="21"/>
              </w:rPr>
            </w:pPr>
            <w:bookmarkStart w:id="90" w:name="_Toc26539932"/>
            <w:bookmarkStart w:id="91" w:name="_Toc440987347"/>
            <w:bookmarkStart w:id="92" w:name="_Toc418581526"/>
            <w:bookmarkStart w:id="93" w:name="_Toc418171797"/>
            <w:bookmarkStart w:id="94" w:name="_Toc418775114"/>
            <w:bookmarkStart w:id="95" w:name="_Toc36646766"/>
            <w:bookmarkStart w:id="96" w:name="_Toc418773906"/>
            <w:bookmarkStart w:id="97" w:name="_Toc5117150"/>
            <w:bookmarkStart w:id="98" w:name="_Toc516750921"/>
            <w:bookmarkStart w:id="99" w:name="_Toc6394586"/>
            <w:r>
              <w:rPr>
                <w:rFonts w:hint="eastAsia" w:ascii="宋体" w:hAnsi="宋体"/>
                <w:szCs w:val="21"/>
              </w:rPr>
              <w:t>代</w:t>
            </w:r>
            <w:bookmarkEnd w:id="90"/>
            <w:bookmarkEnd w:id="91"/>
            <w:bookmarkEnd w:id="92"/>
            <w:bookmarkEnd w:id="93"/>
            <w:bookmarkEnd w:id="94"/>
            <w:bookmarkEnd w:id="95"/>
            <w:bookmarkEnd w:id="96"/>
            <w:bookmarkEnd w:id="97"/>
            <w:bookmarkEnd w:id="98"/>
            <w:bookmarkEnd w:id="99"/>
          </w:p>
          <w:p w14:paraId="75C52352">
            <w:pPr>
              <w:spacing w:line="340" w:lineRule="exact"/>
              <w:jc w:val="center"/>
              <w:outlineLvl w:val="0"/>
              <w:rPr>
                <w:rFonts w:hint="eastAsia" w:ascii="宋体" w:hAnsi="宋体"/>
                <w:szCs w:val="21"/>
              </w:rPr>
            </w:pPr>
            <w:bookmarkStart w:id="100" w:name="_Toc36646767"/>
            <w:bookmarkStart w:id="101" w:name="_Toc5117151"/>
            <w:bookmarkStart w:id="102" w:name="_Toc440987348"/>
            <w:bookmarkStart w:id="103" w:name="_Toc26539933"/>
            <w:bookmarkStart w:id="104" w:name="_Toc418581527"/>
            <w:bookmarkStart w:id="105" w:name="_Toc418775115"/>
            <w:bookmarkStart w:id="106" w:name="_Toc516750922"/>
            <w:bookmarkStart w:id="107" w:name="_Toc418773907"/>
            <w:bookmarkStart w:id="108" w:name="_Toc6394587"/>
            <w:bookmarkStart w:id="109" w:name="_Toc418171798"/>
            <w:r>
              <w:rPr>
                <w:rFonts w:hint="eastAsia" w:ascii="宋体" w:hAnsi="宋体"/>
                <w:szCs w:val="21"/>
              </w:rPr>
              <w:t>号</w:t>
            </w:r>
            <w:bookmarkEnd w:id="100"/>
            <w:bookmarkEnd w:id="101"/>
            <w:bookmarkEnd w:id="102"/>
            <w:bookmarkEnd w:id="103"/>
            <w:bookmarkEnd w:id="104"/>
            <w:bookmarkEnd w:id="105"/>
            <w:bookmarkEnd w:id="106"/>
            <w:bookmarkEnd w:id="107"/>
            <w:bookmarkEnd w:id="108"/>
            <w:bookmarkEnd w:id="109"/>
          </w:p>
        </w:tc>
        <w:tc>
          <w:tcPr>
            <w:tcW w:w="3780" w:type="dxa"/>
            <w:gridSpan w:val="2"/>
            <w:shd w:val="clear" w:color="auto" w:fill="D9D9D9"/>
            <w:noWrap w:val="0"/>
            <w:vAlign w:val="center"/>
          </w:tcPr>
          <w:p w14:paraId="25798522">
            <w:pPr>
              <w:spacing w:line="340" w:lineRule="exact"/>
              <w:jc w:val="center"/>
              <w:outlineLvl w:val="0"/>
              <w:rPr>
                <w:rFonts w:hint="eastAsia" w:ascii="宋体" w:hAnsi="宋体"/>
                <w:szCs w:val="21"/>
              </w:rPr>
            </w:pPr>
            <w:bookmarkStart w:id="110" w:name="_Toc418775116"/>
            <w:bookmarkStart w:id="111" w:name="_Toc418581528"/>
            <w:bookmarkStart w:id="112" w:name="_Toc440987349"/>
            <w:bookmarkStart w:id="113" w:name="_Toc36646768"/>
            <w:bookmarkStart w:id="114" w:name="_Toc418171799"/>
            <w:bookmarkStart w:id="115" w:name="_Toc516750923"/>
            <w:bookmarkStart w:id="116" w:name="_Toc418773908"/>
            <w:bookmarkStart w:id="117" w:name="_Toc6394588"/>
            <w:bookmarkStart w:id="118" w:name="_Toc5117152"/>
            <w:bookmarkStart w:id="119" w:name="_Toc26539934"/>
            <w:r>
              <w:rPr>
                <w:rFonts w:hint="eastAsia" w:ascii="宋体" w:hAnsi="宋体"/>
                <w:szCs w:val="21"/>
              </w:rPr>
              <w:t>用  地  名  称</w:t>
            </w:r>
            <w:bookmarkEnd w:id="110"/>
            <w:bookmarkEnd w:id="111"/>
            <w:bookmarkEnd w:id="112"/>
            <w:bookmarkEnd w:id="113"/>
            <w:bookmarkEnd w:id="114"/>
            <w:bookmarkEnd w:id="115"/>
            <w:bookmarkEnd w:id="116"/>
            <w:bookmarkEnd w:id="117"/>
            <w:bookmarkEnd w:id="118"/>
            <w:bookmarkEnd w:id="119"/>
          </w:p>
        </w:tc>
        <w:tc>
          <w:tcPr>
            <w:tcW w:w="1134" w:type="dxa"/>
            <w:shd w:val="clear" w:color="auto" w:fill="D9D9D9"/>
            <w:noWrap w:val="0"/>
            <w:vAlign w:val="center"/>
          </w:tcPr>
          <w:p w14:paraId="120F5F3B">
            <w:pPr>
              <w:spacing w:line="340" w:lineRule="exact"/>
              <w:jc w:val="center"/>
              <w:outlineLvl w:val="0"/>
              <w:rPr>
                <w:rFonts w:hint="eastAsia" w:ascii="宋体" w:hAnsi="宋体"/>
                <w:szCs w:val="21"/>
              </w:rPr>
            </w:pPr>
            <w:bookmarkStart w:id="120" w:name="_Toc26539935"/>
            <w:bookmarkStart w:id="121" w:name="_Toc440987350"/>
            <w:bookmarkStart w:id="122" w:name="_Toc36646769"/>
            <w:bookmarkStart w:id="123" w:name="_Toc5117153"/>
            <w:bookmarkStart w:id="124" w:name="_Toc418773909"/>
            <w:bookmarkStart w:id="125" w:name="_Toc516750924"/>
            <w:bookmarkStart w:id="126" w:name="_Toc418775117"/>
            <w:bookmarkStart w:id="127" w:name="_Toc418171800"/>
            <w:bookmarkStart w:id="128" w:name="_Toc6394589"/>
            <w:bookmarkStart w:id="129" w:name="_Toc418581529"/>
            <w:r>
              <w:rPr>
                <w:rFonts w:hint="eastAsia" w:ascii="宋体" w:hAnsi="宋体"/>
                <w:szCs w:val="21"/>
              </w:rPr>
              <w:t>面 积</w:t>
            </w:r>
            <w:bookmarkEnd w:id="120"/>
            <w:bookmarkEnd w:id="121"/>
            <w:bookmarkEnd w:id="122"/>
            <w:bookmarkEnd w:id="123"/>
            <w:bookmarkEnd w:id="124"/>
            <w:bookmarkEnd w:id="125"/>
            <w:bookmarkEnd w:id="126"/>
            <w:bookmarkEnd w:id="127"/>
            <w:bookmarkEnd w:id="128"/>
            <w:bookmarkEnd w:id="129"/>
          </w:p>
          <w:p w14:paraId="078EC74E">
            <w:pPr>
              <w:spacing w:line="340" w:lineRule="exact"/>
              <w:jc w:val="center"/>
              <w:outlineLvl w:val="0"/>
              <w:rPr>
                <w:rFonts w:hint="eastAsia" w:ascii="宋体" w:hAnsi="宋体"/>
                <w:szCs w:val="21"/>
              </w:rPr>
            </w:pPr>
            <w:bookmarkStart w:id="130" w:name="_Toc418171801"/>
            <w:bookmarkStart w:id="131" w:name="_Toc26539936"/>
            <w:bookmarkStart w:id="132" w:name="_Toc516750925"/>
            <w:bookmarkStart w:id="133" w:name="_Toc5117154"/>
            <w:bookmarkStart w:id="134" w:name="_Toc418581530"/>
            <w:bookmarkStart w:id="135" w:name="_Toc418773910"/>
            <w:bookmarkStart w:id="136" w:name="_Toc6394590"/>
            <w:bookmarkStart w:id="137" w:name="_Toc36646770"/>
            <w:bookmarkStart w:id="138" w:name="_Toc418775118"/>
            <w:bookmarkStart w:id="139" w:name="_Toc440987351"/>
            <w:r>
              <w:rPr>
                <w:rFonts w:hint="eastAsia" w:ascii="宋体" w:hAnsi="宋体"/>
                <w:szCs w:val="21"/>
              </w:rPr>
              <w:t>(hm</w:t>
            </w:r>
            <w:r>
              <w:rPr>
                <w:rFonts w:hint="eastAsia" w:ascii="宋体" w:hAnsi="宋体"/>
                <w:szCs w:val="21"/>
                <w:vertAlign w:val="superscript"/>
              </w:rPr>
              <w:t>2</w:t>
            </w:r>
            <w:r>
              <w:rPr>
                <w:rFonts w:hint="eastAsia" w:ascii="宋体" w:hAnsi="宋体"/>
                <w:szCs w:val="21"/>
              </w:rPr>
              <w:t>)</w:t>
            </w:r>
            <w:bookmarkEnd w:id="130"/>
            <w:bookmarkEnd w:id="131"/>
            <w:bookmarkEnd w:id="132"/>
            <w:bookmarkEnd w:id="133"/>
            <w:bookmarkEnd w:id="134"/>
            <w:bookmarkEnd w:id="135"/>
            <w:bookmarkEnd w:id="136"/>
            <w:bookmarkEnd w:id="137"/>
            <w:bookmarkEnd w:id="138"/>
            <w:bookmarkEnd w:id="139"/>
          </w:p>
        </w:tc>
        <w:tc>
          <w:tcPr>
            <w:tcW w:w="1323" w:type="dxa"/>
            <w:shd w:val="clear" w:color="auto" w:fill="D9D9D9"/>
            <w:noWrap w:val="0"/>
            <w:vAlign w:val="center"/>
          </w:tcPr>
          <w:p w14:paraId="3893F816">
            <w:pPr>
              <w:spacing w:line="340" w:lineRule="exact"/>
              <w:jc w:val="center"/>
              <w:outlineLvl w:val="0"/>
              <w:rPr>
                <w:rFonts w:hint="eastAsia" w:ascii="宋体" w:hAnsi="宋体"/>
                <w:szCs w:val="21"/>
              </w:rPr>
            </w:pPr>
            <w:bookmarkStart w:id="140" w:name="_Toc5117155"/>
            <w:bookmarkStart w:id="141" w:name="_Toc418773911"/>
            <w:bookmarkStart w:id="142" w:name="_Toc516750926"/>
            <w:bookmarkStart w:id="143" w:name="_Toc418581531"/>
            <w:bookmarkStart w:id="144" w:name="_Toc36646771"/>
            <w:bookmarkStart w:id="145" w:name="_Toc440987352"/>
            <w:bookmarkStart w:id="146" w:name="_Toc26539937"/>
            <w:bookmarkStart w:id="147" w:name="_Toc6394591"/>
            <w:bookmarkStart w:id="148" w:name="_Toc418775119"/>
            <w:bookmarkStart w:id="149" w:name="_Toc418171802"/>
            <w:r>
              <w:rPr>
                <w:rFonts w:hint="eastAsia" w:ascii="宋体" w:hAnsi="宋体"/>
                <w:szCs w:val="21"/>
              </w:rPr>
              <w:t>占城市建设用地（%）</w:t>
            </w:r>
            <w:bookmarkEnd w:id="140"/>
            <w:bookmarkEnd w:id="141"/>
            <w:bookmarkEnd w:id="142"/>
            <w:bookmarkEnd w:id="143"/>
            <w:bookmarkEnd w:id="144"/>
            <w:bookmarkEnd w:id="145"/>
            <w:bookmarkEnd w:id="146"/>
            <w:bookmarkEnd w:id="147"/>
            <w:bookmarkEnd w:id="148"/>
            <w:bookmarkEnd w:id="149"/>
          </w:p>
        </w:tc>
        <w:tc>
          <w:tcPr>
            <w:tcW w:w="1134" w:type="dxa"/>
            <w:shd w:val="clear" w:color="auto" w:fill="D9D9D9"/>
            <w:noWrap w:val="0"/>
            <w:vAlign w:val="center"/>
          </w:tcPr>
          <w:p w14:paraId="17140F29">
            <w:pPr>
              <w:spacing w:line="340" w:lineRule="exact"/>
              <w:jc w:val="center"/>
              <w:outlineLvl w:val="0"/>
              <w:rPr>
                <w:rFonts w:hint="eastAsia" w:ascii="宋体" w:hAnsi="宋体"/>
                <w:szCs w:val="21"/>
              </w:rPr>
            </w:pPr>
            <w:bookmarkStart w:id="150" w:name="_Toc418581532"/>
            <w:bookmarkStart w:id="151" w:name="_Toc418773912"/>
            <w:bookmarkStart w:id="152" w:name="_Toc5117156"/>
            <w:bookmarkStart w:id="153" w:name="_Toc418171803"/>
            <w:bookmarkStart w:id="154" w:name="_Toc440987353"/>
            <w:bookmarkStart w:id="155" w:name="_Toc418775120"/>
            <w:bookmarkStart w:id="156" w:name="_Toc6394592"/>
            <w:bookmarkStart w:id="157" w:name="_Toc26539938"/>
            <w:bookmarkStart w:id="158" w:name="_Toc36646772"/>
            <w:bookmarkStart w:id="159" w:name="_Toc516750927"/>
            <w:r>
              <w:rPr>
                <w:rFonts w:hint="eastAsia" w:ascii="宋体" w:hAnsi="宋体"/>
                <w:szCs w:val="21"/>
              </w:rPr>
              <w:t>人  均</w:t>
            </w:r>
            <w:bookmarkEnd w:id="150"/>
            <w:bookmarkEnd w:id="151"/>
            <w:bookmarkEnd w:id="152"/>
            <w:bookmarkEnd w:id="153"/>
            <w:bookmarkEnd w:id="154"/>
            <w:bookmarkEnd w:id="155"/>
            <w:bookmarkEnd w:id="156"/>
            <w:bookmarkEnd w:id="157"/>
            <w:bookmarkEnd w:id="158"/>
            <w:bookmarkEnd w:id="159"/>
          </w:p>
          <w:p w14:paraId="0195BAF1">
            <w:pPr>
              <w:spacing w:line="340" w:lineRule="exact"/>
              <w:jc w:val="center"/>
              <w:outlineLvl w:val="0"/>
              <w:rPr>
                <w:rFonts w:hint="eastAsia" w:ascii="宋体" w:hAnsi="宋体"/>
                <w:szCs w:val="21"/>
              </w:rPr>
            </w:pPr>
            <w:bookmarkStart w:id="160" w:name="_Toc6394593"/>
            <w:bookmarkStart w:id="161" w:name="_Toc516750928"/>
            <w:bookmarkStart w:id="162" w:name="_Toc26539939"/>
            <w:bookmarkStart w:id="163" w:name="_Toc418171804"/>
            <w:bookmarkStart w:id="164" w:name="_Toc418773913"/>
            <w:bookmarkStart w:id="165" w:name="_Toc418581533"/>
            <w:bookmarkStart w:id="166" w:name="_Toc36646773"/>
            <w:bookmarkStart w:id="167" w:name="_Toc5117157"/>
            <w:bookmarkStart w:id="168" w:name="_Toc418775121"/>
            <w:bookmarkStart w:id="169" w:name="_Toc440987354"/>
            <w:r>
              <w:rPr>
                <w:rFonts w:hint="eastAsia" w:ascii="宋体" w:hAnsi="宋体"/>
                <w:szCs w:val="21"/>
              </w:rPr>
              <w:t>(m</w:t>
            </w:r>
            <w:r>
              <w:rPr>
                <w:rFonts w:hint="eastAsia" w:ascii="宋体" w:hAnsi="宋体"/>
                <w:szCs w:val="21"/>
                <w:vertAlign w:val="superscript"/>
              </w:rPr>
              <w:t>2</w:t>
            </w:r>
            <w:r>
              <w:rPr>
                <w:rFonts w:hint="eastAsia" w:ascii="宋体" w:hAnsi="宋体"/>
                <w:szCs w:val="21"/>
              </w:rPr>
              <w:t>/人)</w:t>
            </w:r>
            <w:bookmarkEnd w:id="160"/>
            <w:bookmarkEnd w:id="161"/>
            <w:bookmarkEnd w:id="162"/>
            <w:bookmarkEnd w:id="163"/>
            <w:bookmarkEnd w:id="164"/>
            <w:bookmarkEnd w:id="165"/>
            <w:bookmarkEnd w:id="166"/>
            <w:bookmarkEnd w:id="167"/>
            <w:bookmarkEnd w:id="168"/>
            <w:bookmarkEnd w:id="169"/>
          </w:p>
        </w:tc>
        <w:tc>
          <w:tcPr>
            <w:tcW w:w="1796" w:type="dxa"/>
            <w:shd w:val="clear" w:color="auto" w:fill="D9D9D9"/>
            <w:noWrap w:val="0"/>
            <w:vAlign w:val="center"/>
          </w:tcPr>
          <w:p w14:paraId="5A6376E7">
            <w:pPr>
              <w:spacing w:line="340" w:lineRule="exact"/>
              <w:jc w:val="center"/>
              <w:outlineLvl w:val="0"/>
              <w:rPr>
                <w:rFonts w:hint="eastAsia" w:ascii="宋体" w:hAnsi="宋体"/>
                <w:szCs w:val="21"/>
              </w:rPr>
            </w:pPr>
            <w:bookmarkStart w:id="170" w:name="_Toc418581534"/>
            <w:bookmarkStart w:id="171" w:name="_Toc440987355"/>
            <w:bookmarkStart w:id="172" w:name="_Toc418171805"/>
            <w:bookmarkStart w:id="173" w:name="_Toc36646774"/>
            <w:bookmarkStart w:id="174" w:name="_Toc5117158"/>
            <w:bookmarkStart w:id="175" w:name="_Toc516750929"/>
            <w:bookmarkStart w:id="176" w:name="_Toc6394594"/>
            <w:bookmarkStart w:id="177" w:name="_Toc26539940"/>
            <w:bookmarkStart w:id="178" w:name="_Toc418773914"/>
            <w:bookmarkStart w:id="179" w:name="_Toc418775122"/>
            <w:r>
              <w:rPr>
                <w:rFonts w:hint="eastAsia" w:ascii="宋体" w:hAnsi="宋体"/>
                <w:szCs w:val="21"/>
              </w:rPr>
              <w:t>备　注</w:t>
            </w:r>
            <w:bookmarkEnd w:id="170"/>
            <w:bookmarkEnd w:id="171"/>
            <w:bookmarkEnd w:id="172"/>
            <w:bookmarkEnd w:id="173"/>
            <w:bookmarkEnd w:id="174"/>
            <w:bookmarkEnd w:id="175"/>
            <w:bookmarkEnd w:id="176"/>
            <w:bookmarkEnd w:id="177"/>
            <w:bookmarkEnd w:id="178"/>
            <w:bookmarkEnd w:id="179"/>
          </w:p>
        </w:tc>
      </w:tr>
      <w:tr w14:paraId="6654A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 w:hRule="atLeast"/>
        </w:trPr>
        <w:tc>
          <w:tcPr>
            <w:tcW w:w="468" w:type="dxa"/>
            <w:noWrap w:val="0"/>
            <w:vAlign w:val="center"/>
          </w:tcPr>
          <w:p w14:paraId="38BD5F43">
            <w:pPr>
              <w:spacing w:line="340" w:lineRule="exact"/>
              <w:jc w:val="center"/>
              <w:outlineLvl w:val="0"/>
              <w:rPr>
                <w:rFonts w:hint="eastAsia" w:ascii="宋体" w:hAnsi="宋体"/>
                <w:szCs w:val="21"/>
              </w:rPr>
            </w:pPr>
            <w:bookmarkStart w:id="180" w:name="_Toc6394595"/>
            <w:bookmarkStart w:id="181" w:name="_Toc516750930"/>
            <w:bookmarkStart w:id="182" w:name="_Toc36646775"/>
            <w:bookmarkStart w:id="183" w:name="_Toc418773915"/>
            <w:bookmarkStart w:id="184" w:name="_Toc418775123"/>
            <w:bookmarkStart w:id="185" w:name="_Toc5117159"/>
            <w:bookmarkStart w:id="186" w:name="_Toc440987356"/>
            <w:bookmarkStart w:id="187" w:name="_Toc418581535"/>
            <w:bookmarkStart w:id="188" w:name="_Toc26539941"/>
            <w:bookmarkStart w:id="189" w:name="_Toc418171806"/>
            <w:r>
              <w:rPr>
                <w:rFonts w:hint="eastAsia" w:ascii="宋体" w:hAnsi="宋体"/>
                <w:szCs w:val="21"/>
              </w:rPr>
              <w:t>1</w:t>
            </w:r>
            <w:bookmarkEnd w:id="180"/>
            <w:bookmarkEnd w:id="181"/>
            <w:bookmarkEnd w:id="182"/>
            <w:bookmarkEnd w:id="183"/>
            <w:bookmarkEnd w:id="184"/>
            <w:bookmarkEnd w:id="185"/>
            <w:bookmarkEnd w:id="186"/>
            <w:bookmarkEnd w:id="187"/>
            <w:bookmarkEnd w:id="188"/>
            <w:bookmarkEnd w:id="189"/>
          </w:p>
        </w:tc>
        <w:tc>
          <w:tcPr>
            <w:tcW w:w="396" w:type="dxa"/>
            <w:noWrap w:val="0"/>
            <w:vAlign w:val="center"/>
          </w:tcPr>
          <w:p w14:paraId="6CC6188A">
            <w:pPr>
              <w:spacing w:line="340" w:lineRule="exact"/>
              <w:jc w:val="center"/>
              <w:outlineLvl w:val="0"/>
              <w:rPr>
                <w:rFonts w:hint="eastAsia" w:ascii="宋体" w:hAnsi="宋体"/>
                <w:szCs w:val="21"/>
              </w:rPr>
            </w:pPr>
            <w:bookmarkStart w:id="190" w:name="_Toc440987357"/>
            <w:bookmarkStart w:id="191" w:name="_Toc5117160"/>
            <w:bookmarkStart w:id="192" w:name="_Toc418775124"/>
            <w:bookmarkStart w:id="193" w:name="_Toc418773916"/>
            <w:bookmarkStart w:id="194" w:name="_Toc36646776"/>
            <w:bookmarkStart w:id="195" w:name="_Toc6394596"/>
            <w:bookmarkStart w:id="196" w:name="_Toc418171807"/>
            <w:bookmarkStart w:id="197" w:name="_Toc516750931"/>
            <w:bookmarkStart w:id="198" w:name="_Toc418581536"/>
            <w:bookmarkStart w:id="199" w:name="_Toc26539942"/>
            <w:r>
              <w:rPr>
                <w:rFonts w:hint="eastAsia" w:ascii="宋体" w:hAnsi="宋体"/>
                <w:szCs w:val="21"/>
              </w:rPr>
              <w:t>R</w:t>
            </w:r>
            <w:bookmarkEnd w:id="190"/>
            <w:bookmarkEnd w:id="191"/>
            <w:bookmarkEnd w:id="192"/>
            <w:bookmarkEnd w:id="193"/>
            <w:bookmarkEnd w:id="194"/>
            <w:bookmarkEnd w:id="195"/>
            <w:bookmarkEnd w:id="196"/>
            <w:bookmarkEnd w:id="197"/>
            <w:bookmarkEnd w:id="198"/>
            <w:bookmarkEnd w:id="199"/>
          </w:p>
        </w:tc>
        <w:tc>
          <w:tcPr>
            <w:tcW w:w="3780" w:type="dxa"/>
            <w:gridSpan w:val="2"/>
            <w:noWrap w:val="0"/>
            <w:vAlign w:val="center"/>
          </w:tcPr>
          <w:p w14:paraId="67B4BB72">
            <w:pPr>
              <w:spacing w:line="340" w:lineRule="exact"/>
              <w:outlineLvl w:val="0"/>
              <w:rPr>
                <w:rFonts w:hint="eastAsia" w:ascii="宋体" w:hAnsi="宋体"/>
                <w:szCs w:val="21"/>
              </w:rPr>
            </w:pPr>
            <w:bookmarkStart w:id="200" w:name="_Toc418581537"/>
            <w:bookmarkStart w:id="201" w:name="_Toc418775125"/>
            <w:bookmarkStart w:id="202" w:name="_Toc26539943"/>
            <w:bookmarkStart w:id="203" w:name="_Toc418773917"/>
            <w:bookmarkStart w:id="204" w:name="_Toc418171808"/>
            <w:bookmarkStart w:id="205" w:name="_Toc516750932"/>
            <w:bookmarkStart w:id="206" w:name="_Toc6394597"/>
            <w:bookmarkStart w:id="207" w:name="_Toc36646777"/>
            <w:bookmarkStart w:id="208" w:name="_Toc5117161"/>
            <w:bookmarkStart w:id="209" w:name="_Toc440987358"/>
            <w:r>
              <w:rPr>
                <w:rFonts w:hint="eastAsia" w:ascii="宋体" w:hAnsi="宋体"/>
                <w:szCs w:val="21"/>
              </w:rPr>
              <w:t>二类居住用地(R2)</w:t>
            </w:r>
            <w:bookmarkEnd w:id="200"/>
            <w:bookmarkEnd w:id="201"/>
            <w:bookmarkEnd w:id="202"/>
            <w:bookmarkEnd w:id="203"/>
            <w:bookmarkEnd w:id="204"/>
            <w:bookmarkEnd w:id="205"/>
            <w:bookmarkEnd w:id="206"/>
            <w:bookmarkEnd w:id="207"/>
            <w:bookmarkEnd w:id="208"/>
            <w:bookmarkEnd w:id="209"/>
          </w:p>
        </w:tc>
        <w:tc>
          <w:tcPr>
            <w:tcW w:w="1134" w:type="dxa"/>
            <w:noWrap w:val="0"/>
            <w:vAlign w:val="center"/>
          </w:tcPr>
          <w:p w14:paraId="10C661ED">
            <w:pPr>
              <w:spacing w:line="340" w:lineRule="exact"/>
              <w:jc w:val="center"/>
              <w:outlineLvl w:val="0"/>
              <w:rPr>
                <w:rFonts w:hint="eastAsia" w:ascii="宋体" w:hAnsi="宋体"/>
                <w:szCs w:val="21"/>
              </w:rPr>
            </w:pPr>
            <w:bookmarkStart w:id="210" w:name="_Toc36646778"/>
            <w:bookmarkStart w:id="211" w:name="_Toc26539944"/>
            <w:r>
              <w:rPr>
                <w:rFonts w:ascii="宋体" w:hAnsi="宋体"/>
                <w:szCs w:val="21"/>
              </w:rPr>
              <w:t>47.45</w:t>
            </w:r>
            <w:bookmarkEnd w:id="210"/>
            <w:bookmarkEnd w:id="211"/>
          </w:p>
        </w:tc>
        <w:tc>
          <w:tcPr>
            <w:tcW w:w="1323" w:type="dxa"/>
            <w:noWrap w:val="0"/>
            <w:vAlign w:val="center"/>
          </w:tcPr>
          <w:p w14:paraId="2A30AECD">
            <w:pPr>
              <w:spacing w:line="340" w:lineRule="exact"/>
              <w:jc w:val="center"/>
              <w:outlineLvl w:val="0"/>
              <w:rPr>
                <w:rFonts w:hint="eastAsia" w:ascii="宋体" w:hAnsi="宋体"/>
                <w:szCs w:val="21"/>
              </w:rPr>
            </w:pPr>
            <w:r>
              <w:rPr>
                <w:rFonts w:ascii="宋体" w:hAnsi="宋体"/>
                <w:szCs w:val="21"/>
              </w:rPr>
              <w:t>20.01</w:t>
            </w:r>
          </w:p>
        </w:tc>
        <w:tc>
          <w:tcPr>
            <w:tcW w:w="1134" w:type="dxa"/>
            <w:noWrap w:val="0"/>
            <w:vAlign w:val="center"/>
          </w:tcPr>
          <w:p w14:paraId="52847F13">
            <w:pPr>
              <w:spacing w:line="340" w:lineRule="exact"/>
              <w:jc w:val="center"/>
              <w:outlineLvl w:val="0"/>
              <w:rPr>
                <w:rFonts w:hint="eastAsia" w:ascii="宋体" w:hAnsi="宋体"/>
                <w:szCs w:val="21"/>
              </w:rPr>
            </w:pPr>
            <w:bookmarkStart w:id="212" w:name="_Toc36646780"/>
            <w:bookmarkStart w:id="213" w:name="_Toc26539946"/>
            <w:r>
              <w:rPr>
                <w:rFonts w:ascii="宋体" w:hAnsi="宋体"/>
                <w:szCs w:val="21"/>
              </w:rPr>
              <w:t>23.73</w:t>
            </w:r>
            <w:bookmarkEnd w:id="212"/>
            <w:bookmarkEnd w:id="213"/>
          </w:p>
        </w:tc>
        <w:tc>
          <w:tcPr>
            <w:tcW w:w="1796" w:type="dxa"/>
            <w:noWrap w:val="0"/>
            <w:vAlign w:val="top"/>
          </w:tcPr>
          <w:p w14:paraId="0573BF7C">
            <w:pPr>
              <w:spacing w:line="340" w:lineRule="exact"/>
              <w:outlineLvl w:val="0"/>
              <w:rPr>
                <w:rFonts w:hint="eastAsia" w:ascii="宋体" w:hAnsi="宋体"/>
                <w:szCs w:val="21"/>
              </w:rPr>
            </w:pPr>
          </w:p>
        </w:tc>
      </w:tr>
      <w:tr w14:paraId="4EB1C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68" w:type="dxa"/>
            <w:vMerge w:val="restart"/>
            <w:noWrap w:val="0"/>
            <w:vAlign w:val="center"/>
          </w:tcPr>
          <w:p w14:paraId="1B9A2943">
            <w:pPr>
              <w:spacing w:line="340" w:lineRule="exact"/>
              <w:jc w:val="center"/>
              <w:outlineLvl w:val="0"/>
              <w:rPr>
                <w:rFonts w:hint="eastAsia" w:ascii="宋体" w:hAnsi="宋体"/>
                <w:szCs w:val="21"/>
              </w:rPr>
            </w:pPr>
            <w:bookmarkStart w:id="214" w:name="_Toc26539947"/>
            <w:bookmarkStart w:id="215" w:name="_Toc516750936"/>
            <w:bookmarkStart w:id="216" w:name="_Toc418775129"/>
            <w:bookmarkStart w:id="217" w:name="_Toc36646781"/>
            <w:bookmarkStart w:id="218" w:name="_Toc418773921"/>
            <w:bookmarkStart w:id="219" w:name="_Toc6394601"/>
            <w:bookmarkStart w:id="220" w:name="_Toc418171812"/>
            <w:bookmarkStart w:id="221" w:name="_Toc418581541"/>
            <w:bookmarkStart w:id="222" w:name="_Toc440987362"/>
            <w:bookmarkStart w:id="223" w:name="_Toc5117165"/>
            <w:r>
              <w:rPr>
                <w:rFonts w:hint="eastAsia" w:ascii="宋体" w:hAnsi="宋体"/>
                <w:szCs w:val="21"/>
              </w:rPr>
              <w:t>2</w:t>
            </w:r>
            <w:bookmarkEnd w:id="214"/>
            <w:bookmarkEnd w:id="215"/>
            <w:bookmarkEnd w:id="216"/>
            <w:bookmarkEnd w:id="217"/>
            <w:bookmarkEnd w:id="218"/>
            <w:bookmarkEnd w:id="219"/>
            <w:bookmarkEnd w:id="220"/>
            <w:bookmarkEnd w:id="221"/>
            <w:bookmarkEnd w:id="222"/>
            <w:bookmarkEnd w:id="223"/>
          </w:p>
        </w:tc>
        <w:tc>
          <w:tcPr>
            <w:tcW w:w="396" w:type="dxa"/>
            <w:vMerge w:val="restart"/>
            <w:noWrap w:val="0"/>
            <w:vAlign w:val="center"/>
          </w:tcPr>
          <w:p w14:paraId="4636A328">
            <w:pPr>
              <w:spacing w:line="340" w:lineRule="exact"/>
              <w:jc w:val="center"/>
              <w:outlineLvl w:val="0"/>
              <w:rPr>
                <w:rFonts w:hint="eastAsia" w:ascii="宋体" w:hAnsi="宋体"/>
                <w:szCs w:val="21"/>
              </w:rPr>
            </w:pPr>
            <w:bookmarkStart w:id="224" w:name="_Toc418171813"/>
            <w:bookmarkStart w:id="225" w:name="_Toc418773922"/>
            <w:bookmarkStart w:id="226" w:name="_Toc6394602"/>
            <w:bookmarkStart w:id="227" w:name="_Toc418581542"/>
            <w:bookmarkStart w:id="228" w:name="_Toc516750937"/>
            <w:bookmarkStart w:id="229" w:name="_Toc5117166"/>
            <w:bookmarkStart w:id="230" w:name="_Toc440987363"/>
            <w:bookmarkStart w:id="231" w:name="_Toc36646782"/>
            <w:bookmarkStart w:id="232" w:name="_Toc26539948"/>
            <w:bookmarkStart w:id="233" w:name="_Toc418775130"/>
            <w:r>
              <w:rPr>
                <w:rFonts w:hint="eastAsia" w:ascii="宋体" w:hAnsi="宋体"/>
                <w:szCs w:val="21"/>
              </w:rPr>
              <w:t>A</w:t>
            </w:r>
            <w:bookmarkEnd w:id="224"/>
            <w:bookmarkEnd w:id="225"/>
            <w:bookmarkEnd w:id="226"/>
            <w:bookmarkEnd w:id="227"/>
            <w:bookmarkEnd w:id="228"/>
            <w:bookmarkEnd w:id="229"/>
            <w:bookmarkEnd w:id="230"/>
            <w:bookmarkEnd w:id="231"/>
            <w:bookmarkEnd w:id="232"/>
            <w:bookmarkEnd w:id="233"/>
          </w:p>
        </w:tc>
        <w:tc>
          <w:tcPr>
            <w:tcW w:w="3780" w:type="dxa"/>
            <w:gridSpan w:val="2"/>
            <w:noWrap w:val="0"/>
            <w:vAlign w:val="center"/>
          </w:tcPr>
          <w:p w14:paraId="0BBF30BE">
            <w:pPr>
              <w:spacing w:line="340" w:lineRule="exact"/>
              <w:outlineLvl w:val="0"/>
              <w:rPr>
                <w:rFonts w:hint="eastAsia" w:ascii="宋体" w:hAnsi="宋体"/>
                <w:szCs w:val="21"/>
              </w:rPr>
            </w:pPr>
            <w:bookmarkStart w:id="234" w:name="_Toc5117167"/>
            <w:bookmarkStart w:id="235" w:name="_Toc418775131"/>
            <w:bookmarkStart w:id="236" w:name="_Toc418581543"/>
            <w:bookmarkStart w:id="237" w:name="_Toc440987364"/>
            <w:bookmarkStart w:id="238" w:name="_Toc516750938"/>
            <w:bookmarkStart w:id="239" w:name="_Toc418773923"/>
            <w:bookmarkStart w:id="240" w:name="_Toc418171814"/>
            <w:bookmarkStart w:id="241" w:name="_Toc6394603"/>
            <w:bookmarkStart w:id="242" w:name="_Toc36646783"/>
            <w:bookmarkStart w:id="243" w:name="_Toc26539949"/>
            <w:r>
              <w:rPr>
                <w:rFonts w:hint="eastAsia" w:ascii="宋体" w:hAnsi="宋体"/>
                <w:szCs w:val="21"/>
              </w:rPr>
              <w:t>公共管理与公共服务</w:t>
            </w:r>
            <w:bookmarkEnd w:id="234"/>
            <w:bookmarkEnd w:id="235"/>
            <w:bookmarkEnd w:id="236"/>
            <w:bookmarkEnd w:id="237"/>
            <w:bookmarkEnd w:id="238"/>
            <w:bookmarkEnd w:id="239"/>
            <w:bookmarkEnd w:id="240"/>
            <w:bookmarkEnd w:id="241"/>
            <w:bookmarkEnd w:id="242"/>
            <w:bookmarkEnd w:id="243"/>
          </w:p>
          <w:p w14:paraId="78ADBC70">
            <w:pPr>
              <w:spacing w:line="340" w:lineRule="exact"/>
              <w:outlineLvl w:val="0"/>
              <w:rPr>
                <w:rFonts w:hint="eastAsia" w:ascii="宋体" w:hAnsi="宋体"/>
                <w:szCs w:val="21"/>
              </w:rPr>
            </w:pPr>
            <w:bookmarkStart w:id="244" w:name="_Toc418773924"/>
            <w:bookmarkStart w:id="245" w:name="_Toc418171815"/>
            <w:bookmarkStart w:id="246" w:name="_Toc440987365"/>
            <w:bookmarkStart w:id="247" w:name="_Toc418581544"/>
            <w:bookmarkStart w:id="248" w:name="_Toc516750939"/>
            <w:bookmarkStart w:id="249" w:name="_Toc26539950"/>
            <w:bookmarkStart w:id="250" w:name="_Toc418775132"/>
            <w:bookmarkStart w:id="251" w:name="_Toc36646784"/>
            <w:bookmarkStart w:id="252" w:name="_Toc6394604"/>
            <w:bookmarkStart w:id="253" w:name="_Toc5117168"/>
            <w:r>
              <w:rPr>
                <w:rFonts w:hint="eastAsia" w:ascii="宋体" w:hAnsi="宋体"/>
                <w:szCs w:val="21"/>
              </w:rPr>
              <w:t>设施用地(A)</w:t>
            </w:r>
            <w:bookmarkEnd w:id="244"/>
            <w:bookmarkEnd w:id="245"/>
            <w:bookmarkEnd w:id="246"/>
            <w:bookmarkEnd w:id="247"/>
            <w:bookmarkEnd w:id="248"/>
            <w:bookmarkEnd w:id="249"/>
            <w:bookmarkEnd w:id="250"/>
            <w:bookmarkEnd w:id="251"/>
            <w:bookmarkEnd w:id="252"/>
            <w:bookmarkEnd w:id="253"/>
          </w:p>
        </w:tc>
        <w:tc>
          <w:tcPr>
            <w:tcW w:w="1134" w:type="dxa"/>
            <w:noWrap w:val="0"/>
            <w:vAlign w:val="center"/>
          </w:tcPr>
          <w:p w14:paraId="6CFBD384">
            <w:pPr>
              <w:spacing w:line="340" w:lineRule="exact"/>
              <w:jc w:val="center"/>
              <w:outlineLvl w:val="0"/>
              <w:rPr>
                <w:rFonts w:hint="eastAsia" w:ascii="宋体" w:hAnsi="宋体"/>
                <w:szCs w:val="21"/>
              </w:rPr>
            </w:pPr>
            <w:bookmarkStart w:id="254" w:name="_Toc36646785"/>
            <w:r>
              <w:rPr>
                <w:rFonts w:ascii="宋体" w:hAnsi="宋体"/>
                <w:szCs w:val="21"/>
              </w:rPr>
              <w:t>23.</w:t>
            </w:r>
            <w:bookmarkEnd w:id="254"/>
            <w:r>
              <w:rPr>
                <w:rFonts w:ascii="宋体" w:hAnsi="宋体"/>
                <w:szCs w:val="21"/>
              </w:rPr>
              <w:t>31</w:t>
            </w:r>
          </w:p>
        </w:tc>
        <w:tc>
          <w:tcPr>
            <w:tcW w:w="1323" w:type="dxa"/>
            <w:noWrap w:val="0"/>
            <w:vAlign w:val="center"/>
          </w:tcPr>
          <w:p w14:paraId="135E5DF1">
            <w:pPr>
              <w:spacing w:line="340" w:lineRule="exact"/>
              <w:jc w:val="center"/>
              <w:outlineLvl w:val="0"/>
              <w:rPr>
                <w:rFonts w:hint="eastAsia" w:ascii="宋体" w:hAnsi="宋体"/>
                <w:szCs w:val="21"/>
              </w:rPr>
            </w:pPr>
            <w:r>
              <w:rPr>
                <w:rFonts w:ascii="宋体" w:hAnsi="宋体"/>
                <w:szCs w:val="21"/>
              </w:rPr>
              <w:t>9.83</w:t>
            </w:r>
          </w:p>
        </w:tc>
        <w:tc>
          <w:tcPr>
            <w:tcW w:w="1134" w:type="dxa"/>
            <w:noWrap w:val="0"/>
            <w:vAlign w:val="center"/>
          </w:tcPr>
          <w:p w14:paraId="4875895A">
            <w:pPr>
              <w:spacing w:line="340" w:lineRule="exact"/>
              <w:jc w:val="center"/>
              <w:outlineLvl w:val="0"/>
              <w:rPr>
                <w:rFonts w:hint="eastAsia" w:ascii="宋体" w:hAnsi="宋体"/>
                <w:szCs w:val="21"/>
              </w:rPr>
            </w:pPr>
            <w:bookmarkStart w:id="255" w:name="_Toc36646787"/>
            <w:r>
              <w:rPr>
                <w:rFonts w:ascii="宋体" w:hAnsi="宋体"/>
                <w:szCs w:val="21"/>
              </w:rPr>
              <w:t>11.</w:t>
            </w:r>
            <w:bookmarkEnd w:id="255"/>
            <w:r>
              <w:rPr>
                <w:rFonts w:ascii="宋体" w:hAnsi="宋体"/>
                <w:szCs w:val="21"/>
              </w:rPr>
              <w:t>65</w:t>
            </w:r>
          </w:p>
        </w:tc>
        <w:tc>
          <w:tcPr>
            <w:tcW w:w="1796" w:type="dxa"/>
            <w:vMerge w:val="restart"/>
            <w:noWrap w:val="0"/>
            <w:vAlign w:val="top"/>
          </w:tcPr>
          <w:p w14:paraId="26840A8D">
            <w:pPr>
              <w:spacing w:line="340" w:lineRule="exact"/>
              <w:outlineLvl w:val="0"/>
              <w:rPr>
                <w:rFonts w:hint="eastAsia" w:ascii="宋体" w:hAnsi="宋体"/>
                <w:szCs w:val="21"/>
              </w:rPr>
            </w:pPr>
          </w:p>
          <w:p w14:paraId="6529776D">
            <w:pPr>
              <w:spacing w:line="340" w:lineRule="exact"/>
              <w:outlineLvl w:val="0"/>
              <w:rPr>
                <w:rFonts w:hint="eastAsia" w:ascii="宋体" w:hAnsi="宋体"/>
                <w:szCs w:val="21"/>
              </w:rPr>
            </w:pPr>
          </w:p>
          <w:p w14:paraId="5DB45B3C">
            <w:pPr>
              <w:spacing w:line="340" w:lineRule="exact"/>
              <w:ind w:firstLine="420" w:firstLineChars="200"/>
              <w:outlineLvl w:val="0"/>
              <w:rPr>
                <w:rFonts w:hint="eastAsia" w:ascii="宋体" w:hAnsi="宋体"/>
                <w:szCs w:val="21"/>
              </w:rPr>
            </w:pPr>
          </w:p>
        </w:tc>
      </w:tr>
      <w:tr w14:paraId="7EE61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68" w:type="dxa"/>
            <w:vMerge w:val="continue"/>
            <w:noWrap w:val="0"/>
            <w:vAlign w:val="center"/>
          </w:tcPr>
          <w:p w14:paraId="1661C952">
            <w:pPr>
              <w:spacing w:line="340" w:lineRule="exact"/>
              <w:jc w:val="center"/>
              <w:outlineLvl w:val="0"/>
              <w:rPr>
                <w:rFonts w:hint="eastAsia" w:ascii="宋体" w:hAnsi="宋体"/>
                <w:szCs w:val="21"/>
              </w:rPr>
            </w:pPr>
          </w:p>
        </w:tc>
        <w:tc>
          <w:tcPr>
            <w:tcW w:w="396" w:type="dxa"/>
            <w:vMerge w:val="continue"/>
            <w:noWrap w:val="0"/>
            <w:vAlign w:val="center"/>
          </w:tcPr>
          <w:p w14:paraId="47D65E4A">
            <w:pPr>
              <w:spacing w:line="340" w:lineRule="exact"/>
              <w:jc w:val="center"/>
              <w:outlineLvl w:val="0"/>
              <w:rPr>
                <w:rFonts w:hint="eastAsia" w:ascii="宋体" w:hAnsi="宋体"/>
                <w:szCs w:val="21"/>
              </w:rPr>
            </w:pPr>
          </w:p>
        </w:tc>
        <w:tc>
          <w:tcPr>
            <w:tcW w:w="570" w:type="dxa"/>
            <w:vMerge w:val="restart"/>
            <w:noWrap w:val="0"/>
            <w:vAlign w:val="center"/>
          </w:tcPr>
          <w:p w14:paraId="60A7B037">
            <w:pPr>
              <w:spacing w:line="340" w:lineRule="exact"/>
              <w:outlineLvl w:val="0"/>
              <w:rPr>
                <w:rFonts w:hint="eastAsia" w:ascii="宋体" w:hAnsi="宋体"/>
                <w:szCs w:val="21"/>
              </w:rPr>
            </w:pPr>
            <w:bookmarkStart w:id="256" w:name="_Toc418171819"/>
            <w:bookmarkStart w:id="257" w:name="_Toc26539954"/>
            <w:bookmarkStart w:id="258" w:name="_Toc5117172"/>
            <w:bookmarkStart w:id="259" w:name="_Toc418773928"/>
            <w:bookmarkStart w:id="260" w:name="_Toc516750943"/>
            <w:bookmarkStart w:id="261" w:name="_Toc36646788"/>
            <w:bookmarkStart w:id="262" w:name="_Toc6394608"/>
            <w:bookmarkStart w:id="263" w:name="_Toc440987369"/>
            <w:bookmarkStart w:id="264" w:name="_Toc418581548"/>
            <w:bookmarkStart w:id="265" w:name="_Toc418775136"/>
            <w:r>
              <w:rPr>
                <w:rFonts w:hint="eastAsia" w:ascii="宋体" w:hAnsi="宋体"/>
                <w:szCs w:val="21"/>
              </w:rPr>
              <w:t>其</w:t>
            </w:r>
            <w:bookmarkEnd w:id="256"/>
            <w:bookmarkEnd w:id="257"/>
            <w:bookmarkEnd w:id="258"/>
            <w:bookmarkEnd w:id="259"/>
            <w:bookmarkEnd w:id="260"/>
            <w:bookmarkEnd w:id="261"/>
            <w:bookmarkEnd w:id="262"/>
            <w:bookmarkEnd w:id="263"/>
            <w:bookmarkEnd w:id="264"/>
            <w:bookmarkEnd w:id="265"/>
          </w:p>
          <w:p w14:paraId="4B541CA7">
            <w:pPr>
              <w:spacing w:line="340" w:lineRule="exact"/>
              <w:outlineLvl w:val="0"/>
              <w:rPr>
                <w:rFonts w:hint="eastAsia" w:ascii="宋体" w:hAnsi="宋体"/>
                <w:szCs w:val="21"/>
              </w:rPr>
            </w:pPr>
          </w:p>
          <w:p w14:paraId="0DFF2954">
            <w:pPr>
              <w:spacing w:line="340" w:lineRule="exact"/>
              <w:outlineLvl w:val="0"/>
              <w:rPr>
                <w:rFonts w:hint="eastAsia" w:ascii="宋体" w:hAnsi="宋体"/>
                <w:szCs w:val="21"/>
              </w:rPr>
            </w:pPr>
          </w:p>
          <w:p w14:paraId="20FEAAE4">
            <w:pPr>
              <w:spacing w:line="340" w:lineRule="exact"/>
              <w:outlineLvl w:val="0"/>
              <w:rPr>
                <w:rFonts w:hint="eastAsia" w:ascii="宋体" w:hAnsi="宋体"/>
                <w:szCs w:val="21"/>
              </w:rPr>
            </w:pPr>
            <w:bookmarkStart w:id="266" w:name="_Toc516750944"/>
            <w:bookmarkStart w:id="267" w:name="_Toc418171820"/>
            <w:bookmarkStart w:id="268" w:name="_Toc6394609"/>
            <w:bookmarkStart w:id="269" w:name="_Toc418581549"/>
            <w:bookmarkStart w:id="270" w:name="_Toc36646789"/>
            <w:bookmarkStart w:id="271" w:name="_Toc440987370"/>
            <w:bookmarkStart w:id="272" w:name="_Toc26539955"/>
            <w:bookmarkStart w:id="273" w:name="_Toc418773929"/>
            <w:bookmarkStart w:id="274" w:name="_Toc5117173"/>
            <w:bookmarkStart w:id="275" w:name="_Toc418775137"/>
            <w:r>
              <w:rPr>
                <w:rFonts w:hint="eastAsia" w:ascii="宋体" w:hAnsi="宋体"/>
                <w:szCs w:val="21"/>
              </w:rPr>
              <w:t>中</w:t>
            </w:r>
            <w:bookmarkEnd w:id="266"/>
            <w:bookmarkEnd w:id="267"/>
            <w:bookmarkEnd w:id="268"/>
            <w:bookmarkEnd w:id="269"/>
            <w:bookmarkEnd w:id="270"/>
            <w:bookmarkEnd w:id="271"/>
            <w:bookmarkEnd w:id="272"/>
            <w:bookmarkEnd w:id="273"/>
            <w:bookmarkEnd w:id="274"/>
            <w:bookmarkEnd w:id="275"/>
          </w:p>
        </w:tc>
        <w:tc>
          <w:tcPr>
            <w:tcW w:w="3210" w:type="dxa"/>
            <w:noWrap w:val="0"/>
            <w:vAlign w:val="center"/>
          </w:tcPr>
          <w:p w14:paraId="24CE0560">
            <w:pPr>
              <w:spacing w:line="340" w:lineRule="exact"/>
              <w:outlineLvl w:val="0"/>
              <w:rPr>
                <w:rFonts w:hint="eastAsia" w:ascii="宋体" w:hAnsi="宋体"/>
                <w:szCs w:val="21"/>
              </w:rPr>
            </w:pPr>
            <w:bookmarkStart w:id="276" w:name="_Toc26539956"/>
            <w:bookmarkStart w:id="277" w:name="_Toc418775138"/>
            <w:bookmarkStart w:id="278" w:name="_Toc418773930"/>
            <w:bookmarkStart w:id="279" w:name="_Toc5117174"/>
            <w:bookmarkStart w:id="280" w:name="_Toc418581550"/>
            <w:bookmarkStart w:id="281" w:name="_Toc6394610"/>
            <w:bookmarkStart w:id="282" w:name="_Toc418171821"/>
            <w:bookmarkStart w:id="283" w:name="_Toc516750945"/>
            <w:bookmarkStart w:id="284" w:name="_Toc440987371"/>
            <w:bookmarkStart w:id="285" w:name="_Toc36646790"/>
            <w:r>
              <w:rPr>
                <w:rFonts w:hint="eastAsia" w:ascii="宋体" w:hAnsi="宋体"/>
                <w:szCs w:val="21"/>
              </w:rPr>
              <w:t>行政办公用地(A1)</w:t>
            </w:r>
            <w:bookmarkEnd w:id="276"/>
            <w:bookmarkEnd w:id="277"/>
            <w:bookmarkEnd w:id="278"/>
            <w:bookmarkEnd w:id="279"/>
            <w:bookmarkEnd w:id="280"/>
            <w:bookmarkEnd w:id="281"/>
            <w:bookmarkEnd w:id="282"/>
            <w:bookmarkEnd w:id="283"/>
            <w:bookmarkEnd w:id="284"/>
            <w:bookmarkEnd w:id="285"/>
          </w:p>
        </w:tc>
        <w:tc>
          <w:tcPr>
            <w:tcW w:w="1134" w:type="dxa"/>
            <w:noWrap w:val="0"/>
            <w:vAlign w:val="center"/>
          </w:tcPr>
          <w:p w14:paraId="23BA33A0">
            <w:pPr>
              <w:spacing w:line="340" w:lineRule="exact"/>
              <w:jc w:val="center"/>
              <w:outlineLvl w:val="0"/>
              <w:rPr>
                <w:rFonts w:hint="eastAsia" w:ascii="宋体" w:hAnsi="宋体"/>
                <w:szCs w:val="21"/>
              </w:rPr>
            </w:pPr>
            <w:bookmarkStart w:id="286" w:name="_Toc5117175"/>
            <w:bookmarkStart w:id="287" w:name="_Toc6394611"/>
            <w:bookmarkStart w:id="288" w:name="_Toc36646791"/>
            <w:bookmarkStart w:id="289" w:name="_Toc26539957"/>
            <w:r>
              <w:rPr>
                <w:rFonts w:ascii="宋体" w:hAnsi="宋体"/>
                <w:szCs w:val="21"/>
              </w:rPr>
              <w:t>1.0</w:t>
            </w:r>
            <w:bookmarkEnd w:id="286"/>
            <w:bookmarkEnd w:id="287"/>
            <w:r>
              <w:rPr>
                <w:rFonts w:ascii="宋体" w:hAnsi="宋体"/>
                <w:szCs w:val="21"/>
              </w:rPr>
              <w:t>3</w:t>
            </w:r>
            <w:bookmarkEnd w:id="288"/>
            <w:bookmarkEnd w:id="289"/>
          </w:p>
        </w:tc>
        <w:tc>
          <w:tcPr>
            <w:tcW w:w="1323" w:type="dxa"/>
            <w:vMerge w:val="restart"/>
            <w:noWrap w:val="0"/>
            <w:vAlign w:val="center"/>
          </w:tcPr>
          <w:p w14:paraId="791CBEE7">
            <w:pPr>
              <w:spacing w:line="340" w:lineRule="exact"/>
              <w:jc w:val="center"/>
              <w:outlineLvl w:val="0"/>
              <w:rPr>
                <w:rFonts w:hint="eastAsia" w:ascii="宋体" w:hAnsi="宋体"/>
                <w:szCs w:val="21"/>
              </w:rPr>
            </w:pPr>
          </w:p>
        </w:tc>
        <w:tc>
          <w:tcPr>
            <w:tcW w:w="1134" w:type="dxa"/>
            <w:vMerge w:val="restart"/>
            <w:noWrap w:val="0"/>
            <w:vAlign w:val="top"/>
          </w:tcPr>
          <w:p w14:paraId="5A04C279">
            <w:pPr>
              <w:spacing w:line="340" w:lineRule="exact"/>
              <w:jc w:val="center"/>
              <w:outlineLvl w:val="0"/>
              <w:rPr>
                <w:rFonts w:hint="eastAsia" w:ascii="宋体" w:hAnsi="宋体"/>
                <w:szCs w:val="21"/>
              </w:rPr>
            </w:pPr>
          </w:p>
        </w:tc>
        <w:tc>
          <w:tcPr>
            <w:tcW w:w="1796" w:type="dxa"/>
            <w:vMerge w:val="continue"/>
            <w:noWrap w:val="0"/>
            <w:vAlign w:val="top"/>
          </w:tcPr>
          <w:p w14:paraId="4F4B2581">
            <w:pPr>
              <w:spacing w:line="340" w:lineRule="exact"/>
              <w:jc w:val="center"/>
              <w:outlineLvl w:val="0"/>
              <w:rPr>
                <w:rFonts w:hint="eastAsia" w:ascii="宋体" w:hAnsi="宋体"/>
                <w:szCs w:val="21"/>
              </w:rPr>
            </w:pPr>
          </w:p>
        </w:tc>
      </w:tr>
      <w:tr w14:paraId="1B3BB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68" w:type="dxa"/>
            <w:vMerge w:val="continue"/>
            <w:noWrap w:val="0"/>
            <w:vAlign w:val="center"/>
          </w:tcPr>
          <w:p w14:paraId="323BC4B7">
            <w:pPr>
              <w:spacing w:line="340" w:lineRule="exact"/>
              <w:jc w:val="center"/>
              <w:outlineLvl w:val="0"/>
              <w:rPr>
                <w:rFonts w:hint="eastAsia" w:ascii="宋体" w:hAnsi="宋体"/>
                <w:szCs w:val="21"/>
              </w:rPr>
            </w:pPr>
          </w:p>
        </w:tc>
        <w:tc>
          <w:tcPr>
            <w:tcW w:w="396" w:type="dxa"/>
            <w:vMerge w:val="continue"/>
            <w:noWrap w:val="0"/>
            <w:vAlign w:val="center"/>
          </w:tcPr>
          <w:p w14:paraId="41783F52">
            <w:pPr>
              <w:spacing w:line="340" w:lineRule="exact"/>
              <w:jc w:val="center"/>
              <w:outlineLvl w:val="0"/>
              <w:rPr>
                <w:rFonts w:hint="eastAsia" w:ascii="宋体" w:hAnsi="宋体"/>
                <w:szCs w:val="21"/>
              </w:rPr>
            </w:pPr>
          </w:p>
        </w:tc>
        <w:tc>
          <w:tcPr>
            <w:tcW w:w="570" w:type="dxa"/>
            <w:vMerge w:val="continue"/>
            <w:noWrap w:val="0"/>
            <w:vAlign w:val="center"/>
          </w:tcPr>
          <w:p w14:paraId="48C35F12">
            <w:pPr>
              <w:spacing w:line="340" w:lineRule="exact"/>
              <w:outlineLvl w:val="0"/>
              <w:rPr>
                <w:rFonts w:hint="eastAsia" w:ascii="宋体" w:hAnsi="宋体"/>
                <w:szCs w:val="21"/>
              </w:rPr>
            </w:pPr>
          </w:p>
        </w:tc>
        <w:tc>
          <w:tcPr>
            <w:tcW w:w="3210" w:type="dxa"/>
            <w:noWrap w:val="0"/>
            <w:vAlign w:val="center"/>
          </w:tcPr>
          <w:p w14:paraId="4989DE5A">
            <w:pPr>
              <w:spacing w:line="340" w:lineRule="exact"/>
              <w:outlineLvl w:val="0"/>
              <w:rPr>
                <w:rFonts w:hint="eastAsia" w:ascii="宋体" w:hAnsi="宋体"/>
                <w:szCs w:val="21"/>
              </w:rPr>
            </w:pPr>
            <w:bookmarkStart w:id="290" w:name="_Toc36646792"/>
            <w:bookmarkStart w:id="291" w:name="_Toc418171825"/>
            <w:bookmarkStart w:id="292" w:name="_Toc418773934"/>
            <w:bookmarkStart w:id="293" w:name="_Toc418581554"/>
            <w:bookmarkStart w:id="294" w:name="_Toc5117176"/>
            <w:bookmarkStart w:id="295" w:name="_Toc418775142"/>
            <w:bookmarkStart w:id="296" w:name="_Toc440987375"/>
            <w:bookmarkStart w:id="297" w:name="_Toc516750949"/>
            <w:bookmarkStart w:id="298" w:name="_Toc26539958"/>
            <w:bookmarkStart w:id="299" w:name="_Toc6394612"/>
            <w:r>
              <w:rPr>
                <w:rFonts w:hint="eastAsia" w:ascii="宋体" w:hAnsi="宋体"/>
                <w:szCs w:val="21"/>
              </w:rPr>
              <w:t>教育科研用地(A3)</w:t>
            </w:r>
            <w:bookmarkEnd w:id="290"/>
            <w:bookmarkEnd w:id="291"/>
            <w:bookmarkEnd w:id="292"/>
            <w:bookmarkEnd w:id="293"/>
            <w:bookmarkEnd w:id="294"/>
            <w:bookmarkEnd w:id="295"/>
            <w:bookmarkEnd w:id="296"/>
            <w:bookmarkEnd w:id="297"/>
            <w:bookmarkEnd w:id="298"/>
            <w:bookmarkEnd w:id="299"/>
          </w:p>
        </w:tc>
        <w:tc>
          <w:tcPr>
            <w:tcW w:w="1134" w:type="dxa"/>
            <w:noWrap w:val="0"/>
            <w:vAlign w:val="center"/>
          </w:tcPr>
          <w:p w14:paraId="7D4CED06">
            <w:pPr>
              <w:spacing w:line="340" w:lineRule="exact"/>
              <w:jc w:val="center"/>
              <w:outlineLvl w:val="0"/>
              <w:rPr>
                <w:rFonts w:hint="eastAsia" w:ascii="宋体" w:hAnsi="宋体"/>
                <w:szCs w:val="21"/>
              </w:rPr>
            </w:pPr>
            <w:bookmarkStart w:id="300" w:name="_Toc36646793"/>
            <w:r>
              <w:rPr>
                <w:rFonts w:ascii="宋体" w:hAnsi="宋体"/>
                <w:szCs w:val="21"/>
              </w:rPr>
              <w:t>4.35</w:t>
            </w:r>
            <w:bookmarkEnd w:id="300"/>
          </w:p>
        </w:tc>
        <w:tc>
          <w:tcPr>
            <w:tcW w:w="1323" w:type="dxa"/>
            <w:vMerge w:val="continue"/>
            <w:noWrap w:val="0"/>
            <w:vAlign w:val="center"/>
          </w:tcPr>
          <w:p w14:paraId="169AD51F">
            <w:pPr>
              <w:spacing w:line="340" w:lineRule="exact"/>
              <w:jc w:val="center"/>
              <w:outlineLvl w:val="0"/>
              <w:rPr>
                <w:rFonts w:hint="eastAsia" w:ascii="宋体" w:hAnsi="宋体"/>
                <w:szCs w:val="21"/>
              </w:rPr>
            </w:pPr>
          </w:p>
        </w:tc>
        <w:tc>
          <w:tcPr>
            <w:tcW w:w="1134" w:type="dxa"/>
            <w:vMerge w:val="continue"/>
            <w:noWrap w:val="0"/>
            <w:vAlign w:val="top"/>
          </w:tcPr>
          <w:p w14:paraId="7C95A8EA">
            <w:pPr>
              <w:spacing w:line="340" w:lineRule="exact"/>
              <w:jc w:val="center"/>
              <w:outlineLvl w:val="0"/>
              <w:rPr>
                <w:rFonts w:hint="eastAsia" w:ascii="宋体" w:hAnsi="宋体"/>
                <w:szCs w:val="21"/>
              </w:rPr>
            </w:pPr>
          </w:p>
        </w:tc>
        <w:tc>
          <w:tcPr>
            <w:tcW w:w="1796" w:type="dxa"/>
            <w:vMerge w:val="continue"/>
            <w:noWrap w:val="0"/>
            <w:vAlign w:val="top"/>
          </w:tcPr>
          <w:p w14:paraId="1540D548">
            <w:pPr>
              <w:spacing w:line="340" w:lineRule="exact"/>
              <w:jc w:val="center"/>
              <w:outlineLvl w:val="0"/>
              <w:rPr>
                <w:rFonts w:hint="eastAsia" w:ascii="宋体" w:hAnsi="宋体"/>
                <w:szCs w:val="21"/>
              </w:rPr>
            </w:pPr>
          </w:p>
        </w:tc>
      </w:tr>
      <w:tr w14:paraId="0D1BD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68" w:type="dxa"/>
            <w:vMerge w:val="continue"/>
            <w:noWrap w:val="0"/>
            <w:vAlign w:val="center"/>
          </w:tcPr>
          <w:p w14:paraId="1D0247A3">
            <w:pPr>
              <w:spacing w:line="340" w:lineRule="exact"/>
              <w:jc w:val="center"/>
              <w:outlineLvl w:val="0"/>
              <w:rPr>
                <w:rFonts w:hint="eastAsia" w:ascii="宋体" w:hAnsi="宋体"/>
                <w:szCs w:val="21"/>
              </w:rPr>
            </w:pPr>
          </w:p>
        </w:tc>
        <w:tc>
          <w:tcPr>
            <w:tcW w:w="396" w:type="dxa"/>
            <w:vMerge w:val="continue"/>
            <w:noWrap w:val="0"/>
            <w:vAlign w:val="center"/>
          </w:tcPr>
          <w:p w14:paraId="00C8B908">
            <w:pPr>
              <w:spacing w:line="340" w:lineRule="exact"/>
              <w:jc w:val="center"/>
              <w:outlineLvl w:val="0"/>
              <w:rPr>
                <w:rFonts w:hint="eastAsia" w:ascii="宋体" w:hAnsi="宋体"/>
                <w:szCs w:val="21"/>
              </w:rPr>
            </w:pPr>
          </w:p>
        </w:tc>
        <w:tc>
          <w:tcPr>
            <w:tcW w:w="570" w:type="dxa"/>
            <w:vMerge w:val="continue"/>
            <w:noWrap w:val="0"/>
            <w:vAlign w:val="center"/>
          </w:tcPr>
          <w:p w14:paraId="113A4206">
            <w:pPr>
              <w:spacing w:line="340" w:lineRule="exact"/>
              <w:outlineLvl w:val="0"/>
              <w:rPr>
                <w:rFonts w:hint="eastAsia" w:ascii="宋体" w:hAnsi="宋体"/>
                <w:szCs w:val="21"/>
              </w:rPr>
            </w:pPr>
          </w:p>
        </w:tc>
        <w:tc>
          <w:tcPr>
            <w:tcW w:w="3210" w:type="dxa"/>
            <w:noWrap w:val="0"/>
            <w:vAlign w:val="center"/>
          </w:tcPr>
          <w:p w14:paraId="29E2E763">
            <w:pPr>
              <w:spacing w:line="340" w:lineRule="exact"/>
              <w:outlineLvl w:val="0"/>
              <w:rPr>
                <w:rFonts w:hint="eastAsia" w:ascii="宋体" w:hAnsi="宋体"/>
                <w:szCs w:val="21"/>
              </w:rPr>
            </w:pPr>
            <w:bookmarkStart w:id="301" w:name="_Toc418773936"/>
            <w:bookmarkStart w:id="302" w:name="_Toc418581556"/>
            <w:bookmarkStart w:id="303" w:name="_Toc418171827"/>
            <w:bookmarkStart w:id="304" w:name="_Toc418775144"/>
            <w:bookmarkStart w:id="305" w:name="_Toc440987377"/>
            <w:bookmarkStart w:id="306" w:name="_Toc5117178"/>
            <w:bookmarkStart w:id="307" w:name="_Toc36646794"/>
            <w:bookmarkStart w:id="308" w:name="_Toc6394614"/>
            <w:bookmarkStart w:id="309" w:name="_Toc516750951"/>
            <w:bookmarkStart w:id="310" w:name="_Toc26539960"/>
            <w:r>
              <w:rPr>
                <w:rFonts w:hint="eastAsia" w:ascii="宋体" w:hAnsi="宋体"/>
                <w:szCs w:val="21"/>
              </w:rPr>
              <w:t>体育用地(A4)</w:t>
            </w:r>
            <w:bookmarkEnd w:id="301"/>
            <w:bookmarkEnd w:id="302"/>
            <w:bookmarkEnd w:id="303"/>
            <w:bookmarkEnd w:id="304"/>
            <w:bookmarkEnd w:id="305"/>
            <w:bookmarkEnd w:id="306"/>
            <w:bookmarkEnd w:id="307"/>
            <w:bookmarkEnd w:id="308"/>
            <w:bookmarkEnd w:id="309"/>
            <w:bookmarkEnd w:id="310"/>
          </w:p>
        </w:tc>
        <w:tc>
          <w:tcPr>
            <w:tcW w:w="1134" w:type="dxa"/>
            <w:noWrap w:val="0"/>
            <w:vAlign w:val="center"/>
          </w:tcPr>
          <w:p w14:paraId="6E968AD9">
            <w:pPr>
              <w:spacing w:line="340" w:lineRule="exact"/>
              <w:jc w:val="center"/>
              <w:outlineLvl w:val="0"/>
              <w:rPr>
                <w:rFonts w:hint="eastAsia" w:ascii="宋体" w:hAnsi="宋体"/>
                <w:szCs w:val="21"/>
              </w:rPr>
            </w:pPr>
            <w:bookmarkStart w:id="311" w:name="_Toc6394615"/>
            <w:bookmarkStart w:id="312" w:name="_Toc26539961"/>
            <w:bookmarkStart w:id="313" w:name="_Toc36646795"/>
            <w:r>
              <w:rPr>
                <w:rFonts w:ascii="宋体" w:hAnsi="宋体"/>
                <w:szCs w:val="21"/>
              </w:rPr>
              <w:t>1.</w:t>
            </w:r>
            <w:bookmarkEnd w:id="311"/>
            <w:r>
              <w:rPr>
                <w:rFonts w:ascii="宋体" w:hAnsi="宋体"/>
                <w:szCs w:val="21"/>
              </w:rPr>
              <w:t>35</w:t>
            </w:r>
            <w:bookmarkEnd w:id="312"/>
            <w:bookmarkEnd w:id="313"/>
          </w:p>
        </w:tc>
        <w:tc>
          <w:tcPr>
            <w:tcW w:w="1323" w:type="dxa"/>
            <w:vMerge w:val="continue"/>
            <w:noWrap w:val="0"/>
            <w:vAlign w:val="center"/>
          </w:tcPr>
          <w:p w14:paraId="0F17D98A">
            <w:pPr>
              <w:spacing w:line="340" w:lineRule="exact"/>
              <w:jc w:val="center"/>
              <w:outlineLvl w:val="0"/>
              <w:rPr>
                <w:rFonts w:hint="eastAsia" w:ascii="宋体" w:hAnsi="宋体"/>
                <w:szCs w:val="21"/>
              </w:rPr>
            </w:pPr>
          </w:p>
        </w:tc>
        <w:tc>
          <w:tcPr>
            <w:tcW w:w="1134" w:type="dxa"/>
            <w:vMerge w:val="continue"/>
            <w:noWrap w:val="0"/>
            <w:vAlign w:val="top"/>
          </w:tcPr>
          <w:p w14:paraId="684EE17D">
            <w:pPr>
              <w:spacing w:line="340" w:lineRule="exact"/>
              <w:jc w:val="center"/>
              <w:outlineLvl w:val="0"/>
              <w:rPr>
                <w:rFonts w:hint="eastAsia" w:ascii="宋体" w:hAnsi="宋体"/>
                <w:szCs w:val="21"/>
              </w:rPr>
            </w:pPr>
          </w:p>
        </w:tc>
        <w:tc>
          <w:tcPr>
            <w:tcW w:w="1796" w:type="dxa"/>
            <w:vMerge w:val="continue"/>
            <w:noWrap w:val="0"/>
            <w:vAlign w:val="top"/>
          </w:tcPr>
          <w:p w14:paraId="0497A465">
            <w:pPr>
              <w:spacing w:line="340" w:lineRule="exact"/>
              <w:jc w:val="center"/>
              <w:outlineLvl w:val="0"/>
              <w:rPr>
                <w:rFonts w:hint="eastAsia" w:ascii="宋体" w:hAnsi="宋体"/>
                <w:szCs w:val="21"/>
              </w:rPr>
            </w:pPr>
          </w:p>
        </w:tc>
      </w:tr>
      <w:tr w14:paraId="52422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68" w:type="dxa"/>
            <w:vMerge w:val="continue"/>
            <w:noWrap w:val="0"/>
            <w:vAlign w:val="center"/>
          </w:tcPr>
          <w:p w14:paraId="2507CDDF">
            <w:pPr>
              <w:spacing w:line="340" w:lineRule="exact"/>
              <w:jc w:val="center"/>
              <w:outlineLvl w:val="0"/>
              <w:rPr>
                <w:rFonts w:hint="eastAsia" w:ascii="宋体" w:hAnsi="宋体"/>
                <w:szCs w:val="21"/>
              </w:rPr>
            </w:pPr>
          </w:p>
        </w:tc>
        <w:tc>
          <w:tcPr>
            <w:tcW w:w="396" w:type="dxa"/>
            <w:vMerge w:val="continue"/>
            <w:noWrap w:val="0"/>
            <w:vAlign w:val="center"/>
          </w:tcPr>
          <w:p w14:paraId="4EDA3567">
            <w:pPr>
              <w:spacing w:line="340" w:lineRule="exact"/>
              <w:jc w:val="center"/>
              <w:outlineLvl w:val="0"/>
              <w:rPr>
                <w:rFonts w:hint="eastAsia" w:ascii="宋体" w:hAnsi="宋体"/>
                <w:szCs w:val="21"/>
              </w:rPr>
            </w:pPr>
          </w:p>
        </w:tc>
        <w:tc>
          <w:tcPr>
            <w:tcW w:w="570" w:type="dxa"/>
            <w:vMerge w:val="continue"/>
            <w:noWrap w:val="0"/>
            <w:vAlign w:val="center"/>
          </w:tcPr>
          <w:p w14:paraId="5589B6E6">
            <w:pPr>
              <w:spacing w:line="340" w:lineRule="exact"/>
              <w:outlineLvl w:val="0"/>
              <w:rPr>
                <w:rFonts w:hint="eastAsia" w:ascii="宋体" w:hAnsi="宋体"/>
                <w:szCs w:val="21"/>
              </w:rPr>
            </w:pPr>
          </w:p>
        </w:tc>
        <w:tc>
          <w:tcPr>
            <w:tcW w:w="3210" w:type="dxa"/>
            <w:noWrap w:val="0"/>
            <w:vAlign w:val="center"/>
          </w:tcPr>
          <w:p w14:paraId="3CDEAE71">
            <w:pPr>
              <w:spacing w:line="340" w:lineRule="exact"/>
              <w:outlineLvl w:val="0"/>
              <w:rPr>
                <w:rFonts w:hint="eastAsia" w:ascii="宋体" w:hAnsi="宋体"/>
                <w:szCs w:val="21"/>
              </w:rPr>
            </w:pPr>
            <w:bookmarkStart w:id="314" w:name="_Toc418775148"/>
            <w:bookmarkStart w:id="315" w:name="_Toc6394616"/>
            <w:bookmarkStart w:id="316" w:name="_Toc36646796"/>
            <w:bookmarkStart w:id="317" w:name="_Toc418581560"/>
            <w:bookmarkStart w:id="318" w:name="_Toc418171831"/>
            <w:bookmarkStart w:id="319" w:name="_Toc418773940"/>
            <w:bookmarkStart w:id="320" w:name="_Toc5117180"/>
            <w:bookmarkStart w:id="321" w:name="_Toc26539962"/>
            <w:bookmarkStart w:id="322" w:name="_Toc516750955"/>
            <w:bookmarkStart w:id="323" w:name="_Toc440987381"/>
            <w:r>
              <w:rPr>
                <w:rFonts w:hint="eastAsia" w:ascii="宋体" w:hAnsi="宋体"/>
                <w:szCs w:val="21"/>
              </w:rPr>
              <w:t>社会福利用地(A6)</w:t>
            </w:r>
            <w:bookmarkEnd w:id="314"/>
            <w:bookmarkEnd w:id="315"/>
            <w:bookmarkEnd w:id="316"/>
            <w:bookmarkEnd w:id="317"/>
            <w:bookmarkEnd w:id="318"/>
            <w:bookmarkEnd w:id="319"/>
            <w:bookmarkEnd w:id="320"/>
            <w:bookmarkEnd w:id="321"/>
            <w:bookmarkEnd w:id="322"/>
            <w:bookmarkEnd w:id="323"/>
          </w:p>
        </w:tc>
        <w:tc>
          <w:tcPr>
            <w:tcW w:w="1134" w:type="dxa"/>
            <w:noWrap w:val="0"/>
            <w:vAlign w:val="center"/>
          </w:tcPr>
          <w:p w14:paraId="78D7EA86">
            <w:pPr>
              <w:spacing w:line="340" w:lineRule="exact"/>
              <w:jc w:val="center"/>
              <w:outlineLvl w:val="0"/>
              <w:rPr>
                <w:rFonts w:hint="eastAsia" w:ascii="宋体" w:hAnsi="宋体"/>
                <w:szCs w:val="21"/>
              </w:rPr>
            </w:pPr>
            <w:r>
              <w:rPr>
                <w:rFonts w:ascii="宋体" w:hAnsi="宋体"/>
                <w:szCs w:val="21"/>
              </w:rPr>
              <w:t>13.29</w:t>
            </w:r>
          </w:p>
        </w:tc>
        <w:tc>
          <w:tcPr>
            <w:tcW w:w="1323" w:type="dxa"/>
            <w:vMerge w:val="continue"/>
            <w:noWrap w:val="0"/>
            <w:vAlign w:val="center"/>
          </w:tcPr>
          <w:p w14:paraId="06C2011E">
            <w:pPr>
              <w:spacing w:line="340" w:lineRule="exact"/>
              <w:jc w:val="center"/>
              <w:outlineLvl w:val="0"/>
              <w:rPr>
                <w:rFonts w:hint="eastAsia" w:ascii="宋体" w:hAnsi="宋体"/>
                <w:szCs w:val="21"/>
              </w:rPr>
            </w:pPr>
          </w:p>
        </w:tc>
        <w:tc>
          <w:tcPr>
            <w:tcW w:w="1134" w:type="dxa"/>
            <w:vMerge w:val="continue"/>
            <w:noWrap w:val="0"/>
            <w:vAlign w:val="top"/>
          </w:tcPr>
          <w:p w14:paraId="77B02DFC">
            <w:pPr>
              <w:spacing w:line="340" w:lineRule="exact"/>
              <w:jc w:val="center"/>
              <w:outlineLvl w:val="0"/>
              <w:rPr>
                <w:rFonts w:hint="eastAsia" w:ascii="宋体" w:hAnsi="宋体"/>
                <w:szCs w:val="21"/>
              </w:rPr>
            </w:pPr>
          </w:p>
        </w:tc>
        <w:tc>
          <w:tcPr>
            <w:tcW w:w="1796" w:type="dxa"/>
            <w:vMerge w:val="continue"/>
            <w:noWrap w:val="0"/>
            <w:vAlign w:val="top"/>
          </w:tcPr>
          <w:p w14:paraId="5A99643E">
            <w:pPr>
              <w:spacing w:line="340" w:lineRule="exact"/>
              <w:jc w:val="center"/>
              <w:outlineLvl w:val="0"/>
              <w:rPr>
                <w:rFonts w:hint="eastAsia" w:ascii="宋体" w:hAnsi="宋体"/>
                <w:szCs w:val="21"/>
              </w:rPr>
            </w:pPr>
          </w:p>
        </w:tc>
      </w:tr>
      <w:tr w14:paraId="5B24B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68" w:type="dxa"/>
            <w:vMerge w:val="continue"/>
            <w:noWrap w:val="0"/>
            <w:vAlign w:val="center"/>
          </w:tcPr>
          <w:p w14:paraId="520C0839">
            <w:pPr>
              <w:spacing w:line="340" w:lineRule="exact"/>
              <w:jc w:val="center"/>
              <w:outlineLvl w:val="0"/>
              <w:rPr>
                <w:rFonts w:hint="eastAsia" w:ascii="宋体" w:hAnsi="宋体"/>
                <w:szCs w:val="21"/>
              </w:rPr>
            </w:pPr>
          </w:p>
        </w:tc>
        <w:tc>
          <w:tcPr>
            <w:tcW w:w="396" w:type="dxa"/>
            <w:vMerge w:val="continue"/>
            <w:noWrap w:val="0"/>
            <w:vAlign w:val="center"/>
          </w:tcPr>
          <w:p w14:paraId="78427E28">
            <w:pPr>
              <w:spacing w:line="340" w:lineRule="exact"/>
              <w:jc w:val="center"/>
              <w:outlineLvl w:val="0"/>
              <w:rPr>
                <w:rFonts w:hint="eastAsia" w:ascii="宋体" w:hAnsi="宋体"/>
                <w:szCs w:val="21"/>
              </w:rPr>
            </w:pPr>
          </w:p>
        </w:tc>
        <w:tc>
          <w:tcPr>
            <w:tcW w:w="570" w:type="dxa"/>
            <w:vMerge w:val="continue"/>
            <w:noWrap w:val="0"/>
            <w:vAlign w:val="center"/>
          </w:tcPr>
          <w:p w14:paraId="19F768E6">
            <w:pPr>
              <w:spacing w:line="340" w:lineRule="exact"/>
              <w:outlineLvl w:val="0"/>
              <w:rPr>
                <w:rFonts w:hint="eastAsia" w:ascii="宋体" w:hAnsi="宋体"/>
                <w:szCs w:val="21"/>
              </w:rPr>
            </w:pPr>
          </w:p>
        </w:tc>
        <w:tc>
          <w:tcPr>
            <w:tcW w:w="3210" w:type="dxa"/>
            <w:noWrap w:val="0"/>
            <w:vAlign w:val="center"/>
          </w:tcPr>
          <w:p w14:paraId="63C594A0">
            <w:pPr>
              <w:spacing w:line="340" w:lineRule="exact"/>
              <w:outlineLvl w:val="0"/>
              <w:rPr>
                <w:rFonts w:hint="eastAsia" w:ascii="宋体" w:hAnsi="宋体"/>
                <w:szCs w:val="21"/>
              </w:rPr>
            </w:pPr>
            <w:bookmarkStart w:id="324" w:name="_Toc5117182"/>
            <w:bookmarkStart w:id="325" w:name="_Toc36646798"/>
            <w:bookmarkStart w:id="326" w:name="_Toc6394618"/>
            <w:bookmarkStart w:id="327" w:name="_Toc26539964"/>
            <w:r>
              <w:rPr>
                <w:rFonts w:hint="eastAsia" w:ascii="宋体" w:hAnsi="宋体"/>
                <w:szCs w:val="21"/>
              </w:rPr>
              <w:t>文物</w:t>
            </w:r>
            <w:r>
              <w:rPr>
                <w:rFonts w:ascii="宋体" w:hAnsi="宋体"/>
                <w:szCs w:val="21"/>
              </w:rPr>
              <w:t>古迹用地</w:t>
            </w:r>
            <w:r>
              <w:rPr>
                <w:rFonts w:hint="eastAsia" w:ascii="宋体" w:hAnsi="宋体"/>
                <w:szCs w:val="21"/>
              </w:rPr>
              <w:t>(A</w:t>
            </w:r>
            <w:r>
              <w:rPr>
                <w:rFonts w:ascii="宋体" w:hAnsi="宋体"/>
                <w:szCs w:val="21"/>
              </w:rPr>
              <w:t>7</w:t>
            </w:r>
            <w:r>
              <w:rPr>
                <w:rFonts w:hint="eastAsia" w:ascii="宋体" w:hAnsi="宋体"/>
                <w:szCs w:val="21"/>
              </w:rPr>
              <w:t>)</w:t>
            </w:r>
            <w:bookmarkEnd w:id="324"/>
            <w:bookmarkEnd w:id="325"/>
            <w:bookmarkEnd w:id="326"/>
            <w:bookmarkEnd w:id="327"/>
          </w:p>
        </w:tc>
        <w:tc>
          <w:tcPr>
            <w:tcW w:w="1134" w:type="dxa"/>
            <w:noWrap w:val="0"/>
            <w:vAlign w:val="center"/>
          </w:tcPr>
          <w:p w14:paraId="0ED6138E">
            <w:pPr>
              <w:spacing w:line="340" w:lineRule="exact"/>
              <w:jc w:val="center"/>
              <w:outlineLvl w:val="0"/>
              <w:rPr>
                <w:rFonts w:ascii="宋体" w:hAnsi="宋体"/>
                <w:szCs w:val="21"/>
              </w:rPr>
            </w:pPr>
            <w:bookmarkStart w:id="328" w:name="_Toc5117183"/>
            <w:bookmarkStart w:id="329" w:name="_Toc26539965"/>
            <w:bookmarkStart w:id="330" w:name="_Toc6394619"/>
            <w:bookmarkStart w:id="331" w:name="_Toc36646799"/>
            <w:r>
              <w:rPr>
                <w:rFonts w:hint="eastAsia" w:ascii="宋体" w:hAnsi="宋体"/>
                <w:szCs w:val="21"/>
              </w:rPr>
              <w:t>0.09</w:t>
            </w:r>
            <w:bookmarkEnd w:id="328"/>
            <w:bookmarkEnd w:id="329"/>
            <w:bookmarkEnd w:id="330"/>
            <w:bookmarkEnd w:id="331"/>
          </w:p>
        </w:tc>
        <w:tc>
          <w:tcPr>
            <w:tcW w:w="1323" w:type="dxa"/>
            <w:vMerge w:val="continue"/>
            <w:noWrap w:val="0"/>
            <w:vAlign w:val="center"/>
          </w:tcPr>
          <w:p w14:paraId="20DC5753">
            <w:pPr>
              <w:spacing w:line="340" w:lineRule="exact"/>
              <w:jc w:val="center"/>
              <w:outlineLvl w:val="0"/>
              <w:rPr>
                <w:rFonts w:hint="eastAsia" w:ascii="宋体" w:hAnsi="宋体"/>
                <w:szCs w:val="21"/>
              </w:rPr>
            </w:pPr>
          </w:p>
        </w:tc>
        <w:tc>
          <w:tcPr>
            <w:tcW w:w="1134" w:type="dxa"/>
            <w:vMerge w:val="continue"/>
            <w:noWrap w:val="0"/>
            <w:vAlign w:val="top"/>
          </w:tcPr>
          <w:p w14:paraId="462E6A38">
            <w:pPr>
              <w:spacing w:line="340" w:lineRule="exact"/>
              <w:jc w:val="center"/>
              <w:outlineLvl w:val="0"/>
              <w:rPr>
                <w:rFonts w:hint="eastAsia" w:ascii="宋体" w:hAnsi="宋体"/>
                <w:szCs w:val="21"/>
              </w:rPr>
            </w:pPr>
          </w:p>
        </w:tc>
        <w:tc>
          <w:tcPr>
            <w:tcW w:w="1796" w:type="dxa"/>
            <w:vMerge w:val="continue"/>
            <w:noWrap w:val="0"/>
            <w:vAlign w:val="top"/>
          </w:tcPr>
          <w:p w14:paraId="0D20E8A5">
            <w:pPr>
              <w:spacing w:line="340" w:lineRule="exact"/>
              <w:jc w:val="center"/>
              <w:outlineLvl w:val="0"/>
              <w:rPr>
                <w:rFonts w:hint="eastAsia" w:ascii="宋体" w:hAnsi="宋体"/>
                <w:szCs w:val="21"/>
              </w:rPr>
            </w:pPr>
          </w:p>
        </w:tc>
      </w:tr>
      <w:tr w14:paraId="2EF3D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68" w:type="dxa"/>
            <w:vMerge w:val="continue"/>
            <w:noWrap w:val="0"/>
            <w:vAlign w:val="center"/>
          </w:tcPr>
          <w:p w14:paraId="2A8771EA">
            <w:pPr>
              <w:spacing w:line="340" w:lineRule="exact"/>
              <w:jc w:val="center"/>
              <w:outlineLvl w:val="0"/>
              <w:rPr>
                <w:rFonts w:hint="eastAsia" w:ascii="宋体" w:hAnsi="宋体"/>
                <w:szCs w:val="21"/>
              </w:rPr>
            </w:pPr>
          </w:p>
        </w:tc>
        <w:tc>
          <w:tcPr>
            <w:tcW w:w="396" w:type="dxa"/>
            <w:vMerge w:val="continue"/>
            <w:noWrap w:val="0"/>
            <w:vAlign w:val="center"/>
          </w:tcPr>
          <w:p w14:paraId="3752359A">
            <w:pPr>
              <w:spacing w:line="340" w:lineRule="exact"/>
              <w:jc w:val="center"/>
              <w:outlineLvl w:val="0"/>
              <w:rPr>
                <w:rFonts w:hint="eastAsia" w:ascii="宋体" w:hAnsi="宋体"/>
                <w:szCs w:val="21"/>
              </w:rPr>
            </w:pPr>
          </w:p>
        </w:tc>
        <w:tc>
          <w:tcPr>
            <w:tcW w:w="570" w:type="dxa"/>
            <w:vMerge w:val="continue"/>
            <w:noWrap w:val="0"/>
            <w:vAlign w:val="center"/>
          </w:tcPr>
          <w:p w14:paraId="176457CE">
            <w:pPr>
              <w:spacing w:line="340" w:lineRule="exact"/>
              <w:outlineLvl w:val="0"/>
              <w:rPr>
                <w:rFonts w:hint="eastAsia" w:ascii="宋体" w:hAnsi="宋体"/>
                <w:szCs w:val="21"/>
              </w:rPr>
            </w:pPr>
          </w:p>
        </w:tc>
        <w:tc>
          <w:tcPr>
            <w:tcW w:w="3210" w:type="dxa"/>
            <w:noWrap w:val="0"/>
            <w:vAlign w:val="center"/>
          </w:tcPr>
          <w:p w14:paraId="762D3550">
            <w:pPr>
              <w:spacing w:line="340" w:lineRule="exact"/>
              <w:outlineLvl w:val="0"/>
              <w:rPr>
                <w:rFonts w:hint="eastAsia" w:ascii="宋体" w:hAnsi="宋体"/>
                <w:szCs w:val="21"/>
              </w:rPr>
            </w:pPr>
            <w:bookmarkStart w:id="332" w:name="_Toc5117184"/>
            <w:bookmarkStart w:id="333" w:name="_Toc26539966"/>
            <w:bookmarkStart w:id="334" w:name="_Toc36646800"/>
            <w:bookmarkStart w:id="335" w:name="_Toc418773942"/>
            <w:bookmarkStart w:id="336" w:name="_Toc6394620"/>
            <w:bookmarkStart w:id="337" w:name="_Toc418581562"/>
            <w:bookmarkStart w:id="338" w:name="_Toc418171833"/>
            <w:bookmarkStart w:id="339" w:name="_Toc418775150"/>
            <w:bookmarkStart w:id="340" w:name="_Toc516750957"/>
            <w:bookmarkStart w:id="341" w:name="_Toc440987383"/>
            <w:r>
              <w:rPr>
                <w:rFonts w:hint="eastAsia" w:ascii="宋体" w:hAnsi="宋体"/>
                <w:szCs w:val="21"/>
              </w:rPr>
              <w:t>宗教用地(A</w:t>
            </w:r>
            <w:r>
              <w:rPr>
                <w:rFonts w:ascii="宋体" w:hAnsi="宋体"/>
                <w:szCs w:val="21"/>
              </w:rPr>
              <w:t>9</w:t>
            </w:r>
            <w:r>
              <w:rPr>
                <w:rFonts w:hint="eastAsia" w:ascii="宋体" w:hAnsi="宋体"/>
                <w:szCs w:val="21"/>
              </w:rPr>
              <w:t>)</w:t>
            </w:r>
            <w:bookmarkEnd w:id="332"/>
            <w:bookmarkEnd w:id="333"/>
            <w:bookmarkEnd w:id="334"/>
            <w:bookmarkEnd w:id="335"/>
            <w:bookmarkEnd w:id="336"/>
            <w:bookmarkEnd w:id="337"/>
            <w:bookmarkEnd w:id="338"/>
            <w:bookmarkEnd w:id="339"/>
            <w:bookmarkEnd w:id="340"/>
            <w:bookmarkEnd w:id="341"/>
          </w:p>
        </w:tc>
        <w:tc>
          <w:tcPr>
            <w:tcW w:w="1134" w:type="dxa"/>
            <w:noWrap w:val="0"/>
            <w:vAlign w:val="center"/>
          </w:tcPr>
          <w:p w14:paraId="4B378011">
            <w:pPr>
              <w:spacing w:line="340" w:lineRule="exact"/>
              <w:jc w:val="center"/>
              <w:outlineLvl w:val="0"/>
              <w:rPr>
                <w:rFonts w:hint="eastAsia" w:ascii="宋体" w:hAnsi="宋体"/>
                <w:szCs w:val="21"/>
              </w:rPr>
            </w:pPr>
            <w:bookmarkStart w:id="342" w:name="_Toc5117185"/>
            <w:bookmarkStart w:id="343" w:name="_Toc6394621"/>
            <w:bookmarkStart w:id="344" w:name="_Toc26539967"/>
            <w:bookmarkStart w:id="345" w:name="_Toc36646801"/>
            <w:r>
              <w:rPr>
                <w:rFonts w:ascii="宋体" w:hAnsi="宋体"/>
                <w:szCs w:val="21"/>
              </w:rPr>
              <w:t>3.</w:t>
            </w:r>
            <w:bookmarkEnd w:id="342"/>
            <w:bookmarkEnd w:id="343"/>
            <w:r>
              <w:rPr>
                <w:rFonts w:ascii="宋体" w:hAnsi="宋体"/>
                <w:szCs w:val="21"/>
              </w:rPr>
              <w:t>20</w:t>
            </w:r>
            <w:bookmarkEnd w:id="344"/>
            <w:bookmarkEnd w:id="345"/>
          </w:p>
        </w:tc>
        <w:tc>
          <w:tcPr>
            <w:tcW w:w="1323" w:type="dxa"/>
            <w:vMerge w:val="continue"/>
            <w:noWrap w:val="0"/>
            <w:vAlign w:val="center"/>
          </w:tcPr>
          <w:p w14:paraId="164EE457">
            <w:pPr>
              <w:spacing w:line="340" w:lineRule="exact"/>
              <w:jc w:val="center"/>
              <w:outlineLvl w:val="0"/>
              <w:rPr>
                <w:rFonts w:hint="eastAsia" w:ascii="宋体" w:hAnsi="宋体"/>
                <w:szCs w:val="21"/>
              </w:rPr>
            </w:pPr>
          </w:p>
        </w:tc>
        <w:tc>
          <w:tcPr>
            <w:tcW w:w="1134" w:type="dxa"/>
            <w:vMerge w:val="continue"/>
            <w:noWrap w:val="0"/>
            <w:vAlign w:val="top"/>
          </w:tcPr>
          <w:p w14:paraId="474B1B21">
            <w:pPr>
              <w:spacing w:line="340" w:lineRule="exact"/>
              <w:jc w:val="center"/>
              <w:outlineLvl w:val="0"/>
              <w:rPr>
                <w:rFonts w:hint="eastAsia" w:ascii="宋体" w:hAnsi="宋体"/>
                <w:szCs w:val="21"/>
              </w:rPr>
            </w:pPr>
          </w:p>
        </w:tc>
        <w:tc>
          <w:tcPr>
            <w:tcW w:w="1796" w:type="dxa"/>
            <w:vMerge w:val="continue"/>
            <w:noWrap w:val="0"/>
            <w:vAlign w:val="top"/>
          </w:tcPr>
          <w:p w14:paraId="11651324">
            <w:pPr>
              <w:spacing w:line="340" w:lineRule="exact"/>
              <w:jc w:val="center"/>
              <w:outlineLvl w:val="0"/>
              <w:rPr>
                <w:rFonts w:hint="eastAsia" w:ascii="宋体" w:hAnsi="宋体"/>
                <w:szCs w:val="21"/>
              </w:rPr>
            </w:pPr>
          </w:p>
        </w:tc>
      </w:tr>
      <w:tr w14:paraId="57C62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468" w:type="dxa"/>
            <w:vMerge w:val="restart"/>
            <w:noWrap w:val="0"/>
            <w:vAlign w:val="center"/>
          </w:tcPr>
          <w:p w14:paraId="570A941A">
            <w:pPr>
              <w:spacing w:line="340" w:lineRule="exact"/>
              <w:jc w:val="center"/>
              <w:outlineLvl w:val="0"/>
              <w:rPr>
                <w:rFonts w:hint="eastAsia" w:ascii="宋体" w:hAnsi="宋体"/>
                <w:szCs w:val="21"/>
              </w:rPr>
            </w:pPr>
            <w:bookmarkStart w:id="346" w:name="_Toc418171835"/>
            <w:bookmarkStart w:id="347" w:name="_Toc516750959"/>
            <w:bookmarkStart w:id="348" w:name="_Toc5117186"/>
            <w:bookmarkStart w:id="349" w:name="_Toc6394622"/>
            <w:bookmarkStart w:id="350" w:name="_Toc418581564"/>
            <w:bookmarkStart w:id="351" w:name="_Toc418773944"/>
            <w:bookmarkStart w:id="352" w:name="_Toc418775152"/>
            <w:bookmarkStart w:id="353" w:name="_Toc36646802"/>
            <w:bookmarkStart w:id="354" w:name="_Toc440987385"/>
            <w:bookmarkStart w:id="355" w:name="_Toc26539968"/>
            <w:r>
              <w:rPr>
                <w:rFonts w:hint="eastAsia" w:ascii="宋体" w:hAnsi="宋体"/>
                <w:szCs w:val="21"/>
              </w:rPr>
              <w:t>3</w:t>
            </w:r>
            <w:bookmarkEnd w:id="346"/>
            <w:bookmarkEnd w:id="347"/>
            <w:bookmarkEnd w:id="348"/>
            <w:bookmarkEnd w:id="349"/>
            <w:bookmarkEnd w:id="350"/>
            <w:bookmarkEnd w:id="351"/>
            <w:bookmarkEnd w:id="352"/>
            <w:bookmarkEnd w:id="353"/>
            <w:bookmarkEnd w:id="354"/>
            <w:bookmarkEnd w:id="355"/>
          </w:p>
        </w:tc>
        <w:tc>
          <w:tcPr>
            <w:tcW w:w="396" w:type="dxa"/>
            <w:vMerge w:val="restart"/>
            <w:noWrap w:val="0"/>
            <w:vAlign w:val="center"/>
          </w:tcPr>
          <w:p w14:paraId="44183396">
            <w:pPr>
              <w:spacing w:line="340" w:lineRule="exact"/>
              <w:jc w:val="center"/>
              <w:outlineLvl w:val="0"/>
              <w:rPr>
                <w:rFonts w:hint="eastAsia" w:ascii="宋体" w:hAnsi="宋体"/>
                <w:szCs w:val="21"/>
              </w:rPr>
            </w:pPr>
            <w:bookmarkStart w:id="356" w:name="_Toc5117187"/>
            <w:bookmarkStart w:id="357" w:name="_Toc418773945"/>
            <w:bookmarkStart w:id="358" w:name="_Toc418581565"/>
            <w:bookmarkStart w:id="359" w:name="_Toc36646803"/>
            <w:bookmarkStart w:id="360" w:name="_Toc6394623"/>
            <w:bookmarkStart w:id="361" w:name="_Toc516750960"/>
            <w:bookmarkStart w:id="362" w:name="_Toc26539969"/>
            <w:bookmarkStart w:id="363" w:name="_Toc418775153"/>
            <w:bookmarkStart w:id="364" w:name="_Toc440987386"/>
            <w:bookmarkStart w:id="365" w:name="_Toc418171836"/>
            <w:r>
              <w:rPr>
                <w:rFonts w:hint="eastAsia" w:ascii="宋体" w:hAnsi="宋体"/>
                <w:szCs w:val="21"/>
              </w:rPr>
              <w:t>B</w:t>
            </w:r>
            <w:bookmarkEnd w:id="356"/>
            <w:bookmarkEnd w:id="357"/>
            <w:bookmarkEnd w:id="358"/>
            <w:bookmarkEnd w:id="359"/>
            <w:bookmarkEnd w:id="360"/>
            <w:bookmarkEnd w:id="361"/>
            <w:bookmarkEnd w:id="362"/>
            <w:bookmarkEnd w:id="363"/>
            <w:bookmarkEnd w:id="364"/>
            <w:bookmarkEnd w:id="365"/>
          </w:p>
        </w:tc>
        <w:tc>
          <w:tcPr>
            <w:tcW w:w="3780" w:type="dxa"/>
            <w:gridSpan w:val="2"/>
            <w:noWrap w:val="0"/>
            <w:vAlign w:val="center"/>
          </w:tcPr>
          <w:p w14:paraId="2D93F8C9">
            <w:pPr>
              <w:spacing w:line="340" w:lineRule="exact"/>
              <w:outlineLvl w:val="0"/>
              <w:rPr>
                <w:rFonts w:hint="eastAsia" w:ascii="宋体" w:hAnsi="宋体"/>
                <w:szCs w:val="21"/>
              </w:rPr>
            </w:pPr>
            <w:bookmarkStart w:id="366" w:name="_Toc418581566"/>
            <w:bookmarkStart w:id="367" w:name="_Toc6394624"/>
            <w:bookmarkStart w:id="368" w:name="_Toc440987387"/>
            <w:bookmarkStart w:id="369" w:name="_Toc418775154"/>
            <w:bookmarkStart w:id="370" w:name="_Toc516750961"/>
            <w:bookmarkStart w:id="371" w:name="_Toc5117188"/>
            <w:bookmarkStart w:id="372" w:name="_Toc36646804"/>
            <w:bookmarkStart w:id="373" w:name="_Toc418773946"/>
            <w:bookmarkStart w:id="374" w:name="_Toc418171837"/>
            <w:bookmarkStart w:id="375" w:name="_Toc26539970"/>
            <w:r>
              <w:rPr>
                <w:rFonts w:hint="eastAsia" w:ascii="宋体" w:hAnsi="宋体"/>
                <w:szCs w:val="21"/>
              </w:rPr>
              <w:t>商业服务业设施用地(B)</w:t>
            </w:r>
            <w:bookmarkEnd w:id="366"/>
            <w:bookmarkEnd w:id="367"/>
            <w:bookmarkEnd w:id="368"/>
            <w:bookmarkEnd w:id="369"/>
            <w:bookmarkEnd w:id="370"/>
            <w:bookmarkEnd w:id="371"/>
            <w:bookmarkEnd w:id="372"/>
            <w:bookmarkEnd w:id="373"/>
            <w:bookmarkEnd w:id="374"/>
            <w:bookmarkEnd w:id="375"/>
          </w:p>
        </w:tc>
        <w:tc>
          <w:tcPr>
            <w:tcW w:w="1134" w:type="dxa"/>
            <w:noWrap w:val="0"/>
            <w:vAlign w:val="center"/>
          </w:tcPr>
          <w:p w14:paraId="34DBC079">
            <w:pPr>
              <w:spacing w:line="340" w:lineRule="exact"/>
              <w:jc w:val="center"/>
              <w:outlineLvl w:val="0"/>
              <w:rPr>
                <w:rFonts w:hint="eastAsia" w:ascii="宋体" w:hAnsi="宋体"/>
                <w:szCs w:val="21"/>
              </w:rPr>
            </w:pPr>
            <w:r>
              <w:rPr>
                <w:rFonts w:ascii="宋体" w:hAnsi="宋体"/>
                <w:szCs w:val="21"/>
              </w:rPr>
              <w:t>60.09</w:t>
            </w:r>
          </w:p>
        </w:tc>
        <w:tc>
          <w:tcPr>
            <w:tcW w:w="1323" w:type="dxa"/>
            <w:noWrap w:val="0"/>
            <w:vAlign w:val="center"/>
          </w:tcPr>
          <w:p w14:paraId="11749E26">
            <w:pPr>
              <w:spacing w:line="340" w:lineRule="exact"/>
              <w:jc w:val="center"/>
              <w:outlineLvl w:val="0"/>
              <w:rPr>
                <w:rFonts w:hint="eastAsia" w:ascii="宋体" w:hAnsi="宋体"/>
                <w:szCs w:val="21"/>
              </w:rPr>
            </w:pPr>
            <w:bookmarkStart w:id="376" w:name="_Toc26539972"/>
            <w:bookmarkStart w:id="377" w:name="_Toc36646806"/>
            <w:r>
              <w:rPr>
                <w:rFonts w:ascii="宋体" w:hAnsi="宋体"/>
                <w:szCs w:val="21"/>
              </w:rPr>
              <w:t>25.</w:t>
            </w:r>
            <w:bookmarkEnd w:id="376"/>
            <w:bookmarkEnd w:id="377"/>
            <w:r>
              <w:rPr>
                <w:rFonts w:ascii="宋体" w:hAnsi="宋体"/>
                <w:szCs w:val="21"/>
              </w:rPr>
              <w:t>35</w:t>
            </w:r>
          </w:p>
        </w:tc>
        <w:tc>
          <w:tcPr>
            <w:tcW w:w="1134" w:type="dxa"/>
            <w:noWrap w:val="0"/>
            <w:vAlign w:val="center"/>
          </w:tcPr>
          <w:p w14:paraId="76FB2562">
            <w:pPr>
              <w:spacing w:line="340" w:lineRule="exact"/>
              <w:jc w:val="center"/>
              <w:outlineLvl w:val="0"/>
              <w:rPr>
                <w:rFonts w:hint="eastAsia" w:ascii="宋体" w:hAnsi="宋体"/>
                <w:szCs w:val="21"/>
              </w:rPr>
            </w:pPr>
            <w:bookmarkStart w:id="378" w:name="_Toc26539973"/>
            <w:bookmarkStart w:id="379" w:name="_Toc36646807"/>
            <w:r>
              <w:rPr>
                <w:rFonts w:ascii="宋体" w:hAnsi="宋体"/>
                <w:szCs w:val="21"/>
              </w:rPr>
              <w:t>3</w:t>
            </w:r>
            <w:bookmarkEnd w:id="378"/>
            <w:r>
              <w:rPr>
                <w:rFonts w:ascii="宋体" w:hAnsi="宋体"/>
                <w:szCs w:val="21"/>
              </w:rPr>
              <w:t>0.</w:t>
            </w:r>
            <w:bookmarkEnd w:id="379"/>
            <w:r>
              <w:rPr>
                <w:rFonts w:ascii="宋体" w:hAnsi="宋体"/>
                <w:szCs w:val="21"/>
              </w:rPr>
              <w:t>05</w:t>
            </w:r>
          </w:p>
        </w:tc>
        <w:tc>
          <w:tcPr>
            <w:tcW w:w="1796" w:type="dxa"/>
            <w:noWrap w:val="0"/>
            <w:vAlign w:val="top"/>
          </w:tcPr>
          <w:p w14:paraId="48846427">
            <w:pPr>
              <w:spacing w:line="340" w:lineRule="exact"/>
              <w:jc w:val="center"/>
              <w:outlineLvl w:val="0"/>
              <w:rPr>
                <w:rFonts w:hint="eastAsia" w:ascii="宋体" w:hAnsi="宋体"/>
                <w:szCs w:val="21"/>
              </w:rPr>
            </w:pPr>
          </w:p>
        </w:tc>
      </w:tr>
      <w:tr w14:paraId="3AF08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468" w:type="dxa"/>
            <w:vMerge w:val="continue"/>
            <w:noWrap w:val="0"/>
            <w:vAlign w:val="center"/>
          </w:tcPr>
          <w:p w14:paraId="5D4E8584">
            <w:pPr>
              <w:spacing w:line="340" w:lineRule="exact"/>
              <w:jc w:val="center"/>
              <w:outlineLvl w:val="0"/>
              <w:rPr>
                <w:rFonts w:hint="eastAsia" w:ascii="宋体" w:hAnsi="宋体"/>
                <w:szCs w:val="21"/>
              </w:rPr>
            </w:pPr>
          </w:p>
        </w:tc>
        <w:tc>
          <w:tcPr>
            <w:tcW w:w="396" w:type="dxa"/>
            <w:vMerge w:val="continue"/>
            <w:noWrap w:val="0"/>
            <w:vAlign w:val="center"/>
          </w:tcPr>
          <w:p w14:paraId="09482AB8">
            <w:pPr>
              <w:spacing w:line="340" w:lineRule="exact"/>
              <w:jc w:val="center"/>
              <w:outlineLvl w:val="0"/>
              <w:rPr>
                <w:rFonts w:hint="eastAsia" w:ascii="宋体" w:hAnsi="宋体"/>
                <w:szCs w:val="21"/>
              </w:rPr>
            </w:pPr>
          </w:p>
        </w:tc>
        <w:tc>
          <w:tcPr>
            <w:tcW w:w="570" w:type="dxa"/>
            <w:vMerge w:val="restart"/>
            <w:noWrap w:val="0"/>
            <w:vAlign w:val="center"/>
          </w:tcPr>
          <w:p w14:paraId="27D6DF5B">
            <w:pPr>
              <w:spacing w:line="340" w:lineRule="exact"/>
              <w:outlineLvl w:val="0"/>
              <w:rPr>
                <w:rFonts w:hint="eastAsia" w:ascii="宋体" w:hAnsi="宋体"/>
                <w:szCs w:val="21"/>
              </w:rPr>
            </w:pPr>
            <w:bookmarkStart w:id="380" w:name="_Toc418775158"/>
            <w:bookmarkStart w:id="381" w:name="_Toc5117192"/>
            <w:bookmarkStart w:id="382" w:name="_Toc418581570"/>
            <w:bookmarkStart w:id="383" w:name="_Toc440987391"/>
            <w:bookmarkStart w:id="384" w:name="_Toc36646808"/>
            <w:bookmarkStart w:id="385" w:name="_Toc6394628"/>
            <w:bookmarkStart w:id="386" w:name="_Toc418171841"/>
            <w:bookmarkStart w:id="387" w:name="_Toc26539974"/>
            <w:bookmarkStart w:id="388" w:name="_Toc516750965"/>
            <w:bookmarkStart w:id="389" w:name="_Toc418773950"/>
            <w:r>
              <w:rPr>
                <w:rFonts w:hint="eastAsia" w:ascii="宋体" w:hAnsi="宋体"/>
                <w:szCs w:val="21"/>
              </w:rPr>
              <w:t>其</w:t>
            </w:r>
            <w:bookmarkEnd w:id="380"/>
            <w:bookmarkEnd w:id="381"/>
            <w:bookmarkEnd w:id="382"/>
            <w:bookmarkEnd w:id="383"/>
            <w:bookmarkEnd w:id="384"/>
            <w:bookmarkEnd w:id="385"/>
            <w:bookmarkEnd w:id="386"/>
            <w:bookmarkEnd w:id="387"/>
            <w:bookmarkEnd w:id="388"/>
            <w:bookmarkEnd w:id="389"/>
          </w:p>
          <w:p w14:paraId="4BEB0A40">
            <w:pPr>
              <w:spacing w:line="340" w:lineRule="exact"/>
              <w:outlineLvl w:val="0"/>
              <w:rPr>
                <w:rFonts w:hint="eastAsia" w:ascii="宋体" w:hAnsi="宋体"/>
                <w:szCs w:val="21"/>
              </w:rPr>
            </w:pPr>
          </w:p>
          <w:p w14:paraId="1509C00B">
            <w:pPr>
              <w:spacing w:line="340" w:lineRule="exact"/>
              <w:outlineLvl w:val="0"/>
              <w:rPr>
                <w:rFonts w:hint="eastAsia" w:ascii="宋体" w:hAnsi="宋体"/>
                <w:szCs w:val="21"/>
              </w:rPr>
            </w:pPr>
            <w:bookmarkStart w:id="390" w:name="_Toc26539975"/>
            <w:bookmarkStart w:id="391" w:name="_Toc516750966"/>
            <w:bookmarkStart w:id="392" w:name="_Toc6394629"/>
            <w:bookmarkStart w:id="393" w:name="_Toc418775159"/>
            <w:bookmarkStart w:id="394" w:name="_Toc418581571"/>
            <w:bookmarkStart w:id="395" w:name="_Toc418171842"/>
            <w:bookmarkStart w:id="396" w:name="_Toc418773951"/>
            <w:bookmarkStart w:id="397" w:name="_Toc36646809"/>
            <w:bookmarkStart w:id="398" w:name="_Toc5117193"/>
            <w:bookmarkStart w:id="399" w:name="_Toc440987392"/>
            <w:r>
              <w:rPr>
                <w:rFonts w:hint="eastAsia" w:ascii="宋体" w:hAnsi="宋体"/>
                <w:szCs w:val="21"/>
              </w:rPr>
              <w:t>中</w:t>
            </w:r>
            <w:bookmarkEnd w:id="390"/>
            <w:bookmarkEnd w:id="391"/>
            <w:bookmarkEnd w:id="392"/>
            <w:bookmarkEnd w:id="393"/>
            <w:bookmarkEnd w:id="394"/>
            <w:bookmarkEnd w:id="395"/>
            <w:bookmarkEnd w:id="396"/>
            <w:bookmarkEnd w:id="397"/>
            <w:bookmarkEnd w:id="398"/>
            <w:bookmarkEnd w:id="399"/>
          </w:p>
        </w:tc>
        <w:tc>
          <w:tcPr>
            <w:tcW w:w="3210" w:type="dxa"/>
            <w:noWrap w:val="0"/>
            <w:vAlign w:val="center"/>
          </w:tcPr>
          <w:p w14:paraId="174BCC88">
            <w:pPr>
              <w:spacing w:line="340" w:lineRule="exact"/>
              <w:outlineLvl w:val="0"/>
              <w:rPr>
                <w:rFonts w:hint="eastAsia" w:ascii="宋体" w:hAnsi="宋体"/>
                <w:szCs w:val="21"/>
              </w:rPr>
            </w:pPr>
            <w:bookmarkStart w:id="400" w:name="_Toc5117194"/>
            <w:bookmarkStart w:id="401" w:name="_Toc516750967"/>
            <w:bookmarkStart w:id="402" w:name="_Toc440987393"/>
            <w:bookmarkStart w:id="403" w:name="_Toc6394630"/>
            <w:bookmarkStart w:id="404" w:name="_Toc418775160"/>
            <w:bookmarkStart w:id="405" w:name="_Toc418581572"/>
            <w:bookmarkStart w:id="406" w:name="_Toc26539976"/>
            <w:bookmarkStart w:id="407" w:name="_Toc36646810"/>
            <w:bookmarkStart w:id="408" w:name="_Toc418171843"/>
            <w:bookmarkStart w:id="409" w:name="_Toc418773952"/>
            <w:r>
              <w:rPr>
                <w:rFonts w:hint="eastAsia" w:ascii="宋体" w:hAnsi="宋体"/>
                <w:szCs w:val="21"/>
              </w:rPr>
              <w:t>商业用地(B1)</w:t>
            </w:r>
            <w:bookmarkEnd w:id="400"/>
            <w:bookmarkEnd w:id="401"/>
            <w:bookmarkEnd w:id="402"/>
            <w:bookmarkEnd w:id="403"/>
            <w:bookmarkEnd w:id="404"/>
            <w:bookmarkEnd w:id="405"/>
            <w:bookmarkEnd w:id="406"/>
            <w:bookmarkEnd w:id="407"/>
            <w:bookmarkEnd w:id="408"/>
            <w:bookmarkEnd w:id="409"/>
          </w:p>
        </w:tc>
        <w:tc>
          <w:tcPr>
            <w:tcW w:w="1134" w:type="dxa"/>
            <w:noWrap w:val="0"/>
            <w:vAlign w:val="center"/>
          </w:tcPr>
          <w:p w14:paraId="1F5EF8DC">
            <w:pPr>
              <w:spacing w:line="340" w:lineRule="exact"/>
              <w:jc w:val="center"/>
              <w:outlineLvl w:val="0"/>
              <w:rPr>
                <w:rFonts w:hint="eastAsia" w:ascii="宋体" w:hAnsi="宋体"/>
                <w:szCs w:val="21"/>
              </w:rPr>
            </w:pPr>
            <w:r>
              <w:rPr>
                <w:rFonts w:ascii="宋体" w:hAnsi="宋体"/>
                <w:szCs w:val="21"/>
              </w:rPr>
              <w:t>55.39</w:t>
            </w:r>
          </w:p>
        </w:tc>
        <w:tc>
          <w:tcPr>
            <w:tcW w:w="1323" w:type="dxa"/>
            <w:noWrap w:val="0"/>
            <w:vAlign w:val="center"/>
          </w:tcPr>
          <w:p w14:paraId="11319CF3">
            <w:pPr>
              <w:spacing w:line="340" w:lineRule="exact"/>
              <w:jc w:val="center"/>
              <w:outlineLvl w:val="0"/>
              <w:rPr>
                <w:rFonts w:hint="eastAsia" w:ascii="宋体" w:hAnsi="宋体"/>
                <w:szCs w:val="21"/>
              </w:rPr>
            </w:pPr>
          </w:p>
        </w:tc>
        <w:tc>
          <w:tcPr>
            <w:tcW w:w="1134" w:type="dxa"/>
            <w:noWrap w:val="0"/>
            <w:vAlign w:val="center"/>
          </w:tcPr>
          <w:p w14:paraId="13C3991D">
            <w:pPr>
              <w:spacing w:line="340" w:lineRule="exact"/>
              <w:jc w:val="center"/>
              <w:outlineLvl w:val="0"/>
              <w:rPr>
                <w:rFonts w:hint="eastAsia" w:ascii="宋体" w:hAnsi="宋体"/>
                <w:szCs w:val="21"/>
              </w:rPr>
            </w:pPr>
          </w:p>
        </w:tc>
        <w:tc>
          <w:tcPr>
            <w:tcW w:w="1796" w:type="dxa"/>
            <w:noWrap w:val="0"/>
            <w:vAlign w:val="top"/>
          </w:tcPr>
          <w:p w14:paraId="29332203">
            <w:pPr>
              <w:spacing w:line="340" w:lineRule="exact"/>
              <w:jc w:val="center"/>
              <w:outlineLvl w:val="0"/>
              <w:rPr>
                <w:rFonts w:hint="eastAsia" w:ascii="宋体" w:hAnsi="宋体"/>
                <w:szCs w:val="21"/>
              </w:rPr>
            </w:pPr>
          </w:p>
        </w:tc>
      </w:tr>
      <w:tr w14:paraId="05784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468" w:type="dxa"/>
            <w:vMerge w:val="continue"/>
            <w:noWrap w:val="0"/>
            <w:vAlign w:val="center"/>
          </w:tcPr>
          <w:p w14:paraId="04687B1D">
            <w:pPr>
              <w:spacing w:line="340" w:lineRule="exact"/>
              <w:jc w:val="center"/>
              <w:outlineLvl w:val="0"/>
              <w:rPr>
                <w:rFonts w:hint="eastAsia" w:ascii="宋体" w:hAnsi="宋体"/>
                <w:szCs w:val="21"/>
              </w:rPr>
            </w:pPr>
          </w:p>
        </w:tc>
        <w:tc>
          <w:tcPr>
            <w:tcW w:w="396" w:type="dxa"/>
            <w:vMerge w:val="continue"/>
            <w:noWrap w:val="0"/>
            <w:vAlign w:val="center"/>
          </w:tcPr>
          <w:p w14:paraId="478674BC">
            <w:pPr>
              <w:spacing w:line="340" w:lineRule="exact"/>
              <w:jc w:val="center"/>
              <w:outlineLvl w:val="0"/>
              <w:rPr>
                <w:rFonts w:hint="eastAsia" w:ascii="宋体" w:hAnsi="宋体"/>
                <w:szCs w:val="21"/>
              </w:rPr>
            </w:pPr>
          </w:p>
        </w:tc>
        <w:tc>
          <w:tcPr>
            <w:tcW w:w="570" w:type="dxa"/>
            <w:vMerge w:val="continue"/>
            <w:noWrap w:val="0"/>
            <w:vAlign w:val="center"/>
          </w:tcPr>
          <w:p w14:paraId="1E1EBE59">
            <w:pPr>
              <w:spacing w:line="340" w:lineRule="exact"/>
              <w:outlineLvl w:val="0"/>
              <w:rPr>
                <w:rFonts w:hint="eastAsia" w:ascii="宋体" w:hAnsi="宋体"/>
                <w:szCs w:val="21"/>
              </w:rPr>
            </w:pPr>
          </w:p>
        </w:tc>
        <w:tc>
          <w:tcPr>
            <w:tcW w:w="3210" w:type="dxa"/>
            <w:noWrap w:val="0"/>
            <w:vAlign w:val="center"/>
          </w:tcPr>
          <w:p w14:paraId="1AE5F0C0">
            <w:pPr>
              <w:spacing w:line="340" w:lineRule="exact"/>
              <w:outlineLvl w:val="0"/>
              <w:rPr>
                <w:rFonts w:hint="eastAsia" w:ascii="宋体" w:hAnsi="宋体"/>
                <w:szCs w:val="21"/>
              </w:rPr>
            </w:pPr>
            <w:bookmarkStart w:id="410" w:name="_Toc36646812"/>
            <w:bookmarkStart w:id="411" w:name="_Toc5117196"/>
            <w:bookmarkStart w:id="412" w:name="_Toc440987397"/>
            <w:bookmarkStart w:id="413" w:name="_Toc418773956"/>
            <w:bookmarkStart w:id="414" w:name="_Toc418581576"/>
            <w:bookmarkStart w:id="415" w:name="_Toc516750971"/>
            <w:bookmarkStart w:id="416" w:name="_Toc418775164"/>
            <w:bookmarkStart w:id="417" w:name="_Toc26539978"/>
            <w:bookmarkStart w:id="418" w:name="_Toc418171847"/>
            <w:bookmarkStart w:id="419" w:name="_Toc6394632"/>
            <w:r>
              <w:rPr>
                <w:rFonts w:hint="eastAsia" w:ascii="宋体" w:hAnsi="宋体"/>
                <w:szCs w:val="21"/>
              </w:rPr>
              <w:t>娱乐康体用地(B3)</w:t>
            </w:r>
            <w:bookmarkEnd w:id="410"/>
            <w:bookmarkEnd w:id="411"/>
            <w:bookmarkEnd w:id="412"/>
            <w:bookmarkEnd w:id="413"/>
            <w:bookmarkEnd w:id="414"/>
            <w:bookmarkEnd w:id="415"/>
            <w:bookmarkEnd w:id="416"/>
            <w:bookmarkEnd w:id="417"/>
            <w:bookmarkEnd w:id="418"/>
            <w:bookmarkEnd w:id="419"/>
          </w:p>
        </w:tc>
        <w:tc>
          <w:tcPr>
            <w:tcW w:w="1134" w:type="dxa"/>
            <w:noWrap w:val="0"/>
            <w:vAlign w:val="center"/>
          </w:tcPr>
          <w:p w14:paraId="6F1C0A33">
            <w:pPr>
              <w:spacing w:line="340" w:lineRule="exact"/>
              <w:jc w:val="center"/>
              <w:outlineLvl w:val="0"/>
              <w:rPr>
                <w:rFonts w:hint="eastAsia" w:ascii="宋体" w:hAnsi="宋体"/>
                <w:szCs w:val="21"/>
              </w:rPr>
            </w:pPr>
            <w:bookmarkStart w:id="420" w:name="_Toc36646813"/>
            <w:r>
              <w:rPr>
                <w:rFonts w:ascii="宋体" w:hAnsi="宋体"/>
                <w:szCs w:val="21"/>
              </w:rPr>
              <w:t>3.83</w:t>
            </w:r>
            <w:bookmarkEnd w:id="420"/>
          </w:p>
        </w:tc>
        <w:tc>
          <w:tcPr>
            <w:tcW w:w="1323" w:type="dxa"/>
            <w:noWrap w:val="0"/>
            <w:vAlign w:val="center"/>
          </w:tcPr>
          <w:p w14:paraId="2528E926">
            <w:pPr>
              <w:spacing w:line="340" w:lineRule="exact"/>
              <w:jc w:val="center"/>
              <w:outlineLvl w:val="0"/>
              <w:rPr>
                <w:rFonts w:hint="eastAsia" w:ascii="宋体" w:hAnsi="宋体"/>
                <w:szCs w:val="21"/>
              </w:rPr>
            </w:pPr>
          </w:p>
        </w:tc>
        <w:tc>
          <w:tcPr>
            <w:tcW w:w="1134" w:type="dxa"/>
            <w:noWrap w:val="0"/>
            <w:vAlign w:val="center"/>
          </w:tcPr>
          <w:p w14:paraId="7D5CE617">
            <w:pPr>
              <w:spacing w:line="340" w:lineRule="exact"/>
              <w:jc w:val="center"/>
              <w:outlineLvl w:val="0"/>
              <w:rPr>
                <w:rFonts w:hint="eastAsia" w:ascii="宋体" w:hAnsi="宋体"/>
                <w:szCs w:val="21"/>
              </w:rPr>
            </w:pPr>
          </w:p>
        </w:tc>
        <w:tc>
          <w:tcPr>
            <w:tcW w:w="1796" w:type="dxa"/>
            <w:noWrap w:val="0"/>
            <w:vAlign w:val="top"/>
          </w:tcPr>
          <w:p w14:paraId="4E81F12D">
            <w:pPr>
              <w:spacing w:line="340" w:lineRule="exact"/>
              <w:jc w:val="center"/>
              <w:outlineLvl w:val="0"/>
              <w:rPr>
                <w:rFonts w:hint="eastAsia" w:ascii="宋体" w:hAnsi="宋体"/>
                <w:szCs w:val="21"/>
              </w:rPr>
            </w:pPr>
          </w:p>
        </w:tc>
      </w:tr>
      <w:tr w14:paraId="35886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468" w:type="dxa"/>
            <w:vMerge w:val="continue"/>
            <w:noWrap w:val="0"/>
            <w:vAlign w:val="center"/>
          </w:tcPr>
          <w:p w14:paraId="622C382F">
            <w:pPr>
              <w:spacing w:line="340" w:lineRule="exact"/>
              <w:jc w:val="center"/>
              <w:outlineLvl w:val="0"/>
              <w:rPr>
                <w:rFonts w:hint="eastAsia" w:ascii="宋体" w:hAnsi="宋体"/>
                <w:szCs w:val="21"/>
              </w:rPr>
            </w:pPr>
          </w:p>
        </w:tc>
        <w:tc>
          <w:tcPr>
            <w:tcW w:w="396" w:type="dxa"/>
            <w:vMerge w:val="continue"/>
            <w:noWrap w:val="0"/>
            <w:vAlign w:val="center"/>
          </w:tcPr>
          <w:p w14:paraId="4A7451AA">
            <w:pPr>
              <w:spacing w:line="340" w:lineRule="exact"/>
              <w:jc w:val="center"/>
              <w:outlineLvl w:val="0"/>
              <w:rPr>
                <w:rFonts w:hint="eastAsia" w:ascii="宋体" w:hAnsi="宋体"/>
                <w:szCs w:val="21"/>
              </w:rPr>
            </w:pPr>
          </w:p>
        </w:tc>
        <w:tc>
          <w:tcPr>
            <w:tcW w:w="570" w:type="dxa"/>
            <w:vMerge w:val="continue"/>
            <w:noWrap w:val="0"/>
            <w:vAlign w:val="center"/>
          </w:tcPr>
          <w:p w14:paraId="4BAB9EF6">
            <w:pPr>
              <w:spacing w:line="340" w:lineRule="exact"/>
              <w:outlineLvl w:val="0"/>
              <w:rPr>
                <w:rFonts w:hint="eastAsia" w:ascii="宋体" w:hAnsi="宋体"/>
                <w:szCs w:val="21"/>
              </w:rPr>
            </w:pPr>
          </w:p>
        </w:tc>
        <w:tc>
          <w:tcPr>
            <w:tcW w:w="3210" w:type="dxa"/>
            <w:noWrap w:val="0"/>
            <w:vAlign w:val="center"/>
          </w:tcPr>
          <w:p w14:paraId="3202DF21">
            <w:pPr>
              <w:spacing w:line="340" w:lineRule="exact"/>
              <w:outlineLvl w:val="0"/>
              <w:rPr>
                <w:rFonts w:hint="eastAsia" w:ascii="宋体" w:hAnsi="宋体"/>
                <w:szCs w:val="21"/>
              </w:rPr>
            </w:pPr>
            <w:bookmarkStart w:id="421" w:name="_Toc440987399"/>
            <w:bookmarkStart w:id="422" w:name="_Toc418171849"/>
            <w:bookmarkStart w:id="423" w:name="_Toc418775166"/>
            <w:bookmarkStart w:id="424" w:name="_Toc418773958"/>
            <w:bookmarkStart w:id="425" w:name="_Toc5117198"/>
            <w:bookmarkStart w:id="426" w:name="_Toc516750973"/>
            <w:bookmarkStart w:id="427" w:name="_Toc26539980"/>
            <w:bookmarkStart w:id="428" w:name="_Toc418581578"/>
            <w:bookmarkStart w:id="429" w:name="_Toc36646814"/>
            <w:bookmarkStart w:id="430" w:name="_Toc6394634"/>
            <w:r>
              <w:rPr>
                <w:rFonts w:hint="eastAsia" w:ascii="宋体" w:hAnsi="宋体"/>
                <w:szCs w:val="21"/>
              </w:rPr>
              <w:t>公用设施营业网点用地（B4）</w:t>
            </w:r>
            <w:bookmarkEnd w:id="421"/>
            <w:bookmarkEnd w:id="422"/>
            <w:bookmarkEnd w:id="423"/>
            <w:bookmarkEnd w:id="424"/>
            <w:bookmarkEnd w:id="425"/>
            <w:bookmarkEnd w:id="426"/>
            <w:bookmarkEnd w:id="427"/>
            <w:bookmarkEnd w:id="428"/>
            <w:bookmarkEnd w:id="429"/>
            <w:bookmarkEnd w:id="430"/>
          </w:p>
        </w:tc>
        <w:tc>
          <w:tcPr>
            <w:tcW w:w="1134" w:type="dxa"/>
            <w:noWrap w:val="0"/>
            <w:vAlign w:val="center"/>
          </w:tcPr>
          <w:p w14:paraId="443FF567">
            <w:pPr>
              <w:spacing w:line="340" w:lineRule="exact"/>
              <w:jc w:val="center"/>
              <w:outlineLvl w:val="0"/>
              <w:rPr>
                <w:rFonts w:hint="eastAsia" w:ascii="宋体" w:hAnsi="宋体"/>
                <w:szCs w:val="21"/>
              </w:rPr>
            </w:pPr>
            <w:bookmarkStart w:id="431" w:name="_Toc26539981"/>
            <w:bookmarkStart w:id="432" w:name="_Toc36646815"/>
            <w:r>
              <w:rPr>
                <w:rFonts w:ascii="宋体" w:hAnsi="宋体"/>
                <w:szCs w:val="21"/>
              </w:rPr>
              <w:t>0.87</w:t>
            </w:r>
            <w:bookmarkEnd w:id="431"/>
            <w:bookmarkEnd w:id="432"/>
          </w:p>
        </w:tc>
        <w:tc>
          <w:tcPr>
            <w:tcW w:w="1323" w:type="dxa"/>
            <w:noWrap w:val="0"/>
            <w:vAlign w:val="center"/>
          </w:tcPr>
          <w:p w14:paraId="55F4E513">
            <w:pPr>
              <w:spacing w:line="340" w:lineRule="exact"/>
              <w:jc w:val="center"/>
              <w:outlineLvl w:val="0"/>
              <w:rPr>
                <w:rFonts w:hint="eastAsia" w:ascii="宋体" w:hAnsi="宋体"/>
                <w:szCs w:val="21"/>
              </w:rPr>
            </w:pPr>
          </w:p>
        </w:tc>
        <w:tc>
          <w:tcPr>
            <w:tcW w:w="1134" w:type="dxa"/>
            <w:noWrap w:val="0"/>
            <w:vAlign w:val="center"/>
          </w:tcPr>
          <w:p w14:paraId="0A94914C">
            <w:pPr>
              <w:spacing w:line="340" w:lineRule="exact"/>
              <w:jc w:val="center"/>
              <w:outlineLvl w:val="0"/>
              <w:rPr>
                <w:rFonts w:hint="eastAsia" w:ascii="宋体" w:hAnsi="宋体"/>
                <w:szCs w:val="21"/>
              </w:rPr>
            </w:pPr>
          </w:p>
        </w:tc>
        <w:tc>
          <w:tcPr>
            <w:tcW w:w="1796" w:type="dxa"/>
            <w:noWrap w:val="0"/>
            <w:vAlign w:val="top"/>
          </w:tcPr>
          <w:p w14:paraId="1740BD81">
            <w:pPr>
              <w:spacing w:line="340" w:lineRule="exact"/>
              <w:jc w:val="center"/>
              <w:outlineLvl w:val="0"/>
              <w:rPr>
                <w:rFonts w:hint="eastAsia" w:ascii="宋体" w:hAnsi="宋体"/>
                <w:szCs w:val="21"/>
              </w:rPr>
            </w:pPr>
          </w:p>
        </w:tc>
      </w:tr>
      <w:tr w14:paraId="66914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468" w:type="dxa"/>
            <w:vMerge w:val="restart"/>
            <w:noWrap w:val="0"/>
            <w:vAlign w:val="center"/>
          </w:tcPr>
          <w:p w14:paraId="7D5EF23E">
            <w:pPr>
              <w:spacing w:line="340" w:lineRule="exact"/>
              <w:jc w:val="center"/>
              <w:outlineLvl w:val="0"/>
              <w:rPr>
                <w:rFonts w:hint="eastAsia" w:ascii="宋体" w:hAnsi="宋体"/>
                <w:szCs w:val="21"/>
              </w:rPr>
            </w:pPr>
            <w:bookmarkStart w:id="433" w:name="_Toc26539982"/>
            <w:bookmarkStart w:id="434" w:name="_Toc5117200"/>
            <w:bookmarkStart w:id="435" w:name="_Toc6394636"/>
            <w:bookmarkStart w:id="436" w:name="_Toc36646816"/>
            <w:r>
              <w:rPr>
                <w:rFonts w:ascii="宋体" w:hAnsi="宋体"/>
                <w:szCs w:val="21"/>
              </w:rPr>
              <w:t>4</w:t>
            </w:r>
            <w:bookmarkEnd w:id="433"/>
            <w:bookmarkEnd w:id="434"/>
            <w:bookmarkEnd w:id="435"/>
            <w:bookmarkEnd w:id="436"/>
          </w:p>
        </w:tc>
        <w:tc>
          <w:tcPr>
            <w:tcW w:w="396" w:type="dxa"/>
            <w:vMerge w:val="restart"/>
            <w:noWrap w:val="0"/>
            <w:vAlign w:val="center"/>
          </w:tcPr>
          <w:p w14:paraId="6A59A357">
            <w:pPr>
              <w:spacing w:line="340" w:lineRule="exact"/>
              <w:jc w:val="center"/>
              <w:outlineLvl w:val="0"/>
              <w:rPr>
                <w:rFonts w:hint="eastAsia" w:ascii="宋体" w:hAnsi="宋体"/>
                <w:szCs w:val="21"/>
              </w:rPr>
            </w:pPr>
            <w:bookmarkStart w:id="437" w:name="_Toc418581587"/>
            <w:bookmarkStart w:id="438" w:name="_Toc418171858"/>
            <w:bookmarkStart w:id="439" w:name="_Toc418773967"/>
            <w:bookmarkStart w:id="440" w:name="_Toc418775175"/>
            <w:bookmarkStart w:id="441" w:name="_Toc26539983"/>
            <w:bookmarkStart w:id="442" w:name="_Toc5117201"/>
            <w:bookmarkStart w:id="443" w:name="_Toc516750988"/>
            <w:bookmarkStart w:id="444" w:name="_Toc36646817"/>
            <w:bookmarkStart w:id="445" w:name="_Toc440987414"/>
            <w:bookmarkStart w:id="446" w:name="_Toc6394637"/>
            <w:r>
              <w:rPr>
                <w:rFonts w:hint="eastAsia" w:ascii="宋体" w:hAnsi="宋体"/>
                <w:szCs w:val="21"/>
              </w:rPr>
              <w:t>S</w:t>
            </w:r>
            <w:bookmarkEnd w:id="437"/>
            <w:bookmarkEnd w:id="438"/>
            <w:bookmarkEnd w:id="439"/>
            <w:bookmarkEnd w:id="440"/>
            <w:bookmarkEnd w:id="441"/>
            <w:bookmarkEnd w:id="442"/>
            <w:bookmarkEnd w:id="443"/>
            <w:bookmarkEnd w:id="444"/>
            <w:bookmarkEnd w:id="445"/>
            <w:bookmarkEnd w:id="446"/>
          </w:p>
        </w:tc>
        <w:tc>
          <w:tcPr>
            <w:tcW w:w="3780" w:type="dxa"/>
            <w:gridSpan w:val="2"/>
            <w:noWrap w:val="0"/>
            <w:vAlign w:val="center"/>
          </w:tcPr>
          <w:p w14:paraId="3FD10AF3">
            <w:pPr>
              <w:spacing w:line="340" w:lineRule="exact"/>
              <w:outlineLvl w:val="0"/>
              <w:rPr>
                <w:rFonts w:hint="eastAsia" w:ascii="宋体" w:hAnsi="宋体"/>
                <w:szCs w:val="21"/>
              </w:rPr>
            </w:pPr>
            <w:bookmarkStart w:id="447" w:name="_Toc418773968"/>
            <w:bookmarkStart w:id="448" w:name="_Toc440987415"/>
            <w:bookmarkStart w:id="449" w:name="_Toc516750989"/>
            <w:bookmarkStart w:id="450" w:name="_Toc418775176"/>
            <w:bookmarkStart w:id="451" w:name="_Toc418171859"/>
            <w:bookmarkStart w:id="452" w:name="_Toc418581588"/>
            <w:bookmarkStart w:id="453" w:name="_Toc5117202"/>
            <w:bookmarkStart w:id="454" w:name="_Toc6394638"/>
            <w:bookmarkStart w:id="455" w:name="_Toc36646818"/>
            <w:bookmarkStart w:id="456" w:name="_Toc26539984"/>
            <w:r>
              <w:rPr>
                <w:rFonts w:hint="eastAsia" w:ascii="宋体" w:hAnsi="宋体"/>
                <w:szCs w:val="21"/>
              </w:rPr>
              <w:t>道路与交通设施用地(S)</w:t>
            </w:r>
            <w:bookmarkEnd w:id="447"/>
            <w:bookmarkEnd w:id="448"/>
            <w:bookmarkEnd w:id="449"/>
            <w:bookmarkEnd w:id="450"/>
            <w:bookmarkEnd w:id="451"/>
            <w:bookmarkEnd w:id="452"/>
            <w:bookmarkEnd w:id="453"/>
            <w:bookmarkEnd w:id="454"/>
            <w:bookmarkEnd w:id="455"/>
            <w:bookmarkEnd w:id="456"/>
          </w:p>
        </w:tc>
        <w:tc>
          <w:tcPr>
            <w:tcW w:w="1134" w:type="dxa"/>
            <w:noWrap w:val="0"/>
            <w:vAlign w:val="center"/>
          </w:tcPr>
          <w:p w14:paraId="1ACF864B">
            <w:pPr>
              <w:spacing w:line="340" w:lineRule="exact"/>
              <w:jc w:val="center"/>
              <w:outlineLvl w:val="0"/>
              <w:rPr>
                <w:rFonts w:hint="eastAsia" w:ascii="宋体" w:hAnsi="宋体"/>
                <w:szCs w:val="21"/>
              </w:rPr>
            </w:pPr>
            <w:bookmarkStart w:id="457" w:name="_Toc26539985"/>
            <w:bookmarkStart w:id="458" w:name="_Toc36646819"/>
            <w:r>
              <w:rPr>
                <w:rFonts w:ascii="宋体" w:hAnsi="宋体"/>
                <w:szCs w:val="21"/>
              </w:rPr>
              <w:t>65.07</w:t>
            </w:r>
            <w:bookmarkEnd w:id="457"/>
            <w:bookmarkEnd w:id="458"/>
          </w:p>
        </w:tc>
        <w:tc>
          <w:tcPr>
            <w:tcW w:w="1323" w:type="dxa"/>
            <w:noWrap w:val="0"/>
            <w:vAlign w:val="center"/>
          </w:tcPr>
          <w:p w14:paraId="5C988855">
            <w:pPr>
              <w:spacing w:line="340" w:lineRule="exact"/>
              <w:jc w:val="center"/>
              <w:outlineLvl w:val="0"/>
              <w:rPr>
                <w:rFonts w:hint="eastAsia" w:ascii="宋体" w:hAnsi="宋体"/>
                <w:szCs w:val="21"/>
              </w:rPr>
            </w:pPr>
            <w:bookmarkStart w:id="459" w:name="_Toc26539986"/>
            <w:bookmarkStart w:id="460" w:name="_Toc36646820"/>
            <w:r>
              <w:rPr>
                <w:rFonts w:ascii="宋体" w:hAnsi="宋体"/>
                <w:szCs w:val="21"/>
              </w:rPr>
              <w:t>27.</w:t>
            </w:r>
            <w:bookmarkEnd w:id="459"/>
            <w:bookmarkEnd w:id="460"/>
            <w:r>
              <w:rPr>
                <w:rFonts w:ascii="宋体" w:hAnsi="宋体"/>
                <w:szCs w:val="21"/>
              </w:rPr>
              <w:t>45</w:t>
            </w:r>
          </w:p>
        </w:tc>
        <w:tc>
          <w:tcPr>
            <w:tcW w:w="1134" w:type="dxa"/>
            <w:noWrap w:val="0"/>
            <w:vAlign w:val="center"/>
          </w:tcPr>
          <w:p w14:paraId="74A259F1">
            <w:pPr>
              <w:spacing w:line="340" w:lineRule="exact"/>
              <w:jc w:val="center"/>
              <w:outlineLvl w:val="0"/>
              <w:rPr>
                <w:rFonts w:hint="eastAsia" w:ascii="宋体" w:hAnsi="宋体"/>
                <w:szCs w:val="21"/>
              </w:rPr>
            </w:pPr>
            <w:bookmarkStart w:id="461" w:name="_Toc26539987"/>
            <w:bookmarkStart w:id="462" w:name="_Toc36646821"/>
            <w:r>
              <w:rPr>
                <w:rFonts w:ascii="宋体" w:hAnsi="宋体"/>
                <w:szCs w:val="21"/>
              </w:rPr>
              <w:t>32.5</w:t>
            </w:r>
            <w:bookmarkEnd w:id="461"/>
            <w:r>
              <w:rPr>
                <w:rFonts w:ascii="宋体" w:hAnsi="宋体"/>
                <w:szCs w:val="21"/>
              </w:rPr>
              <w:t>3</w:t>
            </w:r>
            <w:bookmarkEnd w:id="462"/>
          </w:p>
        </w:tc>
        <w:tc>
          <w:tcPr>
            <w:tcW w:w="1796" w:type="dxa"/>
            <w:noWrap w:val="0"/>
            <w:vAlign w:val="top"/>
          </w:tcPr>
          <w:p w14:paraId="48A27F44">
            <w:pPr>
              <w:spacing w:line="340" w:lineRule="exact"/>
              <w:jc w:val="center"/>
              <w:outlineLvl w:val="0"/>
              <w:rPr>
                <w:rFonts w:hint="eastAsia" w:ascii="宋体" w:hAnsi="宋体"/>
                <w:szCs w:val="21"/>
              </w:rPr>
            </w:pPr>
          </w:p>
        </w:tc>
      </w:tr>
      <w:tr w14:paraId="6D7C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 w:hRule="atLeast"/>
        </w:trPr>
        <w:tc>
          <w:tcPr>
            <w:tcW w:w="468" w:type="dxa"/>
            <w:vMerge w:val="continue"/>
            <w:noWrap w:val="0"/>
            <w:vAlign w:val="center"/>
          </w:tcPr>
          <w:p w14:paraId="4445861F">
            <w:pPr>
              <w:spacing w:line="340" w:lineRule="exact"/>
              <w:jc w:val="center"/>
              <w:outlineLvl w:val="0"/>
              <w:rPr>
                <w:rFonts w:hint="eastAsia" w:ascii="宋体" w:hAnsi="宋体"/>
                <w:szCs w:val="21"/>
              </w:rPr>
            </w:pPr>
          </w:p>
        </w:tc>
        <w:tc>
          <w:tcPr>
            <w:tcW w:w="396" w:type="dxa"/>
            <w:vMerge w:val="continue"/>
            <w:noWrap w:val="0"/>
            <w:vAlign w:val="center"/>
          </w:tcPr>
          <w:p w14:paraId="3ABAC01F">
            <w:pPr>
              <w:spacing w:line="340" w:lineRule="exact"/>
              <w:jc w:val="center"/>
              <w:outlineLvl w:val="0"/>
              <w:rPr>
                <w:rFonts w:hint="eastAsia" w:ascii="宋体" w:hAnsi="宋体"/>
                <w:szCs w:val="21"/>
              </w:rPr>
            </w:pPr>
          </w:p>
        </w:tc>
        <w:tc>
          <w:tcPr>
            <w:tcW w:w="570" w:type="dxa"/>
            <w:vMerge w:val="restart"/>
            <w:noWrap w:val="0"/>
            <w:vAlign w:val="center"/>
          </w:tcPr>
          <w:p w14:paraId="0198CFB9">
            <w:pPr>
              <w:spacing w:line="340" w:lineRule="exact"/>
              <w:outlineLvl w:val="0"/>
              <w:rPr>
                <w:rFonts w:hint="eastAsia" w:ascii="宋体" w:hAnsi="宋体"/>
                <w:szCs w:val="21"/>
              </w:rPr>
            </w:pPr>
            <w:bookmarkStart w:id="463" w:name="_Toc418773972"/>
            <w:bookmarkStart w:id="464" w:name="_Toc418775180"/>
            <w:bookmarkStart w:id="465" w:name="_Toc5117206"/>
            <w:bookmarkStart w:id="466" w:name="_Toc26539988"/>
            <w:bookmarkStart w:id="467" w:name="_Toc418581592"/>
            <w:bookmarkStart w:id="468" w:name="_Toc6394642"/>
            <w:bookmarkStart w:id="469" w:name="_Toc516750993"/>
            <w:bookmarkStart w:id="470" w:name="_Toc440987419"/>
            <w:bookmarkStart w:id="471" w:name="_Toc418171863"/>
            <w:bookmarkStart w:id="472" w:name="_Toc36646822"/>
            <w:r>
              <w:rPr>
                <w:rFonts w:hint="eastAsia" w:ascii="宋体" w:hAnsi="宋体"/>
                <w:szCs w:val="21"/>
              </w:rPr>
              <w:t>其中</w:t>
            </w:r>
            <w:bookmarkEnd w:id="463"/>
            <w:bookmarkEnd w:id="464"/>
            <w:bookmarkEnd w:id="465"/>
            <w:bookmarkEnd w:id="466"/>
            <w:bookmarkEnd w:id="467"/>
            <w:bookmarkEnd w:id="468"/>
            <w:bookmarkEnd w:id="469"/>
            <w:bookmarkEnd w:id="470"/>
            <w:bookmarkEnd w:id="471"/>
            <w:bookmarkEnd w:id="472"/>
          </w:p>
        </w:tc>
        <w:tc>
          <w:tcPr>
            <w:tcW w:w="3210" w:type="dxa"/>
            <w:noWrap w:val="0"/>
            <w:vAlign w:val="center"/>
          </w:tcPr>
          <w:p w14:paraId="5F47F063">
            <w:pPr>
              <w:spacing w:line="340" w:lineRule="exact"/>
              <w:outlineLvl w:val="0"/>
              <w:rPr>
                <w:rFonts w:hint="eastAsia" w:ascii="宋体" w:hAnsi="宋体"/>
                <w:szCs w:val="21"/>
              </w:rPr>
            </w:pPr>
            <w:bookmarkStart w:id="473" w:name="_Toc36646823"/>
            <w:bookmarkStart w:id="474" w:name="_Toc6394643"/>
            <w:bookmarkStart w:id="475" w:name="_Toc418581593"/>
            <w:bookmarkStart w:id="476" w:name="_Toc5117207"/>
            <w:bookmarkStart w:id="477" w:name="_Toc418775181"/>
            <w:bookmarkStart w:id="478" w:name="_Toc440987420"/>
            <w:bookmarkStart w:id="479" w:name="_Toc418773973"/>
            <w:bookmarkStart w:id="480" w:name="_Toc418171864"/>
            <w:bookmarkStart w:id="481" w:name="_Toc26539989"/>
            <w:bookmarkStart w:id="482" w:name="_Toc516750994"/>
            <w:r>
              <w:rPr>
                <w:rFonts w:hint="eastAsia" w:ascii="宋体" w:hAnsi="宋体"/>
                <w:szCs w:val="21"/>
              </w:rPr>
              <w:t>城市道路用地(S1)</w:t>
            </w:r>
            <w:bookmarkEnd w:id="473"/>
            <w:bookmarkEnd w:id="474"/>
            <w:bookmarkEnd w:id="475"/>
            <w:bookmarkEnd w:id="476"/>
            <w:bookmarkEnd w:id="477"/>
            <w:bookmarkEnd w:id="478"/>
            <w:bookmarkEnd w:id="479"/>
            <w:bookmarkEnd w:id="480"/>
            <w:bookmarkEnd w:id="481"/>
            <w:bookmarkEnd w:id="482"/>
          </w:p>
        </w:tc>
        <w:tc>
          <w:tcPr>
            <w:tcW w:w="1134" w:type="dxa"/>
            <w:noWrap w:val="0"/>
            <w:vAlign w:val="center"/>
          </w:tcPr>
          <w:p w14:paraId="23F0D538">
            <w:pPr>
              <w:spacing w:line="340" w:lineRule="exact"/>
              <w:jc w:val="center"/>
              <w:outlineLvl w:val="0"/>
              <w:rPr>
                <w:rFonts w:hint="eastAsia" w:ascii="宋体" w:hAnsi="宋体"/>
                <w:szCs w:val="21"/>
              </w:rPr>
            </w:pPr>
            <w:bookmarkStart w:id="483" w:name="_Toc36646824"/>
            <w:bookmarkStart w:id="484" w:name="_Toc26539990"/>
            <w:r>
              <w:rPr>
                <w:rFonts w:ascii="宋体" w:hAnsi="宋体"/>
                <w:szCs w:val="21"/>
              </w:rPr>
              <w:t>59.79</w:t>
            </w:r>
            <w:bookmarkEnd w:id="483"/>
            <w:bookmarkEnd w:id="484"/>
          </w:p>
        </w:tc>
        <w:tc>
          <w:tcPr>
            <w:tcW w:w="1323" w:type="dxa"/>
            <w:noWrap w:val="0"/>
            <w:vAlign w:val="center"/>
          </w:tcPr>
          <w:p w14:paraId="25701E50">
            <w:pPr>
              <w:spacing w:line="340" w:lineRule="exact"/>
              <w:jc w:val="center"/>
              <w:outlineLvl w:val="0"/>
              <w:rPr>
                <w:rFonts w:hint="eastAsia" w:ascii="宋体" w:hAnsi="宋体"/>
                <w:szCs w:val="21"/>
              </w:rPr>
            </w:pPr>
          </w:p>
        </w:tc>
        <w:tc>
          <w:tcPr>
            <w:tcW w:w="1134" w:type="dxa"/>
            <w:noWrap w:val="0"/>
            <w:vAlign w:val="center"/>
          </w:tcPr>
          <w:p w14:paraId="4DB709D8">
            <w:pPr>
              <w:spacing w:line="340" w:lineRule="exact"/>
              <w:jc w:val="center"/>
              <w:outlineLvl w:val="0"/>
              <w:rPr>
                <w:rFonts w:hint="eastAsia" w:ascii="宋体" w:hAnsi="宋体"/>
                <w:szCs w:val="21"/>
              </w:rPr>
            </w:pPr>
          </w:p>
        </w:tc>
        <w:tc>
          <w:tcPr>
            <w:tcW w:w="1796" w:type="dxa"/>
            <w:vMerge w:val="restart"/>
            <w:noWrap w:val="0"/>
            <w:vAlign w:val="top"/>
          </w:tcPr>
          <w:p w14:paraId="523067DE">
            <w:pPr>
              <w:spacing w:line="340" w:lineRule="exact"/>
              <w:jc w:val="center"/>
              <w:outlineLvl w:val="0"/>
              <w:rPr>
                <w:rFonts w:hint="eastAsia" w:ascii="宋体" w:hAnsi="宋体"/>
                <w:szCs w:val="21"/>
              </w:rPr>
            </w:pPr>
          </w:p>
        </w:tc>
      </w:tr>
      <w:tr w14:paraId="66A2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 w:hRule="atLeast"/>
        </w:trPr>
        <w:tc>
          <w:tcPr>
            <w:tcW w:w="468" w:type="dxa"/>
            <w:vMerge w:val="continue"/>
            <w:noWrap w:val="0"/>
            <w:vAlign w:val="center"/>
          </w:tcPr>
          <w:p w14:paraId="541597F8">
            <w:pPr>
              <w:spacing w:line="340" w:lineRule="exact"/>
              <w:jc w:val="center"/>
              <w:outlineLvl w:val="0"/>
              <w:rPr>
                <w:rFonts w:hint="eastAsia" w:ascii="宋体" w:hAnsi="宋体"/>
                <w:szCs w:val="21"/>
              </w:rPr>
            </w:pPr>
          </w:p>
        </w:tc>
        <w:tc>
          <w:tcPr>
            <w:tcW w:w="396" w:type="dxa"/>
            <w:vMerge w:val="continue"/>
            <w:noWrap w:val="0"/>
            <w:vAlign w:val="center"/>
          </w:tcPr>
          <w:p w14:paraId="4539EACA">
            <w:pPr>
              <w:spacing w:line="340" w:lineRule="exact"/>
              <w:jc w:val="center"/>
              <w:outlineLvl w:val="0"/>
              <w:rPr>
                <w:rFonts w:hint="eastAsia" w:ascii="宋体" w:hAnsi="宋体"/>
                <w:szCs w:val="21"/>
              </w:rPr>
            </w:pPr>
          </w:p>
        </w:tc>
        <w:tc>
          <w:tcPr>
            <w:tcW w:w="570" w:type="dxa"/>
            <w:vMerge w:val="continue"/>
            <w:noWrap w:val="0"/>
            <w:vAlign w:val="center"/>
          </w:tcPr>
          <w:p w14:paraId="67EE8181">
            <w:pPr>
              <w:spacing w:line="340" w:lineRule="exact"/>
              <w:outlineLvl w:val="0"/>
              <w:rPr>
                <w:rFonts w:hint="eastAsia" w:ascii="宋体" w:hAnsi="宋体"/>
                <w:szCs w:val="21"/>
              </w:rPr>
            </w:pPr>
          </w:p>
        </w:tc>
        <w:tc>
          <w:tcPr>
            <w:tcW w:w="3210" w:type="dxa"/>
            <w:noWrap w:val="0"/>
            <w:vAlign w:val="center"/>
          </w:tcPr>
          <w:p w14:paraId="5F08D141">
            <w:pPr>
              <w:spacing w:line="340" w:lineRule="exact"/>
              <w:outlineLvl w:val="0"/>
              <w:rPr>
                <w:rFonts w:hint="eastAsia" w:ascii="宋体" w:hAnsi="宋体"/>
                <w:szCs w:val="21"/>
              </w:rPr>
            </w:pPr>
            <w:bookmarkStart w:id="485" w:name="_Toc5117209"/>
            <w:bookmarkStart w:id="486" w:name="_Toc516750996"/>
            <w:bookmarkStart w:id="487" w:name="_Toc418581595"/>
            <w:bookmarkStart w:id="488" w:name="_Toc6394645"/>
            <w:bookmarkStart w:id="489" w:name="_Toc418773975"/>
            <w:bookmarkStart w:id="490" w:name="_Toc36646825"/>
            <w:bookmarkStart w:id="491" w:name="_Toc418775183"/>
            <w:bookmarkStart w:id="492" w:name="_Toc418171866"/>
            <w:bookmarkStart w:id="493" w:name="_Toc26539991"/>
            <w:bookmarkStart w:id="494" w:name="_Toc440987422"/>
            <w:r>
              <w:rPr>
                <w:rFonts w:hint="eastAsia" w:ascii="宋体" w:hAnsi="宋体"/>
                <w:szCs w:val="21"/>
              </w:rPr>
              <w:t>交通枢纽用地(S3)</w:t>
            </w:r>
            <w:bookmarkEnd w:id="485"/>
            <w:bookmarkEnd w:id="486"/>
            <w:bookmarkEnd w:id="487"/>
            <w:bookmarkEnd w:id="488"/>
            <w:bookmarkEnd w:id="489"/>
            <w:bookmarkEnd w:id="490"/>
            <w:bookmarkEnd w:id="491"/>
            <w:bookmarkEnd w:id="492"/>
            <w:bookmarkEnd w:id="493"/>
            <w:bookmarkEnd w:id="494"/>
          </w:p>
        </w:tc>
        <w:tc>
          <w:tcPr>
            <w:tcW w:w="1134" w:type="dxa"/>
            <w:noWrap w:val="0"/>
            <w:vAlign w:val="center"/>
          </w:tcPr>
          <w:p w14:paraId="17D6D9DE">
            <w:pPr>
              <w:spacing w:line="340" w:lineRule="exact"/>
              <w:jc w:val="center"/>
              <w:outlineLvl w:val="0"/>
              <w:rPr>
                <w:rFonts w:hint="eastAsia" w:ascii="宋体" w:hAnsi="宋体"/>
                <w:szCs w:val="21"/>
              </w:rPr>
            </w:pPr>
            <w:bookmarkStart w:id="495" w:name="_Toc36646826"/>
            <w:bookmarkStart w:id="496" w:name="_Toc5117210"/>
            <w:bookmarkStart w:id="497" w:name="_Toc6394646"/>
            <w:bookmarkStart w:id="498" w:name="_Toc26539992"/>
            <w:r>
              <w:rPr>
                <w:rFonts w:ascii="宋体" w:hAnsi="宋体"/>
                <w:szCs w:val="21"/>
              </w:rPr>
              <w:t>-</w:t>
            </w:r>
            <w:bookmarkEnd w:id="495"/>
            <w:bookmarkEnd w:id="496"/>
            <w:bookmarkEnd w:id="497"/>
            <w:bookmarkEnd w:id="498"/>
          </w:p>
        </w:tc>
        <w:tc>
          <w:tcPr>
            <w:tcW w:w="1323" w:type="dxa"/>
            <w:noWrap w:val="0"/>
            <w:vAlign w:val="center"/>
          </w:tcPr>
          <w:p w14:paraId="7D157B27">
            <w:pPr>
              <w:spacing w:line="340" w:lineRule="exact"/>
              <w:jc w:val="center"/>
              <w:outlineLvl w:val="0"/>
              <w:rPr>
                <w:rFonts w:hint="eastAsia" w:ascii="宋体" w:hAnsi="宋体"/>
                <w:szCs w:val="21"/>
              </w:rPr>
            </w:pPr>
          </w:p>
        </w:tc>
        <w:tc>
          <w:tcPr>
            <w:tcW w:w="1134" w:type="dxa"/>
            <w:noWrap w:val="0"/>
            <w:vAlign w:val="center"/>
          </w:tcPr>
          <w:p w14:paraId="7AF69164">
            <w:pPr>
              <w:spacing w:line="340" w:lineRule="exact"/>
              <w:jc w:val="center"/>
              <w:outlineLvl w:val="0"/>
              <w:rPr>
                <w:rFonts w:hint="eastAsia" w:ascii="宋体" w:hAnsi="宋体"/>
                <w:szCs w:val="21"/>
              </w:rPr>
            </w:pPr>
          </w:p>
        </w:tc>
        <w:tc>
          <w:tcPr>
            <w:tcW w:w="1796" w:type="dxa"/>
            <w:vMerge w:val="continue"/>
            <w:noWrap w:val="0"/>
            <w:vAlign w:val="top"/>
          </w:tcPr>
          <w:p w14:paraId="77781E7F">
            <w:pPr>
              <w:spacing w:line="340" w:lineRule="exact"/>
              <w:jc w:val="center"/>
              <w:outlineLvl w:val="0"/>
              <w:rPr>
                <w:rFonts w:hint="eastAsia" w:ascii="宋体" w:hAnsi="宋体"/>
                <w:szCs w:val="21"/>
              </w:rPr>
            </w:pPr>
          </w:p>
        </w:tc>
      </w:tr>
      <w:tr w14:paraId="22F99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68" w:type="dxa"/>
            <w:vMerge w:val="continue"/>
            <w:noWrap w:val="0"/>
            <w:vAlign w:val="center"/>
          </w:tcPr>
          <w:p w14:paraId="2ACAAE24">
            <w:pPr>
              <w:spacing w:line="340" w:lineRule="exact"/>
              <w:jc w:val="center"/>
              <w:outlineLvl w:val="0"/>
              <w:rPr>
                <w:rFonts w:hint="eastAsia" w:ascii="宋体" w:hAnsi="宋体"/>
                <w:szCs w:val="21"/>
              </w:rPr>
            </w:pPr>
          </w:p>
        </w:tc>
        <w:tc>
          <w:tcPr>
            <w:tcW w:w="396" w:type="dxa"/>
            <w:vMerge w:val="continue"/>
            <w:noWrap w:val="0"/>
            <w:vAlign w:val="center"/>
          </w:tcPr>
          <w:p w14:paraId="0AFD3215">
            <w:pPr>
              <w:spacing w:line="340" w:lineRule="exact"/>
              <w:jc w:val="center"/>
              <w:outlineLvl w:val="0"/>
              <w:rPr>
                <w:rFonts w:hint="eastAsia" w:ascii="宋体" w:hAnsi="宋体"/>
                <w:szCs w:val="21"/>
              </w:rPr>
            </w:pPr>
          </w:p>
        </w:tc>
        <w:tc>
          <w:tcPr>
            <w:tcW w:w="570" w:type="dxa"/>
            <w:vMerge w:val="continue"/>
            <w:noWrap w:val="0"/>
            <w:vAlign w:val="center"/>
          </w:tcPr>
          <w:p w14:paraId="0F4C8A41">
            <w:pPr>
              <w:spacing w:line="340" w:lineRule="exact"/>
              <w:outlineLvl w:val="0"/>
              <w:rPr>
                <w:rFonts w:hint="eastAsia" w:ascii="宋体" w:hAnsi="宋体"/>
                <w:szCs w:val="21"/>
              </w:rPr>
            </w:pPr>
          </w:p>
        </w:tc>
        <w:tc>
          <w:tcPr>
            <w:tcW w:w="3210" w:type="dxa"/>
            <w:noWrap w:val="0"/>
            <w:vAlign w:val="center"/>
          </w:tcPr>
          <w:p w14:paraId="66581436">
            <w:pPr>
              <w:spacing w:line="340" w:lineRule="exact"/>
              <w:outlineLvl w:val="0"/>
              <w:rPr>
                <w:rFonts w:hint="eastAsia" w:ascii="宋体" w:hAnsi="宋体"/>
                <w:szCs w:val="21"/>
              </w:rPr>
            </w:pPr>
            <w:bookmarkStart w:id="499" w:name="_Toc36646827"/>
            <w:bookmarkStart w:id="500" w:name="_Toc418581597"/>
            <w:bookmarkStart w:id="501" w:name="_Toc440987424"/>
            <w:bookmarkStart w:id="502" w:name="_Toc418171868"/>
            <w:bookmarkStart w:id="503" w:name="_Toc5117211"/>
            <w:bookmarkStart w:id="504" w:name="_Toc6394647"/>
            <w:bookmarkStart w:id="505" w:name="_Toc516750998"/>
            <w:bookmarkStart w:id="506" w:name="_Toc26539993"/>
            <w:bookmarkStart w:id="507" w:name="_Toc418773977"/>
            <w:bookmarkStart w:id="508" w:name="_Toc418775185"/>
            <w:r>
              <w:rPr>
                <w:rFonts w:hint="eastAsia" w:ascii="宋体" w:hAnsi="宋体"/>
                <w:szCs w:val="21"/>
              </w:rPr>
              <w:t>交通场站用地(S4)</w:t>
            </w:r>
            <w:bookmarkEnd w:id="499"/>
            <w:bookmarkEnd w:id="500"/>
            <w:bookmarkEnd w:id="501"/>
            <w:bookmarkEnd w:id="502"/>
            <w:bookmarkEnd w:id="503"/>
            <w:bookmarkEnd w:id="504"/>
            <w:bookmarkEnd w:id="505"/>
            <w:bookmarkEnd w:id="506"/>
            <w:bookmarkEnd w:id="507"/>
            <w:bookmarkEnd w:id="508"/>
          </w:p>
        </w:tc>
        <w:tc>
          <w:tcPr>
            <w:tcW w:w="1134" w:type="dxa"/>
            <w:noWrap w:val="0"/>
            <w:vAlign w:val="center"/>
          </w:tcPr>
          <w:p w14:paraId="09AA8881">
            <w:pPr>
              <w:spacing w:line="340" w:lineRule="exact"/>
              <w:jc w:val="center"/>
              <w:outlineLvl w:val="0"/>
              <w:rPr>
                <w:rFonts w:hint="eastAsia" w:ascii="宋体" w:hAnsi="宋体"/>
                <w:szCs w:val="21"/>
              </w:rPr>
            </w:pPr>
            <w:bookmarkStart w:id="509" w:name="_Toc6394648"/>
            <w:bookmarkStart w:id="510" w:name="_Toc5117212"/>
            <w:bookmarkStart w:id="511" w:name="_Toc36646828"/>
            <w:bookmarkStart w:id="512" w:name="_Toc26539994"/>
            <w:r>
              <w:rPr>
                <w:rFonts w:ascii="宋体" w:hAnsi="宋体"/>
                <w:szCs w:val="21"/>
              </w:rPr>
              <w:t>5.</w:t>
            </w:r>
            <w:bookmarkEnd w:id="509"/>
            <w:bookmarkEnd w:id="510"/>
            <w:r>
              <w:rPr>
                <w:rFonts w:ascii="宋体" w:hAnsi="宋体"/>
                <w:szCs w:val="21"/>
              </w:rPr>
              <w:t>28</w:t>
            </w:r>
            <w:bookmarkEnd w:id="511"/>
            <w:bookmarkEnd w:id="512"/>
          </w:p>
        </w:tc>
        <w:tc>
          <w:tcPr>
            <w:tcW w:w="1323" w:type="dxa"/>
            <w:noWrap w:val="0"/>
            <w:vAlign w:val="center"/>
          </w:tcPr>
          <w:p w14:paraId="02073DF6">
            <w:pPr>
              <w:spacing w:line="340" w:lineRule="exact"/>
              <w:jc w:val="center"/>
              <w:outlineLvl w:val="0"/>
              <w:rPr>
                <w:rFonts w:hint="eastAsia" w:ascii="宋体" w:hAnsi="宋体"/>
                <w:szCs w:val="21"/>
              </w:rPr>
            </w:pPr>
          </w:p>
        </w:tc>
        <w:tc>
          <w:tcPr>
            <w:tcW w:w="1134" w:type="dxa"/>
            <w:noWrap w:val="0"/>
            <w:vAlign w:val="top"/>
          </w:tcPr>
          <w:p w14:paraId="0DDC3F08">
            <w:pPr>
              <w:spacing w:line="340" w:lineRule="exact"/>
              <w:jc w:val="center"/>
              <w:outlineLvl w:val="0"/>
              <w:rPr>
                <w:rFonts w:hint="eastAsia" w:ascii="宋体" w:hAnsi="宋体"/>
                <w:szCs w:val="21"/>
              </w:rPr>
            </w:pPr>
          </w:p>
        </w:tc>
        <w:tc>
          <w:tcPr>
            <w:tcW w:w="1796" w:type="dxa"/>
            <w:vMerge w:val="continue"/>
            <w:noWrap w:val="0"/>
            <w:vAlign w:val="center"/>
          </w:tcPr>
          <w:p w14:paraId="05C3B4C4">
            <w:pPr>
              <w:spacing w:line="340" w:lineRule="exact"/>
              <w:jc w:val="center"/>
              <w:outlineLvl w:val="0"/>
              <w:rPr>
                <w:rFonts w:hint="eastAsia" w:ascii="宋体" w:hAnsi="宋体"/>
                <w:szCs w:val="21"/>
              </w:rPr>
            </w:pPr>
          </w:p>
        </w:tc>
      </w:tr>
      <w:tr w14:paraId="2E58B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8" w:type="dxa"/>
            <w:vMerge w:val="restart"/>
            <w:noWrap w:val="0"/>
            <w:vAlign w:val="center"/>
          </w:tcPr>
          <w:p w14:paraId="349D0BE3">
            <w:pPr>
              <w:spacing w:line="340" w:lineRule="exact"/>
              <w:jc w:val="center"/>
              <w:outlineLvl w:val="0"/>
              <w:rPr>
                <w:rFonts w:hint="eastAsia" w:ascii="宋体" w:hAnsi="宋体"/>
                <w:szCs w:val="21"/>
              </w:rPr>
            </w:pPr>
            <w:bookmarkStart w:id="513" w:name="_Toc6394649"/>
            <w:bookmarkStart w:id="514" w:name="_Toc5117213"/>
            <w:bookmarkStart w:id="515" w:name="_Toc36646829"/>
            <w:bookmarkStart w:id="516" w:name="_Toc26539995"/>
            <w:r>
              <w:rPr>
                <w:rFonts w:ascii="宋体" w:hAnsi="宋体"/>
                <w:szCs w:val="21"/>
              </w:rPr>
              <w:t>5</w:t>
            </w:r>
            <w:bookmarkEnd w:id="513"/>
            <w:bookmarkEnd w:id="514"/>
            <w:bookmarkEnd w:id="515"/>
            <w:bookmarkEnd w:id="516"/>
          </w:p>
        </w:tc>
        <w:tc>
          <w:tcPr>
            <w:tcW w:w="396" w:type="dxa"/>
            <w:vMerge w:val="restart"/>
            <w:noWrap w:val="0"/>
            <w:vAlign w:val="center"/>
          </w:tcPr>
          <w:p w14:paraId="709A76B1">
            <w:pPr>
              <w:spacing w:line="340" w:lineRule="exact"/>
              <w:jc w:val="center"/>
              <w:outlineLvl w:val="0"/>
              <w:rPr>
                <w:rFonts w:hint="eastAsia" w:ascii="宋体" w:hAnsi="宋体"/>
                <w:szCs w:val="21"/>
              </w:rPr>
            </w:pPr>
            <w:bookmarkStart w:id="517" w:name="_Toc418581600"/>
            <w:bookmarkStart w:id="518" w:name="_Toc36646830"/>
            <w:bookmarkStart w:id="519" w:name="_Toc418171871"/>
            <w:bookmarkStart w:id="520" w:name="_Toc418775188"/>
            <w:bookmarkStart w:id="521" w:name="_Toc418773980"/>
            <w:bookmarkStart w:id="522" w:name="_Toc440987427"/>
            <w:bookmarkStart w:id="523" w:name="_Toc26539996"/>
            <w:bookmarkStart w:id="524" w:name="_Toc5117214"/>
            <w:bookmarkStart w:id="525" w:name="_Toc6394650"/>
            <w:bookmarkStart w:id="526" w:name="_Toc516751001"/>
            <w:r>
              <w:rPr>
                <w:rFonts w:hint="eastAsia" w:ascii="宋体" w:hAnsi="宋体"/>
                <w:szCs w:val="21"/>
              </w:rPr>
              <w:t>U</w:t>
            </w:r>
            <w:bookmarkEnd w:id="517"/>
            <w:bookmarkEnd w:id="518"/>
            <w:bookmarkEnd w:id="519"/>
            <w:bookmarkEnd w:id="520"/>
            <w:bookmarkEnd w:id="521"/>
            <w:bookmarkEnd w:id="522"/>
            <w:bookmarkEnd w:id="523"/>
            <w:bookmarkEnd w:id="524"/>
            <w:bookmarkEnd w:id="525"/>
            <w:bookmarkEnd w:id="526"/>
          </w:p>
        </w:tc>
        <w:tc>
          <w:tcPr>
            <w:tcW w:w="3780" w:type="dxa"/>
            <w:gridSpan w:val="2"/>
            <w:noWrap w:val="0"/>
            <w:vAlign w:val="center"/>
          </w:tcPr>
          <w:p w14:paraId="64E8E078">
            <w:pPr>
              <w:spacing w:line="340" w:lineRule="exact"/>
              <w:outlineLvl w:val="0"/>
              <w:rPr>
                <w:rFonts w:hint="eastAsia" w:ascii="宋体" w:hAnsi="宋体"/>
                <w:szCs w:val="21"/>
              </w:rPr>
            </w:pPr>
            <w:bookmarkStart w:id="527" w:name="_Toc418773981"/>
            <w:bookmarkStart w:id="528" w:name="_Toc418775189"/>
            <w:bookmarkStart w:id="529" w:name="_Toc36646831"/>
            <w:bookmarkStart w:id="530" w:name="_Toc516751002"/>
            <w:bookmarkStart w:id="531" w:name="_Toc418171872"/>
            <w:bookmarkStart w:id="532" w:name="_Toc418581601"/>
            <w:bookmarkStart w:id="533" w:name="_Toc440987428"/>
            <w:bookmarkStart w:id="534" w:name="_Toc6394651"/>
            <w:bookmarkStart w:id="535" w:name="_Toc5117215"/>
            <w:bookmarkStart w:id="536" w:name="_Toc26539997"/>
            <w:r>
              <w:rPr>
                <w:rFonts w:hint="eastAsia" w:ascii="宋体" w:hAnsi="宋体"/>
                <w:szCs w:val="21"/>
              </w:rPr>
              <w:t>公用设施用地</w:t>
            </w:r>
            <w:bookmarkEnd w:id="527"/>
            <w:bookmarkEnd w:id="528"/>
            <w:bookmarkEnd w:id="529"/>
            <w:bookmarkEnd w:id="530"/>
            <w:bookmarkEnd w:id="531"/>
            <w:bookmarkEnd w:id="532"/>
            <w:bookmarkEnd w:id="533"/>
            <w:bookmarkEnd w:id="534"/>
            <w:bookmarkEnd w:id="535"/>
            <w:bookmarkEnd w:id="536"/>
          </w:p>
        </w:tc>
        <w:tc>
          <w:tcPr>
            <w:tcW w:w="1134" w:type="dxa"/>
            <w:noWrap w:val="0"/>
            <w:vAlign w:val="center"/>
          </w:tcPr>
          <w:p w14:paraId="5978276A">
            <w:pPr>
              <w:spacing w:line="340" w:lineRule="exact"/>
              <w:jc w:val="center"/>
              <w:outlineLvl w:val="0"/>
              <w:rPr>
                <w:rFonts w:hint="eastAsia" w:ascii="宋体" w:hAnsi="宋体"/>
                <w:szCs w:val="21"/>
              </w:rPr>
            </w:pPr>
            <w:bookmarkStart w:id="537" w:name="_Toc26539998"/>
            <w:bookmarkStart w:id="538" w:name="_Toc36646832"/>
            <w:r>
              <w:rPr>
                <w:rFonts w:ascii="宋体" w:hAnsi="宋体"/>
                <w:szCs w:val="21"/>
              </w:rPr>
              <w:t>0.</w:t>
            </w:r>
            <w:bookmarkEnd w:id="537"/>
            <w:r>
              <w:rPr>
                <w:rFonts w:ascii="宋体" w:hAnsi="宋体"/>
                <w:szCs w:val="21"/>
              </w:rPr>
              <w:t>45</w:t>
            </w:r>
            <w:bookmarkEnd w:id="538"/>
          </w:p>
        </w:tc>
        <w:tc>
          <w:tcPr>
            <w:tcW w:w="1323" w:type="dxa"/>
            <w:noWrap w:val="0"/>
            <w:vAlign w:val="center"/>
          </w:tcPr>
          <w:p w14:paraId="2CDF0A38">
            <w:pPr>
              <w:spacing w:line="340" w:lineRule="exact"/>
              <w:jc w:val="center"/>
              <w:outlineLvl w:val="0"/>
              <w:rPr>
                <w:rFonts w:hint="eastAsia" w:ascii="宋体" w:hAnsi="宋体"/>
                <w:szCs w:val="21"/>
              </w:rPr>
            </w:pPr>
            <w:bookmarkStart w:id="539" w:name="_Toc26539999"/>
            <w:bookmarkStart w:id="540" w:name="_Toc5117217"/>
            <w:bookmarkStart w:id="541" w:name="_Toc6394653"/>
            <w:bookmarkStart w:id="542" w:name="_Toc36646833"/>
            <w:r>
              <w:rPr>
                <w:rFonts w:ascii="宋体" w:hAnsi="宋体"/>
                <w:szCs w:val="21"/>
              </w:rPr>
              <w:t>0.</w:t>
            </w:r>
            <w:bookmarkEnd w:id="539"/>
            <w:bookmarkEnd w:id="540"/>
            <w:bookmarkEnd w:id="541"/>
            <w:r>
              <w:rPr>
                <w:rFonts w:ascii="宋体" w:hAnsi="宋体"/>
                <w:szCs w:val="21"/>
              </w:rPr>
              <w:t>19</w:t>
            </w:r>
            <w:bookmarkEnd w:id="542"/>
          </w:p>
        </w:tc>
        <w:tc>
          <w:tcPr>
            <w:tcW w:w="1134" w:type="dxa"/>
            <w:noWrap w:val="0"/>
            <w:vAlign w:val="center"/>
          </w:tcPr>
          <w:p w14:paraId="245FBDA6">
            <w:pPr>
              <w:spacing w:line="340" w:lineRule="exact"/>
              <w:jc w:val="center"/>
              <w:outlineLvl w:val="0"/>
              <w:rPr>
                <w:rFonts w:hint="eastAsia" w:ascii="宋体" w:hAnsi="宋体"/>
                <w:szCs w:val="21"/>
              </w:rPr>
            </w:pPr>
            <w:bookmarkStart w:id="543" w:name="_Toc5117218"/>
            <w:bookmarkStart w:id="544" w:name="_Toc26540000"/>
            <w:bookmarkStart w:id="545" w:name="_Toc6394654"/>
            <w:bookmarkStart w:id="546" w:name="_Toc36646834"/>
            <w:r>
              <w:rPr>
                <w:rFonts w:ascii="宋体" w:hAnsi="宋体"/>
                <w:szCs w:val="21"/>
              </w:rPr>
              <w:t>0.</w:t>
            </w:r>
            <w:bookmarkEnd w:id="543"/>
            <w:bookmarkEnd w:id="544"/>
            <w:bookmarkEnd w:id="545"/>
            <w:r>
              <w:rPr>
                <w:rFonts w:ascii="宋体" w:hAnsi="宋体"/>
                <w:szCs w:val="21"/>
              </w:rPr>
              <w:t>22</w:t>
            </w:r>
            <w:bookmarkEnd w:id="546"/>
          </w:p>
        </w:tc>
        <w:tc>
          <w:tcPr>
            <w:tcW w:w="1796" w:type="dxa"/>
            <w:noWrap w:val="0"/>
            <w:vAlign w:val="top"/>
          </w:tcPr>
          <w:p w14:paraId="248CEFCE">
            <w:pPr>
              <w:spacing w:line="340" w:lineRule="exact"/>
              <w:jc w:val="center"/>
              <w:outlineLvl w:val="0"/>
              <w:rPr>
                <w:rFonts w:hint="eastAsia" w:ascii="宋体" w:hAnsi="宋体"/>
                <w:szCs w:val="21"/>
              </w:rPr>
            </w:pPr>
          </w:p>
        </w:tc>
      </w:tr>
      <w:tr w14:paraId="2FF8C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8" w:type="dxa"/>
            <w:vMerge w:val="continue"/>
            <w:noWrap w:val="0"/>
            <w:vAlign w:val="center"/>
          </w:tcPr>
          <w:p w14:paraId="7EA090DB">
            <w:pPr>
              <w:spacing w:line="340" w:lineRule="exact"/>
              <w:jc w:val="center"/>
              <w:outlineLvl w:val="0"/>
              <w:rPr>
                <w:rFonts w:hint="eastAsia" w:ascii="宋体" w:hAnsi="宋体"/>
                <w:szCs w:val="21"/>
              </w:rPr>
            </w:pPr>
          </w:p>
        </w:tc>
        <w:tc>
          <w:tcPr>
            <w:tcW w:w="396" w:type="dxa"/>
            <w:vMerge w:val="continue"/>
            <w:noWrap w:val="0"/>
            <w:vAlign w:val="center"/>
          </w:tcPr>
          <w:p w14:paraId="40D7E601">
            <w:pPr>
              <w:spacing w:line="340" w:lineRule="exact"/>
              <w:jc w:val="center"/>
              <w:outlineLvl w:val="0"/>
              <w:rPr>
                <w:rFonts w:hint="eastAsia" w:ascii="宋体" w:hAnsi="宋体"/>
                <w:szCs w:val="21"/>
              </w:rPr>
            </w:pPr>
          </w:p>
        </w:tc>
        <w:tc>
          <w:tcPr>
            <w:tcW w:w="570" w:type="dxa"/>
            <w:vMerge w:val="restart"/>
            <w:noWrap w:val="0"/>
            <w:vAlign w:val="center"/>
          </w:tcPr>
          <w:p w14:paraId="70E080E9">
            <w:pPr>
              <w:spacing w:line="340" w:lineRule="exact"/>
              <w:outlineLvl w:val="0"/>
              <w:rPr>
                <w:rFonts w:hint="eastAsia" w:ascii="宋体" w:hAnsi="宋体"/>
                <w:szCs w:val="21"/>
              </w:rPr>
            </w:pPr>
            <w:bookmarkStart w:id="547" w:name="_Toc5117219"/>
            <w:bookmarkStart w:id="548" w:name="_Toc418775193"/>
            <w:bookmarkStart w:id="549" w:name="_Toc36646835"/>
            <w:bookmarkStart w:id="550" w:name="_Toc440987432"/>
            <w:bookmarkStart w:id="551" w:name="_Toc6394655"/>
            <w:bookmarkStart w:id="552" w:name="_Toc418773985"/>
            <w:bookmarkStart w:id="553" w:name="_Toc418171876"/>
            <w:bookmarkStart w:id="554" w:name="_Toc26540001"/>
            <w:bookmarkStart w:id="555" w:name="_Toc418581605"/>
            <w:bookmarkStart w:id="556" w:name="_Toc516751006"/>
            <w:r>
              <w:rPr>
                <w:rFonts w:hint="eastAsia" w:ascii="宋体" w:hAnsi="宋体"/>
                <w:szCs w:val="21"/>
              </w:rPr>
              <w:t>其中</w:t>
            </w:r>
            <w:bookmarkEnd w:id="547"/>
            <w:bookmarkEnd w:id="548"/>
            <w:bookmarkEnd w:id="549"/>
            <w:bookmarkEnd w:id="550"/>
            <w:bookmarkEnd w:id="551"/>
            <w:bookmarkEnd w:id="552"/>
            <w:bookmarkEnd w:id="553"/>
            <w:bookmarkEnd w:id="554"/>
            <w:bookmarkEnd w:id="555"/>
            <w:bookmarkEnd w:id="556"/>
          </w:p>
        </w:tc>
        <w:tc>
          <w:tcPr>
            <w:tcW w:w="3210" w:type="dxa"/>
            <w:noWrap w:val="0"/>
            <w:vAlign w:val="center"/>
          </w:tcPr>
          <w:p w14:paraId="6BD7B6C0">
            <w:pPr>
              <w:spacing w:line="340" w:lineRule="exact"/>
              <w:outlineLvl w:val="0"/>
              <w:rPr>
                <w:rFonts w:hint="eastAsia" w:ascii="宋体" w:hAnsi="宋体"/>
                <w:szCs w:val="21"/>
              </w:rPr>
            </w:pPr>
            <w:bookmarkStart w:id="557" w:name="_Toc440987433"/>
            <w:bookmarkStart w:id="558" w:name="_Toc418775194"/>
            <w:bookmarkStart w:id="559" w:name="_Toc418581606"/>
            <w:bookmarkStart w:id="560" w:name="_Toc516751007"/>
            <w:bookmarkStart w:id="561" w:name="_Toc36646836"/>
            <w:bookmarkStart w:id="562" w:name="_Toc26540002"/>
            <w:bookmarkStart w:id="563" w:name="_Toc418171877"/>
            <w:bookmarkStart w:id="564" w:name="_Toc5117220"/>
            <w:bookmarkStart w:id="565" w:name="_Toc6394656"/>
            <w:bookmarkStart w:id="566" w:name="_Toc418773986"/>
            <w:r>
              <w:rPr>
                <w:rFonts w:hint="eastAsia" w:ascii="宋体" w:hAnsi="宋体"/>
                <w:szCs w:val="21"/>
              </w:rPr>
              <w:t>供应设施用地(U1)</w:t>
            </w:r>
            <w:bookmarkEnd w:id="557"/>
            <w:bookmarkEnd w:id="558"/>
            <w:bookmarkEnd w:id="559"/>
            <w:bookmarkEnd w:id="560"/>
            <w:bookmarkEnd w:id="561"/>
            <w:bookmarkEnd w:id="562"/>
            <w:bookmarkEnd w:id="563"/>
            <w:bookmarkEnd w:id="564"/>
            <w:bookmarkEnd w:id="565"/>
            <w:bookmarkEnd w:id="566"/>
          </w:p>
        </w:tc>
        <w:tc>
          <w:tcPr>
            <w:tcW w:w="1134" w:type="dxa"/>
            <w:noWrap w:val="0"/>
            <w:vAlign w:val="center"/>
          </w:tcPr>
          <w:p w14:paraId="6EF4FCD9">
            <w:pPr>
              <w:spacing w:line="340" w:lineRule="exact"/>
              <w:jc w:val="center"/>
              <w:outlineLvl w:val="0"/>
              <w:rPr>
                <w:rFonts w:hint="eastAsia" w:ascii="宋体" w:hAnsi="宋体"/>
                <w:szCs w:val="21"/>
              </w:rPr>
            </w:pPr>
            <w:bookmarkStart w:id="567" w:name="_Toc26540003"/>
            <w:bookmarkStart w:id="568" w:name="_Toc5117221"/>
            <w:bookmarkStart w:id="569" w:name="_Toc6394657"/>
            <w:bookmarkStart w:id="570" w:name="_Toc36646837"/>
            <w:r>
              <w:rPr>
                <w:rFonts w:ascii="宋体" w:hAnsi="宋体"/>
                <w:szCs w:val="21"/>
              </w:rPr>
              <w:t>0.</w:t>
            </w:r>
            <w:bookmarkEnd w:id="567"/>
            <w:bookmarkEnd w:id="568"/>
            <w:bookmarkEnd w:id="569"/>
            <w:r>
              <w:rPr>
                <w:rFonts w:ascii="宋体" w:hAnsi="宋体"/>
                <w:szCs w:val="21"/>
              </w:rPr>
              <w:t>23</w:t>
            </w:r>
            <w:bookmarkEnd w:id="570"/>
          </w:p>
        </w:tc>
        <w:tc>
          <w:tcPr>
            <w:tcW w:w="1323" w:type="dxa"/>
            <w:noWrap w:val="0"/>
            <w:vAlign w:val="center"/>
          </w:tcPr>
          <w:p w14:paraId="06EDABB0">
            <w:pPr>
              <w:spacing w:line="340" w:lineRule="exact"/>
              <w:jc w:val="center"/>
              <w:outlineLvl w:val="0"/>
              <w:rPr>
                <w:rFonts w:hint="eastAsia" w:ascii="宋体" w:hAnsi="宋体"/>
                <w:szCs w:val="21"/>
              </w:rPr>
            </w:pPr>
          </w:p>
        </w:tc>
        <w:tc>
          <w:tcPr>
            <w:tcW w:w="1134" w:type="dxa"/>
            <w:noWrap w:val="0"/>
            <w:vAlign w:val="center"/>
          </w:tcPr>
          <w:p w14:paraId="0EECAD65">
            <w:pPr>
              <w:spacing w:line="340" w:lineRule="exact"/>
              <w:jc w:val="center"/>
              <w:outlineLvl w:val="0"/>
              <w:rPr>
                <w:rFonts w:hint="eastAsia" w:ascii="宋体" w:hAnsi="宋体"/>
                <w:szCs w:val="21"/>
              </w:rPr>
            </w:pPr>
          </w:p>
        </w:tc>
        <w:tc>
          <w:tcPr>
            <w:tcW w:w="1796" w:type="dxa"/>
            <w:noWrap w:val="0"/>
            <w:vAlign w:val="top"/>
          </w:tcPr>
          <w:p w14:paraId="49AE5A37">
            <w:pPr>
              <w:spacing w:line="340" w:lineRule="exact"/>
              <w:jc w:val="center"/>
              <w:outlineLvl w:val="0"/>
              <w:rPr>
                <w:rFonts w:hint="eastAsia" w:ascii="宋体" w:hAnsi="宋体"/>
                <w:szCs w:val="21"/>
              </w:rPr>
            </w:pPr>
          </w:p>
        </w:tc>
      </w:tr>
      <w:tr w14:paraId="17613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8" w:type="dxa"/>
            <w:vMerge w:val="continue"/>
            <w:noWrap w:val="0"/>
            <w:vAlign w:val="center"/>
          </w:tcPr>
          <w:p w14:paraId="6C2902D7">
            <w:pPr>
              <w:spacing w:line="340" w:lineRule="exact"/>
              <w:jc w:val="center"/>
              <w:outlineLvl w:val="0"/>
              <w:rPr>
                <w:rFonts w:hint="eastAsia" w:ascii="宋体" w:hAnsi="宋体"/>
                <w:szCs w:val="21"/>
              </w:rPr>
            </w:pPr>
          </w:p>
        </w:tc>
        <w:tc>
          <w:tcPr>
            <w:tcW w:w="396" w:type="dxa"/>
            <w:vMerge w:val="continue"/>
            <w:noWrap w:val="0"/>
            <w:vAlign w:val="center"/>
          </w:tcPr>
          <w:p w14:paraId="452B5F19">
            <w:pPr>
              <w:spacing w:line="340" w:lineRule="exact"/>
              <w:jc w:val="center"/>
              <w:outlineLvl w:val="0"/>
              <w:rPr>
                <w:rFonts w:hint="eastAsia" w:ascii="宋体" w:hAnsi="宋体"/>
                <w:szCs w:val="21"/>
              </w:rPr>
            </w:pPr>
          </w:p>
        </w:tc>
        <w:tc>
          <w:tcPr>
            <w:tcW w:w="570" w:type="dxa"/>
            <w:vMerge w:val="continue"/>
            <w:noWrap w:val="0"/>
            <w:vAlign w:val="center"/>
          </w:tcPr>
          <w:p w14:paraId="2089E11C">
            <w:pPr>
              <w:spacing w:line="340" w:lineRule="exact"/>
              <w:outlineLvl w:val="0"/>
              <w:rPr>
                <w:rFonts w:hint="eastAsia" w:ascii="宋体" w:hAnsi="宋体"/>
                <w:szCs w:val="21"/>
              </w:rPr>
            </w:pPr>
          </w:p>
        </w:tc>
        <w:tc>
          <w:tcPr>
            <w:tcW w:w="3210" w:type="dxa"/>
            <w:noWrap w:val="0"/>
            <w:vAlign w:val="center"/>
          </w:tcPr>
          <w:p w14:paraId="3816E996">
            <w:pPr>
              <w:spacing w:line="340" w:lineRule="exact"/>
              <w:outlineLvl w:val="0"/>
              <w:rPr>
                <w:rFonts w:hint="eastAsia" w:ascii="宋体" w:hAnsi="宋体"/>
                <w:szCs w:val="21"/>
              </w:rPr>
            </w:pPr>
            <w:bookmarkStart w:id="571" w:name="_Toc6394658"/>
            <w:bookmarkStart w:id="572" w:name="_Toc418171879"/>
            <w:bookmarkStart w:id="573" w:name="_Toc418775196"/>
            <w:bookmarkStart w:id="574" w:name="_Toc440987435"/>
            <w:bookmarkStart w:id="575" w:name="_Toc36646838"/>
            <w:bookmarkStart w:id="576" w:name="_Toc418773988"/>
            <w:bookmarkStart w:id="577" w:name="_Toc516751009"/>
            <w:bookmarkStart w:id="578" w:name="_Toc26540004"/>
            <w:bookmarkStart w:id="579" w:name="_Toc5117222"/>
            <w:bookmarkStart w:id="580" w:name="_Toc418581608"/>
            <w:r>
              <w:rPr>
                <w:rFonts w:hint="eastAsia" w:ascii="宋体" w:hAnsi="宋体"/>
                <w:szCs w:val="21"/>
              </w:rPr>
              <w:t>环境设施用地(U2)</w:t>
            </w:r>
            <w:bookmarkEnd w:id="571"/>
            <w:bookmarkEnd w:id="572"/>
            <w:bookmarkEnd w:id="573"/>
            <w:bookmarkEnd w:id="574"/>
            <w:bookmarkEnd w:id="575"/>
            <w:bookmarkEnd w:id="576"/>
            <w:bookmarkEnd w:id="577"/>
            <w:bookmarkEnd w:id="578"/>
            <w:bookmarkEnd w:id="579"/>
            <w:bookmarkEnd w:id="580"/>
          </w:p>
        </w:tc>
        <w:tc>
          <w:tcPr>
            <w:tcW w:w="1134" w:type="dxa"/>
            <w:noWrap w:val="0"/>
            <w:vAlign w:val="center"/>
          </w:tcPr>
          <w:p w14:paraId="7C320182">
            <w:pPr>
              <w:spacing w:line="340" w:lineRule="exact"/>
              <w:jc w:val="center"/>
              <w:outlineLvl w:val="0"/>
              <w:rPr>
                <w:rFonts w:hint="eastAsia" w:ascii="宋体" w:hAnsi="宋体"/>
                <w:szCs w:val="21"/>
              </w:rPr>
            </w:pPr>
            <w:bookmarkStart w:id="581" w:name="_Toc5117223"/>
            <w:bookmarkStart w:id="582" w:name="_Toc6394659"/>
            <w:bookmarkStart w:id="583" w:name="_Toc36646839"/>
            <w:bookmarkStart w:id="584" w:name="_Toc26540005"/>
            <w:r>
              <w:rPr>
                <w:rFonts w:ascii="宋体" w:hAnsi="宋体"/>
                <w:szCs w:val="21"/>
              </w:rPr>
              <w:t>0.2</w:t>
            </w:r>
            <w:bookmarkEnd w:id="581"/>
            <w:bookmarkEnd w:id="582"/>
            <w:r>
              <w:rPr>
                <w:rFonts w:ascii="宋体" w:hAnsi="宋体"/>
                <w:szCs w:val="21"/>
              </w:rPr>
              <w:t>2</w:t>
            </w:r>
            <w:bookmarkEnd w:id="583"/>
            <w:bookmarkEnd w:id="584"/>
          </w:p>
        </w:tc>
        <w:tc>
          <w:tcPr>
            <w:tcW w:w="1323" w:type="dxa"/>
            <w:noWrap w:val="0"/>
            <w:vAlign w:val="center"/>
          </w:tcPr>
          <w:p w14:paraId="26178F5E">
            <w:pPr>
              <w:spacing w:line="340" w:lineRule="exact"/>
              <w:jc w:val="center"/>
              <w:outlineLvl w:val="0"/>
              <w:rPr>
                <w:rFonts w:hint="eastAsia" w:ascii="宋体" w:hAnsi="宋体"/>
                <w:szCs w:val="21"/>
              </w:rPr>
            </w:pPr>
          </w:p>
        </w:tc>
        <w:tc>
          <w:tcPr>
            <w:tcW w:w="1134" w:type="dxa"/>
            <w:noWrap w:val="0"/>
            <w:vAlign w:val="center"/>
          </w:tcPr>
          <w:p w14:paraId="529A3D47">
            <w:pPr>
              <w:spacing w:line="340" w:lineRule="exact"/>
              <w:jc w:val="center"/>
              <w:outlineLvl w:val="0"/>
              <w:rPr>
                <w:rFonts w:hint="eastAsia" w:ascii="宋体" w:hAnsi="宋体"/>
                <w:szCs w:val="21"/>
              </w:rPr>
            </w:pPr>
          </w:p>
        </w:tc>
        <w:tc>
          <w:tcPr>
            <w:tcW w:w="1796" w:type="dxa"/>
            <w:noWrap w:val="0"/>
            <w:vAlign w:val="top"/>
          </w:tcPr>
          <w:p w14:paraId="06CD69A1">
            <w:pPr>
              <w:spacing w:line="340" w:lineRule="exact"/>
              <w:jc w:val="center"/>
              <w:outlineLvl w:val="0"/>
              <w:rPr>
                <w:rFonts w:hint="eastAsia" w:ascii="宋体" w:hAnsi="宋体"/>
                <w:szCs w:val="21"/>
              </w:rPr>
            </w:pPr>
          </w:p>
        </w:tc>
      </w:tr>
      <w:tr w14:paraId="02158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68" w:type="dxa"/>
            <w:vMerge w:val="restart"/>
            <w:noWrap w:val="0"/>
            <w:vAlign w:val="center"/>
          </w:tcPr>
          <w:p w14:paraId="2622499B">
            <w:pPr>
              <w:spacing w:line="340" w:lineRule="exact"/>
              <w:jc w:val="center"/>
              <w:outlineLvl w:val="0"/>
              <w:rPr>
                <w:rFonts w:hint="eastAsia" w:ascii="宋体" w:hAnsi="宋体"/>
                <w:szCs w:val="21"/>
              </w:rPr>
            </w:pPr>
            <w:bookmarkStart w:id="585" w:name="_Toc5117224"/>
            <w:bookmarkStart w:id="586" w:name="_Toc26540006"/>
            <w:bookmarkStart w:id="587" w:name="_Toc36646840"/>
            <w:bookmarkStart w:id="588" w:name="_Toc6394660"/>
            <w:r>
              <w:rPr>
                <w:rFonts w:ascii="宋体" w:hAnsi="宋体"/>
                <w:szCs w:val="21"/>
              </w:rPr>
              <w:t>6</w:t>
            </w:r>
            <w:bookmarkEnd w:id="585"/>
            <w:bookmarkEnd w:id="586"/>
            <w:bookmarkEnd w:id="587"/>
            <w:bookmarkEnd w:id="588"/>
          </w:p>
        </w:tc>
        <w:tc>
          <w:tcPr>
            <w:tcW w:w="396" w:type="dxa"/>
            <w:vMerge w:val="restart"/>
            <w:noWrap w:val="0"/>
            <w:vAlign w:val="center"/>
          </w:tcPr>
          <w:p w14:paraId="47055FCE">
            <w:pPr>
              <w:spacing w:line="340" w:lineRule="exact"/>
              <w:jc w:val="center"/>
              <w:outlineLvl w:val="0"/>
              <w:rPr>
                <w:rFonts w:hint="eastAsia" w:ascii="宋体" w:hAnsi="宋体"/>
                <w:szCs w:val="21"/>
              </w:rPr>
            </w:pPr>
            <w:bookmarkStart w:id="589" w:name="_Toc418581613"/>
            <w:bookmarkStart w:id="590" w:name="_Toc440987440"/>
            <w:bookmarkStart w:id="591" w:name="_Toc516751014"/>
            <w:bookmarkStart w:id="592" w:name="_Toc418171884"/>
            <w:bookmarkStart w:id="593" w:name="_Toc36646841"/>
            <w:bookmarkStart w:id="594" w:name="_Toc418773993"/>
            <w:bookmarkStart w:id="595" w:name="_Toc6394661"/>
            <w:bookmarkStart w:id="596" w:name="_Toc5117225"/>
            <w:bookmarkStart w:id="597" w:name="_Toc26540007"/>
            <w:bookmarkStart w:id="598" w:name="_Toc418775201"/>
            <w:r>
              <w:rPr>
                <w:rFonts w:hint="eastAsia" w:ascii="宋体" w:hAnsi="宋体"/>
                <w:szCs w:val="21"/>
              </w:rPr>
              <w:t>G</w:t>
            </w:r>
            <w:bookmarkEnd w:id="589"/>
            <w:bookmarkEnd w:id="590"/>
            <w:bookmarkEnd w:id="591"/>
            <w:bookmarkEnd w:id="592"/>
            <w:bookmarkEnd w:id="593"/>
            <w:bookmarkEnd w:id="594"/>
            <w:bookmarkEnd w:id="595"/>
            <w:bookmarkEnd w:id="596"/>
            <w:bookmarkEnd w:id="597"/>
            <w:bookmarkEnd w:id="598"/>
          </w:p>
        </w:tc>
        <w:tc>
          <w:tcPr>
            <w:tcW w:w="3780" w:type="dxa"/>
            <w:gridSpan w:val="2"/>
            <w:noWrap w:val="0"/>
            <w:vAlign w:val="center"/>
          </w:tcPr>
          <w:p w14:paraId="3776DCFE">
            <w:pPr>
              <w:spacing w:line="340" w:lineRule="exact"/>
              <w:outlineLvl w:val="0"/>
              <w:rPr>
                <w:rFonts w:hint="eastAsia" w:ascii="宋体" w:hAnsi="宋体"/>
                <w:szCs w:val="21"/>
              </w:rPr>
            </w:pPr>
            <w:bookmarkStart w:id="599" w:name="_Toc418773994"/>
            <w:bookmarkStart w:id="600" w:name="_Toc36646842"/>
            <w:bookmarkStart w:id="601" w:name="_Toc440987441"/>
            <w:bookmarkStart w:id="602" w:name="_Toc5117226"/>
            <w:bookmarkStart w:id="603" w:name="_Toc6394662"/>
            <w:bookmarkStart w:id="604" w:name="_Toc418171885"/>
            <w:bookmarkStart w:id="605" w:name="_Toc418581614"/>
            <w:bookmarkStart w:id="606" w:name="_Toc418775202"/>
            <w:bookmarkStart w:id="607" w:name="_Toc26540008"/>
            <w:bookmarkStart w:id="608" w:name="_Toc516751015"/>
            <w:r>
              <w:rPr>
                <w:rFonts w:hint="eastAsia" w:ascii="宋体" w:hAnsi="宋体"/>
                <w:szCs w:val="21"/>
              </w:rPr>
              <w:t>绿地与广场用地</w:t>
            </w:r>
            <w:bookmarkEnd w:id="599"/>
            <w:bookmarkEnd w:id="600"/>
            <w:bookmarkEnd w:id="601"/>
            <w:bookmarkEnd w:id="602"/>
            <w:bookmarkEnd w:id="603"/>
            <w:bookmarkEnd w:id="604"/>
            <w:bookmarkEnd w:id="605"/>
            <w:bookmarkEnd w:id="606"/>
            <w:bookmarkEnd w:id="607"/>
            <w:bookmarkEnd w:id="608"/>
          </w:p>
        </w:tc>
        <w:tc>
          <w:tcPr>
            <w:tcW w:w="1134" w:type="dxa"/>
            <w:noWrap w:val="0"/>
            <w:vAlign w:val="center"/>
          </w:tcPr>
          <w:p w14:paraId="11197D77">
            <w:pPr>
              <w:spacing w:line="340" w:lineRule="exact"/>
              <w:jc w:val="center"/>
              <w:outlineLvl w:val="0"/>
              <w:rPr>
                <w:rFonts w:hint="eastAsia" w:ascii="宋体" w:hAnsi="宋体"/>
                <w:szCs w:val="21"/>
              </w:rPr>
            </w:pPr>
            <w:bookmarkStart w:id="609" w:name="_Toc36646843"/>
            <w:r>
              <w:rPr>
                <w:rFonts w:ascii="宋体" w:hAnsi="宋体"/>
                <w:szCs w:val="21"/>
              </w:rPr>
              <w:t>38.94</w:t>
            </w:r>
            <w:bookmarkEnd w:id="609"/>
          </w:p>
        </w:tc>
        <w:tc>
          <w:tcPr>
            <w:tcW w:w="1323" w:type="dxa"/>
            <w:noWrap w:val="0"/>
            <w:vAlign w:val="center"/>
          </w:tcPr>
          <w:p w14:paraId="065F8522">
            <w:pPr>
              <w:spacing w:line="340" w:lineRule="exact"/>
              <w:jc w:val="center"/>
              <w:outlineLvl w:val="0"/>
              <w:rPr>
                <w:rFonts w:hint="eastAsia" w:ascii="宋体" w:hAnsi="宋体"/>
                <w:szCs w:val="21"/>
              </w:rPr>
            </w:pPr>
            <w:bookmarkStart w:id="610" w:name="_Toc36646844"/>
            <w:r>
              <w:rPr>
                <w:rFonts w:ascii="宋体" w:hAnsi="宋体"/>
                <w:szCs w:val="21"/>
              </w:rPr>
              <w:t>16.</w:t>
            </w:r>
            <w:bookmarkEnd w:id="610"/>
            <w:r>
              <w:rPr>
                <w:rFonts w:ascii="宋体" w:hAnsi="宋体"/>
                <w:szCs w:val="21"/>
              </w:rPr>
              <w:t>43</w:t>
            </w:r>
          </w:p>
        </w:tc>
        <w:tc>
          <w:tcPr>
            <w:tcW w:w="1134" w:type="dxa"/>
            <w:noWrap w:val="0"/>
            <w:vAlign w:val="center"/>
          </w:tcPr>
          <w:p w14:paraId="7F9084A3">
            <w:pPr>
              <w:spacing w:line="340" w:lineRule="exact"/>
              <w:jc w:val="center"/>
              <w:outlineLvl w:val="0"/>
              <w:rPr>
                <w:rFonts w:hint="eastAsia" w:ascii="宋体" w:hAnsi="宋体"/>
                <w:szCs w:val="21"/>
              </w:rPr>
            </w:pPr>
            <w:bookmarkStart w:id="611" w:name="_Toc26540011"/>
            <w:bookmarkStart w:id="612" w:name="_Toc36646845"/>
            <w:r>
              <w:rPr>
                <w:rFonts w:ascii="宋体" w:hAnsi="宋体"/>
                <w:szCs w:val="21"/>
              </w:rPr>
              <w:t>19.</w:t>
            </w:r>
            <w:bookmarkEnd w:id="611"/>
            <w:r>
              <w:rPr>
                <w:rFonts w:ascii="宋体" w:hAnsi="宋体"/>
                <w:szCs w:val="21"/>
              </w:rPr>
              <w:t>47</w:t>
            </w:r>
            <w:bookmarkEnd w:id="612"/>
          </w:p>
        </w:tc>
        <w:tc>
          <w:tcPr>
            <w:tcW w:w="1796" w:type="dxa"/>
            <w:vMerge w:val="restart"/>
            <w:noWrap w:val="0"/>
            <w:vAlign w:val="top"/>
          </w:tcPr>
          <w:p w14:paraId="0BE0D915">
            <w:pPr>
              <w:spacing w:line="340" w:lineRule="exact"/>
              <w:jc w:val="center"/>
              <w:outlineLvl w:val="0"/>
              <w:rPr>
                <w:rFonts w:hint="eastAsia" w:ascii="宋体" w:hAnsi="宋体"/>
                <w:szCs w:val="21"/>
              </w:rPr>
            </w:pPr>
          </w:p>
        </w:tc>
      </w:tr>
      <w:tr w14:paraId="5BC25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68" w:type="dxa"/>
            <w:vMerge w:val="continue"/>
            <w:noWrap w:val="0"/>
            <w:vAlign w:val="center"/>
          </w:tcPr>
          <w:p w14:paraId="42C772D6">
            <w:pPr>
              <w:spacing w:line="340" w:lineRule="exact"/>
              <w:jc w:val="center"/>
              <w:outlineLvl w:val="0"/>
              <w:rPr>
                <w:rFonts w:hint="eastAsia" w:ascii="宋体" w:hAnsi="宋体"/>
                <w:szCs w:val="21"/>
              </w:rPr>
            </w:pPr>
          </w:p>
        </w:tc>
        <w:tc>
          <w:tcPr>
            <w:tcW w:w="396" w:type="dxa"/>
            <w:vMerge w:val="continue"/>
            <w:noWrap w:val="0"/>
            <w:vAlign w:val="center"/>
          </w:tcPr>
          <w:p w14:paraId="68B8FD9D">
            <w:pPr>
              <w:spacing w:line="340" w:lineRule="exact"/>
              <w:jc w:val="center"/>
              <w:outlineLvl w:val="0"/>
              <w:rPr>
                <w:rFonts w:hint="eastAsia" w:ascii="宋体" w:hAnsi="宋体"/>
                <w:szCs w:val="21"/>
              </w:rPr>
            </w:pPr>
          </w:p>
        </w:tc>
        <w:tc>
          <w:tcPr>
            <w:tcW w:w="570" w:type="dxa"/>
            <w:vMerge w:val="restart"/>
            <w:noWrap w:val="0"/>
            <w:vAlign w:val="center"/>
          </w:tcPr>
          <w:p w14:paraId="0E46EEEE">
            <w:pPr>
              <w:spacing w:line="340" w:lineRule="exact"/>
              <w:outlineLvl w:val="0"/>
              <w:rPr>
                <w:rFonts w:hint="eastAsia" w:ascii="宋体" w:hAnsi="宋体"/>
                <w:szCs w:val="21"/>
              </w:rPr>
            </w:pPr>
            <w:bookmarkStart w:id="613" w:name="_Toc418775206"/>
            <w:bookmarkStart w:id="614" w:name="_Toc516751019"/>
            <w:bookmarkStart w:id="615" w:name="_Toc440987445"/>
            <w:bookmarkStart w:id="616" w:name="_Toc418171889"/>
            <w:bookmarkStart w:id="617" w:name="_Toc418581618"/>
            <w:bookmarkStart w:id="618" w:name="_Toc5117230"/>
            <w:bookmarkStart w:id="619" w:name="_Toc418773998"/>
            <w:bookmarkStart w:id="620" w:name="_Toc6394666"/>
            <w:bookmarkStart w:id="621" w:name="_Toc26540012"/>
            <w:bookmarkStart w:id="622" w:name="_Toc36646846"/>
            <w:r>
              <w:rPr>
                <w:rFonts w:hint="eastAsia" w:ascii="宋体" w:hAnsi="宋体"/>
                <w:szCs w:val="21"/>
              </w:rPr>
              <w:t>其中</w:t>
            </w:r>
            <w:bookmarkEnd w:id="613"/>
            <w:bookmarkEnd w:id="614"/>
            <w:bookmarkEnd w:id="615"/>
            <w:bookmarkEnd w:id="616"/>
            <w:bookmarkEnd w:id="617"/>
            <w:bookmarkEnd w:id="618"/>
            <w:bookmarkEnd w:id="619"/>
            <w:bookmarkEnd w:id="620"/>
            <w:bookmarkEnd w:id="621"/>
            <w:bookmarkEnd w:id="622"/>
          </w:p>
        </w:tc>
        <w:tc>
          <w:tcPr>
            <w:tcW w:w="3210" w:type="dxa"/>
            <w:noWrap w:val="0"/>
            <w:vAlign w:val="center"/>
          </w:tcPr>
          <w:p w14:paraId="66FDAE14">
            <w:pPr>
              <w:spacing w:line="340" w:lineRule="exact"/>
              <w:outlineLvl w:val="0"/>
              <w:rPr>
                <w:rFonts w:hint="eastAsia" w:ascii="宋体" w:hAnsi="宋体"/>
                <w:szCs w:val="21"/>
              </w:rPr>
            </w:pPr>
            <w:bookmarkStart w:id="623" w:name="_Toc440987446"/>
            <w:bookmarkStart w:id="624" w:name="_Toc5117231"/>
            <w:bookmarkStart w:id="625" w:name="_Toc418773999"/>
            <w:bookmarkStart w:id="626" w:name="_Toc418171890"/>
            <w:bookmarkStart w:id="627" w:name="_Toc418775207"/>
            <w:bookmarkStart w:id="628" w:name="_Toc516751020"/>
            <w:bookmarkStart w:id="629" w:name="_Toc418581619"/>
            <w:bookmarkStart w:id="630" w:name="_Toc36646847"/>
            <w:bookmarkStart w:id="631" w:name="_Toc26540013"/>
            <w:bookmarkStart w:id="632" w:name="_Toc6394667"/>
            <w:r>
              <w:rPr>
                <w:rFonts w:hint="eastAsia" w:ascii="宋体" w:hAnsi="宋体"/>
                <w:szCs w:val="21"/>
              </w:rPr>
              <w:t>公园绿地(G1)</w:t>
            </w:r>
            <w:bookmarkEnd w:id="623"/>
            <w:bookmarkEnd w:id="624"/>
            <w:bookmarkEnd w:id="625"/>
            <w:bookmarkEnd w:id="626"/>
            <w:bookmarkEnd w:id="627"/>
            <w:bookmarkEnd w:id="628"/>
            <w:bookmarkEnd w:id="629"/>
            <w:bookmarkEnd w:id="630"/>
            <w:bookmarkEnd w:id="631"/>
            <w:bookmarkEnd w:id="632"/>
          </w:p>
        </w:tc>
        <w:tc>
          <w:tcPr>
            <w:tcW w:w="1134" w:type="dxa"/>
            <w:noWrap w:val="0"/>
            <w:vAlign w:val="center"/>
          </w:tcPr>
          <w:p w14:paraId="1B361B0D">
            <w:pPr>
              <w:spacing w:line="340" w:lineRule="exact"/>
              <w:jc w:val="center"/>
              <w:outlineLvl w:val="0"/>
              <w:rPr>
                <w:rFonts w:hint="eastAsia" w:ascii="宋体" w:hAnsi="宋体"/>
                <w:szCs w:val="21"/>
              </w:rPr>
            </w:pPr>
            <w:bookmarkStart w:id="633" w:name="_Toc26540014"/>
            <w:bookmarkStart w:id="634" w:name="_Toc36646848"/>
            <w:r>
              <w:rPr>
                <w:rFonts w:ascii="宋体" w:hAnsi="宋体"/>
                <w:szCs w:val="21"/>
              </w:rPr>
              <w:t>28.</w:t>
            </w:r>
            <w:bookmarkEnd w:id="633"/>
            <w:r>
              <w:rPr>
                <w:rFonts w:ascii="宋体" w:hAnsi="宋体"/>
                <w:szCs w:val="21"/>
              </w:rPr>
              <w:t>04</w:t>
            </w:r>
            <w:bookmarkEnd w:id="634"/>
          </w:p>
        </w:tc>
        <w:tc>
          <w:tcPr>
            <w:tcW w:w="1323" w:type="dxa"/>
            <w:noWrap w:val="0"/>
            <w:vAlign w:val="center"/>
          </w:tcPr>
          <w:p w14:paraId="7EC0A70E">
            <w:pPr>
              <w:spacing w:line="340" w:lineRule="exact"/>
              <w:jc w:val="center"/>
              <w:outlineLvl w:val="0"/>
              <w:rPr>
                <w:rFonts w:hint="eastAsia" w:ascii="宋体" w:hAnsi="宋体"/>
                <w:szCs w:val="21"/>
              </w:rPr>
            </w:pPr>
          </w:p>
        </w:tc>
        <w:tc>
          <w:tcPr>
            <w:tcW w:w="1134" w:type="dxa"/>
            <w:noWrap w:val="0"/>
            <w:vAlign w:val="top"/>
          </w:tcPr>
          <w:p w14:paraId="220D05D3">
            <w:pPr>
              <w:spacing w:line="340" w:lineRule="exact"/>
              <w:jc w:val="center"/>
              <w:outlineLvl w:val="0"/>
              <w:rPr>
                <w:rFonts w:hint="eastAsia" w:ascii="宋体" w:hAnsi="宋体"/>
                <w:szCs w:val="21"/>
              </w:rPr>
            </w:pPr>
          </w:p>
        </w:tc>
        <w:tc>
          <w:tcPr>
            <w:tcW w:w="1796" w:type="dxa"/>
            <w:vMerge w:val="continue"/>
            <w:noWrap w:val="0"/>
            <w:vAlign w:val="center"/>
          </w:tcPr>
          <w:p w14:paraId="3FF86A09">
            <w:pPr>
              <w:spacing w:line="340" w:lineRule="exact"/>
              <w:jc w:val="center"/>
              <w:outlineLvl w:val="0"/>
              <w:rPr>
                <w:rFonts w:hint="eastAsia" w:ascii="宋体" w:hAnsi="宋体"/>
                <w:szCs w:val="21"/>
              </w:rPr>
            </w:pPr>
          </w:p>
        </w:tc>
      </w:tr>
      <w:tr w14:paraId="7E087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68" w:type="dxa"/>
            <w:vMerge w:val="continue"/>
            <w:noWrap w:val="0"/>
            <w:vAlign w:val="center"/>
          </w:tcPr>
          <w:p w14:paraId="2513FEEE">
            <w:pPr>
              <w:spacing w:line="340" w:lineRule="exact"/>
              <w:jc w:val="center"/>
              <w:outlineLvl w:val="0"/>
              <w:rPr>
                <w:rFonts w:hint="eastAsia" w:ascii="宋体" w:hAnsi="宋体"/>
                <w:szCs w:val="21"/>
              </w:rPr>
            </w:pPr>
          </w:p>
        </w:tc>
        <w:tc>
          <w:tcPr>
            <w:tcW w:w="396" w:type="dxa"/>
            <w:vMerge w:val="continue"/>
            <w:noWrap w:val="0"/>
            <w:vAlign w:val="center"/>
          </w:tcPr>
          <w:p w14:paraId="76B97FCA">
            <w:pPr>
              <w:spacing w:line="340" w:lineRule="exact"/>
              <w:jc w:val="center"/>
              <w:outlineLvl w:val="0"/>
              <w:rPr>
                <w:rFonts w:hint="eastAsia" w:ascii="宋体" w:hAnsi="宋体"/>
                <w:szCs w:val="21"/>
              </w:rPr>
            </w:pPr>
          </w:p>
        </w:tc>
        <w:tc>
          <w:tcPr>
            <w:tcW w:w="570" w:type="dxa"/>
            <w:vMerge w:val="continue"/>
            <w:noWrap w:val="0"/>
            <w:vAlign w:val="center"/>
          </w:tcPr>
          <w:p w14:paraId="27D376E9">
            <w:pPr>
              <w:spacing w:line="340" w:lineRule="exact"/>
              <w:outlineLvl w:val="0"/>
              <w:rPr>
                <w:rFonts w:hint="eastAsia" w:ascii="宋体" w:hAnsi="宋体"/>
                <w:szCs w:val="21"/>
              </w:rPr>
            </w:pPr>
          </w:p>
        </w:tc>
        <w:tc>
          <w:tcPr>
            <w:tcW w:w="3210" w:type="dxa"/>
            <w:noWrap w:val="0"/>
            <w:vAlign w:val="center"/>
          </w:tcPr>
          <w:p w14:paraId="6B62DB67">
            <w:pPr>
              <w:spacing w:line="340" w:lineRule="exact"/>
              <w:outlineLvl w:val="0"/>
              <w:rPr>
                <w:rFonts w:hint="eastAsia" w:ascii="宋体" w:hAnsi="宋体"/>
                <w:szCs w:val="21"/>
              </w:rPr>
            </w:pPr>
            <w:bookmarkStart w:id="635" w:name="_Toc6394669"/>
            <w:bookmarkStart w:id="636" w:name="_Toc5117233"/>
            <w:bookmarkStart w:id="637" w:name="_Toc516751022"/>
            <w:bookmarkStart w:id="638" w:name="_Toc418774001"/>
            <w:bookmarkStart w:id="639" w:name="_Toc26540015"/>
            <w:bookmarkStart w:id="640" w:name="_Toc36646849"/>
            <w:bookmarkStart w:id="641" w:name="_Toc440987449"/>
            <w:bookmarkStart w:id="642" w:name="_Toc418775209"/>
            <w:bookmarkStart w:id="643" w:name="_Toc418171892"/>
            <w:bookmarkStart w:id="644" w:name="_Toc418581621"/>
            <w:r>
              <w:rPr>
                <w:rFonts w:hint="eastAsia" w:ascii="宋体" w:hAnsi="宋体"/>
                <w:szCs w:val="21"/>
              </w:rPr>
              <w:t>防护绿地(G2)</w:t>
            </w:r>
            <w:bookmarkEnd w:id="635"/>
            <w:bookmarkEnd w:id="636"/>
            <w:bookmarkEnd w:id="637"/>
            <w:bookmarkEnd w:id="638"/>
            <w:bookmarkEnd w:id="639"/>
            <w:bookmarkEnd w:id="640"/>
            <w:bookmarkEnd w:id="641"/>
            <w:bookmarkEnd w:id="642"/>
            <w:bookmarkEnd w:id="643"/>
            <w:bookmarkEnd w:id="644"/>
          </w:p>
        </w:tc>
        <w:tc>
          <w:tcPr>
            <w:tcW w:w="1134" w:type="dxa"/>
            <w:noWrap w:val="0"/>
            <w:vAlign w:val="center"/>
          </w:tcPr>
          <w:p w14:paraId="2872943F">
            <w:pPr>
              <w:spacing w:line="340" w:lineRule="exact"/>
              <w:jc w:val="center"/>
              <w:outlineLvl w:val="0"/>
              <w:rPr>
                <w:rFonts w:hint="eastAsia" w:ascii="宋体" w:hAnsi="宋体"/>
                <w:szCs w:val="21"/>
              </w:rPr>
            </w:pPr>
            <w:bookmarkStart w:id="645" w:name="_Toc26540016"/>
            <w:bookmarkStart w:id="646" w:name="_Toc36646850"/>
            <w:r>
              <w:rPr>
                <w:rFonts w:ascii="宋体" w:hAnsi="宋体"/>
                <w:szCs w:val="21"/>
              </w:rPr>
              <w:t>8.60</w:t>
            </w:r>
            <w:bookmarkEnd w:id="645"/>
            <w:bookmarkEnd w:id="646"/>
          </w:p>
        </w:tc>
        <w:tc>
          <w:tcPr>
            <w:tcW w:w="1323" w:type="dxa"/>
            <w:noWrap w:val="0"/>
            <w:vAlign w:val="center"/>
          </w:tcPr>
          <w:p w14:paraId="3546DF24">
            <w:pPr>
              <w:spacing w:line="340" w:lineRule="exact"/>
              <w:jc w:val="center"/>
              <w:outlineLvl w:val="0"/>
              <w:rPr>
                <w:rFonts w:hint="eastAsia" w:ascii="宋体" w:hAnsi="宋体"/>
                <w:szCs w:val="21"/>
              </w:rPr>
            </w:pPr>
          </w:p>
        </w:tc>
        <w:tc>
          <w:tcPr>
            <w:tcW w:w="1134" w:type="dxa"/>
            <w:noWrap w:val="0"/>
            <w:vAlign w:val="top"/>
          </w:tcPr>
          <w:p w14:paraId="0401CD77">
            <w:pPr>
              <w:spacing w:line="340" w:lineRule="exact"/>
              <w:jc w:val="center"/>
              <w:outlineLvl w:val="0"/>
              <w:rPr>
                <w:rFonts w:hint="eastAsia" w:ascii="宋体" w:hAnsi="宋体"/>
                <w:szCs w:val="21"/>
              </w:rPr>
            </w:pPr>
          </w:p>
        </w:tc>
        <w:tc>
          <w:tcPr>
            <w:tcW w:w="1796" w:type="dxa"/>
            <w:vMerge w:val="continue"/>
            <w:noWrap w:val="0"/>
            <w:vAlign w:val="center"/>
          </w:tcPr>
          <w:p w14:paraId="452BAA8A">
            <w:pPr>
              <w:spacing w:line="340" w:lineRule="exact"/>
              <w:jc w:val="center"/>
              <w:outlineLvl w:val="0"/>
              <w:rPr>
                <w:rFonts w:hint="eastAsia" w:ascii="宋体" w:hAnsi="宋体"/>
                <w:szCs w:val="21"/>
              </w:rPr>
            </w:pPr>
          </w:p>
        </w:tc>
      </w:tr>
      <w:tr w14:paraId="165B6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68" w:type="dxa"/>
            <w:vMerge w:val="continue"/>
            <w:noWrap w:val="0"/>
            <w:vAlign w:val="center"/>
          </w:tcPr>
          <w:p w14:paraId="110712FC">
            <w:pPr>
              <w:spacing w:line="340" w:lineRule="exact"/>
              <w:jc w:val="center"/>
              <w:outlineLvl w:val="0"/>
              <w:rPr>
                <w:rFonts w:hint="eastAsia" w:ascii="宋体" w:hAnsi="宋体"/>
                <w:szCs w:val="21"/>
              </w:rPr>
            </w:pPr>
          </w:p>
        </w:tc>
        <w:tc>
          <w:tcPr>
            <w:tcW w:w="396" w:type="dxa"/>
            <w:vMerge w:val="continue"/>
            <w:noWrap w:val="0"/>
            <w:vAlign w:val="center"/>
          </w:tcPr>
          <w:p w14:paraId="41F46341">
            <w:pPr>
              <w:spacing w:line="340" w:lineRule="exact"/>
              <w:jc w:val="center"/>
              <w:outlineLvl w:val="0"/>
              <w:rPr>
                <w:rFonts w:hint="eastAsia" w:ascii="宋体" w:hAnsi="宋体"/>
                <w:szCs w:val="21"/>
              </w:rPr>
            </w:pPr>
          </w:p>
        </w:tc>
        <w:tc>
          <w:tcPr>
            <w:tcW w:w="570" w:type="dxa"/>
            <w:vMerge w:val="continue"/>
            <w:noWrap w:val="0"/>
            <w:vAlign w:val="center"/>
          </w:tcPr>
          <w:p w14:paraId="615BC9A7">
            <w:pPr>
              <w:spacing w:line="340" w:lineRule="exact"/>
              <w:outlineLvl w:val="0"/>
              <w:rPr>
                <w:rFonts w:hint="eastAsia" w:ascii="宋体" w:hAnsi="宋体"/>
                <w:szCs w:val="21"/>
              </w:rPr>
            </w:pPr>
          </w:p>
        </w:tc>
        <w:tc>
          <w:tcPr>
            <w:tcW w:w="3210" w:type="dxa"/>
            <w:noWrap w:val="0"/>
            <w:vAlign w:val="center"/>
          </w:tcPr>
          <w:p w14:paraId="131D27D6">
            <w:pPr>
              <w:spacing w:line="340" w:lineRule="exact"/>
              <w:outlineLvl w:val="0"/>
              <w:rPr>
                <w:rFonts w:hint="eastAsia" w:ascii="宋体" w:hAnsi="宋体"/>
                <w:szCs w:val="21"/>
              </w:rPr>
            </w:pPr>
            <w:bookmarkStart w:id="647" w:name="_Toc6394671"/>
            <w:bookmarkStart w:id="648" w:name="_Toc516751024"/>
            <w:bookmarkStart w:id="649" w:name="_Toc418171894"/>
            <w:bookmarkStart w:id="650" w:name="_Toc418774003"/>
            <w:bookmarkStart w:id="651" w:name="_Toc418775211"/>
            <w:bookmarkStart w:id="652" w:name="_Toc5117235"/>
            <w:bookmarkStart w:id="653" w:name="_Toc36646851"/>
            <w:bookmarkStart w:id="654" w:name="_Toc26540017"/>
            <w:bookmarkStart w:id="655" w:name="_Toc440987451"/>
            <w:bookmarkStart w:id="656" w:name="_Toc418581623"/>
            <w:r>
              <w:rPr>
                <w:rFonts w:hint="eastAsia" w:ascii="宋体" w:hAnsi="宋体"/>
                <w:szCs w:val="21"/>
              </w:rPr>
              <w:t>广场用地(G3)</w:t>
            </w:r>
            <w:bookmarkEnd w:id="647"/>
            <w:bookmarkEnd w:id="648"/>
            <w:bookmarkEnd w:id="649"/>
            <w:bookmarkEnd w:id="650"/>
            <w:bookmarkEnd w:id="651"/>
            <w:bookmarkEnd w:id="652"/>
            <w:bookmarkEnd w:id="653"/>
            <w:bookmarkEnd w:id="654"/>
            <w:bookmarkEnd w:id="655"/>
            <w:bookmarkEnd w:id="656"/>
          </w:p>
        </w:tc>
        <w:tc>
          <w:tcPr>
            <w:tcW w:w="1134" w:type="dxa"/>
            <w:noWrap w:val="0"/>
            <w:vAlign w:val="center"/>
          </w:tcPr>
          <w:p w14:paraId="34F4E81A">
            <w:pPr>
              <w:spacing w:line="340" w:lineRule="exact"/>
              <w:jc w:val="center"/>
              <w:outlineLvl w:val="0"/>
              <w:rPr>
                <w:rFonts w:hint="eastAsia" w:ascii="宋体" w:hAnsi="宋体"/>
                <w:szCs w:val="21"/>
              </w:rPr>
            </w:pPr>
            <w:bookmarkStart w:id="657" w:name="_Toc36646852"/>
            <w:bookmarkStart w:id="658" w:name="_Toc26540018"/>
            <w:r>
              <w:rPr>
                <w:rFonts w:ascii="宋体" w:hAnsi="宋体"/>
                <w:szCs w:val="21"/>
              </w:rPr>
              <w:t>2.30</w:t>
            </w:r>
            <w:bookmarkEnd w:id="657"/>
            <w:bookmarkEnd w:id="658"/>
          </w:p>
        </w:tc>
        <w:tc>
          <w:tcPr>
            <w:tcW w:w="1323" w:type="dxa"/>
            <w:noWrap w:val="0"/>
            <w:vAlign w:val="center"/>
          </w:tcPr>
          <w:p w14:paraId="0F29CEE6">
            <w:pPr>
              <w:spacing w:line="340" w:lineRule="exact"/>
              <w:jc w:val="center"/>
              <w:outlineLvl w:val="0"/>
              <w:rPr>
                <w:rFonts w:hint="eastAsia" w:ascii="宋体" w:hAnsi="宋体"/>
                <w:szCs w:val="21"/>
              </w:rPr>
            </w:pPr>
          </w:p>
        </w:tc>
        <w:tc>
          <w:tcPr>
            <w:tcW w:w="1134" w:type="dxa"/>
            <w:noWrap w:val="0"/>
            <w:vAlign w:val="top"/>
          </w:tcPr>
          <w:p w14:paraId="61D2AD92">
            <w:pPr>
              <w:spacing w:line="340" w:lineRule="exact"/>
              <w:jc w:val="center"/>
              <w:outlineLvl w:val="0"/>
              <w:rPr>
                <w:rFonts w:hint="eastAsia" w:ascii="宋体" w:hAnsi="宋体"/>
                <w:szCs w:val="21"/>
              </w:rPr>
            </w:pPr>
          </w:p>
        </w:tc>
        <w:tc>
          <w:tcPr>
            <w:tcW w:w="1796" w:type="dxa"/>
            <w:noWrap w:val="0"/>
            <w:vAlign w:val="center"/>
          </w:tcPr>
          <w:p w14:paraId="76498243">
            <w:pPr>
              <w:spacing w:line="340" w:lineRule="exact"/>
              <w:jc w:val="center"/>
              <w:outlineLvl w:val="0"/>
              <w:rPr>
                <w:rFonts w:hint="eastAsia" w:ascii="宋体" w:hAnsi="宋体"/>
                <w:szCs w:val="21"/>
              </w:rPr>
            </w:pPr>
          </w:p>
        </w:tc>
      </w:tr>
      <w:tr w14:paraId="0DFBB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64" w:type="dxa"/>
            <w:gridSpan w:val="2"/>
            <w:noWrap w:val="0"/>
            <w:vAlign w:val="center"/>
          </w:tcPr>
          <w:p w14:paraId="7914ED57">
            <w:pPr>
              <w:spacing w:line="340" w:lineRule="exact"/>
              <w:jc w:val="center"/>
              <w:outlineLvl w:val="0"/>
              <w:rPr>
                <w:rFonts w:hint="eastAsia" w:ascii="宋体" w:hAnsi="宋体"/>
                <w:szCs w:val="21"/>
              </w:rPr>
            </w:pPr>
            <w:bookmarkStart w:id="659" w:name="_Toc36646853"/>
            <w:r>
              <w:rPr>
                <w:rFonts w:hint="eastAsia" w:ascii="宋体" w:hAnsi="宋体"/>
                <w:szCs w:val="21"/>
              </w:rPr>
              <w:t>7</w:t>
            </w:r>
            <w:bookmarkEnd w:id="659"/>
          </w:p>
        </w:tc>
        <w:tc>
          <w:tcPr>
            <w:tcW w:w="3780" w:type="dxa"/>
            <w:gridSpan w:val="2"/>
            <w:noWrap w:val="0"/>
            <w:vAlign w:val="center"/>
          </w:tcPr>
          <w:p w14:paraId="2810E215">
            <w:pPr>
              <w:spacing w:line="340" w:lineRule="exact"/>
              <w:outlineLvl w:val="0"/>
              <w:rPr>
                <w:rFonts w:hint="eastAsia" w:ascii="宋体" w:hAnsi="宋体"/>
                <w:szCs w:val="21"/>
              </w:rPr>
            </w:pPr>
            <w:bookmarkStart w:id="660" w:name="_Toc418775214"/>
            <w:bookmarkStart w:id="661" w:name="_Toc418581626"/>
            <w:bookmarkStart w:id="662" w:name="_Toc418774006"/>
            <w:bookmarkStart w:id="663" w:name="_Toc440987454"/>
            <w:bookmarkStart w:id="664" w:name="_Toc418171897"/>
            <w:bookmarkStart w:id="665" w:name="_Toc5117238"/>
            <w:bookmarkStart w:id="666" w:name="_Toc6394674"/>
            <w:bookmarkStart w:id="667" w:name="_Toc516751027"/>
            <w:bookmarkStart w:id="668" w:name="_Toc26540020"/>
            <w:bookmarkStart w:id="669" w:name="_Toc36646854"/>
            <w:r>
              <w:rPr>
                <w:rFonts w:hint="eastAsia" w:ascii="宋体" w:hAnsi="宋体"/>
                <w:szCs w:val="21"/>
              </w:rPr>
              <w:t>弹性用地</w:t>
            </w:r>
            <w:bookmarkEnd w:id="660"/>
            <w:bookmarkEnd w:id="661"/>
            <w:bookmarkEnd w:id="662"/>
            <w:bookmarkEnd w:id="663"/>
            <w:bookmarkEnd w:id="664"/>
            <w:bookmarkEnd w:id="665"/>
            <w:bookmarkEnd w:id="666"/>
            <w:bookmarkEnd w:id="667"/>
            <w:bookmarkEnd w:id="668"/>
            <w:bookmarkEnd w:id="669"/>
          </w:p>
        </w:tc>
        <w:tc>
          <w:tcPr>
            <w:tcW w:w="1134" w:type="dxa"/>
            <w:noWrap w:val="0"/>
            <w:vAlign w:val="center"/>
          </w:tcPr>
          <w:p w14:paraId="093EEE46">
            <w:pPr>
              <w:spacing w:line="340" w:lineRule="exact"/>
              <w:jc w:val="center"/>
              <w:outlineLvl w:val="0"/>
              <w:rPr>
                <w:rFonts w:hint="eastAsia" w:ascii="宋体" w:hAnsi="宋体"/>
                <w:szCs w:val="21"/>
              </w:rPr>
            </w:pPr>
            <w:r>
              <w:rPr>
                <w:rFonts w:ascii="宋体" w:hAnsi="宋体"/>
                <w:szCs w:val="21"/>
              </w:rPr>
              <w:t>1.75</w:t>
            </w:r>
          </w:p>
        </w:tc>
        <w:tc>
          <w:tcPr>
            <w:tcW w:w="1323" w:type="dxa"/>
            <w:noWrap w:val="0"/>
            <w:vAlign w:val="center"/>
          </w:tcPr>
          <w:p w14:paraId="75D68542">
            <w:pPr>
              <w:spacing w:line="340" w:lineRule="exact"/>
              <w:jc w:val="center"/>
              <w:outlineLvl w:val="0"/>
              <w:rPr>
                <w:rFonts w:hint="eastAsia" w:ascii="宋体" w:hAnsi="宋体"/>
                <w:szCs w:val="21"/>
              </w:rPr>
            </w:pPr>
            <w:bookmarkStart w:id="670" w:name="_Toc36646856"/>
            <w:r>
              <w:rPr>
                <w:rFonts w:hint="eastAsia" w:ascii="宋体" w:hAnsi="宋体"/>
                <w:szCs w:val="21"/>
              </w:rPr>
              <w:t>0.</w:t>
            </w:r>
            <w:bookmarkEnd w:id="670"/>
            <w:r>
              <w:rPr>
                <w:rFonts w:ascii="宋体" w:hAnsi="宋体"/>
                <w:szCs w:val="21"/>
              </w:rPr>
              <w:t>74</w:t>
            </w:r>
          </w:p>
        </w:tc>
        <w:tc>
          <w:tcPr>
            <w:tcW w:w="1134" w:type="dxa"/>
            <w:noWrap w:val="0"/>
            <w:vAlign w:val="center"/>
          </w:tcPr>
          <w:p w14:paraId="5E3241AF">
            <w:pPr>
              <w:spacing w:line="340" w:lineRule="exact"/>
              <w:jc w:val="center"/>
              <w:outlineLvl w:val="0"/>
              <w:rPr>
                <w:rFonts w:hint="eastAsia" w:ascii="宋体" w:hAnsi="宋体"/>
                <w:szCs w:val="21"/>
              </w:rPr>
            </w:pPr>
            <w:bookmarkStart w:id="671" w:name="_Toc36646857"/>
            <w:r>
              <w:rPr>
                <w:rFonts w:hint="eastAsia" w:ascii="宋体" w:hAnsi="宋体"/>
                <w:szCs w:val="21"/>
              </w:rPr>
              <w:t>0.</w:t>
            </w:r>
            <w:bookmarkEnd w:id="671"/>
            <w:r>
              <w:rPr>
                <w:rFonts w:ascii="宋体" w:hAnsi="宋体"/>
                <w:szCs w:val="21"/>
              </w:rPr>
              <w:t>88</w:t>
            </w:r>
          </w:p>
        </w:tc>
        <w:tc>
          <w:tcPr>
            <w:tcW w:w="1796" w:type="dxa"/>
            <w:noWrap w:val="0"/>
            <w:vAlign w:val="top"/>
          </w:tcPr>
          <w:p w14:paraId="5A22D38E">
            <w:pPr>
              <w:spacing w:line="340" w:lineRule="exact"/>
              <w:jc w:val="center"/>
              <w:outlineLvl w:val="0"/>
              <w:rPr>
                <w:rFonts w:hint="eastAsia" w:ascii="宋体" w:hAnsi="宋体"/>
                <w:b/>
                <w:szCs w:val="21"/>
              </w:rPr>
            </w:pPr>
          </w:p>
        </w:tc>
      </w:tr>
      <w:tr w14:paraId="5072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64" w:type="dxa"/>
            <w:gridSpan w:val="2"/>
            <w:noWrap w:val="0"/>
            <w:vAlign w:val="center"/>
          </w:tcPr>
          <w:p w14:paraId="3695E8E4">
            <w:pPr>
              <w:spacing w:line="340" w:lineRule="exact"/>
              <w:jc w:val="center"/>
              <w:outlineLvl w:val="0"/>
              <w:rPr>
                <w:rFonts w:hint="eastAsia" w:ascii="宋体" w:hAnsi="宋体"/>
                <w:b/>
                <w:szCs w:val="21"/>
              </w:rPr>
            </w:pPr>
            <w:bookmarkStart w:id="672" w:name="_Toc36646858"/>
            <w:r>
              <w:rPr>
                <w:rFonts w:hint="eastAsia" w:ascii="宋体" w:hAnsi="宋体"/>
                <w:b/>
                <w:szCs w:val="21"/>
              </w:rPr>
              <w:t>合计</w:t>
            </w:r>
            <w:bookmarkEnd w:id="672"/>
          </w:p>
        </w:tc>
        <w:tc>
          <w:tcPr>
            <w:tcW w:w="3780" w:type="dxa"/>
            <w:gridSpan w:val="2"/>
            <w:noWrap w:val="0"/>
            <w:vAlign w:val="center"/>
          </w:tcPr>
          <w:p w14:paraId="75A145D9">
            <w:pPr>
              <w:spacing w:line="340" w:lineRule="exact"/>
              <w:outlineLvl w:val="0"/>
              <w:rPr>
                <w:rFonts w:hint="eastAsia" w:ascii="宋体" w:hAnsi="宋体"/>
                <w:b/>
                <w:szCs w:val="21"/>
              </w:rPr>
            </w:pPr>
            <w:bookmarkStart w:id="673" w:name="_Toc36646859"/>
            <w:r>
              <w:rPr>
                <w:rFonts w:hint="eastAsia" w:ascii="宋体" w:hAnsi="宋体"/>
                <w:b/>
                <w:szCs w:val="21"/>
              </w:rPr>
              <w:t>城市建设用地</w:t>
            </w:r>
            <w:bookmarkEnd w:id="673"/>
          </w:p>
        </w:tc>
        <w:tc>
          <w:tcPr>
            <w:tcW w:w="1134" w:type="dxa"/>
            <w:noWrap w:val="0"/>
            <w:vAlign w:val="center"/>
          </w:tcPr>
          <w:p w14:paraId="71BF0206">
            <w:pPr>
              <w:spacing w:line="340" w:lineRule="exact"/>
              <w:jc w:val="center"/>
              <w:outlineLvl w:val="0"/>
              <w:rPr>
                <w:rFonts w:hint="eastAsia" w:ascii="宋体" w:hAnsi="宋体"/>
                <w:b/>
                <w:szCs w:val="21"/>
              </w:rPr>
            </w:pPr>
            <w:bookmarkStart w:id="674" w:name="_Toc36646860"/>
            <w:r>
              <w:rPr>
                <w:rFonts w:ascii="宋体" w:hAnsi="宋体"/>
                <w:b/>
                <w:szCs w:val="21"/>
              </w:rPr>
              <w:t>237.</w:t>
            </w:r>
            <w:bookmarkEnd w:id="674"/>
            <w:r>
              <w:rPr>
                <w:rFonts w:ascii="宋体" w:hAnsi="宋体"/>
                <w:b/>
                <w:szCs w:val="21"/>
              </w:rPr>
              <w:t>06</w:t>
            </w:r>
          </w:p>
        </w:tc>
        <w:tc>
          <w:tcPr>
            <w:tcW w:w="1323" w:type="dxa"/>
            <w:noWrap w:val="0"/>
            <w:vAlign w:val="center"/>
          </w:tcPr>
          <w:p w14:paraId="29C8ABE3">
            <w:pPr>
              <w:spacing w:line="340" w:lineRule="exact"/>
              <w:jc w:val="center"/>
              <w:outlineLvl w:val="0"/>
              <w:rPr>
                <w:rFonts w:hint="eastAsia" w:ascii="宋体" w:hAnsi="宋体"/>
                <w:b/>
                <w:szCs w:val="21"/>
              </w:rPr>
            </w:pPr>
            <w:bookmarkStart w:id="675" w:name="_Toc36646861"/>
            <w:r>
              <w:rPr>
                <w:rFonts w:hint="eastAsia" w:ascii="宋体" w:hAnsi="宋体"/>
                <w:b/>
                <w:szCs w:val="21"/>
              </w:rPr>
              <w:t>100</w:t>
            </w:r>
            <w:bookmarkEnd w:id="675"/>
          </w:p>
        </w:tc>
        <w:tc>
          <w:tcPr>
            <w:tcW w:w="1134" w:type="dxa"/>
            <w:noWrap w:val="0"/>
            <w:vAlign w:val="center"/>
          </w:tcPr>
          <w:p w14:paraId="77EEA026">
            <w:pPr>
              <w:spacing w:line="340" w:lineRule="exact"/>
              <w:jc w:val="center"/>
              <w:outlineLvl w:val="0"/>
              <w:rPr>
                <w:rFonts w:hint="eastAsia" w:ascii="宋体" w:hAnsi="宋体"/>
                <w:b/>
                <w:szCs w:val="21"/>
              </w:rPr>
            </w:pPr>
            <w:bookmarkStart w:id="676" w:name="_Toc36646862"/>
            <w:r>
              <w:rPr>
                <w:rFonts w:ascii="宋体" w:hAnsi="宋体"/>
                <w:b/>
                <w:szCs w:val="21"/>
              </w:rPr>
              <w:t>118.</w:t>
            </w:r>
            <w:bookmarkEnd w:id="676"/>
            <w:r>
              <w:rPr>
                <w:rFonts w:ascii="宋体" w:hAnsi="宋体"/>
                <w:b/>
                <w:szCs w:val="21"/>
              </w:rPr>
              <w:t>53</w:t>
            </w:r>
          </w:p>
        </w:tc>
        <w:tc>
          <w:tcPr>
            <w:tcW w:w="1796" w:type="dxa"/>
            <w:noWrap w:val="0"/>
            <w:vAlign w:val="top"/>
          </w:tcPr>
          <w:p w14:paraId="693EE16A">
            <w:pPr>
              <w:spacing w:line="340" w:lineRule="exact"/>
              <w:jc w:val="center"/>
              <w:outlineLvl w:val="0"/>
              <w:rPr>
                <w:rFonts w:hint="eastAsia" w:ascii="宋体" w:hAnsi="宋体"/>
                <w:b/>
                <w:szCs w:val="21"/>
              </w:rPr>
            </w:pPr>
          </w:p>
        </w:tc>
      </w:tr>
    </w:tbl>
    <w:p w14:paraId="2C8DFC3F">
      <w:pPr>
        <w:spacing w:line="440" w:lineRule="exact"/>
        <w:rPr>
          <w:rFonts w:hint="eastAsia"/>
          <w:szCs w:val="21"/>
        </w:rPr>
      </w:pPr>
      <w:r>
        <w:rPr>
          <w:rFonts w:hint="eastAsia"/>
          <w:szCs w:val="21"/>
        </w:rPr>
        <w:t>注：规划居住人口约</w:t>
      </w:r>
      <w:r>
        <w:rPr>
          <w:szCs w:val="21"/>
        </w:rPr>
        <w:t>2.0</w:t>
      </w:r>
      <w:r>
        <w:rPr>
          <w:rFonts w:hint="eastAsia"/>
          <w:szCs w:val="21"/>
        </w:rPr>
        <w:t>万人。</w:t>
      </w:r>
    </w:p>
    <w:p w14:paraId="1282FC61">
      <w:pPr>
        <w:pStyle w:val="14"/>
        <w:spacing w:line="560" w:lineRule="exact"/>
        <w:ind w:firstLine="0" w:firstLineChars="0"/>
        <w:jc w:val="center"/>
        <w:rPr>
          <w:rFonts w:hint="eastAsia" w:ascii="黑体" w:eastAsia="黑体"/>
          <w:sz w:val="24"/>
        </w:rPr>
      </w:pPr>
      <w:r>
        <w:rPr>
          <w:rFonts w:hint="eastAsia" w:ascii="黑体" w:eastAsia="黑体"/>
          <w:sz w:val="24"/>
        </w:rPr>
        <w:t>城乡用地汇总表</w:t>
      </w:r>
    </w:p>
    <w:p w14:paraId="1CD13BB1">
      <w:pPr>
        <w:spacing w:line="440" w:lineRule="exact"/>
        <w:rPr>
          <w:rFonts w:hint="eastAsia" w:ascii="宋体" w:hAnsi="宋体"/>
          <w:szCs w:val="21"/>
        </w:rPr>
      </w:pPr>
      <w:r>
        <w:rPr>
          <w:rFonts w:hint="eastAsia" w:ascii="宋体" w:hAnsi="宋体"/>
          <w:szCs w:val="21"/>
        </w:rPr>
        <w:t>表5-3</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726"/>
        <w:gridCol w:w="456"/>
        <w:gridCol w:w="3173"/>
        <w:gridCol w:w="1559"/>
        <w:gridCol w:w="1475"/>
        <w:gridCol w:w="1802"/>
      </w:tblGrid>
      <w:tr w14:paraId="34B3E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shd w:val="clear" w:color="auto" w:fill="D9D9D9"/>
            <w:noWrap w:val="0"/>
            <w:vAlign w:val="center"/>
          </w:tcPr>
          <w:p w14:paraId="7ACE91DE">
            <w:pPr>
              <w:spacing w:line="400" w:lineRule="exact"/>
              <w:jc w:val="center"/>
              <w:rPr>
                <w:rFonts w:hint="eastAsia" w:ascii="宋体" w:hAnsi="宋体"/>
                <w:szCs w:val="21"/>
              </w:rPr>
            </w:pPr>
            <w:r>
              <w:rPr>
                <w:rFonts w:hint="eastAsia" w:ascii="宋体" w:hAnsi="宋体"/>
                <w:szCs w:val="21"/>
              </w:rPr>
              <w:t>序</w:t>
            </w:r>
          </w:p>
          <w:p w14:paraId="2D04BE2B">
            <w:pPr>
              <w:spacing w:line="400" w:lineRule="exact"/>
              <w:jc w:val="center"/>
              <w:rPr>
                <w:rFonts w:hint="eastAsia" w:ascii="宋体" w:hAnsi="宋体"/>
                <w:szCs w:val="21"/>
              </w:rPr>
            </w:pPr>
            <w:r>
              <w:rPr>
                <w:rFonts w:hint="eastAsia" w:ascii="宋体" w:hAnsi="宋体"/>
                <w:szCs w:val="21"/>
              </w:rPr>
              <w:t>号</w:t>
            </w:r>
          </w:p>
        </w:tc>
        <w:tc>
          <w:tcPr>
            <w:tcW w:w="726" w:type="dxa"/>
            <w:shd w:val="clear" w:color="auto" w:fill="D9D9D9"/>
            <w:noWrap w:val="0"/>
            <w:vAlign w:val="center"/>
          </w:tcPr>
          <w:p w14:paraId="79721236">
            <w:pPr>
              <w:spacing w:line="400" w:lineRule="exact"/>
              <w:jc w:val="center"/>
              <w:rPr>
                <w:rFonts w:hint="eastAsia" w:ascii="宋体" w:hAnsi="宋体"/>
                <w:szCs w:val="21"/>
              </w:rPr>
            </w:pPr>
            <w:r>
              <w:rPr>
                <w:rFonts w:hint="eastAsia" w:ascii="宋体" w:hAnsi="宋体"/>
                <w:szCs w:val="21"/>
              </w:rPr>
              <w:t>代</w:t>
            </w:r>
          </w:p>
          <w:p w14:paraId="4232CAC1">
            <w:pPr>
              <w:spacing w:line="400" w:lineRule="exact"/>
              <w:jc w:val="center"/>
              <w:rPr>
                <w:rFonts w:hint="eastAsia" w:ascii="宋体" w:hAnsi="宋体"/>
                <w:szCs w:val="21"/>
              </w:rPr>
            </w:pPr>
            <w:r>
              <w:rPr>
                <w:rFonts w:hint="eastAsia" w:ascii="宋体" w:hAnsi="宋体"/>
                <w:szCs w:val="21"/>
              </w:rPr>
              <w:t>码</w:t>
            </w:r>
          </w:p>
        </w:tc>
        <w:tc>
          <w:tcPr>
            <w:tcW w:w="3629" w:type="dxa"/>
            <w:gridSpan w:val="2"/>
            <w:shd w:val="clear" w:color="auto" w:fill="D9D9D9"/>
            <w:noWrap w:val="0"/>
            <w:vAlign w:val="center"/>
          </w:tcPr>
          <w:p w14:paraId="0A3F794E">
            <w:pPr>
              <w:spacing w:line="400" w:lineRule="exact"/>
              <w:jc w:val="center"/>
              <w:rPr>
                <w:rFonts w:hint="eastAsia" w:ascii="宋体" w:hAnsi="宋体"/>
                <w:szCs w:val="21"/>
              </w:rPr>
            </w:pPr>
            <w:r>
              <w:rPr>
                <w:rFonts w:hint="eastAsia" w:ascii="宋体" w:hAnsi="宋体"/>
                <w:szCs w:val="21"/>
              </w:rPr>
              <w:t>用地类别名称</w:t>
            </w:r>
          </w:p>
        </w:tc>
        <w:tc>
          <w:tcPr>
            <w:tcW w:w="1559" w:type="dxa"/>
            <w:shd w:val="clear" w:color="auto" w:fill="D9D9D9"/>
            <w:noWrap w:val="0"/>
            <w:vAlign w:val="center"/>
          </w:tcPr>
          <w:p w14:paraId="5F6D47F1">
            <w:pPr>
              <w:spacing w:line="400" w:lineRule="exact"/>
              <w:jc w:val="center"/>
              <w:rPr>
                <w:rFonts w:hint="eastAsia" w:ascii="宋体" w:hAnsi="宋体"/>
                <w:szCs w:val="21"/>
              </w:rPr>
            </w:pPr>
            <w:r>
              <w:rPr>
                <w:rFonts w:hint="eastAsia" w:ascii="宋体" w:hAnsi="宋体"/>
                <w:szCs w:val="21"/>
              </w:rPr>
              <w:t>面积（公顷）</w:t>
            </w:r>
          </w:p>
        </w:tc>
        <w:tc>
          <w:tcPr>
            <w:tcW w:w="1475" w:type="dxa"/>
            <w:shd w:val="clear" w:color="auto" w:fill="D9D9D9"/>
            <w:noWrap w:val="0"/>
            <w:vAlign w:val="center"/>
          </w:tcPr>
          <w:p w14:paraId="717AC2D0">
            <w:pPr>
              <w:spacing w:line="400" w:lineRule="exact"/>
              <w:jc w:val="center"/>
              <w:rPr>
                <w:rFonts w:hint="eastAsia" w:ascii="宋体" w:hAnsi="宋体"/>
                <w:szCs w:val="21"/>
              </w:rPr>
            </w:pPr>
            <w:r>
              <w:rPr>
                <w:rFonts w:hint="eastAsia" w:ascii="宋体" w:hAnsi="宋体"/>
                <w:szCs w:val="21"/>
              </w:rPr>
              <w:t>比例（%）</w:t>
            </w:r>
          </w:p>
        </w:tc>
        <w:tc>
          <w:tcPr>
            <w:tcW w:w="1802" w:type="dxa"/>
            <w:shd w:val="clear" w:color="auto" w:fill="D9D9D9"/>
            <w:noWrap w:val="0"/>
            <w:vAlign w:val="center"/>
          </w:tcPr>
          <w:p w14:paraId="60F10FD8">
            <w:pPr>
              <w:spacing w:line="400" w:lineRule="exact"/>
              <w:jc w:val="center"/>
              <w:rPr>
                <w:rFonts w:hint="eastAsia" w:ascii="宋体" w:hAnsi="宋体"/>
                <w:szCs w:val="21"/>
              </w:rPr>
            </w:pPr>
            <w:r>
              <w:rPr>
                <w:rFonts w:hint="eastAsia" w:ascii="宋体" w:hAnsi="宋体"/>
                <w:szCs w:val="21"/>
              </w:rPr>
              <w:t>备注</w:t>
            </w:r>
          </w:p>
        </w:tc>
      </w:tr>
      <w:tr w14:paraId="6C444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vMerge w:val="restart"/>
            <w:noWrap w:val="0"/>
            <w:vAlign w:val="center"/>
          </w:tcPr>
          <w:p w14:paraId="1DBEAED4">
            <w:pPr>
              <w:spacing w:line="400" w:lineRule="exact"/>
              <w:jc w:val="center"/>
              <w:rPr>
                <w:rFonts w:hint="eastAsia" w:ascii="宋体" w:hAnsi="宋体"/>
                <w:szCs w:val="21"/>
              </w:rPr>
            </w:pPr>
            <w:r>
              <w:rPr>
                <w:rFonts w:hint="eastAsia" w:ascii="宋体" w:hAnsi="宋体"/>
                <w:szCs w:val="21"/>
              </w:rPr>
              <w:t>1</w:t>
            </w:r>
          </w:p>
        </w:tc>
        <w:tc>
          <w:tcPr>
            <w:tcW w:w="726" w:type="dxa"/>
            <w:vMerge w:val="restart"/>
            <w:noWrap w:val="0"/>
            <w:vAlign w:val="center"/>
          </w:tcPr>
          <w:p w14:paraId="564EA293">
            <w:pPr>
              <w:spacing w:line="400" w:lineRule="exact"/>
              <w:jc w:val="center"/>
              <w:rPr>
                <w:rFonts w:hint="eastAsia" w:ascii="宋体" w:hAnsi="宋体"/>
                <w:szCs w:val="21"/>
              </w:rPr>
            </w:pPr>
            <w:r>
              <w:rPr>
                <w:rFonts w:hint="eastAsia" w:ascii="宋体" w:hAnsi="宋体"/>
                <w:szCs w:val="21"/>
              </w:rPr>
              <w:t>H</w:t>
            </w:r>
          </w:p>
        </w:tc>
        <w:tc>
          <w:tcPr>
            <w:tcW w:w="3629" w:type="dxa"/>
            <w:gridSpan w:val="2"/>
            <w:noWrap w:val="0"/>
            <w:vAlign w:val="center"/>
          </w:tcPr>
          <w:p w14:paraId="6FF93DF0">
            <w:pPr>
              <w:spacing w:line="400" w:lineRule="exact"/>
              <w:jc w:val="center"/>
              <w:rPr>
                <w:rFonts w:hint="eastAsia" w:ascii="宋体" w:hAnsi="宋体"/>
                <w:szCs w:val="21"/>
              </w:rPr>
            </w:pPr>
            <w:r>
              <w:rPr>
                <w:rFonts w:hint="eastAsia" w:ascii="宋体" w:hAnsi="宋体"/>
                <w:szCs w:val="21"/>
              </w:rPr>
              <w:t>建设用地</w:t>
            </w:r>
          </w:p>
        </w:tc>
        <w:tc>
          <w:tcPr>
            <w:tcW w:w="1559" w:type="dxa"/>
            <w:noWrap w:val="0"/>
            <w:vAlign w:val="center"/>
          </w:tcPr>
          <w:p w14:paraId="2D6F0811">
            <w:pPr>
              <w:spacing w:line="400" w:lineRule="exact"/>
              <w:jc w:val="center"/>
              <w:rPr>
                <w:rFonts w:hint="eastAsia" w:ascii="宋体" w:hAnsi="宋体"/>
                <w:szCs w:val="21"/>
              </w:rPr>
            </w:pPr>
            <w:r>
              <w:rPr>
                <w:rFonts w:ascii="宋体" w:hAnsi="宋体"/>
                <w:szCs w:val="21"/>
              </w:rPr>
              <w:t>269.10</w:t>
            </w:r>
          </w:p>
        </w:tc>
        <w:tc>
          <w:tcPr>
            <w:tcW w:w="1475" w:type="dxa"/>
            <w:noWrap w:val="0"/>
            <w:vAlign w:val="center"/>
          </w:tcPr>
          <w:p w14:paraId="305073D7">
            <w:pPr>
              <w:spacing w:line="400" w:lineRule="exact"/>
              <w:jc w:val="center"/>
              <w:rPr>
                <w:rFonts w:hint="eastAsia" w:ascii="宋体" w:hAnsi="宋体"/>
                <w:szCs w:val="21"/>
              </w:rPr>
            </w:pPr>
            <w:r>
              <w:rPr>
                <w:rFonts w:ascii="宋体" w:hAnsi="宋体"/>
                <w:szCs w:val="21"/>
              </w:rPr>
              <w:t>40.80</w:t>
            </w:r>
          </w:p>
        </w:tc>
        <w:tc>
          <w:tcPr>
            <w:tcW w:w="1802" w:type="dxa"/>
            <w:vMerge w:val="restart"/>
            <w:noWrap w:val="0"/>
            <w:vAlign w:val="center"/>
          </w:tcPr>
          <w:p w14:paraId="070C729E">
            <w:pPr>
              <w:spacing w:line="400" w:lineRule="exact"/>
              <w:rPr>
                <w:rFonts w:hint="eastAsia" w:ascii="宋体" w:hAnsi="宋体"/>
                <w:szCs w:val="21"/>
              </w:rPr>
            </w:pPr>
          </w:p>
        </w:tc>
      </w:tr>
      <w:tr w14:paraId="2118B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vMerge w:val="continue"/>
            <w:noWrap w:val="0"/>
            <w:vAlign w:val="center"/>
          </w:tcPr>
          <w:p w14:paraId="37AB5E5C">
            <w:pPr>
              <w:spacing w:line="400" w:lineRule="exact"/>
              <w:jc w:val="center"/>
              <w:rPr>
                <w:rFonts w:ascii="宋体" w:hAnsi="宋体"/>
                <w:szCs w:val="21"/>
              </w:rPr>
            </w:pPr>
          </w:p>
        </w:tc>
        <w:tc>
          <w:tcPr>
            <w:tcW w:w="726" w:type="dxa"/>
            <w:vMerge w:val="continue"/>
            <w:noWrap w:val="0"/>
            <w:vAlign w:val="center"/>
          </w:tcPr>
          <w:p w14:paraId="6DB01D1E">
            <w:pPr>
              <w:spacing w:line="400" w:lineRule="exact"/>
              <w:jc w:val="center"/>
              <w:rPr>
                <w:rFonts w:hint="eastAsia" w:ascii="宋体" w:hAnsi="宋体"/>
                <w:szCs w:val="21"/>
              </w:rPr>
            </w:pPr>
          </w:p>
        </w:tc>
        <w:tc>
          <w:tcPr>
            <w:tcW w:w="456" w:type="dxa"/>
            <w:vMerge w:val="restart"/>
            <w:noWrap w:val="0"/>
            <w:vAlign w:val="center"/>
          </w:tcPr>
          <w:p w14:paraId="7CD439BD">
            <w:pPr>
              <w:spacing w:line="400" w:lineRule="exact"/>
              <w:jc w:val="center"/>
              <w:rPr>
                <w:rFonts w:hint="eastAsia" w:ascii="宋体" w:hAnsi="宋体"/>
                <w:szCs w:val="21"/>
              </w:rPr>
            </w:pPr>
            <w:r>
              <w:rPr>
                <w:rFonts w:hint="eastAsia" w:ascii="宋体" w:hAnsi="宋体"/>
                <w:szCs w:val="21"/>
              </w:rPr>
              <w:t>其中</w:t>
            </w:r>
          </w:p>
        </w:tc>
        <w:tc>
          <w:tcPr>
            <w:tcW w:w="3173" w:type="dxa"/>
            <w:noWrap w:val="0"/>
            <w:vAlign w:val="center"/>
          </w:tcPr>
          <w:p w14:paraId="5780462B">
            <w:pPr>
              <w:spacing w:line="400" w:lineRule="exact"/>
              <w:jc w:val="center"/>
              <w:rPr>
                <w:rFonts w:hint="eastAsia" w:ascii="宋体" w:hAnsi="宋体"/>
                <w:szCs w:val="21"/>
              </w:rPr>
            </w:pPr>
            <w:r>
              <w:rPr>
                <w:rFonts w:hint="eastAsia" w:ascii="宋体" w:hAnsi="宋体"/>
                <w:szCs w:val="21"/>
              </w:rPr>
              <w:t>城市建设用地（H11）</w:t>
            </w:r>
          </w:p>
        </w:tc>
        <w:tc>
          <w:tcPr>
            <w:tcW w:w="1559" w:type="dxa"/>
            <w:noWrap w:val="0"/>
            <w:vAlign w:val="center"/>
          </w:tcPr>
          <w:p w14:paraId="775C21EF">
            <w:pPr>
              <w:spacing w:line="400" w:lineRule="exact"/>
              <w:jc w:val="center"/>
              <w:rPr>
                <w:rFonts w:hint="eastAsia" w:ascii="宋体" w:hAnsi="宋体"/>
                <w:szCs w:val="21"/>
              </w:rPr>
            </w:pPr>
            <w:r>
              <w:rPr>
                <w:rFonts w:ascii="宋体" w:hAnsi="宋体"/>
                <w:szCs w:val="21"/>
              </w:rPr>
              <w:t>237.06</w:t>
            </w:r>
          </w:p>
        </w:tc>
        <w:tc>
          <w:tcPr>
            <w:tcW w:w="1475" w:type="dxa"/>
            <w:vMerge w:val="restart"/>
            <w:noWrap w:val="0"/>
            <w:vAlign w:val="center"/>
          </w:tcPr>
          <w:p w14:paraId="6A0FF3C4">
            <w:pPr>
              <w:spacing w:line="400" w:lineRule="exact"/>
              <w:jc w:val="center"/>
              <w:rPr>
                <w:rFonts w:hint="eastAsia" w:ascii="宋体" w:hAnsi="宋体"/>
                <w:szCs w:val="21"/>
              </w:rPr>
            </w:pPr>
          </w:p>
        </w:tc>
        <w:tc>
          <w:tcPr>
            <w:tcW w:w="1802" w:type="dxa"/>
            <w:vMerge w:val="continue"/>
            <w:noWrap w:val="0"/>
            <w:vAlign w:val="top"/>
          </w:tcPr>
          <w:p w14:paraId="3203E8AE">
            <w:pPr>
              <w:spacing w:line="400" w:lineRule="exact"/>
              <w:jc w:val="center"/>
              <w:rPr>
                <w:rFonts w:hint="eastAsia" w:ascii="宋体" w:hAnsi="宋体"/>
                <w:szCs w:val="21"/>
              </w:rPr>
            </w:pPr>
          </w:p>
        </w:tc>
      </w:tr>
      <w:tr w14:paraId="7B4A5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vMerge w:val="continue"/>
            <w:noWrap w:val="0"/>
            <w:vAlign w:val="center"/>
          </w:tcPr>
          <w:p w14:paraId="293D8876">
            <w:pPr>
              <w:spacing w:line="400" w:lineRule="exact"/>
              <w:jc w:val="center"/>
              <w:rPr>
                <w:rFonts w:ascii="宋体" w:hAnsi="宋体"/>
                <w:szCs w:val="21"/>
              </w:rPr>
            </w:pPr>
          </w:p>
        </w:tc>
        <w:tc>
          <w:tcPr>
            <w:tcW w:w="726" w:type="dxa"/>
            <w:vMerge w:val="continue"/>
            <w:noWrap w:val="0"/>
            <w:vAlign w:val="center"/>
          </w:tcPr>
          <w:p w14:paraId="19D30DA0">
            <w:pPr>
              <w:spacing w:line="400" w:lineRule="exact"/>
              <w:jc w:val="center"/>
              <w:rPr>
                <w:rFonts w:hint="eastAsia" w:ascii="宋体" w:hAnsi="宋体"/>
                <w:szCs w:val="21"/>
              </w:rPr>
            </w:pPr>
          </w:p>
        </w:tc>
        <w:tc>
          <w:tcPr>
            <w:tcW w:w="456" w:type="dxa"/>
            <w:vMerge w:val="continue"/>
            <w:noWrap w:val="0"/>
            <w:vAlign w:val="center"/>
          </w:tcPr>
          <w:p w14:paraId="2A6BD258">
            <w:pPr>
              <w:spacing w:line="400" w:lineRule="exact"/>
              <w:jc w:val="center"/>
              <w:rPr>
                <w:rFonts w:hint="eastAsia" w:ascii="宋体" w:hAnsi="宋体"/>
                <w:szCs w:val="21"/>
              </w:rPr>
            </w:pPr>
          </w:p>
        </w:tc>
        <w:tc>
          <w:tcPr>
            <w:tcW w:w="3173" w:type="dxa"/>
            <w:noWrap w:val="0"/>
            <w:vAlign w:val="center"/>
          </w:tcPr>
          <w:p w14:paraId="754D5C56">
            <w:pPr>
              <w:spacing w:line="400" w:lineRule="exact"/>
              <w:jc w:val="center"/>
              <w:rPr>
                <w:rFonts w:hint="eastAsia" w:ascii="宋体" w:hAnsi="宋体"/>
                <w:szCs w:val="21"/>
              </w:rPr>
            </w:pPr>
            <w:r>
              <w:rPr>
                <w:rFonts w:hint="eastAsia" w:ascii="宋体" w:hAnsi="宋体"/>
                <w:szCs w:val="21"/>
              </w:rPr>
              <w:t>区域</w:t>
            </w:r>
            <w:r>
              <w:rPr>
                <w:rFonts w:ascii="宋体" w:hAnsi="宋体"/>
                <w:szCs w:val="21"/>
              </w:rPr>
              <w:t>交通设施用地（</w:t>
            </w:r>
            <w:r>
              <w:rPr>
                <w:rFonts w:hint="eastAsia" w:ascii="宋体" w:hAnsi="宋体"/>
                <w:szCs w:val="21"/>
              </w:rPr>
              <w:t>H</w:t>
            </w:r>
            <w:r>
              <w:rPr>
                <w:rFonts w:ascii="宋体" w:hAnsi="宋体"/>
                <w:szCs w:val="21"/>
              </w:rPr>
              <w:t>2）</w:t>
            </w:r>
          </w:p>
        </w:tc>
        <w:tc>
          <w:tcPr>
            <w:tcW w:w="1559" w:type="dxa"/>
            <w:noWrap w:val="0"/>
            <w:vAlign w:val="center"/>
          </w:tcPr>
          <w:p w14:paraId="55235604">
            <w:pPr>
              <w:spacing w:line="400" w:lineRule="exact"/>
              <w:jc w:val="center"/>
              <w:rPr>
                <w:rFonts w:hint="eastAsia" w:ascii="宋体" w:hAnsi="宋体"/>
                <w:szCs w:val="21"/>
              </w:rPr>
            </w:pPr>
            <w:r>
              <w:rPr>
                <w:rFonts w:ascii="宋体" w:hAnsi="宋体"/>
                <w:szCs w:val="21"/>
              </w:rPr>
              <w:t>32.04</w:t>
            </w:r>
          </w:p>
        </w:tc>
        <w:tc>
          <w:tcPr>
            <w:tcW w:w="1475" w:type="dxa"/>
            <w:vMerge w:val="continue"/>
            <w:noWrap w:val="0"/>
            <w:vAlign w:val="center"/>
          </w:tcPr>
          <w:p w14:paraId="57BBCFCF">
            <w:pPr>
              <w:spacing w:line="400" w:lineRule="exact"/>
              <w:jc w:val="center"/>
              <w:rPr>
                <w:rFonts w:hint="eastAsia" w:ascii="宋体" w:hAnsi="宋体"/>
                <w:szCs w:val="21"/>
              </w:rPr>
            </w:pPr>
          </w:p>
        </w:tc>
        <w:tc>
          <w:tcPr>
            <w:tcW w:w="1802" w:type="dxa"/>
            <w:vMerge w:val="continue"/>
            <w:noWrap w:val="0"/>
            <w:vAlign w:val="top"/>
          </w:tcPr>
          <w:p w14:paraId="797C97F9">
            <w:pPr>
              <w:spacing w:line="400" w:lineRule="exact"/>
              <w:jc w:val="center"/>
              <w:rPr>
                <w:rFonts w:hint="eastAsia" w:ascii="宋体" w:hAnsi="宋体"/>
                <w:szCs w:val="21"/>
              </w:rPr>
            </w:pPr>
          </w:p>
        </w:tc>
      </w:tr>
      <w:tr w14:paraId="0D268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vMerge w:val="restart"/>
            <w:shd w:val="clear" w:color="auto" w:fill="auto"/>
            <w:noWrap w:val="0"/>
            <w:vAlign w:val="center"/>
          </w:tcPr>
          <w:p w14:paraId="659CBDD7">
            <w:pPr>
              <w:spacing w:line="400" w:lineRule="exact"/>
              <w:jc w:val="center"/>
              <w:rPr>
                <w:rFonts w:hint="eastAsia" w:ascii="宋体" w:hAnsi="宋体"/>
                <w:szCs w:val="21"/>
              </w:rPr>
            </w:pPr>
            <w:r>
              <w:rPr>
                <w:rFonts w:hint="eastAsia" w:ascii="宋体" w:hAnsi="宋体"/>
                <w:szCs w:val="21"/>
              </w:rPr>
              <w:t>2</w:t>
            </w:r>
          </w:p>
        </w:tc>
        <w:tc>
          <w:tcPr>
            <w:tcW w:w="726" w:type="dxa"/>
            <w:vMerge w:val="restart"/>
            <w:noWrap w:val="0"/>
            <w:vAlign w:val="center"/>
          </w:tcPr>
          <w:p w14:paraId="474C3874">
            <w:pPr>
              <w:spacing w:line="400" w:lineRule="exact"/>
              <w:jc w:val="center"/>
              <w:rPr>
                <w:rFonts w:hint="eastAsia" w:ascii="宋体" w:hAnsi="宋体"/>
                <w:szCs w:val="21"/>
              </w:rPr>
            </w:pPr>
            <w:r>
              <w:rPr>
                <w:rFonts w:hint="eastAsia" w:ascii="宋体" w:hAnsi="宋体"/>
                <w:szCs w:val="21"/>
              </w:rPr>
              <w:t>E</w:t>
            </w:r>
          </w:p>
        </w:tc>
        <w:tc>
          <w:tcPr>
            <w:tcW w:w="3629" w:type="dxa"/>
            <w:gridSpan w:val="2"/>
            <w:noWrap w:val="0"/>
            <w:vAlign w:val="center"/>
          </w:tcPr>
          <w:p w14:paraId="335B4B09">
            <w:pPr>
              <w:spacing w:line="400" w:lineRule="exact"/>
              <w:jc w:val="center"/>
              <w:rPr>
                <w:rFonts w:hint="eastAsia" w:ascii="宋体" w:hAnsi="宋体"/>
                <w:szCs w:val="21"/>
              </w:rPr>
            </w:pPr>
            <w:r>
              <w:rPr>
                <w:rFonts w:hint="eastAsia" w:ascii="宋体" w:hAnsi="宋体"/>
                <w:szCs w:val="21"/>
              </w:rPr>
              <w:t>非建设用地</w:t>
            </w:r>
          </w:p>
        </w:tc>
        <w:tc>
          <w:tcPr>
            <w:tcW w:w="1559" w:type="dxa"/>
            <w:noWrap w:val="0"/>
            <w:vAlign w:val="center"/>
          </w:tcPr>
          <w:p w14:paraId="780D516A">
            <w:pPr>
              <w:spacing w:line="400" w:lineRule="exact"/>
              <w:jc w:val="center"/>
              <w:rPr>
                <w:rFonts w:hint="eastAsia" w:ascii="宋体" w:hAnsi="宋体"/>
                <w:szCs w:val="21"/>
              </w:rPr>
            </w:pPr>
            <w:r>
              <w:rPr>
                <w:rFonts w:ascii="宋体" w:hAnsi="宋体"/>
                <w:szCs w:val="21"/>
              </w:rPr>
              <w:t>390.48</w:t>
            </w:r>
          </w:p>
        </w:tc>
        <w:tc>
          <w:tcPr>
            <w:tcW w:w="1475" w:type="dxa"/>
            <w:noWrap w:val="0"/>
            <w:vAlign w:val="center"/>
          </w:tcPr>
          <w:p w14:paraId="2AF33596">
            <w:pPr>
              <w:spacing w:line="400" w:lineRule="exact"/>
              <w:jc w:val="center"/>
              <w:rPr>
                <w:rFonts w:hint="eastAsia" w:ascii="宋体" w:hAnsi="宋体"/>
                <w:szCs w:val="21"/>
              </w:rPr>
            </w:pPr>
            <w:r>
              <w:rPr>
                <w:rFonts w:ascii="宋体" w:hAnsi="宋体"/>
                <w:szCs w:val="21"/>
              </w:rPr>
              <w:t>59.20</w:t>
            </w:r>
          </w:p>
        </w:tc>
        <w:tc>
          <w:tcPr>
            <w:tcW w:w="1802" w:type="dxa"/>
            <w:vMerge w:val="continue"/>
            <w:noWrap w:val="0"/>
            <w:vAlign w:val="top"/>
          </w:tcPr>
          <w:p w14:paraId="1FA0C2A0">
            <w:pPr>
              <w:spacing w:line="400" w:lineRule="exact"/>
              <w:jc w:val="center"/>
              <w:rPr>
                <w:rFonts w:hint="eastAsia" w:ascii="宋体" w:hAnsi="宋体"/>
                <w:szCs w:val="21"/>
              </w:rPr>
            </w:pPr>
          </w:p>
        </w:tc>
      </w:tr>
      <w:tr w14:paraId="3CE6D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vMerge w:val="continue"/>
            <w:shd w:val="clear" w:color="auto" w:fill="auto"/>
            <w:noWrap w:val="0"/>
            <w:vAlign w:val="center"/>
          </w:tcPr>
          <w:p w14:paraId="023F074B">
            <w:pPr>
              <w:spacing w:line="400" w:lineRule="exact"/>
              <w:jc w:val="center"/>
              <w:rPr>
                <w:rFonts w:hint="eastAsia" w:ascii="宋体" w:hAnsi="宋体"/>
                <w:szCs w:val="21"/>
              </w:rPr>
            </w:pPr>
          </w:p>
        </w:tc>
        <w:tc>
          <w:tcPr>
            <w:tcW w:w="726" w:type="dxa"/>
            <w:vMerge w:val="continue"/>
            <w:noWrap w:val="0"/>
            <w:vAlign w:val="center"/>
          </w:tcPr>
          <w:p w14:paraId="5930CB12">
            <w:pPr>
              <w:spacing w:line="400" w:lineRule="exact"/>
              <w:jc w:val="center"/>
              <w:rPr>
                <w:rFonts w:hint="eastAsia" w:ascii="宋体" w:hAnsi="宋体"/>
                <w:szCs w:val="21"/>
              </w:rPr>
            </w:pPr>
          </w:p>
        </w:tc>
        <w:tc>
          <w:tcPr>
            <w:tcW w:w="456" w:type="dxa"/>
            <w:vMerge w:val="restart"/>
            <w:noWrap w:val="0"/>
            <w:vAlign w:val="center"/>
          </w:tcPr>
          <w:p w14:paraId="3A5025C1">
            <w:pPr>
              <w:spacing w:line="400" w:lineRule="exact"/>
              <w:jc w:val="center"/>
              <w:rPr>
                <w:rFonts w:hint="eastAsia" w:ascii="宋体" w:hAnsi="宋体"/>
                <w:szCs w:val="21"/>
              </w:rPr>
            </w:pPr>
            <w:r>
              <w:rPr>
                <w:rFonts w:hint="eastAsia" w:ascii="宋体" w:hAnsi="宋体"/>
                <w:szCs w:val="21"/>
              </w:rPr>
              <w:t>其中</w:t>
            </w:r>
          </w:p>
        </w:tc>
        <w:tc>
          <w:tcPr>
            <w:tcW w:w="3173" w:type="dxa"/>
            <w:noWrap w:val="0"/>
            <w:vAlign w:val="center"/>
          </w:tcPr>
          <w:p w14:paraId="4A36A6E5">
            <w:pPr>
              <w:spacing w:line="400" w:lineRule="exact"/>
              <w:jc w:val="center"/>
              <w:rPr>
                <w:rFonts w:hint="eastAsia" w:ascii="宋体" w:hAnsi="宋体"/>
                <w:szCs w:val="21"/>
              </w:rPr>
            </w:pPr>
            <w:r>
              <w:rPr>
                <w:rFonts w:hint="eastAsia" w:ascii="宋体" w:hAnsi="宋体"/>
                <w:szCs w:val="21"/>
              </w:rPr>
              <w:t>水域（E1）</w:t>
            </w:r>
          </w:p>
        </w:tc>
        <w:tc>
          <w:tcPr>
            <w:tcW w:w="1559" w:type="dxa"/>
            <w:noWrap w:val="0"/>
            <w:vAlign w:val="center"/>
          </w:tcPr>
          <w:p w14:paraId="4F0E10E9">
            <w:pPr>
              <w:spacing w:line="400" w:lineRule="exact"/>
              <w:jc w:val="center"/>
              <w:rPr>
                <w:rFonts w:hint="eastAsia" w:ascii="宋体" w:hAnsi="宋体"/>
                <w:szCs w:val="21"/>
              </w:rPr>
            </w:pPr>
            <w:r>
              <w:rPr>
                <w:rFonts w:ascii="宋体" w:hAnsi="宋体"/>
                <w:szCs w:val="21"/>
              </w:rPr>
              <w:t>28.61</w:t>
            </w:r>
          </w:p>
        </w:tc>
        <w:tc>
          <w:tcPr>
            <w:tcW w:w="1475" w:type="dxa"/>
            <w:noWrap w:val="0"/>
            <w:vAlign w:val="center"/>
          </w:tcPr>
          <w:p w14:paraId="75260C8B">
            <w:pPr>
              <w:spacing w:line="400" w:lineRule="exact"/>
              <w:jc w:val="center"/>
              <w:rPr>
                <w:rFonts w:hint="eastAsia" w:ascii="宋体" w:hAnsi="宋体"/>
                <w:szCs w:val="21"/>
              </w:rPr>
            </w:pPr>
          </w:p>
        </w:tc>
        <w:tc>
          <w:tcPr>
            <w:tcW w:w="1802" w:type="dxa"/>
            <w:vMerge w:val="continue"/>
            <w:noWrap w:val="0"/>
            <w:vAlign w:val="top"/>
          </w:tcPr>
          <w:p w14:paraId="59C1845A">
            <w:pPr>
              <w:spacing w:line="400" w:lineRule="exact"/>
              <w:jc w:val="center"/>
              <w:rPr>
                <w:rFonts w:hint="eastAsia" w:ascii="宋体" w:hAnsi="宋体"/>
                <w:szCs w:val="21"/>
              </w:rPr>
            </w:pPr>
          </w:p>
        </w:tc>
      </w:tr>
      <w:tr w14:paraId="41C89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vMerge w:val="continue"/>
            <w:shd w:val="clear" w:color="auto" w:fill="auto"/>
            <w:noWrap w:val="0"/>
            <w:vAlign w:val="center"/>
          </w:tcPr>
          <w:p w14:paraId="1A5210CD">
            <w:pPr>
              <w:spacing w:line="400" w:lineRule="exact"/>
              <w:jc w:val="center"/>
              <w:rPr>
                <w:rFonts w:hint="eastAsia" w:ascii="宋体" w:hAnsi="宋体"/>
                <w:szCs w:val="21"/>
              </w:rPr>
            </w:pPr>
          </w:p>
        </w:tc>
        <w:tc>
          <w:tcPr>
            <w:tcW w:w="726" w:type="dxa"/>
            <w:vMerge w:val="continue"/>
            <w:noWrap w:val="0"/>
            <w:vAlign w:val="center"/>
          </w:tcPr>
          <w:p w14:paraId="4B152474">
            <w:pPr>
              <w:spacing w:line="400" w:lineRule="exact"/>
              <w:jc w:val="center"/>
              <w:rPr>
                <w:rFonts w:hint="eastAsia" w:ascii="宋体" w:hAnsi="宋体"/>
                <w:szCs w:val="21"/>
              </w:rPr>
            </w:pPr>
          </w:p>
        </w:tc>
        <w:tc>
          <w:tcPr>
            <w:tcW w:w="456" w:type="dxa"/>
            <w:vMerge w:val="continue"/>
            <w:noWrap w:val="0"/>
            <w:vAlign w:val="center"/>
          </w:tcPr>
          <w:p w14:paraId="529EE292">
            <w:pPr>
              <w:spacing w:line="400" w:lineRule="exact"/>
              <w:jc w:val="center"/>
              <w:rPr>
                <w:rFonts w:hint="eastAsia" w:ascii="宋体" w:hAnsi="宋体"/>
                <w:szCs w:val="21"/>
              </w:rPr>
            </w:pPr>
          </w:p>
        </w:tc>
        <w:tc>
          <w:tcPr>
            <w:tcW w:w="3173" w:type="dxa"/>
            <w:noWrap w:val="0"/>
            <w:vAlign w:val="center"/>
          </w:tcPr>
          <w:p w14:paraId="015F73FE">
            <w:pPr>
              <w:spacing w:line="400" w:lineRule="exact"/>
              <w:jc w:val="center"/>
              <w:rPr>
                <w:rFonts w:hint="eastAsia" w:ascii="宋体" w:hAnsi="宋体"/>
                <w:szCs w:val="21"/>
              </w:rPr>
            </w:pPr>
            <w:r>
              <w:rPr>
                <w:rFonts w:hint="eastAsia" w:ascii="宋体" w:hAnsi="宋体"/>
                <w:szCs w:val="21"/>
              </w:rPr>
              <w:t>农林用地（E2）</w:t>
            </w:r>
          </w:p>
        </w:tc>
        <w:tc>
          <w:tcPr>
            <w:tcW w:w="1559" w:type="dxa"/>
            <w:noWrap w:val="0"/>
            <w:vAlign w:val="center"/>
          </w:tcPr>
          <w:p w14:paraId="0C708274">
            <w:pPr>
              <w:spacing w:line="400" w:lineRule="exact"/>
              <w:jc w:val="center"/>
              <w:rPr>
                <w:rFonts w:hint="eastAsia" w:ascii="宋体" w:hAnsi="宋体"/>
                <w:szCs w:val="21"/>
              </w:rPr>
            </w:pPr>
            <w:r>
              <w:rPr>
                <w:rFonts w:ascii="宋体" w:hAnsi="宋体"/>
                <w:szCs w:val="21"/>
              </w:rPr>
              <w:t>361.87</w:t>
            </w:r>
          </w:p>
        </w:tc>
        <w:tc>
          <w:tcPr>
            <w:tcW w:w="1475" w:type="dxa"/>
            <w:noWrap w:val="0"/>
            <w:vAlign w:val="center"/>
          </w:tcPr>
          <w:p w14:paraId="3233AD18">
            <w:pPr>
              <w:spacing w:line="400" w:lineRule="exact"/>
              <w:jc w:val="center"/>
              <w:rPr>
                <w:rFonts w:hint="eastAsia" w:ascii="宋体" w:hAnsi="宋体"/>
                <w:szCs w:val="21"/>
              </w:rPr>
            </w:pPr>
          </w:p>
        </w:tc>
        <w:tc>
          <w:tcPr>
            <w:tcW w:w="1802" w:type="dxa"/>
            <w:noWrap w:val="0"/>
            <w:vAlign w:val="top"/>
          </w:tcPr>
          <w:p w14:paraId="5DD0C085">
            <w:pPr>
              <w:spacing w:line="400" w:lineRule="exact"/>
              <w:jc w:val="center"/>
              <w:rPr>
                <w:rFonts w:hint="eastAsia" w:ascii="宋体" w:hAnsi="宋体"/>
                <w:szCs w:val="21"/>
              </w:rPr>
            </w:pPr>
            <w:r>
              <w:rPr>
                <w:rFonts w:hint="eastAsia" w:ascii="宋体" w:hAnsi="宋体"/>
                <w:szCs w:val="21"/>
              </w:rPr>
              <w:t>其中</w:t>
            </w:r>
            <w:r>
              <w:rPr>
                <w:rFonts w:ascii="宋体" w:hAnsi="宋体"/>
                <w:szCs w:val="21"/>
              </w:rPr>
              <w:t>：</w:t>
            </w:r>
            <w:r>
              <w:rPr>
                <w:rFonts w:hint="eastAsia" w:ascii="宋体" w:hAnsi="宋体"/>
                <w:szCs w:val="21"/>
              </w:rPr>
              <w:t>生态林地</w:t>
            </w:r>
            <w:r>
              <w:rPr>
                <w:rFonts w:ascii="宋体" w:hAnsi="宋体"/>
                <w:szCs w:val="21"/>
              </w:rPr>
              <w:t>161.71</w:t>
            </w:r>
            <w:r>
              <w:rPr>
                <w:rFonts w:hint="eastAsia" w:ascii="宋体" w:hAnsi="宋体"/>
                <w:szCs w:val="21"/>
              </w:rPr>
              <w:t>公顷</w:t>
            </w:r>
          </w:p>
        </w:tc>
      </w:tr>
      <w:tr w14:paraId="1944B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gridSpan w:val="2"/>
            <w:shd w:val="clear" w:color="auto" w:fill="auto"/>
            <w:noWrap w:val="0"/>
            <w:vAlign w:val="center"/>
          </w:tcPr>
          <w:p w14:paraId="2F427BC8">
            <w:pPr>
              <w:spacing w:line="400" w:lineRule="exact"/>
              <w:jc w:val="center"/>
              <w:rPr>
                <w:rFonts w:hint="eastAsia" w:ascii="宋体" w:hAnsi="宋体"/>
                <w:szCs w:val="21"/>
              </w:rPr>
            </w:pPr>
            <w:r>
              <w:rPr>
                <w:rFonts w:hint="eastAsia" w:ascii="宋体" w:hAnsi="宋体"/>
                <w:szCs w:val="21"/>
              </w:rPr>
              <w:t>合计</w:t>
            </w:r>
          </w:p>
        </w:tc>
        <w:tc>
          <w:tcPr>
            <w:tcW w:w="3629" w:type="dxa"/>
            <w:gridSpan w:val="2"/>
            <w:noWrap w:val="0"/>
            <w:vAlign w:val="center"/>
          </w:tcPr>
          <w:p w14:paraId="45342D27">
            <w:pPr>
              <w:spacing w:line="400" w:lineRule="exact"/>
              <w:jc w:val="center"/>
              <w:rPr>
                <w:rFonts w:hint="eastAsia" w:ascii="宋体" w:hAnsi="宋体"/>
                <w:szCs w:val="21"/>
              </w:rPr>
            </w:pPr>
            <w:r>
              <w:rPr>
                <w:rFonts w:hint="eastAsia" w:ascii="宋体" w:hAnsi="宋体"/>
                <w:szCs w:val="21"/>
              </w:rPr>
              <w:t>规划范围总用地</w:t>
            </w:r>
          </w:p>
        </w:tc>
        <w:tc>
          <w:tcPr>
            <w:tcW w:w="1559" w:type="dxa"/>
            <w:noWrap w:val="0"/>
            <w:vAlign w:val="center"/>
          </w:tcPr>
          <w:p w14:paraId="54472B9D">
            <w:pPr>
              <w:spacing w:line="400" w:lineRule="exact"/>
              <w:jc w:val="center"/>
              <w:rPr>
                <w:rFonts w:hint="eastAsia" w:ascii="宋体" w:hAnsi="宋体"/>
                <w:szCs w:val="21"/>
              </w:rPr>
            </w:pPr>
            <w:r>
              <w:rPr>
                <w:rFonts w:ascii="宋体" w:hAnsi="宋体"/>
                <w:szCs w:val="21"/>
              </w:rPr>
              <w:t>659.58</w:t>
            </w:r>
          </w:p>
        </w:tc>
        <w:tc>
          <w:tcPr>
            <w:tcW w:w="1475" w:type="dxa"/>
            <w:noWrap w:val="0"/>
            <w:vAlign w:val="center"/>
          </w:tcPr>
          <w:p w14:paraId="4F51F97A">
            <w:pPr>
              <w:spacing w:line="400" w:lineRule="exact"/>
              <w:jc w:val="center"/>
              <w:rPr>
                <w:rFonts w:hint="eastAsia" w:ascii="宋体" w:hAnsi="宋体"/>
                <w:szCs w:val="21"/>
              </w:rPr>
            </w:pPr>
            <w:r>
              <w:rPr>
                <w:rFonts w:hint="eastAsia" w:ascii="宋体" w:hAnsi="宋体"/>
                <w:szCs w:val="21"/>
              </w:rPr>
              <w:t>100</w:t>
            </w:r>
          </w:p>
        </w:tc>
        <w:tc>
          <w:tcPr>
            <w:tcW w:w="1802" w:type="dxa"/>
            <w:noWrap w:val="0"/>
            <w:vAlign w:val="top"/>
          </w:tcPr>
          <w:p w14:paraId="1B4621F1">
            <w:pPr>
              <w:spacing w:line="400" w:lineRule="exact"/>
              <w:jc w:val="center"/>
              <w:rPr>
                <w:rFonts w:hint="eastAsia" w:ascii="宋体" w:hAnsi="宋体"/>
                <w:szCs w:val="21"/>
              </w:rPr>
            </w:pPr>
          </w:p>
        </w:tc>
      </w:tr>
    </w:tbl>
    <w:p w14:paraId="08E27E1B">
      <w:pPr>
        <w:spacing w:line="420" w:lineRule="auto"/>
        <w:ind w:firstLine="420" w:firstLineChars="200"/>
        <w:rPr>
          <w:rFonts w:hint="eastAsia"/>
        </w:rPr>
      </w:pPr>
    </w:p>
    <w:p w14:paraId="7AF97B6D">
      <w:pPr>
        <w:pStyle w:val="3"/>
        <w:spacing w:line="660" w:lineRule="exact"/>
        <w:jc w:val="center"/>
        <w:rPr>
          <w:rFonts w:hint="eastAsia"/>
          <w:sz w:val="36"/>
          <w:szCs w:val="36"/>
        </w:rPr>
      </w:pPr>
      <w:bookmarkStart w:id="677" w:name="_Toc6394678"/>
      <w:bookmarkStart w:id="678" w:name="_Toc348965221"/>
      <w:bookmarkStart w:id="679" w:name="_Toc410292472"/>
      <w:r>
        <w:rPr>
          <w:rFonts w:hint="eastAsia"/>
          <w:sz w:val="36"/>
          <w:szCs w:val="36"/>
        </w:rPr>
        <w:t>第六章   土地利用控制规划</w:t>
      </w:r>
      <w:bookmarkEnd w:id="677"/>
      <w:bookmarkEnd w:id="678"/>
    </w:p>
    <w:p w14:paraId="391F8250">
      <w:pPr>
        <w:pStyle w:val="4"/>
        <w:spacing w:line="660" w:lineRule="exact"/>
        <w:rPr>
          <w:rFonts w:hint="eastAsia" w:ascii="黑体" w:eastAsia="黑体"/>
        </w:rPr>
      </w:pPr>
      <w:bookmarkStart w:id="680" w:name="_Toc6394679"/>
      <w:bookmarkStart w:id="681" w:name="_Toc216520018"/>
      <w:bookmarkStart w:id="682" w:name="_Toc348965222"/>
      <w:r>
        <w:rPr>
          <w:rFonts w:hint="eastAsia" w:ascii="黑体" w:eastAsia="黑体"/>
        </w:rPr>
        <w:t>一、地块划分原则及编码方式</w:t>
      </w:r>
      <w:bookmarkEnd w:id="680"/>
      <w:bookmarkEnd w:id="681"/>
      <w:bookmarkEnd w:id="682"/>
    </w:p>
    <w:p w14:paraId="274B4DE8">
      <w:pPr>
        <w:spacing w:line="660" w:lineRule="exact"/>
        <w:ind w:firstLine="573"/>
        <w:rPr>
          <w:rFonts w:hint="eastAsia" w:ascii="宋体" w:hAnsi="宋体"/>
          <w:b/>
          <w:sz w:val="28"/>
          <w:szCs w:val="28"/>
        </w:rPr>
      </w:pPr>
      <w:r>
        <w:rPr>
          <w:rFonts w:hint="eastAsia" w:ascii="宋体" w:hAnsi="宋体"/>
          <w:b/>
          <w:sz w:val="28"/>
          <w:szCs w:val="28"/>
        </w:rPr>
        <w:t>（一）</w:t>
      </w:r>
      <w:r>
        <w:rPr>
          <w:rFonts w:ascii="宋体" w:hAnsi="宋体"/>
          <w:b/>
          <w:sz w:val="28"/>
          <w:szCs w:val="28"/>
        </w:rPr>
        <w:t>地块划分原则</w:t>
      </w:r>
    </w:p>
    <w:p w14:paraId="58A18369">
      <w:pPr>
        <w:spacing w:line="660" w:lineRule="exact"/>
        <w:ind w:firstLine="674" w:firstLineChars="241"/>
        <w:rPr>
          <w:rFonts w:hint="eastAsia" w:ascii="宋体" w:hAnsi="宋体"/>
          <w:sz w:val="28"/>
          <w:szCs w:val="28"/>
        </w:rPr>
      </w:pPr>
      <w:r>
        <w:rPr>
          <w:rFonts w:hint="eastAsia" w:ascii="宋体" w:hAnsi="宋体"/>
          <w:sz w:val="28"/>
          <w:szCs w:val="28"/>
        </w:rPr>
        <w:t>结合乐山组团式发展模式，建议采用各城市组团分别编码的形式，如牟子编码为</w:t>
      </w:r>
      <w:r>
        <w:rPr>
          <w:rFonts w:ascii="宋体" w:hAnsi="宋体"/>
          <w:sz w:val="28"/>
          <w:szCs w:val="28"/>
        </w:rPr>
        <w:t>MZ</w:t>
      </w:r>
      <w:r>
        <w:rPr>
          <w:rFonts w:hint="eastAsia" w:ascii="宋体" w:hAnsi="宋体"/>
          <w:sz w:val="28"/>
          <w:szCs w:val="28"/>
        </w:rPr>
        <w:t>；旧城区编码为JC；水口编码为</w:t>
      </w:r>
      <w:r>
        <w:rPr>
          <w:rFonts w:ascii="宋体" w:hAnsi="宋体"/>
          <w:sz w:val="28"/>
          <w:szCs w:val="28"/>
        </w:rPr>
        <w:t>SK</w:t>
      </w:r>
      <w:r>
        <w:rPr>
          <w:rFonts w:hint="eastAsia" w:ascii="宋体" w:hAnsi="宋体"/>
          <w:sz w:val="28"/>
          <w:szCs w:val="28"/>
        </w:rPr>
        <w:t>等。划分原则：</w:t>
      </w:r>
    </w:p>
    <w:p w14:paraId="0A0DD4D6">
      <w:pPr>
        <w:spacing w:line="660" w:lineRule="exact"/>
        <w:ind w:firstLine="674" w:firstLineChars="241"/>
        <w:rPr>
          <w:rFonts w:hint="eastAsia" w:ascii="宋体" w:hAnsi="宋体"/>
          <w:sz w:val="28"/>
          <w:szCs w:val="28"/>
        </w:rPr>
      </w:pPr>
      <w:r>
        <w:rPr>
          <w:rFonts w:ascii="宋体" w:hAnsi="宋体"/>
          <w:sz w:val="28"/>
          <w:szCs w:val="28"/>
        </w:rPr>
        <w:t>1</w:t>
      </w:r>
      <w:r>
        <w:rPr>
          <w:rFonts w:hint="eastAsia" w:ascii="宋体" w:hAnsi="宋体"/>
          <w:sz w:val="28"/>
          <w:szCs w:val="28"/>
        </w:rPr>
        <w:t>、交通可达性原则。根据规划道路、河流、铁路等按集中的空间划分。</w:t>
      </w:r>
    </w:p>
    <w:p w14:paraId="63CE0675">
      <w:pPr>
        <w:spacing w:line="660" w:lineRule="exact"/>
        <w:ind w:firstLine="674" w:firstLineChars="241"/>
        <w:rPr>
          <w:rFonts w:hint="eastAsia" w:ascii="宋体" w:hAnsi="宋体"/>
          <w:sz w:val="28"/>
          <w:szCs w:val="28"/>
        </w:rPr>
      </w:pPr>
      <w:r>
        <w:rPr>
          <w:rFonts w:ascii="宋体" w:hAnsi="宋体"/>
          <w:sz w:val="28"/>
          <w:szCs w:val="28"/>
        </w:rPr>
        <w:t>2</w:t>
      </w:r>
      <w:r>
        <w:rPr>
          <w:rFonts w:hint="eastAsia" w:ascii="宋体" w:hAnsi="宋体"/>
          <w:sz w:val="28"/>
          <w:szCs w:val="28"/>
        </w:rPr>
        <w:t>、空间完整性。保证街区空间的相对完整。</w:t>
      </w:r>
    </w:p>
    <w:p w14:paraId="55131656">
      <w:pPr>
        <w:spacing w:line="660" w:lineRule="exact"/>
        <w:ind w:firstLine="674" w:firstLineChars="241"/>
        <w:rPr>
          <w:rFonts w:hint="eastAsia" w:ascii="宋体" w:hAnsi="宋体"/>
          <w:sz w:val="28"/>
          <w:szCs w:val="28"/>
        </w:rPr>
      </w:pPr>
      <w:r>
        <w:rPr>
          <w:rFonts w:ascii="宋体" w:hAnsi="宋体"/>
          <w:sz w:val="28"/>
          <w:szCs w:val="28"/>
        </w:rPr>
        <w:t>3</w:t>
      </w:r>
      <w:r>
        <w:rPr>
          <w:rFonts w:hint="eastAsia" w:ascii="宋体" w:hAnsi="宋体"/>
          <w:sz w:val="28"/>
          <w:szCs w:val="28"/>
        </w:rPr>
        <w:t>、主导功能的完整性。强调分区内各主要功能的相对完整。</w:t>
      </w:r>
    </w:p>
    <w:p w14:paraId="13ECAE22">
      <w:pPr>
        <w:spacing w:line="660" w:lineRule="exact"/>
        <w:ind w:firstLine="674" w:firstLineChars="241"/>
        <w:rPr>
          <w:rFonts w:hint="eastAsia" w:ascii="宋体" w:hAnsi="宋体"/>
          <w:sz w:val="28"/>
          <w:szCs w:val="28"/>
        </w:rPr>
      </w:pPr>
      <w:r>
        <w:rPr>
          <w:rFonts w:ascii="宋体" w:hAnsi="宋体"/>
          <w:sz w:val="28"/>
          <w:szCs w:val="28"/>
        </w:rPr>
        <w:t>4</w:t>
      </w:r>
      <w:r>
        <w:rPr>
          <w:rFonts w:hint="eastAsia" w:ascii="宋体" w:hAnsi="宋体"/>
          <w:sz w:val="28"/>
          <w:szCs w:val="28"/>
        </w:rPr>
        <w:t>、兼顾行政区划分原则。考虑用地与行政区划关系，合理划分分区。</w:t>
      </w:r>
    </w:p>
    <w:p w14:paraId="38341987">
      <w:pPr>
        <w:spacing w:line="660" w:lineRule="exact"/>
        <w:ind w:firstLine="674" w:firstLineChars="241"/>
        <w:rPr>
          <w:rFonts w:hint="eastAsia" w:ascii="宋体" w:hAnsi="宋体"/>
          <w:sz w:val="28"/>
          <w:szCs w:val="28"/>
        </w:rPr>
      </w:pPr>
      <w:r>
        <w:rPr>
          <w:rFonts w:hint="eastAsia" w:ascii="宋体" w:hAnsi="宋体"/>
          <w:sz w:val="28"/>
          <w:szCs w:val="28"/>
        </w:rPr>
        <w:t>各城市组团内以城市道路来划分，保证用地功能的完整性，地块编号的唯一性和可细分性；起到承上启下的作用，保证总规的落实，指导控规的编制。</w:t>
      </w:r>
    </w:p>
    <w:p w14:paraId="1A74F56B">
      <w:pPr>
        <w:spacing w:line="660" w:lineRule="exact"/>
        <w:ind w:firstLine="573"/>
        <w:rPr>
          <w:rFonts w:ascii="宋体" w:hAnsi="宋体"/>
          <w:b/>
          <w:sz w:val="28"/>
          <w:szCs w:val="28"/>
        </w:rPr>
      </w:pPr>
      <w:r>
        <w:rPr>
          <w:rFonts w:hint="eastAsia" w:ascii="宋体" w:hAnsi="宋体"/>
          <w:b/>
          <w:sz w:val="28"/>
          <w:szCs w:val="28"/>
        </w:rPr>
        <w:t>（二）地块编码方式</w:t>
      </w:r>
    </w:p>
    <w:p w14:paraId="200E639B">
      <w:pPr>
        <w:spacing w:line="660" w:lineRule="exact"/>
        <w:ind w:firstLine="573"/>
        <w:rPr>
          <w:rFonts w:hint="eastAsia" w:ascii="宋体" w:hAnsi="宋体"/>
          <w:sz w:val="28"/>
          <w:szCs w:val="28"/>
        </w:rPr>
      </w:pPr>
      <w:r>
        <w:rPr>
          <w:rFonts w:hint="eastAsia" w:ascii="宋体" w:hAnsi="宋体"/>
          <w:sz w:val="28"/>
          <w:szCs w:val="28"/>
        </w:rPr>
        <w:t>编码采用三段式：</w:t>
      </w:r>
      <w:r>
        <w:rPr>
          <w:rFonts w:ascii="宋体" w:hAnsi="宋体"/>
          <w:sz w:val="28"/>
          <w:szCs w:val="28"/>
        </w:rPr>
        <w:t>DA</w:t>
      </w:r>
      <w:r>
        <w:rPr>
          <w:rFonts w:hint="eastAsia" w:ascii="宋体" w:hAnsi="宋体"/>
          <w:sz w:val="28"/>
          <w:szCs w:val="28"/>
        </w:rPr>
        <w:t>－</w:t>
      </w:r>
      <w:r>
        <w:rPr>
          <w:rFonts w:ascii="宋体" w:hAnsi="宋体"/>
          <w:sz w:val="28"/>
          <w:szCs w:val="28"/>
        </w:rPr>
        <w:t>xx</w:t>
      </w:r>
      <w:r>
        <w:rPr>
          <w:rFonts w:hint="eastAsia" w:ascii="宋体" w:hAnsi="宋体"/>
          <w:sz w:val="28"/>
          <w:szCs w:val="28"/>
        </w:rPr>
        <w:t>—a，其中</w:t>
      </w:r>
      <w:r>
        <w:rPr>
          <w:rFonts w:ascii="宋体" w:hAnsi="宋体"/>
          <w:sz w:val="28"/>
          <w:szCs w:val="28"/>
        </w:rPr>
        <w:t>DA</w:t>
      </w:r>
      <w:r>
        <w:rPr>
          <w:rFonts w:hint="eastAsia" w:ascii="宋体" w:hAnsi="宋体"/>
          <w:sz w:val="28"/>
          <w:szCs w:val="28"/>
        </w:rPr>
        <w:t>表示岷江东岸片区；</w:t>
      </w:r>
      <w:r>
        <w:rPr>
          <w:rFonts w:ascii="宋体" w:hAnsi="宋体"/>
          <w:sz w:val="28"/>
          <w:szCs w:val="28"/>
        </w:rPr>
        <w:t>xx</w:t>
      </w:r>
      <w:r>
        <w:rPr>
          <w:rFonts w:hint="eastAsia" w:ascii="宋体" w:hAnsi="宋体"/>
          <w:sz w:val="28"/>
          <w:szCs w:val="28"/>
        </w:rPr>
        <w:t>为街坊编号；a为地块编号。</w:t>
      </w:r>
      <w:r>
        <w:rPr>
          <w:rFonts w:ascii="宋体" w:hAnsi="宋体"/>
          <w:sz w:val="28"/>
          <w:szCs w:val="28"/>
        </w:rPr>
        <w:t>编号的顺序原则上由西至东、由</w:t>
      </w:r>
      <w:r>
        <w:rPr>
          <w:rFonts w:hint="eastAsia" w:ascii="宋体" w:hAnsi="宋体"/>
          <w:sz w:val="28"/>
          <w:szCs w:val="28"/>
        </w:rPr>
        <w:t>南</w:t>
      </w:r>
      <w:r>
        <w:rPr>
          <w:rFonts w:ascii="宋体" w:hAnsi="宋体"/>
          <w:sz w:val="28"/>
          <w:szCs w:val="28"/>
        </w:rPr>
        <w:t>至</w:t>
      </w:r>
      <w:r>
        <w:rPr>
          <w:rFonts w:hint="eastAsia" w:ascii="宋体" w:hAnsi="宋体"/>
          <w:sz w:val="28"/>
          <w:szCs w:val="28"/>
        </w:rPr>
        <w:t>北。</w:t>
      </w:r>
    </w:p>
    <w:p w14:paraId="4F29D9B4">
      <w:pPr>
        <w:pStyle w:val="4"/>
        <w:spacing w:line="660" w:lineRule="exact"/>
        <w:rPr>
          <w:rFonts w:hint="eastAsia" w:ascii="黑体" w:eastAsia="黑体"/>
        </w:rPr>
      </w:pPr>
      <w:bookmarkStart w:id="683" w:name="_Toc6394680"/>
      <w:bookmarkStart w:id="684" w:name="_Toc216520019"/>
      <w:bookmarkStart w:id="685" w:name="_Toc348965223"/>
      <w:bookmarkStart w:id="686" w:name="_Toc341103323"/>
      <w:bookmarkStart w:id="687" w:name="_Toc216520020"/>
      <w:r>
        <w:rPr>
          <w:rFonts w:hint="eastAsia" w:ascii="黑体" w:eastAsia="黑体"/>
        </w:rPr>
        <w:t>二、建设开发控制</w:t>
      </w:r>
      <w:bookmarkEnd w:id="683"/>
      <w:bookmarkEnd w:id="684"/>
      <w:bookmarkEnd w:id="685"/>
      <w:bookmarkEnd w:id="686"/>
    </w:p>
    <w:p w14:paraId="5E17CF13">
      <w:pPr>
        <w:spacing w:line="660" w:lineRule="exact"/>
        <w:ind w:firstLine="562" w:firstLineChars="200"/>
        <w:rPr>
          <w:rFonts w:ascii="宋体" w:hAnsi="宋体"/>
          <w:b/>
          <w:sz w:val="28"/>
          <w:szCs w:val="28"/>
        </w:rPr>
      </w:pPr>
      <w:r>
        <w:rPr>
          <w:rFonts w:hint="eastAsia" w:ascii="宋体" w:hAnsi="宋体"/>
          <w:b/>
          <w:sz w:val="28"/>
          <w:szCs w:val="28"/>
        </w:rPr>
        <w:t>（一）开发强度控制</w:t>
      </w:r>
    </w:p>
    <w:p w14:paraId="79EEDF2D">
      <w:pPr>
        <w:spacing w:line="660" w:lineRule="exact"/>
        <w:ind w:firstLine="674" w:firstLineChars="241"/>
        <w:rPr>
          <w:rFonts w:hint="eastAsia" w:ascii="宋体" w:hAnsi="宋体"/>
          <w:sz w:val="28"/>
          <w:szCs w:val="28"/>
        </w:rPr>
      </w:pPr>
      <w:r>
        <w:rPr>
          <w:rFonts w:hint="eastAsia" w:ascii="宋体" w:hAnsi="宋体"/>
          <w:sz w:val="28"/>
          <w:szCs w:val="28"/>
        </w:rPr>
        <w:t>城市空间密度分布是城市组成要素（包括物质设施、社会群体、经济活动和公共机构等）在空间上的分布强度。本次规划控制的重点是城市物质组成要素即不同性质建筑设施的密度分布。根据密度分区原则中的区位选址理论、基于现状分析结果和参考国内外城市的密度分区经验，以交通条件、服务条件和环境条件作为一般的和全局的区位影响因子，规划对土地开发强度加以控制。</w:t>
      </w:r>
    </w:p>
    <w:p w14:paraId="0FB1965B">
      <w:pPr>
        <w:spacing w:line="660" w:lineRule="exact"/>
        <w:ind w:firstLine="677" w:firstLineChars="241"/>
        <w:rPr>
          <w:rFonts w:hint="eastAsia" w:ascii="宋体" w:hAnsi="宋体"/>
          <w:b/>
          <w:sz w:val="28"/>
          <w:szCs w:val="28"/>
        </w:rPr>
      </w:pPr>
      <w:bookmarkStart w:id="688" w:name="_Toc148082089"/>
      <w:r>
        <w:rPr>
          <w:rFonts w:hint="eastAsia" w:ascii="宋体" w:hAnsi="宋体"/>
          <w:b/>
          <w:sz w:val="28"/>
          <w:szCs w:val="28"/>
        </w:rPr>
        <w:t>1、控制要求</w:t>
      </w:r>
      <w:bookmarkEnd w:id="688"/>
    </w:p>
    <w:p w14:paraId="79A755BC">
      <w:pPr>
        <w:pStyle w:val="14"/>
        <w:spacing w:line="660" w:lineRule="exact"/>
        <w:ind w:firstLine="560"/>
        <w:rPr>
          <w:rFonts w:hint="eastAsia" w:ascii="宋体" w:hAnsi="宋体"/>
          <w:sz w:val="28"/>
          <w:szCs w:val="28"/>
        </w:rPr>
      </w:pPr>
      <w:r>
        <w:rPr>
          <w:rFonts w:hint="eastAsia" w:ascii="宋体" w:hAnsi="宋体"/>
          <w:sz w:val="28"/>
          <w:szCs w:val="28"/>
        </w:rPr>
        <w:t>为提高土地利用效益，使土地利用实现集约化、节约化。</w:t>
      </w:r>
      <w:bookmarkStart w:id="689" w:name="_Toc148082091"/>
      <w:r>
        <w:rPr>
          <w:rFonts w:hint="eastAsia" w:ascii="宋体" w:hAnsi="宋体"/>
          <w:sz w:val="28"/>
          <w:szCs w:val="28"/>
        </w:rPr>
        <w:t>在开发强度上针对不同区域和用地类型，对容积率和建筑密度实行上限控制。</w:t>
      </w:r>
    </w:p>
    <w:p w14:paraId="3D8974D1">
      <w:pPr>
        <w:spacing w:line="660" w:lineRule="exact"/>
        <w:jc w:val="center"/>
        <w:rPr>
          <w:rFonts w:hint="eastAsia" w:ascii="黑体" w:eastAsia="黑体"/>
          <w:sz w:val="28"/>
          <w:szCs w:val="28"/>
        </w:rPr>
      </w:pPr>
      <w:r>
        <w:rPr>
          <w:rFonts w:hint="eastAsia" w:ascii="黑体" w:eastAsia="黑体"/>
          <w:sz w:val="28"/>
          <w:szCs w:val="28"/>
        </w:rPr>
        <w:t>建设开发强度分区指标划分表</w:t>
      </w:r>
    </w:p>
    <w:p w14:paraId="3245117B">
      <w:pPr>
        <w:spacing w:line="440" w:lineRule="exact"/>
        <w:rPr>
          <w:rFonts w:hint="eastAsia" w:ascii="宋体" w:hAnsi="宋体"/>
          <w:sz w:val="24"/>
        </w:rPr>
      </w:pPr>
      <w:r>
        <w:rPr>
          <w:rFonts w:hint="eastAsia" w:ascii="宋体" w:hAnsi="宋体"/>
          <w:sz w:val="24"/>
        </w:rPr>
        <w:t>表6-1</w:t>
      </w:r>
    </w:p>
    <w:tbl>
      <w:tblPr>
        <w:tblStyle w:val="40"/>
        <w:tblW w:w="99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7"/>
        <w:gridCol w:w="1890"/>
        <w:gridCol w:w="4347"/>
        <w:gridCol w:w="1512"/>
      </w:tblGrid>
      <w:tr w14:paraId="75936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shd w:val="clear" w:color="auto" w:fill="D9D9D9"/>
            <w:noWrap w:val="0"/>
            <w:vAlign w:val="top"/>
          </w:tcPr>
          <w:p w14:paraId="68A44CED">
            <w:pPr>
              <w:autoSpaceDE w:val="0"/>
              <w:autoSpaceDN w:val="0"/>
              <w:adjustRightInd w:val="0"/>
              <w:spacing w:line="440" w:lineRule="exact"/>
              <w:jc w:val="center"/>
              <w:rPr>
                <w:rFonts w:hint="eastAsia" w:ascii="宋体" w:cs="宋体"/>
                <w:b/>
                <w:kern w:val="0"/>
                <w:sz w:val="24"/>
                <w:lang w:val="zh-CN"/>
              </w:rPr>
            </w:pPr>
            <w:r>
              <w:rPr>
                <w:rFonts w:hint="eastAsia" w:ascii="宋体" w:cs="宋体"/>
                <w:b/>
                <w:kern w:val="0"/>
                <w:sz w:val="24"/>
                <w:lang w:val="zh-CN"/>
              </w:rPr>
              <w:t>开发强度分区</w:t>
            </w:r>
          </w:p>
        </w:tc>
        <w:tc>
          <w:tcPr>
            <w:tcW w:w="1890" w:type="dxa"/>
            <w:shd w:val="clear" w:color="auto" w:fill="D9D9D9"/>
            <w:noWrap w:val="0"/>
            <w:vAlign w:val="top"/>
          </w:tcPr>
          <w:p w14:paraId="217B7BF8">
            <w:pPr>
              <w:autoSpaceDE w:val="0"/>
              <w:autoSpaceDN w:val="0"/>
              <w:adjustRightInd w:val="0"/>
              <w:spacing w:line="440" w:lineRule="exact"/>
              <w:jc w:val="left"/>
              <w:rPr>
                <w:rFonts w:hint="eastAsia" w:ascii="宋体" w:cs="宋体"/>
                <w:b/>
                <w:kern w:val="0"/>
                <w:sz w:val="24"/>
                <w:lang w:val="zh-CN"/>
              </w:rPr>
            </w:pPr>
            <w:r>
              <w:rPr>
                <w:rFonts w:hint="eastAsia" w:ascii="宋体" w:cs="宋体"/>
                <w:b/>
                <w:kern w:val="0"/>
                <w:sz w:val="24"/>
                <w:lang w:val="zh-CN"/>
              </w:rPr>
              <w:t>容积率取值</w:t>
            </w:r>
          </w:p>
        </w:tc>
        <w:tc>
          <w:tcPr>
            <w:tcW w:w="4347" w:type="dxa"/>
            <w:shd w:val="clear" w:color="auto" w:fill="D9D9D9"/>
            <w:noWrap w:val="0"/>
            <w:vAlign w:val="top"/>
          </w:tcPr>
          <w:p w14:paraId="31243162">
            <w:pPr>
              <w:autoSpaceDE w:val="0"/>
              <w:autoSpaceDN w:val="0"/>
              <w:adjustRightInd w:val="0"/>
              <w:spacing w:line="440" w:lineRule="exact"/>
              <w:jc w:val="left"/>
              <w:rPr>
                <w:rFonts w:hint="eastAsia" w:ascii="宋体" w:cs="宋体"/>
                <w:b/>
                <w:kern w:val="0"/>
                <w:sz w:val="24"/>
                <w:lang w:val="zh-CN"/>
              </w:rPr>
            </w:pPr>
            <w:r>
              <w:rPr>
                <w:rFonts w:hint="eastAsia" w:ascii="宋体" w:cs="宋体"/>
                <w:b/>
                <w:kern w:val="0"/>
                <w:sz w:val="24"/>
                <w:lang w:val="zh-CN"/>
              </w:rPr>
              <w:t>控制区</w:t>
            </w:r>
          </w:p>
        </w:tc>
        <w:tc>
          <w:tcPr>
            <w:tcW w:w="1512" w:type="dxa"/>
            <w:shd w:val="clear" w:color="auto" w:fill="D9D9D9"/>
            <w:noWrap w:val="0"/>
            <w:vAlign w:val="top"/>
          </w:tcPr>
          <w:p w14:paraId="45C0206E">
            <w:pPr>
              <w:autoSpaceDE w:val="0"/>
              <w:autoSpaceDN w:val="0"/>
              <w:adjustRightInd w:val="0"/>
              <w:spacing w:line="440" w:lineRule="exact"/>
              <w:jc w:val="left"/>
              <w:rPr>
                <w:rFonts w:hint="eastAsia" w:ascii="宋体" w:cs="宋体"/>
                <w:b/>
                <w:kern w:val="0"/>
                <w:sz w:val="24"/>
                <w:lang w:val="zh-CN"/>
              </w:rPr>
            </w:pPr>
            <w:r>
              <w:rPr>
                <w:rFonts w:hint="eastAsia" w:ascii="宋体" w:cs="宋体"/>
                <w:b/>
                <w:kern w:val="0"/>
                <w:sz w:val="24"/>
                <w:lang w:val="zh-CN"/>
              </w:rPr>
              <w:t>备注</w:t>
            </w:r>
          </w:p>
        </w:tc>
      </w:tr>
      <w:tr w14:paraId="6E3E8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noWrap w:val="0"/>
            <w:vAlign w:val="top"/>
          </w:tcPr>
          <w:p w14:paraId="729B578C">
            <w:pPr>
              <w:autoSpaceDE w:val="0"/>
              <w:autoSpaceDN w:val="0"/>
              <w:adjustRightInd w:val="0"/>
              <w:spacing w:line="440" w:lineRule="exact"/>
              <w:jc w:val="center"/>
              <w:rPr>
                <w:rFonts w:hint="eastAsia" w:ascii="宋体" w:cs="宋体"/>
                <w:kern w:val="0"/>
                <w:sz w:val="24"/>
                <w:lang w:val="zh-CN"/>
              </w:rPr>
            </w:pPr>
            <w:r>
              <w:rPr>
                <w:rFonts w:hint="eastAsia" w:ascii="宋体" w:cs="宋体"/>
                <w:kern w:val="0"/>
                <w:sz w:val="24"/>
                <w:lang w:val="zh-CN"/>
              </w:rPr>
              <w:t>低强度开发地区</w:t>
            </w:r>
          </w:p>
        </w:tc>
        <w:tc>
          <w:tcPr>
            <w:tcW w:w="1890" w:type="dxa"/>
            <w:noWrap w:val="0"/>
            <w:vAlign w:val="top"/>
          </w:tcPr>
          <w:p w14:paraId="71C099B3">
            <w:pPr>
              <w:autoSpaceDE w:val="0"/>
              <w:autoSpaceDN w:val="0"/>
              <w:adjustRightInd w:val="0"/>
              <w:spacing w:line="440" w:lineRule="exact"/>
              <w:jc w:val="left"/>
              <w:rPr>
                <w:rFonts w:hint="eastAsia" w:ascii="宋体" w:cs="宋体"/>
                <w:kern w:val="0"/>
                <w:sz w:val="24"/>
                <w:lang w:val="zh-CN"/>
              </w:rPr>
            </w:pPr>
            <w:r>
              <w:rPr>
                <w:rFonts w:hint="eastAsia" w:ascii="宋体" w:cs="宋体"/>
                <w:kern w:val="0"/>
                <w:sz w:val="24"/>
                <w:lang w:val="zh-CN"/>
              </w:rPr>
              <w:t>FAR≤1.0</w:t>
            </w:r>
          </w:p>
        </w:tc>
        <w:tc>
          <w:tcPr>
            <w:tcW w:w="4347" w:type="dxa"/>
            <w:noWrap w:val="0"/>
            <w:vAlign w:val="top"/>
          </w:tcPr>
          <w:p w14:paraId="197EEA76">
            <w:pPr>
              <w:autoSpaceDE w:val="0"/>
              <w:autoSpaceDN w:val="0"/>
              <w:adjustRightInd w:val="0"/>
              <w:spacing w:line="440" w:lineRule="exact"/>
              <w:jc w:val="left"/>
              <w:rPr>
                <w:rFonts w:hint="eastAsia" w:ascii="宋体" w:hAnsi="宋体" w:cs="黑体"/>
                <w:color w:val="000000"/>
                <w:kern w:val="0"/>
                <w:sz w:val="24"/>
              </w:rPr>
            </w:pPr>
            <w:r>
              <w:rPr>
                <w:rFonts w:hint="eastAsia" w:ascii="宋体" w:hAnsi="宋体" w:cs="黑体"/>
                <w:color w:val="000000"/>
                <w:kern w:val="0"/>
                <w:sz w:val="24"/>
              </w:rPr>
              <w:t>主要为城市市政基础设施、公园绿地、运动场、广场、幼儿园、小学等地块。</w:t>
            </w:r>
          </w:p>
        </w:tc>
        <w:tc>
          <w:tcPr>
            <w:tcW w:w="1512" w:type="dxa"/>
            <w:noWrap w:val="0"/>
            <w:vAlign w:val="top"/>
          </w:tcPr>
          <w:p w14:paraId="2829E772">
            <w:pPr>
              <w:autoSpaceDE w:val="0"/>
              <w:autoSpaceDN w:val="0"/>
              <w:adjustRightInd w:val="0"/>
              <w:spacing w:line="440" w:lineRule="exact"/>
              <w:jc w:val="left"/>
              <w:rPr>
                <w:rFonts w:hint="eastAsia" w:ascii="宋体" w:hAnsi="宋体" w:cs="宋体"/>
                <w:kern w:val="0"/>
                <w:sz w:val="24"/>
                <w:lang w:val="zh-CN"/>
              </w:rPr>
            </w:pPr>
          </w:p>
        </w:tc>
      </w:tr>
      <w:tr w14:paraId="58E96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noWrap w:val="0"/>
            <w:vAlign w:val="top"/>
          </w:tcPr>
          <w:p w14:paraId="63D27A55">
            <w:pPr>
              <w:autoSpaceDE w:val="0"/>
              <w:autoSpaceDN w:val="0"/>
              <w:adjustRightInd w:val="0"/>
              <w:spacing w:line="440" w:lineRule="exact"/>
              <w:jc w:val="center"/>
              <w:rPr>
                <w:rFonts w:hint="eastAsia" w:ascii="宋体" w:cs="宋体"/>
                <w:kern w:val="0"/>
                <w:sz w:val="24"/>
                <w:lang w:val="zh-CN"/>
              </w:rPr>
            </w:pPr>
            <w:r>
              <w:rPr>
                <w:rFonts w:hint="eastAsia" w:ascii="宋体" w:cs="宋体"/>
                <w:kern w:val="0"/>
                <w:sz w:val="24"/>
                <w:lang w:val="zh-CN"/>
              </w:rPr>
              <w:t>中低强度开发地区</w:t>
            </w:r>
          </w:p>
        </w:tc>
        <w:tc>
          <w:tcPr>
            <w:tcW w:w="1890" w:type="dxa"/>
            <w:noWrap w:val="0"/>
            <w:vAlign w:val="top"/>
          </w:tcPr>
          <w:p w14:paraId="7ECFD4FA">
            <w:pPr>
              <w:autoSpaceDE w:val="0"/>
              <w:autoSpaceDN w:val="0"/>
              <w:adjustRightInd w:val="0"/>
              <w:spacing w:line="440" w:lineRule="exact"/>
              <w:jc w:val="left"/>
              <w:rPr>
                <w:rFonts w:hint="eastAsia" w:ascii="宋体" w:cs="宋体"/>
                <w:kern w:val="0"/>
                <w:sz w:val="24"/>
                <w:lang w:val="zh-CN"/>
              </w:rPr>
            </w:pPr>
            <w:r>
              <w:rPr>
                <w:rFonts w:hint="eastAsia" w:ascii="宋体" w:cs="宋体"/>
                <w:kern w:val="0"/>
                <w:sz w:val="24"/>
                <w:lang w:val="zh-CN"/>
              </w:rPr>
              <w:t>1.0＜FAR≤</w:t>
            </w:r>
            <w:r>
              <w:rPr>
                <w:rFonts w:ascii="宋体" w:cs="宋体"/>
                <w:kern w:val="0"/>
                <w:sz w:val="24"/>
                <w:lang w:val="zh-CN"/>
              </w:rPr>
              <w:t>1.5</w:t>
            </w:r>
          </w:p>
        </w:tc>
        <w:tc>
          <w:tcPr>
            <w:tcW w:w="4347" w:type="dxa"/>
            <w:noWrap w:val="0"/>
            <w:vAlign w:val="top"/>
          </w:tcPr>
          <w:p w14:paraId="3AF30508">
            <w:pPr>
              <w:autoSpaceDE w:val="0"/>
              <w:autoSpaceDN w:val="0"/>
              <w:adjustRightInd w:val="0"/>
              <w:spacing w:line="440" w:lineRule="exact"/>
              <w:jc w:val="left"/>
              <w:rPr>
                <w:rFonts w:hint="eastAsia" w:ascii="宋体" w:hAnsi="宋体" w:cs="黑体"/>
                <w:kern w:val="0"/>
                <w:sz w:val="24"/>
              </w:rPr>
            </w:pPr>
            <w:r>
              <w:rPr>
                <w:rFonts w:hint="eastAsia" w:ascii="宋体" w:hAnsi="宋体" w:cs="黑体"/>
                <w:kern w:val="0"/>
                <w:sz w:val="24"/>
              </w:rPr>
              <w:t>主要为居住、市场、娱乐设施、节点商业、社区服务等地块。</w:t>
            </w:r>
          </w:p>
        </w:tc>
        <w:tc>
          <w:tcPr>
            <w:tcW w:w="1512" w:type="dxa"/>
            <w:noWrap w:val="0"/>
            <w:vAlign w:val="top"/>
          </w:tcPr>
          <w:p w14:paraId="79B81E03">
            <w:pPr>
              <w:autoSpaceDE w:val="0"/>
              <w:autoSpaceDN w:val="0"/>
              <w:adjustRightInd w:val="0"/>
              <w:spacing w:line="440" w:lineRule="exact"/>
              <w:jc w:val="left"/>
              <w:rPr>
                <w:rFonts w:hint="eastAsia" w:ascii="宋体" w:hAnsi="宋体" w:cs="黑体"/>
                <w:kern w:val="0"/>
                <w:sz w:val="24"/>
              </w:rPr>
            </w:pPr>
          </w:p>
        </w:tc>
      </w:tr>
      <w:tr w14:paraId="0D286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7" w:type="dxa"/>
            <w:noWrap w:val="0"/>
            <w:vAlign w:val="top"/>
          </w:tcPr>
          <w:p w14:paraId="6E0734CA">
            <w:pPr>
              <w:autoSpaceDE w:val="0"/>
              <w:autoSpaceDN w:val="0"/>
              <w:adjustRightInd w:val="0"/>
              <w:spacing w:line="440" w:lineRule="exact"/>
              <w:jc w:val="center"/>
              <w:rPr>
                <w:rFonts w:hint="eastAsia" w:ascii="宋体" w:cs="宋体"/>
                <w:kern w:val="0"/>
                <w:sz w:val="24"/>
                <w:lang w:val="zh-CN"/>
              </w:rPr>
            </w:pPr>
            <w:r>
              <w:rPr>
                <w:rFonts w:hint="eastAsia" w:ascii="宋体" w:cs="宋体"/>
                <w:kern w:val="0"/>
                <w:sz w:val="24"/>
                <w:lang w:val="zh-CN"/>
              </w:rPr>
              <w:t>中高强度开发地区</w:t>
            </w:r>
          </w:p>
        </w:tc>
        <w:tc>
          <w:tcPr>
            <w:tcW w:w="1890" w:type="dxa"/>
            <w:noWrap w:val="0"/>
            <w:vAlign w:val="top"/>
          </w:tcPr>
          <w:p w14:paraId="05626943">
            <w:pPr>
              <w:autoSpaceDE w:val="0"/>
              <w:autoSpaceDN w:val="0"/>
              <w:adjustRightInd w:val="0"/>
              <w:spacing w:line="440" w:lineRule="exact"/>
              <w:jc w:val="left"/>
              <w:rPr>
                <w:rFonts w:hint="eastAsia" w:ascii="宋体" w:cs="宋体"/>
                <w:kern w:val="0"/>
                <w:sz w:val="24"/>
                <w:lang w:val="zh-CN"/>
              </w:rPr>
            </w:pPr>
            <w:r>
              <w:rPr>
                <w:rFonts w:ascii="宋体" w:cs="宋体"/>
                <w:kern w:val="0"/>
                <w:sz w:val="24"/>
                <w:lang w:val="zh-CN"/>
              </w:rPr>
              <w:t>1.5</w:t>
            </w:r>
            <w:r>
              <w:rPr>
                <w:rFonts w:hint="eastAsia" w:ascii="宋体" w:cs="宋体"/>
                <w:kern w:val="0"/>
                <w:sz w:val="24"/>
                <w:lang w:val="zh-CN"/>
              </w:rPr>
              <w:t>＜FAR≤</w:t>
            </w:r>
            <w:r>
              <w:rPr>
                <w:rFonts w:ascii="宋体" w:cs="宋体"/>
                <w:kern w:val="0"/>
                <w:sz w:val="24"/>
                <w:lang w:val="zh-CN"/>
              </w:rPr>
              <w:t>2</w:t>
            </w:r>
            <w:r>
              <w:rPr>
                <w:rFonts w:hint="eastAsia" w:ascii="宋体" w:cs="宋体"/>
                <w:kern w:val="0"/>
                <w:sz w:val="24"/>
                <w:lang w:val="zh-CN"/>
              </w:rPr>
              <w:t>.0</w:t>
            </w:r>
          </w:p>
        </w:tc>
        <w:tc>
          <w:tcPr>
            <w:tcW w:w="4347" w:type="dxa"/>
            <w:noWrap w:val="0"/>
            <w:vAlign w:val="top"/>
          </w:tcPr>
          <w:p w14:paraId="3C7AFA2D">
            <w:pPr>
              <w:autoSpaceDE w:val="0"/>
              <w:autoSpaceDN w:val="0"/>
              <w:adjustRightInd w:val="0"/>
              <w:spacing w:line="440" w:lineRule="exact"/>
              <w:jc w:val="left"/>
              <w:rPr>
                <w:rFonts w:hint="eastAsia" w:ascii="宋体" w:hAnsi="宋体" w:cs="黑体"/>
                <w:color w:val="000000"/>
                <w:kern w:val="0"/>
                <w:sz w:val="24"/>
              </w:rPr>
            </w:pPr>
            <w:r>
              <w:rPr>
                <w:rFonts w:hint="eastAsia" w:ascii="宋体" w:cs="宋体"/>
                <w:kern w:val="0"/>
                <w:sz w:val="24"/>
                <w:lang w:val="zh-CN"/>
              </w:rPr>
              <w:t>主要集中商业地块。</w:t>
            </w:r>
          </w:p>
        </w:tc>
        <w:tc>
          <w:tcPr>
            <w:tcW w:w="1512" w:type="dxa"/>
            <w:noWrap w:val="0"/>
            <w:vAlign w:val="top"/>
          </w:tcPr>
          <w:p w14:paraId="49185665">
            <w:pPr>
              <w:autoSpaceDE w:val="0"/>
              <w:autoSpaceDN w:val="0"/>
              <w:adjustRightInd w:val="0"/>
              <w:spacing w:line="440" w:lineRule="exact"/>
              <w:jc w:val="left"/>
              <w:rPr>
                <w:rFonts w:hint="eastAsia" w:ascii="宋体" w:hAnsi="宋体" w:cs="宋体"/>
                <w:kern w:val="0"/>
                <w:sz w:val="24"/>
                <w:lang w:val="zh-CN"/>
              </w:rPr>
            </w:pPr>
          </w:p>
        </w:tc>
      </w:tr>
    </w:tbl>
    <w:p w14:paraId="50F0A3AC">
      <w:pPr>
        <w:spacing w:line="440" w:lineRule="exact"/>
        <w:rPr>
          <w:rFonts w:hint="eastAsia"/>
          <w:sz w:val="24"/>
        </w:rPr>
      </w:pPr>
      <w:r>
        <w:rPr>
          <w:rFonts w:hint="eastAsia"/>
          <w:sz w:val="24"/>
        </w:rPr>
        <w:t>注：岷江东岸片区地块开发全部按容积率不高于2.0控制；规划预留的弹性用地，其开发指标依据具体项目，单独进行核定。</w:t>
      </w:r>
    </w:p>
    <w:p w14:paraId="2E5A61AB">
      <w:pPr>
        <w:spacing w:line="640" w:lineRule="exact"/>
        <w:ind w:firstLine="677" w:firstLineChars="241"/>
        <w:rPr>
          <w:rFonts w:hint="eastAsia" w:hAnsi="宋体"/>
          <w:b/>
          <w:sz w:val="28"/>
          <w:szCs w:val="28"/>
        </w:rPr>
      </w:pPr>
      <w:r>
        <w:rPr>
          <w:rFonts w:hint="eastAsia" w:hAnsi="宋体"/>
          <w:b/>
          <w:sz w:val="28"/>
          <w:szCs w:val="28"/>
        </w:rPr>
        <w:t>2、控制方式</w:t>
      </w:r>
    </w:p>
    <w:bookmarkEnd w:id="689"/>
    <w:p w14:paraId="10783F76">
      <w:pPr>
        <w:spacing w:line="640" w:lineRule="exact"/>
        <w:ind w:firstLine="674" w:firstLineChars="241"/>
        <w:rPr>
          <w:rFonts w:ascii="宋体" w:hAnsi="宋体"/>
          <w:sz w:val="28"/>
          <w:szCs w:val="28"/>
        </w:rPr>
      </w:pPr>
      <w:r>
        <w:rPr>
          <w:rFonts w:hint="eastAsia" w:ascii="宋体" w:hAnsi="宋体"/>
          <w:sz w:val="28"/>
          <w:szCs w:val="28"/>
        </w:rPr>
        <w:t>本</w:t>
      </w:r>
      <w:r>
        <w:rPr>
          <w:rFonts w:ascii="宋体" w:hAnsi="宋体"/>
          <w:sz w:val="28"/>
          <w:szCs w:val="28"/>
        </w:rPr>
        <w:t>片区</w:t>
      </w:r>
      <w:r>
        <w:rPr>
          <w:rFonts w:hint="eastAsia" w:ascii="宋体" w:hAnsi="宋体"/>
          <w:sz w:val="28"/>
          <w:szCs w:val="28"/>
        </w:rPr>
        <w:t>作为</w:t>
      </w:r>
      <w:r>
        <w:rPr>
          <w:rFonts w:ascii="宋体" w:hAnsi="宋体"/>
          <w:sz w:val="28"/>
          <w:szCs w:val="28"/>
        </w:rPr>
        <w:t>一个</w:t>
      </w:r>
      <w:r>
        <w:rPr>
          <w:rFonts w:hint="eastAsia" w:ascii="宋体" w:hAnsi="宋体"/>
          <w:sz w:val="28"/>
          <w:szCs w:val="28"/>
        </w:rPr>
        <w:t>控规管理单元，设定平均容积率，从总体上量化土地开发强度。通过经济与行政结合的方法干预土地开发，按照可接受的环境水平、大容量公共交通运输系统主导发展布局、一定的城市景观水平等基本原则进一步区分不同地块使用强度和控制密度，形成多层次的空间控制体系，提高土地利用效率。</w:t>
      </w:r>
    </w:p>
    <w:p w14:paraId="052D323C">
      <w:pPr>
        <w:spacing w:line="640" w:lineRule="exact"/>
        <w:ind w:firstLine="674" w:firstLineChars="241"/>
        <w:rPr>
          <w:rFonts w:hint="eastAsia" w:ascii="宋体" w:hAnsi="宋体"/>
          <w:sz w:val="28"/>
          <w:szCs w:val="28"/>
        </w:rPr>
      </w:pPr>
      <w:r>
        <w:rPr>
          <w:rFonts w:hint="eastAsia" w:ascii="宋体" w:hAnsi="宋体"/>
          <w:sz w:val="28"/>
          <w:szCs w:val="28"/>
        </w:rPr>
        <w:t>地块开发</w:t>
      </w:r>
      <w:r>
        <w:rPr>
          <w:rFonts w:ascii="宋体" w:hAnsi="宋体"/>
          <w:sz w:val="28"/>
          <w:szCs w:val="28"/>
        </w:rPr>
        <w:t>强度</w:t>
      </w:r>
      <w:r>
        <w:rPr>
          <w:rFonts w:hint="eastAsia" w:ascii="宋体" w:hAnsi="宋体"/>
          <w:sz w:val="28"/>
          <w:szCs w:val="28"/>
        </w:rPr>
        <w:t>可以综合考虑用地大小、建筑功能、交通条件、服务水平以及城市设计要求等因素，确定合理的开发强度。地块开发强度控制指标主要涉及容积率、建筑密度和绿地率。</w:t>
      </w:r>
    </w:p>
    <w:p w14:paraId="159121EB">
      <w:pPr>
        <w:spacing w:line="640" w:lineRule="exact"/>
        <w:ind w:firstLine="674" w:firstLineChars="241"/>
        <w:rPr>
          <w:rFonts w:ascii="宋体" w:hAnsi="宋体"/>
          <w:sz w:val="28"/>
          <w:szCs w:val="28"/>
        </w:rPr>
      </w:pPr>
      <w:r>
        <w:rPr>
          <w:rFonts w:hint="eastAsia" w:ascii="宋体" w:hAnsi="宋体"/>
          <w:sz w:val="28"/>
          <w:szCs w:val="28"/>
        </w:rPr>
        <w:t>片区</w:t>
      </w:r>
      <w:r>
        <w:rPr>
          <w:rFonts w:ascii="宋体" w:hAnsi="宋体"/>
          <w:sz w:val="28"/>
          <w:szCs w:val="28"/>
        </w:rPr>
        <w:t>因</w:t>
      </w:r>
      <w:r>
        <w:rPr>
          <w:rFonts w:hint="eastAsia" w:ascii="宋体" w:hAnsi="宋体"/>
          <w:sz w:val="28"/>
          <w:szCs w:val="28"/>
        </w:rPr>
        <w:t>用地</w:t>
      </w:r>
      <w:r>
        <w:rPr>
          <w:rFonts w:ascii="宋体" w:hAnsi="宋体"/>
          <w:sz w:val="28"/>
          <w:szCs w:val="28"/>
        </w:rPr>
        <w:t>形态</w:t>
      </w:r>
      <w:r>
        <w:rPr>
          <w:rFonts w:hint="eastAsia" w:ascii="宋体" w:hAnsi="宋体"/>
          <w:sz w:val="28"/>
          <w:szCs w:val="28"/>
        </w:rPr>
        <w:t>狭长</w:t>
      </w:r>
      <w:r>
        <w:rPr>
          <w:rFonts w:ascii="宋体" w:hAnsi="宋体"/>
          <w:sz w:val="28"/>
          <w:szCs w:val="28"/>
        </w:rPr>
        <w:t>，在配套设施</w:t>
      </w:r>
      <w:r>
        <w:rPr>
          <w:rFonts w:hint="eastAsia" w:ascii="宋体" w:hAnsi="宋体"/>
          <w:sz w:val="28"/>
          <w:szCs w:val="28"/>
        </w:rPr>
        <w:t>建设</w:t>
      </w:r>
      <w:r>
        <w:rPr>
          <w:rFonts w:ascii="宋体" w:hAnsi="宋体"/>
          <w:sz w:val="28"/>
          <w:szCs w:val="28"/>
        </w:rPr>
        <w:t>标准</w:t>
      </w:r>
      <w:r>
        <w:rPr>
          <w:rFonts w:hint="eastAsia" w:ascii="宋体" w:hAnsi="宋体"/>
          <w:sz w:val="28"/>
          <w:szCs w:val="28"/>
        </w:rPr>
        <w:t>控制上</w:t>
      </w:r>
      <w:r>
        <w:rPr>
          <w:rFonts w:ascii="宋体" w:hAnsi="宋体"/>
          <w:sz w:val="28"/>
          <w:szCs w:val="28"/>
        </w:rPr>
        <w:t>以</w:t>
      </w:r>
      <w:r>
        <w:rPr>
          <w:rFonts w:hint="eastAsia" w:ascii="宋体" w:hAnsi="宋体"/>
          <w:sz w:val="28"/>
          <w:szCs w:val="28"/>
        </w:rPr>
        <w:t>规划</w:t>
      </w:r>
      <w:r>
        <w:rPr>
          <w:rFonts w:ascii="宋体" w:hAnsi="宋体"/>
          <w:sz w:val="28"/>
          <w:szCs w:val="28"/>
        </w:rPr>
        <w:t>确定的居住</w:t>
      </w:r>
      <w:r>
        <w:rPr>
          <w:rFonts w:hint="eastAsia" w:ascii="宋体" w:hAnsi="宋体"/>
          <w:sz w:val="28"/>
          <w:szCs w:val="28"/>
        </w:rPr>
        <w:t>小区</w:t>
      </w:r>
      <w:r>
        <w:rPr>
          <w:rFonts w:ascii="宋体" w:hAnsi="宋体"/>
          <w:sz w:val="28"/>
          <w:szCs w:val="28"/>
        </w:rPr>
        <w:t>作为管控单元</w:t>
      </w:r>
      <w:r>
        <w:rPr>
          <w:rFonts w:hint="eastAsia" w:ascii="宋体" w:hAnsi="宋体"/>
          <w:sz w:val="28"/>
          <w:szCs w:val="28"/>
        </w:rPr>
        <w:t>配建</w:t>
      </w:r>
      <w:r>
        <w:rPr>
          <w:rFonts w:ascii="宋体" w:hAnsi="宋体"/>
          <w:sz w:val="28"/>
          <w:szCs w:val="28"/>
        </w:rPr>
        <w:t>相应的</w:t>
      </w:r>
      <w:r>
        <w:rPr>
          <w:rFonts w:hint="eastAsia" w:ascii="宋体" w:hAnsi="宋体"/>
          <w:sz w:val="28"/>
          <w:szCs w:val="28"/>
        </w:rPr>
        <w:t>市政及公共服务设施。在控规调整时须以各</w:t>
      </w:r>
      <w:r>
        <w:rPr>
          <w:rFonts w:ascii="宋体" w:hAnsi="宋体"/>
          <w:sz w:val="28"/>
          <w:szCs w:val="28"/>
        </w:rPr>
        <w:t>居住小区</w:t>
      </w:r>
      <w:r>
        <w:rPr>
          <w:rFonts w:hint="eastAsia" w:ascii="宋体" w:hAnsi="宋体"/>
          <w:sz w:val="28"/>
          <w:szCs w:val="28"/>
        </w:rPr>
        <w:t>市政及公共服务设施容量等为参照。</w:t>
      </w:r>
    </w:p>
    <w:p w14:paraId="7AE17838">
      <w:pPr>
        <w:spacing w:line="640" w:lineRule="exact"/>
        <w:ind w:firstLine="677" w:firstLineChars="241"/>
        <w:rPr>
          <w:rFonts w:ascii="宋体" w:hAnsi="宋体"/>
          <w:b/>
          <w:sz w:val="28"/>
          <w:szCs w:val="28"/>
        </w:rPr>
      </w:pPr>
      <w:r>
        <w:rPr>
          <w:rFonts w:hint="eastAsia" w:ascii="宋体" w:hAnsi="宋体"/>
          <w:b/>
          <w:sz w:val="28"/>
          <w:szCs w:val="28"/>
        </w:rPr>
        <w:t>（二）建筑高度控制</w:t>
      </w:r>
    </w:p>
    <w:p w14:paraId="2C3232AA">
      <w:pPr>
        <w:spacing w:line="640" w:lineRule="exact"/>
        <w:ind w:firstLine="674" w:firstLineChars="241"/>
        <w:rPr>
          <w:rFonts w:hint="eastAsia" w:ascii="宋体" w:hAnsi="宋体"/>
          <w:sz w:val="28"/>
          <w:szCs w:val="28"/>
        </w:rPr>
      </w:pPr>
      <w:r>
        <w:rPr>
          <w:rFonts w:hint="eastAsia" w:ascii="宋体" w:hAnsi="宋体"/>
          <w:sz w:val="28"/>
          <w:szCs w:val="28"/>
        </w:rPr>
        <w:t>根据城市空间设计，结合城市功能布局和开发强度确定城市中建筑的限制高度。</w:t>
      </w:r>
    </w:p>
    <w:p w14:paraId="31A2320C">
      <w:pPr>
        <w:spacing w:line="640" w:lineRule="exact"/>
        <w:ind w:firstLine="674" w:firstLineChars="241"/>
        <w:rPr>
          <w:rFonts w:ascii="宋体" w:hAnsi="宋体"/>
          <w:sz w:val="28"/>
          <w:szCs w:val="28"/>
        </w:rPr>
      </w:pPr>
      <w:r>
        <w:rPr>
          <w:rFonts w:hint="eastAsia" w:ascii="宋体" w:hAnsi="宋体"/>
          <w:sz w:val="28"/>
          <w:szCs w:val="28"/>
        </w:rPr>
        <w:t xml:space="preserve">建筑高度除必须满足消防、安全和通风、日照等要求外，还应根据建筑物所在地区的实际情况来控制建筑高度。 </w:t>
      </w:r>
    </w:p>
    <w:p w14:paraId="2F4B35A8">
      <w:pPr>
        <w:spacing w:line="640" w:lineRule="exact"/>
        <w:ind w:firstLine="674" w:firstLineChars="241"/>
        <w:rPr>
          <w:rFonts w:hint="eastAsia" w:ascii="宋体" w:hAnsi="宋体"/>
          <w:sz w:val="28"/>
          <w:szCs w:val="28"/>
        </w:rPr>
      </w:pPr>
      <w:r>
        <w:rPr>
          <w:rFonts w:hint="eastAsia" w:ascii="宋体" w:hAnsi="宋体"/>
          <w:sz w:val="28"/>
          <w:szCs w:val="28"/>
        </w:rPr>
        <w:t xml:space="preserve">在飞机场、气象台、电台和其他无线电讯设施及其通道（含微波通讯）等有净空要求的设施周围新建、改建的建筑，必须按有关净空限制要求控制建筑高度。 </w:t>
      </w:r>
    </w:p>
    <w:p w14:paraId="3D04D9F8">
      <w:pPr>
        <w:spacing w:line="640" w:lineRule="exact"/>
        <w:ind w:firstLine="674" w:firstLineChars="241"/>
        <w:rPr>
          <w:rFonts w:hint="eastAsia" w:ascii="宋体" w:hAnsi="宋体"/>
          <w:sz w:val="28"/>
          <w:szCs w:val="28"/>
        </w:rPr>
      </w:pPr>
      <w:r>
        <w:rPr>
          <w:rFonts w:hint="eastAsia" w:ascii="宋体" w:hAnsi="宋体"/>
          <w:sz w:val="28"/>
          <w:szCs w:val="28"/>
        </w:rPr>
        <w:t xml:space="preserve">在文物保护单位和具有历史文化意义的地区或建筑周围新建、改建的建筑必须符合相应的保护条例，并应符合保护规划的规定和城市设计的高度控制要求。 </w:t>
      </w:r>
    </w:p>
    <w:p w14:paraId="79BDA049">
      <w:pPr>
        <w:spacing w:line="640" w:lineRule="exact"/>
        <w:ind w:firstLine="674" w:firstLineChars="241"/>
        <w:rPr>
          <w:rFonts w:hint="eastAsia" w:ascii="宋体" w:hAnsi="宋体"/>
          <w:sz w:val="28"/>
          <w:szCs w:val="28"/>
        </w:rPr>
      </w:pPr>
      <w:r>
        <w:rPr>
          <w:rFonts w:hint="eastAsia" w:ascii="宋体" w:hAnsi="宋体"/>
          <w:sz w:val="28"/>
          <w:szCs w:val="28"/>
        </w:rPr>
        <w:t>本规划区内所有新建建筑物高度应符合景观规划、建筑间距等方面的要求。规划区内建筑高度原则上不得超过本规划中规定的建筑高度控制指标。重点地块可根据设计需要，在获得乐山市规划行政主管部门批准后，进行适当调整。</w:t>
      </w:r>
    </w:p>
    <w:p w14:paraId="7F15995B">
      <w:pPr>
        <w:spacing w:line="640" w:lineRule="exact"/>
        <w:ind w:firstLine="677" w:firstLineChars="241"/>
        <w:rPr>
          <w:rFonts w:ascii="宋体" w:hAnsi="宋体"/>
          <w:b/>
          <w:sz w:val="28"/>
          <w:szCs w:val="28"/>
        </w:rPr>
      </w:pPr>
      <w:r>
        <w:rPr>
          <w:rFonts w:hint="eastAsia" w:ascii="宋体" w:hAnsi="宋体"/>
          <w:b/>
          <w:sz w:val="28"/>
          <w:szCs w:val="28"/>
        </w:rPr>
        <w:t>（三）建筑间距控制</w:t>
      </w:r>
    </w:p>
    <w:p w14:paraId="7B5F33D2">
      <w:pPr>
        <w:spacing w:line="640" w:lineRule="exact"/>
        <w:ind w:firstLine="560" w:firstLineChars="200"/>
        <w:rPr>
          <w:rFonts w:ascii="宋体" w:hAnsi="宋体"/>
          <w:sz w:val="28"/>
          <w:szCs w:val="28"/>
        </w:rPr>
      </w:pPr>
      <w:r>
        <w:rPr>
          <w:rFonts w:hint="eastAsia" w:ascii="宋体" w:hAnsi="宋体"/>
          <w:sz w:val="28"/>
          <w:szCs w:val="28"/>
        </w:rPr>
        <w:t>建筑间距应符合以下规定，并同时符合消防、卫生防疫、环境保护、工程管线、人防疏散、抗震防灾、建筑保护等方面的要求。</w:t>
      </w:r>
    </w:p>
    <w:p w14:paraId="016277E9">
      <w:pPr>
        <w:spacing w:line="640" w:lineRule="exact"/>
        <w:ind w:firstLine="560" w:firstLineChars="200"/>
        <w:rPr>
          <w:rFonts w:ascii="宋体" w:hAnsi="宋体"/>
          <w:sz w:val="28"/>
          <w:szCs w:val="28"/>
        </w:rPr>
      </w:pPr>
      <w:r>
        <w:rPr>
          <w:rFonts w:hint="eastAsia" w:ascii="宋体" w:hAnsi="宋体"/>
          <w:sz w:val="28"/>
          <w:szCs w:val="28"/>
        </w:rPr>
        <w:t>各类建筑的建筑间距必须符合消防、抗震、卫生、防疫、环保、节能、工程管线、建筑安全保护和强制性条文等方面的要求。</w:t>
      </w:r>
    </w:p>
    <w:p w14:paraId="727F1951">
      <w:pPr>
        <w:spacing w:line="640" w:lineRule="exact"/>
        <w:ind w:firstLine="560" w:firstLineChars="200"/>
        <w:rPr>
          <w:rFonts w:ascii="宋体" w:hAnsi="宋体"/>
          <w:sz w:val="28"/>
          <w:szCs w:val="28"/>
        </w:rPr>
      </w:pPr>
      <w:r>
        <w:rPr>
          <w:rFonts w:hint="eastAsia" w:ascii="宋体" w:hAnsi="宋体"/>
          <w:sz w:val="28"/>
          <w:szCs w:val="28"/>
        </w:rPr>
        <w:t>住宅建筑的日照间距要符合《乐山市城市规划管理技术规定》的相关规定外，高层住宅建筑应当进行计算机模拟日照分析，保证高层住宅建筑之间及受影响的周边地区住宅建筑的有效日照时间符合住宅建筑日照标准的规定。</w:t>
      </w:r>
    </w:p>
    <w:p w14:paraId="62AF8EAF">
      <w:pPr>
        <w:spacing w:line="640" w:lineRule="exact"/>
        <w:ind w:firstLine="677" w:firstLineChars="241"/>
        <w:rPr>
          <w:rFonts w:ascii="宋体" w:hAnsi="宋体"/>
          <w:b/>
          <w:sz w:val="28"/>
          <w:szCs w:val="28"/>
        </w:rPr>
      </w:pPr>
      <w:r>
        <w:rPr>
          <w:rFonts w:hint="eastAsia" w:ascii="宋体" w:hAnsi="宋体"/>
          <w:b/>
          <w:sz w:val="28"/>
          <w:szCs w:val="28"/>
        </w:rPr>
        <w:t>（四）建筑退让控制</w:t>
      </w:r>
    </w:p>
    <w:p w14:paraId="59AFCD65">
      <w:pPr>
        <w:spacing w:line="640" w:lineRule="exact"/>
        <w:ind w:firstLine="560" w:firstLineChars="200"/>
        <w:rPr>
          <w:rFonts w:hint="eastAsia" w:ascii="宋体" w:hAnsi="宋体"/>
          <w:sz w:val="28"/>
          <w:szCs w:val="28"/>
        </w:rPr>
      </w:pPr>
      <w:r>
        <w:rPr>
          <w:rFonts w:hint="eastAsia" w:ascii="宋体" w:hAnsi="宋体"/>
          <w:sz w:val="28"/>
          <w:szCs w:val="28"/>
        </w:rPr>
        <w:t>建筑后退距离主要根据地块位置、使用功能和消防、日照、安全卫生、视线等要求来确定。本规划区建筑后退距离按照《乐山市城市规划管理技术规定》相关内容执行。</w:t>
      </w:r>
    </w:p>
    <w:p w14:paraId="5E4BCD98">
      <w:pPr>
        <w:spacing w:line="640" w:lineRule="exact"/>
        <w:ind w:firstLine="677" w:firstLineChars="241"/>
        <w:rPr>
          <w:rFonts w:hint="eastAsia" w:ascii="宋体" w:hAnsi="宋体"/>
          <w:b/>
          <w:sz w:val="28"/>
          <w:szCs w:val="28"/>
        </w:rPr>
      </w:pPr>
      <w:r>
        <w:rPr>
          <w:rFonts w:hint="eastAsia" w:ascii="宋体" w:hAnsi="宋体"/>
          <w:b/>
          <w:sz w:val="28"/>
          <w:szCs w:val="28"/>
        </w:rPr>
        <w:t>（五）</w:t>
      </w:r>
      <w:bookmarkStart w:id="690" w:name="_Toc292529862"/>
      <w:bookmarkStart w:id="691" w:name="_Toc148082092"/>
      <w:bookmarkStart w:id="692" w:name="_Toc237441476"/>
      <w:r>
        <w:rPr>
          <w:rFonts w:hint="eastAsia" w:ascii="宋体" w:hAnsi="宋体"/>
          <w:b/>
          <w:sz w:val="28"/>
          <w:szCs w:val="28"/>
        </w:rPr>
        <w:t>土地使用兼容性控制</w:t>
      </w:r>
      <w:bookmarkEnd w:id="690"/>
      <w:bookmarkEnd w:id="691"/>
      <w:bookmarkEnd w:id="692"/>
    </w:p>
    <w:p w14:paraId="54EF7E6C">
      <w:pPr>
        <w:spacing w:line="640" w:lineRule="exact"/>
        <w:ind w:firstLine="560" w:firstLineChars="200"/>
        <w:rPr>
          <w:rFonts w:hint="eastAsia" w:ascii="宋体" w:hAnsi="宋体"/>
          <w:sz w:val="28"/>
          <w:szCs w:val="28"/>
        </w:rPr>
      </w:pPr>
      <w:r>
        <w:rPr>
          <w:rFonts w:hint="eastAsia" w:ascii="宋体" w:hAnsi="宋体"/>
          <w:sz w:val="28"/>
          <w:szCs w:val="28"/>
        </w:rPr>
        <w:t>兼容性要求主要为适应开发建设的不确定性而设立。建筑的改建、扩建和新建，其使用性质应同所在地块的土地使用性质相符。</w:t>
      </w:r>
    </w:p>
    <w:p w14:paraId="27217AAC">
      <w:pPr>
        <w:spacing w:line="640" w:lineRule="exact"/>
        <w:ind w:firstLine="560" w:firstLineChars="200"/>
        <w:rPr>
          <w:rFonts w:hint="eastAsia" w:ascii="宋体" w:hAnsi="宋体"/>
          <w:sz w:val="28"/>
          <w:szCs w:val="28"/>
        </w:rPr>
      </w:pPr>
      <w:r>
        <w:rPr>
          <w:rFonts w:hint="eastAsia" w:ascii="宋体" w:hAnsi="宋体"/>
          <w:sz w:val="28"/>
          <w:szCs w:val="28"/>
        </w:rPr>
        <w:t>1、选择性兼容，在土地出让或者划拨前，由城乡规划主管部门选定一项用地性质及其对应的规划指标进行管理，选择性兼容地块可混合兼容。</w:t>
      </w:r>
    </w:p>
    <w:p w14:paraId="6D3A2D9E">
      <w:pPr>
        <w:spacing w:line="640" w:lineRule="exact"/>
        <w:ind w:firstLine="560" w:firstLineChars="200"/>
        <w:rPr>
          <w:rFonts w:hint="eastAsia" w:ascii="宋体" w:hAnsi="宋体"/>
          <w:sz w:val="28"/>
          <w:szCs w:val="28"/>
        </w:rPr>
      </w:pPr>
      <w:r>
        <w:rPr>
          <w:rFonts w:hint="eastAsia" w:ascii="宋体" w:hAnsi="宋体"/>
          <w:sz w:val="28"/>
          <w:szCs w:val="28"/>
        </w:rPr>
        <w:t>2、混合性兼容，图则中明确了兼容性和兼容比例要求的地块应严格按照图则执行。图则中未明确兼容比例要求的地块，应按以下要求实施：</w:t>
      </w:r>
    </w:p>
    <w:p w14:paraId="23BC3237">
      <w:pPr>
        <w:spacing w:line="640" w:lineRule="exact"/>
        <w:ind w:firstLine="560" w:firstLineChars="200"/>
        <w:rPr>
          <w:rFonts w:ascii="宋体" w:hAnsi="宋体"/>
          <w:sz w:val="28"/>
          <w:szCs w:val="28"/>
        </w:rPr>
      </w:pPr>
      <w:r>
        <w:rPr>
          <w:rFonts w:hint="eastAsia" w:ascii="宋体" w:hAnsi="宋体"/>
          <w:sz w:val="28"/>
          <w:szCs w:val="28"/>
        </w:rPr>
        <w:t>居住为主要用地性质的，住宅计容建筑面积应大于规划用地总计容建筑面积的50%，小于或者等于规划用地总计容建筑面积的90%；商业服务业设施为主要用地性质的，住宅计容建筑面积应大于或者等于规划用地总计容建筑面积的10%，小于规划用地总计容建筑面积的50%。</w:t>
      </w:r>
    </w:p>
    <w:p w14:paraId="3A8F23D3">
      <w:pPr>
        <w:spacing w:line="640" w:lineRule="exact"/>
        <w:ind w:firstLine="560" w:firstLineChars="200"/>
        <w:rPr>
          <w:rFonts w:hint="eastAsia" w:ascii="宋体" w:hAnsi="宋体"/>
          <w:sz w:val="28"/>
          <w:szCs w:val="28"/>
        </w:rPr>
      </w:pPr>
      <w:r>
        <w:rPr>
          <w:rFonts w:hint="eastAsia" w:ascii="宋体" w:hAnsi="宋体"/>
          <w:sz w:val="28"/>
          <w:szCs w:val="28"/>
        </w:rPr>
        <w:t>未明确规定的各类用地适建范围按照《乐山市城市规划管理技术规定》相关内容执行。</w:t>
      </w:r>
    </w:p>
    <w:p w14:paraId="544ADDD0">
      <w:pPr>
        <w:spacing w:line="640" w:lineRule="exact"/>
        <w:ind w:firstLine="677" w:firstLineChars="241"/>
        <w:rPr>
          <w:rFonts w:hint="eastAsia" w:ascii="宋体" w:hAnsi="宋体"/>
          <w:b/>
          <w:sz w:val="28"/>
          <w:szCs w:val="28"/>
        </w:rPr>
      </w:pPr>
      <w:r>
        <w:rPr>
          <w:rFonts w:hint="eastAsia" w:ascii="宋体" w:hAnsi="宋体"/>
          <w:b/>
          <w:sz w:val="28"/>
          <w:szCs w:val="28"/>
        </w:rPr>
        <w:t>（六）地块停车泊位控制</w:t>
      </w:r>
    </w:p>
    <w:p w14:paraId="7FFF8D2C">
      <w:pPr>
        <w:spacing w:line="640" w:lineRule="exact"/>
        <w:ind w:firstLine="560" w:firstLineChars="200"/>
        <w:rPr>
          <w:rFonts w:hint="eastAsia" w:ascii="宋体" w:hAnsi="宋体"/>
          <w:sz w:val="28"/>
          <w:szCs w:val="28"/>
        </w:rPr>
      </w:pPr>
      <w:r>
        <w:rPr>
          <w:rFonts w:hint="eastAsia" w:ascii="宋体" w:hAnsi="宋体"/>
          <w:sz w:val="28"/>
          <w:szCs w:val="28"/>
        </w:rPr>
        <w:t>停车泊位是指地块内部必须配建的机动车与非机动车停车泊位数。主要根据建筑性质、规模和所处区位确定。各类用地配建停车泊位按照《乐山市城市规划管理技术规定》相关内容执行。</w:t>
      </w:r>
    </w:p>
    <w:p w14:paraId="1EF3BEB5">
      <w:pPr>
        <w:pStyle w:val="14"/>
        <w:spacing w:line="640" w:lineRule="exact"/>
        <w:ind w:firstLine="562"/>
        <w:rPr>
          <w:rFonts w:hint="eastAsia"/>
          <w:sz w:val="28"/>
          <w:szCs w:val="28"/>
        </w:rPr>
      </w:pPr>
      <w:r>
        <w:rPr>
          <w:rFonts w:hint="eastAsia"/>
          <w:b/>
          <w:sz w:val="28"/>
          <w:szCs w:val="28"/>
        </w:rPr>
        <w:t>（七）禁止机动车开口位置和方向控制</w:t>
      </w:r>
    </w:p>
    <w:p w14:paraId="124CF4F9">
      <w:pPr>
        <w:pStyle w:val="14"/>
        <w:spacing w:line="640" w:lineRule="exact"/>
        <w:ind w:firstLine="560"/>
        <w:rPr>
          <w:rFonts w:hint="eastAsia"/>
          <w:sz w:val="28"/>
          <w:szCs w:val="28"/>
        </w:rPr>
      </w:pPr>
      <w:r>
        <w:rPr>
          <w:rFonts w:hint="eastAsia"/>
          <w:sz w:val="28"/>
          <w:szCs w:val="28"/>
        </w:rPr>
        <w:t>禁止机动车开口位置和方向是指街坊内地块内部机动车道与外围城市道路相交的出入口方位和位置的控制，其确定主要是考虑城市道路交通的安全和顺畅，并合理引导地块内部交通。本规划规定地块机动车出入口位置至道路交叉口路沿石切点距离，必须符合以下标准：</w:t>
      </w:r>
    </w:p>
    <w:p w14:paraId="20725632">
      <w:pPr>
        <w:pStyle w:val="14"/>
        <w:spacing w:line="640" w:lineRule="exact"/>
        <w:ind w:firstLine="560"/>
        <w:rPr>
          <w:rFonts w:hint="eastAsia"/>
          <w:sz w:val="28"/>
          <w:szCs w:val="28"/>
        </w:rPr>
      </w:pPr>
      <w:r>
        <w:rPr>
          <w:rFonts w:hint="eastAsia"/>
          <w:sz w:val="28"/>
          <w:szCs w:val="28"/>
        </w:rPr>
        <w:t>主干道交叉口≥60米；</w:t>
      </w:r>
    </w:p>
    <w:p w14:paraId="7A279CEF">
      <w:pPr>
        <w:pStyle w:val="14"/>
        <w:spacing w:line="640" w:lineRule="exact"/>
        <w:ind w:firstLine="560"/>
        <w:rPr>
          <w:rFonts w:hint="eastAsia"/>
          <w:sz w:val="28"/>
          <w:szCs w:val="28"/>
        </w:rPr>
      </w:pPr>
      <w:r>
        <w:rPr>
          <w:rFonts w:hint="eastAsia"/>
          <w:sz w:val="28"/>
          <w:szCs w:val="28"/>
        </w:rPr>
        <w:t>次干道交叉口≥40米；</w:t>
      </w:r>
    </w:p>
    <w:p w14:paraId="7B98E4E7">
      <w:pPr>
        <w:pStyle w:val="14"/>
        <w:spacing w:line="640" w:lineRule="exact"/>
        <w:ind w:firstLine="560"/>
        <w:rPr>
          <w:rFonts w:hint="eastAsia"/>
          <w:sz w:val="28"/>
          <w:szCs w:val="28"/>
        </w:rPr>
      </w:pPr>
      <w:r>
        <w:rPr>
          <w:rFonts w:hint="eastAsia"/>
          <w:sz w:val="28"/>
          <w:szCs w:val="28"/>
        </w:rPr>
        <w:t>支路交叉口≥20米。</w:t>
      </w:r>
    </w:p>
    <w:p w14:paraId="6A1813D4">
      <w:pPr>
        <w:pStyle w:val="14"/>
        <w:spacing w:line="640" w:lineRule="exact"/>
        <w:ind w:firstLine="560"/>
        <w:rPr>
          <w:rFonts w:hint="eastAsia"/>
          <w:sz w:val="28"/>
          <w:szCs w:val="28"/>
        </w:rPr>
      </w:pPr>
      <w:r>
        <w:rPr>
          <w:rFonts w:hint="eastAsia"/>
          <w:sz w:val="28"/>
          <w:szCs w:val="28"/>
        </w:rPr>
        <w:t>机动车出入口应在建设用地周边较低级的道路上安排，如需开设两个或两个以上的机动车出入口时，应当按照道路等级由低到高的顺序安排。城市快速路和交通性干道不得设置机动车出入口，建设用地应设置辅道与次要道路相连。</w:t>
      </w:r>
    </w:p>
    <w:p w14:paraId="37BDE56F">
      <w:pPr>
        <w:pStyle w:val="14"/>
        <w:spacing w:line="640" w:lineRule="exact"/>
        <w:ind w:firstLine="560"/>
        <w:rPr>
          <w:sz w:val="28"/>
          <w:szCs w:val="28"/>
        </w:rPr>
      </w:pPr>
      <w:r>
        <w:rPr>
          <w:rFonts w:hint="eastAsia"/>
          <w:sz w:val="28"/>
          <w:szCs w:val="28"/>
        </w:rPr>
        <w:t>机动车出入口设置距公园、学校、儿童及残疾人建筑的出入口不应小于20米；距公共交通站边缘不应小于10米；距桥梁，引道端点等不应小于50米。</w:t>
      </w:r>
    </w:p>
    <w:p w14:paraId="7748261E">
      <w:pPr>
        <w:pStyle w:val="14"/>
        <w:spacing w:line="640" w:lineRule="exact"/>
        <w:ind w:firstLine="562"/>
        <w:rPr>
          <w:b/>
          <w:sz w:val="28"/>
          <w:szCs w:val="28"/>
        </w:rPr>
      </w:pPr>
      <w:r>
        <w:rPr>
          <w:rFonts w:hint="eastAsia"/>
          <w:b/>
          <w:sz w:val="28"/>
          <w:szCs w:val="28"/>
        </w:rPr>
        <w:t>（八）现状合法用地建设控制</w:t>
      </w:r>
    </w:p>
    <w:p w14:paraId="6C4BA085">
      <w:pPr>
        <w:pStyle w:val="14"/>
        <w:spacing w:line="640" w:lineRule="exact"/>
        <w:ind w:firstLine="560"/>
        <w:rPr>
          <w:sz w:val="28"/>
          <w:szCs w:val="28"/>
        </w:rPr>
      </w:pPr>
      <w:r>
        <w:rPr>
          <w:rFonts w:hint="eastAsia"/>
          <w:sz w:val="28"/>
          <w:szCs w:val="28"/>
        </w:rPr>
        <w:t>控制性详细规划所确定的可开发用地的规划指标是对未来土地使用的控制与指导，现状合法的土地用途及</w:t>
      </w:r>
      <w:r>
        <w:rPr>
          <w:sz w:val="28"/>
          <w:szCs w:val="28"/>
        </w:rPr>
        <w:t>指标</w:t>
      </w:r>
      <w:r>
        <w:rPr>
          <w:rFonts w:hint="eastAsia"/>
          <w:sz w:val="28"/>
          <w:szCs w:val="28"/>
        </w:rPr>
        <w:t>与控制性详细规划不符的，在其土地使用权有效期内可继续保持其原有合法用途及指标。</w:t>
      </w:r>
    </w:p>
    <w:p w14:paraId="57A53A12">
      <w:pPr>
        <w:pStyle w:val="4"/>
        <w:spacing w:line="640" w:lineRule="exact"/>
        <w:rPr>
          <w:rFonts w:hint="eastAsia" w:ascii="黑体" w:eastAsia="黑体"/>
        </w:rPr>
      </w:pPr>
      <w:bookmarkStart w:id="693" w:name="_Toc348965224"/>
      <w:bookmarkStart w:id="694" w:name="_Toc6394681"/>
      <w:bookmarkStart w:id="695" w:name="_Toc341103324"/>
      <w:r>
        <w:rPr>
          <w:rFonts w:hint="eastAsia" w:ascii="黑体" w:eastAsia="黑体"/>
        </w:rPr>
        <w:t>三、城市五线控制</w:t>
      </w:r>
      <w:bookmarkEnd w:id="693"/>
      <w:bookmarkEnd w:id="694"/>
      <w:bookmarkEnd w:id="695"/>
    </w:p>
    <w:p w14:paraId="45E46365">
      <w:pPr>
        <w:pStyle w:val="14"/>
        <w:spacing w:line="600" w:lineRule="exact"/>
        <w:ind w:firstLine="560"/>
        <w:rPr>
          <w:rFonts w:hint="eastAsia" w:ascii="宋体" w:hAnsi="宋体"/>
          <w:sz w:val="28"/>
          <w:szCs w:val="28"/>
        </w:rPr>
      </w:pPr>
      <w:r>
        <w:rPr>
          <w:rFonts w:hint="eastAsia" w:ascii="宋体" w:hAnsi="宋体"/>
          <w:sz w:val="28"/>
          <w:szCs w:val="28"/>
        </w:rPr>
        <w:t>在规划区范围内建立“五线”规划控制体系。划定适建与不适建的用地界限，并制定相关规划控制导则。</w:t>
      </w:r>
    </w:p>
    <w:p w14:paraId="4DEAE336">
      <w:pPr>
        <w:pStyle w:val="14"/>
        <w:spacing w:line="600" w:lineRule="exact"/>
        <w:ind w:firstLine="562"/>
        <w:rPr>
          <w:rFonts w:hint="eastAsia" w:ascii="宋体" w:hAnsi="宋体"/>
          <w:sz w:val="28"/>
          <w:szCs w:val="28"/>
        </w:rPr>
      </w:pPr>
      <w:r>
        <w:rPr>
          <w:rFonts w:hint="eastAsia" w:ascii="宋体" w:hAnsi="宋体"/>
          <w:b/>
          <w:sz w:val="28"/>
          <w:szCs w:val="28"/>
        </w:rPr>
        <w:t>（一）道路红线控制</w:t>
      </w:r>
    </w:p>
    <w:p w14:paraId="1B975AD5">
      <w:pPr>
        <w:pStyle w:val="14"/>
        <w:spacing w:line="600" w:lineRule="exact"/>
        <w:ind w:firstLine="560"/>
        <w:rPr>
          <w:rFonts w:hint="eastAsia" w:ascii="宋体" w:hAnsi="宋体"/>
          <w:sz w:val="28"/>
          <w:szCs w:val="28"/>
        </w:rPr>
      </w:pPr>
      <w:bookmarkStart w:id="696" w:name="_Toc148082065"/>
      <w:r>
        <w:rPr>
          <w:rFonts w:hint="eastAsia" w:ascii="宋体" w:hAnsi="宋体"/>
          <w:sz w:val="28"/>
          <w:szCs w:val="28"/>
        </w:rPr>
        <w:t>道路红线，是指规划中用于界定城市道路、广场用地和对外交通用地的控制线。红线控制的核心是控制道路用地范围、限定各类道路沿线建（构）筑物的条件。</w:t>
      </w:r>
    </w:p>
    <w:p w14:paraId="4F7AD8BD">
      <w:pPr>
        <w:pStyle w:val="14"/>
        <w:spacing w:line="600" w:lineRule="exact"/>
        <w:ind w:firstLine="560"/>
        <w:rPr>
          <w:rFonts w:hint="eastAsia" w:ascii="宋体" w:hAnsi="宋体"/>
          <w:sz w:val="28"/>
          <w:szCs w:val="28"/>
        </w:rPr>
      </w:pPr>
      <w:r>
        <w:rPr>
          <w:rFonts w:hint="eastAsia" w:ascii="宋体" w:hAnsi="宋体"/>
          <w:sz w:val="28"/>
          <w:szCs w:val="28"/>
        </w:rPr>
        <w:t>道路红线导控要点</w:t>
      </w:r>
      <w:bookmarkEnd w:id="696"/>
      <w:bookmarkStart w:id="697" w:name="_Toc148082066"/>
      <w:r>
        <w:rPr>
          <w:rFonts w:hint="eastAsia" w:ascii="宋体" w:hAnsi="宋体"/>
          <w:sz w:val="28"/>
          <w:szCs w:val="28"/>
        </w:rPr>
        <w:t>：（1）控制道路及立交设施用地红线，红线内土地不得进行任何与道路功能不相符合的使用。（2）新建道路应实行统一的城市道路断面、建筑后退道路距离，保障城市道路建设的标准化和规范化。特殊道路的断面形式，可按城市规划要求另行确定。（3）道路红线两侧建（构）筑物应根据相应规划管理要求由规划道路红线两侧分别向外后退，后退范围内属绿地，不得建设永久性或临时性建（构）筑物。</w:t>
      </w:r>
    </w:p>
    <w:bookmarkEnd w:id="697"/>
    <w:p w14:paraId="528CD4FA">
      <w:pPr>
        <w:pStyle w:val="14"/>
        <w:spacing w:line="600" w:lineRule="exact"/>
        <w:ind w:firstLine="560"/>
        <w:rPr>
          <w:rFonts w:hint="eastAsia" w:ascii="宋体" w:hAnsi="宋体"/>
          <w:sz w:val="28"/>
          <w:szCs w:val="28"/>
        </w:rPr>
      </w:pPr>
      <w:r>
        <w:rPr>
          <w:rFonts w:hint="eastAsia" w:ascii="宋体" w:hAnsi="宋体"/>
          <w:sz w:val="28"/>
          <w:szCs w:val="28"/>
        </w:rPr>
        <w:t>规划范围内的城市主、次干路依据规划严格执行，支路可在下层次规划编制及规划实施时适当调整深化，但必须报规划主管部门审批。规划区范围内道路红线参见道路工程规划图。</w:t>
      </w:r>
    </w:p>
    <w:p w14:paraId="187D580B">
      <w:pPr>
        <w:pStyle w:val="14"/>
        <w:spacing w:line="600" w:lineRule="exact"/>
        <w:ind w:firstLine="560"/>
        <w:rPr>
          <w:rFonts w:hint="eastAsia" w:ascii="宋体" w:hAnsi="宋体"/>
          <w:sz w:val="28"/>
          <w:szCs w:val="28"/>
        </w:rPr>
      </w:pPr>
      <w:r>
        <w:rPr>
          <w:rFonts w:hint="eastAsia" w:ascii="宋体" w:hAnsi="宋体"/>
          <w:sz w:val="28"/>
          <w:szCs w:val="28"/>
        </w:rPr>
        <w:t>根据道路的重要性对道路红线做适当弹性控制，弹性控制的道路集中在支路上，考虑建设的实际情况，支路红线的宽度、方向不变，其具体线形可做适当调整。</w:t>
      </w:r>
    </w:p>
    <w:p w14:paraId="634B68FB">
      <w:pPr>
        <w:spacing w:line="640" w:lineRule="exact"/>
        <w:ind w:firstLine="562" w:firstLineChars="200"/>
        <w:rPr>
          <w:rFonts w:hint="eastAsia" w:ascii="宋体" w:hAnsi="宋体"/>
          <w:b/>
          <w:sz w:val="28"/>
          <w:szCs w:val="28"/>
        </w:rPr>
      </w:pPr>
      <w:r>
        <w:rPr>
          <w:rFonts w:hint="eastAsia" w:ascii="宋体" w:hAnsi="宋体"/>
          <w:b/>
          <w:sz w:val="28"/>
          <w:szCs w:val="28"/>
        </w:rPr>
        <w:t>（二）城市绿线控制</w:t>
      </w:r>
    </w:p>
    <w:p w14:paraId="709DE63C">
      <w:pPr>
        <w:pStyle w:val="14"/>
        <w:spacing w:line="640" w:lineRule="exact"/>
        <w:ind w:firstLine="560"/>
        <w:rPr>
          <w:rFonts w:hint="eastAsia" w:ascii="宋体" w:hAnsi="宋体"/>
          <w:sz w:val="28"/>
          <w:szCs w:val="28"/>
        </w:rPr>
      </w:pPr>
      <w:r>
        <w:rPr>
          <w:rFonts w:hint="eastAsia" w:ascii="宋体" w:hAnsi="宋体"/>
          <w:sz w:val="28"/>
          <w:szCs w:val="28"/>
        </w:rPr>
        <w:t>城市绿线：</w:t>
      </w:r>
      <w:r>
        <w:rPr>
          <w:rFonts w:ascii="宋体" w:hAnsi="宋体"/>
          <w:sz w:val="28"/>
          <w:szCs w:val="28"/>
        </w:rPr>
        <w:t>即城市各类绿地范围的规划控制绿线，包括公共绿地、防护绿地、生产绿地、居住区绿地、单位附属绿地、道路绿地、生态风景林地</w:t>
      </w:r>
      <w:r>
        <w:rPr>
          <w:rFonts w:hint="eastAsia" w:ascii="宋体" w:hAnsi="宋体"/>
          <w:sz w:val="28"/>
          <w:szCs w:val="28"/>
        </w:rPr>
        <w:t>。</w:t>
      </w:r>
    </w:p>
    <w:p w14:paraId="34069250">
      <w:pPr>
        <w:pStyle w:val="14"/>
        <w:spacing w:line="640" w:lineRule="exact"/>
        <w:ind w:firstLine="560"/>
        <w:rPr>
          <w:rFonts w:hint="eastAsia" w:ascii="宋体" w:hAnsi="宋体"/>
          <w:sz w:val="28"/>
          <w:szCs w:val="28"/>
        </w:rPr>
      </w:pPr>
      <w:r>
        <w:rPr>
          <w:rFonts w:hint="eastAsia" w:ascii="宋体" w:hAnsi="宋体"/>
          <w:sz w:val="28"/>
          <w:szCs w:val="28"/>
        </w:rPr>
        <w:t>城市绿线导控要点（1）城市绿线内的用地，不得改作它用，不得违反法律法规、强制性标准以及批准的规划进行开发建设。（2）有关部门不得违反规定，批准在城市绿线范围内进行建设。（3）因建设或者其他特殊情况，需要临时占用城市绿线内用地的，必须依法办理相关审批手续。（4）在城市绿线范围内，不符合规划要求的建筑物、构筑物及其他设施应当限期迁出。（5）在绿线范围内，如属河道蓝线的范围，应同时满足河道蓝线的导控要点规定。</w:t>
      </w:r>
    </w:p>
    <w:p w14:paraId="7178C508">
      <w:pPr>
        <w:spacing w:line="640" w:lineRule="exact"/>
        <w:ind w:firstLine="560" w:firstLineChars="200"/>
        <w:rPr>
          <w:rFonts w:hint="eastAsia" w:ascii="宋体" w:hAnsi="宋体"/>
          <w:sz w:val="28"/>
          <w:szCs w:val="28"/>
        </w:rPr>
      </w:pPr>
      <w:r>
        <w:rPr>
          <w:rFonts w:hint="eastAsia" w:ascii="宋体" w:hAnsi="宋体"/>
          <w:sz w:val="28"/>
          <w:szCs w:val="28"/>
        </w:rPr>
        <w:t>规划区内的城市绿线控制主要包括以下几个方面内容：公园绿地、防护绿地用地界线控制，道路绿地边线控制。其中公共绿地、防护绿地用地界线控制严格按照规划划定的界线来控制；道路绿地按照道路横断面划定的绿化退线来控制；居住社区级绿地及组团级绿地，严格控制其面积，对具体位置不做硬性规定。</w:t>
      </w:r>
    </w:p>
    <w:p w14:paraId="7AD4877A">
      <w:pPr>
        <w:tabs>
          <w:tab w:val="left" w:pos="8280"/>
        </w:tabs>
        <w:spacing w:line="600" w:lineRule="exact"/>
        <w:ind w:right="-31" w:firstLine="600"/>
        <w:rPr>
          <w:rFonts w:hint="eastAsia" w:ascii="宋体" w:hAnsi="宋体"/>
          <w:b/>
          <w:sz w:val="28"/>
          <w:szCs w:val="28"/>
        </w:rPr>
      </w:pPr>
      <w:r>
        <w:rPr>
          <w:rFonts w:hint="eastAsia" w:ascii="宋体" w:hAnsi="宋体"/>
          <w:b/>
          <w:sz w:val="28"/>
          <w:szCs w:val="28"/>
        </w:rPr>
        <w:t>（三）城市蓝线控制</w:t>
      </w:r>
    </w:p>
    <w:p w14:paraId="6D4EDAB3">
      <w:pPr>
        <w:spacing w:line="600" w:lineRule="exact"/>
        <w:ind w:firstLine="560" w:firstLineChars="200"/>
        <w:rPr>
          <w:rFonts w:hint="eastAsia" w:ascii="宋体" w:hAnsi="宋体"/>
          <w:sz w:val="28"/>
          <w:szCs w:val="28"/>
        </w:rPr>
      </w:pPr>
      <w:r>
        <w:rPr>
          <w:rFonts w:hint="eastAsia" w:ascii="宋体" w:hAnsi="宋体"/>
          <w:sz w:val="28"/>
          <w:szCs w:val="28"/>
        </w:rPr>
        <w:t>城市蓝线：是指城市规划确定的江、河、湖、库、渠和湿地等城市地表水体保护和控制的地域界线。</w:t>
      </w:r>
    </w:p>
    <w:p w14:paraId="17FD4934">
      <w:pPr>
        <w:spacing w:line="600" w:lineRule="exact"/>
        <w:ind w:firstLine="560" w:firstLineChars="200"/>
        <w:rPr>
          <w:rFonts w:hint="eastAsia" w:ascii="宋体" w:hAnsi="宋体"/>
          <w:sz w:val="28"/>
          <w:szCs w:val="28"/>
        </w:rPr>
      </w:pPr>
      <w:r>
        <w:rPr>
          <w:rFonts w:hint="eastAsia" w:ascii="宋体" w:hAnsi="宋体"/>
          <w:sz w:val="28"/>
          <w:szCs w:val="28"/>
        </w:rPr>
        <w:t>城市蓝线导控要点（1）原则上不得改变其原有水域形态，不得减少水域面积。（2）在蓝线控制区内的陆域内，不得建设除防洪排涝必须的设施以外的任何其他建（构）筑物，河道两侧的建筑工程应符合乐山市有关后退河道规划蓝线距离的规定。（3）滨水地区现状建设对水域及环境造成污染的工业必须迁出或逐步改造。</w:t>
      </w:r>
    </w:p>
    <w:p w14:paraId="7DABBD55">
      <w:pPr>
        <w:tabs>
          <w:tab w:val="left" w:pos="8280"/>
        </w:tabs>
        <w:spacing w:line="600" w:lineRule="exact"/>
        <w:ind w:right="-31" w:firstLine="600"/>
        <w:rPr>
          <w:rFonts w:ascii="宋体" w:hAnsi="宋体"/>
          <w:sz w:val="28"/>
          <w:szCs w:val="28"/>
        </w:rPr>
      </w:pPr>
      <w:r>
        <w:rPr>
          <w:rFonts w:hint="eastAsia" w:ascii="宋体" w:hAnsi="宋体"/>
          <w:sz w:val="28"/>
          <w:szCs w:val="28"/>
        </w:rPr>
        <w:t>规划区范围内重点控制的河流水系为岷江、</w:t>
      </w:r>
      <w:r>
        <w:rPr>
          <w:rFonts w:ascii="宋体" w:hAnsi="宋体"/>
          <w:sz w:val="28"/>
          <w:szCs w:val="28"/>
        </w:rPr>
        <w:t>泥溪河</w:t>
      </w:r>
      <w:r>
        <w:rPr>
          <w:rFonts w:hint="eastAsia" w:ascii="宋体" w:hAnsi="宋体"/>
          <w:sz w:val="28"/>
          <w:szCs w:val="28"/>
        </w:rPr>
        <w:t>，其河道蓝线控制严格按照《城市蓝线管理办法》之规定执行。</w:t>
      </w:r>
    </w:p>
    <w:p w14:paraId="0F5AF7C6">
      <w:pPr>
        <w:tabs>
          <w:tab w:val="left" w:pos="8280"/>
        </w:tabs>
        <w:spacing w:line="600" w:lineRule="exact"/>
        <w:ind w:right="-31" w:firstLine="600"/>
        <w:rPr>
          <w:rFonts w:hint="eastAsia" w:ascii="宋体" w:hAnsi="宋体"/>
          <w:b/>
          <w:sz w:val="28"/>
          <w:szCs w:val="28"/>
        </w:rPr>
      </w:pPr>
      <w:r>
        <w:rPr>
          <w:rFonts w:hint="eastAsia" w:ascii="宋体" w:hAnsi="宋体"/>
          <w:b/>
          <w:sz w:val="28"/>
          <w:szCs w:val="28"/>
        </w:rPr>
        <w:t>（四）城市黄线控制规划</w:t>
      </w:r>
    </w:p>
    <w:p w14:paraId="0D3A35F5">
      <w:pPr>
        <w:spacing w:line="600" w:lineRule="exact"/>
        <w:ind w:firstLine="560" w:firstLineChars="200"/>
        <w:rPr>
          <w:rFonts w:hint="eastAsia" w:ascii="宋体" w:hAnsi="宋体"/>
          <w:sz w:val="28"/>
          <w:szCs w:val="28"/>
        </w:rPr>
      </w:pPr>
      <w:r>
        <w:rPr>
          <w:rFonts w:hint="eastAsia" w:ascii="宋体" w:hAnsi="宋体"/>
          <w:sz w:val="28"/>
          <w:szCs w:val="28"/>
        </w:rPr>
        <w:t>城市黄线，是指对城市发展全局有影响的、城市规划中确定的、必须控制的城市基础设施用地的控制界线。</w:t>
      </w:r>
    </w:p>
    <w:p w14:paraId="4860E598">
      <w:pPr>
        <w:spacing w:line="600" w:lineRule="exact"/>
        <w:ind w:firstLine="560" w:firstLineChars="200"/>
        <w:rPr>
          <w:rFonts w:hint="eastAsia" w:ascii="宋体" w:hAnsi="宋体"/>
          <w:sz w:val="28"/>
          <w:szCs w:val="28"/>
        </w:rPr>
      </w:pPr>
      <w:r>
        <w:rPr>
          <w:rFonts w:hint="eastAsia" w:ascii="宋体" w:hAnsi="宋体"/>
          <w:sz w:val="28"/>
          <w:szCs w:val="28"/>
        </w:rPr>
        <w:t>在城市黄线范围内禁止进行下列活动：违反城市规划要求，进行建筑物、构筑物及其他设施的建设；违反国家有关技术标准和规范进行建设；未经批准，改装、迁移或拆毁原有城市基础设施；其他损坏城市基础设施或影响城市基础设施安全和正常运转的行为。</w:t>
      </w:r>
    </w:p>
    <w:p w14:paraId="48CE1816">
      <w:pPr>
        <w:spacing w:line="600" w:lineRule="exact"/>
        <w:ind w:firstLine="560" w:firstLineChars="200"/>
        <w:rPr>
          <w:rFonts w:hint="eastAsia" w:ascii="宋体" w:hAnsi="宋体"/>
          <w:sz w:val="28"/>
          <w:szCs w:val="28"/>
        </w:rPr>
      </w:pPr>
      <w:r>
        <w:rPr>
          <w:rFonts w:hint="eastAsia" w:ascii="宋体" w:hAnsi="宋体"/>
          <w:sz w:val="28"/>
          <w:szCs w:val="28"/>
        </w:rPr>
        <w:t>在城市黄线内新建、改建、扩建各类建筑物、构筑物、道路、管线和其他工程设施，应当依法向建设主管部门（城乡规划主管部门）申请办理城市规划许可，并依据有关法律、法规办理相关手续。迁移、拆除城市黄线内城市基础设施的，应当依据有关法律、法规办理相关手续。</w:t>
      </w:r>
    </w:p>
    <w:p w14:paraId="0F803547">
      <w:pPr>
        <w:spacing w:line="600" w:lineRule="exact"/>
        <w:ind w:firstLine="560" w:firstLineChars="200"/>
        <w:rPr>
          <w:rFonts w:hint="eastAsia" w:ascii="宋体" w:hAnsi="宋体"/>
          <w:sz w:val="28"/>
          <w:szCs w:val="28"/>
        </w:rPr>
      </w:pPr>
      <w:r>
        <w:rPr>
          <w:rFonts w:hint="eastAsia" w:ascii="宋体" w:hAnsi="宋体"/>
          <w:sz w:val="28"/>
          <w:szCs w:val="28"/>
        </w:rPr>
        <w:t>规划区黄线控制的城市基础设施主要有：</w:t>
      </w:r>
    </w:p>
    <w:p w14:paraId="78538A33">
      <w:pPr>
        <w:spacing w:line="600" w:lineRule="exact"/>
        <w:ind w:firstLine="560" w:firstLineChars="200"/>
        <w:rPr>
          <w:rFonts w:hint="eastAsia" w:ascii="宋体" w:hAnsi="宋体"/>
          <w:sz w:val="28"/>
          <w:szCs w:val="28"/>
        </w:rPr>
      </w:pPr>
      <w:r>
        <w:rPr>
          <w:rFonts w:hint="eastAsia" w:ascii="宋体" w:hAnsi="宋体"/>
          <w:sz w:val="28"/>
          <w:szCs w:val="28"/>
        </w:rPr>
        <w:t>1、交通设施：社会停车场6个，加油站</w:t>
      </w:r>
      <w:r>
        <w:rPr>
          <w:rFonts w:ascii="宋体" w:hAnsi="宋体"/>
          <w:sz w:val="28"/>
          <w:szCs w:val="28"/>
        </w:rPr>
        <w:t>2</w:t>
      </w:r>
      <w:r>
        <w:rPr>
          <w:rFonts w:hint="eastAsia" w:ascii="宋体" w:hAnsi="宋体"/>
          <w:sz w:val="28"/>
          <w:szCs w:val="28"/>
        </w:rPr>
        <w:t>座，</w:t>
      </w:r>
      <w:r>
        <w:rPr>
          <w:rFonts w:ascii="宋体" w:hAnsi="宋体"/>
          <w:sz w:val="28"/>
          <w:szCs w:val="28"/>
        </w:rPr>
        <w:t>加气站</w:t>
      </w:r>
      <w:r>
        <w:rPr>
          <w:rFonts w:hint="eastAsia" w:ascii="宋体" w:hAnsi="宋体"/>
          <w:sz w:val="28"/>
          <w:szCs w:val="28"/>
        </w:rPr>
        <w:t>1座。</w:t>
      </w:r>
    </w:p>
    <w:p w14:paraId="0D08F4C6">
      <w:pPr>
        <w:spacing w:line="600" w:lineRule="exact"/>
        <w:ind w:firstLine="560" w:firstLineChars="200"/>
        <w:rPr>
          <w:rFonts w:hint="eastAsia" w:ascii="宋体" w:hAnsi="宋体"/>
          <w:sz w:val="28"/>
          <w:szCs w:val="28"/>
        </w:rPr>
      </w:pPr>
      <w:r>
        <w:rPr>
          <w:rFonts w:ascii="宋体" w:hAnsi="宋体"/>
          <w:sz w:val="28"/>
          <w:szCs w:val="28"/>
        </w:rPr>
        <w:t>2</w:t>
      </w:r>
      <w:r>
        <w:rPr>
          <w:rFonts w:hint="eastAsia" w:ascii="宋体" w:hAnsi="宋体"/>
          <w:sz w:val="28"/>
          <w:szCs w:val="28"/>
        </w:rPr>
        <w:t>、环卫设施：垃圾转运站1座。</w:t>
      </w:r>
    </w:p>
    <w:p w14:paraId="6BD0487B">
      <w:pPr>
        <w:spacing w:line="600" w:lineRule="exact"/>
        <w:ind w:firstLine="560" w:firstLineChars="200"/>
        <w:rPr>
          <w:rFonts w:hint="eastAsia" w:ascii="宋体" w:hAnsi="宋体"/>
          <w:sz w:val="28"/>
          <w:szCs w:val="28"/>
        </w:rPr>
      </w:pPr>
      <w:r>
        <w:rPr>
          <w:rFonts w:ascii="宋体" w:hAnsi="宋体"/>
          <w:sz w:val="28"/>
          <w:szCs w:val="28"/>
        </w:rPr>
        <w:t>3</w:t>
      </w:r>
      <w:r>
        <w:rPr>
          <w:rFonts w:hint="eastAsia" w:ascii="宋体" w:hAnsi="宋体"/>
          <w:sz w:val="28"/>
          <w:szCs w:val="28"/>
        </w:rPr>
        <w:t>、燃气设施：天然气门站1座。</w:t>
      </w:r>
    </w:p>
    <w:p w14:paraId="0C3C2450">
      <w:pPr>
        <w:spacing w:line="600" w:lineRule="exact"/>
        <w:ind w:firstLine="452" w:firstLineChars="150"/>
        <w:rPr>
          <w:rFonts w:ascii="宋体" w:hAnsi="宋体"/>
          <w:b/>
          <w:sz w:val="30"/>
          <w:szCs w:val="30"/>
        </w:rPr>
      </w:pPr>
      <w:r>
        <w:rPr>
          <w:rFonts w:hint="eastAsia" w:ascii="宋体" w:hAnsi="宋体"/>
          <w:b/>
          <w:sz w:val="30"/>
          <w:szCs w:val="30"/>
        </w:rPr>
        <w:t>（五）城市紫线控制</w:t>
      </w:r>
    </w:p>
    <w:p w14:paraId="1CCD6106">
      <w:pPr>
        <w:tabs>
          <w:tab w:val="left" w:pos="8280"/>
        </w:tabs>
        <w:spacing w:line="600" w:lineRule="exact"/>
        <w:ind w:right="-31" w:firstLine="600"/>
        <w:rPr>
          <w:rFonts w:ascii="宋体" w:hAnsi="宋体"/>
          <w:sz w:val="30"/>
          <w:szCs w:val="30"/>
        </w:rPr>
      </w:pPr>
      <w:r>
        <w:rPr>
          <w:rFonts w:hint="eastAsia" w:ascii="宋体" w:hAnsi="宋体"/>
          <w:sz w:val="30"/>
          <w:szCs w:val="30"/>
        </w:rPr>
        <w:t>紫线是指用于界定文物古迹、传统历史街区等保护范围及建设控制地带的控制线。</w:t>
      </w:r>
    </w:p>
    <w:p w14:paraId="6C12B042">
      <w:pPr>
        <w:tabs>
          <w:tab w:val="left" w:pos="8280"/>
        </w:tabs>
        <w:spacing w:line="600" w:lineRule="exact"/>
        <w:ind w:right="-31" w:firstLine="600"/>
        <w:rPr>
          <w:rFonts w:ascii="宋体" w:hAnsi="宋体"/>
          <w:sz w:val="30"/>
          <w:szCs w:val="30"/>
        </w:rPr>
      </w:pPr>
      <w:r>
        <w:rPr>
          <w:rFonts w:hint="eastAsia" w:ascii="宋体" w:hAnsi="宋体"/>
          <w:sz w:val="30"/>
          <w:szCs w:val="30"/>
        </w:rPr>
        <w:t>历史文化紫线控制要点（1）紫线范围应严格保护，不得进行与之不相关的其它建设。（2）严格控制紫线周边建设控制地带内的开发强度，新建、扩建、改建各类建(构)筑物和其他设施时，应当与保护区的传统风貌或地方特色相协调。（3）划定的特别控制区对其街巷风格、空间尺度、建设容量、建筑高度、建筑特色等进行一定程度的限定。</w:t>
      </w:r>
    </w:p>
    <w:p w14:paraId="5FD24FCD">
      <w:pPr>
        <w:tabs>
          <w:tab w:val="left" w:pos="8280"/>
        </w:tabs>
        <w:spacing w:line="600" w:lineRule="exact"/>
        <w:ind w:right="-31" w:firstLine="600"/>
        <w:rPr>
          <w:rFonts w:ascii="宋体" w:hAnsi="宋体"/>
          <w:sz w:val="30"/>
          <w:szCs w:val="30"/>
        </w:rPr>
      </w:pPr>
      <w:r>
        <w:rPr>
          <w:rFonts w:hint="eastAsia" w:ascii="宋体" w:hAnsi="宋体"/>
          <w:sz w:val="30"/>
          <w:szCs w:val="30"/>
        </w:rPr>
        <w:t>规划区范围内有</w:t>
      </w:r>
      <w:r>
        <w:rPr>
          <w:rFonts w:hAnsi="宋体"/>
          <w:sz w:val="30"/>
          <w:szCs w:val="30"/>
        </w:rPr>
        <w:t>1</w:t>
      </w:r>
      <w:r>
        <w:rPr>
          <w:rFonts w:hint="eastAsia" w:hAnsi="宋体"/>
          <w:sz w:val="30"/>
          <w:szCs w:val="30"/>
        </w:rPr>
        <w:t>处市级文物保护单位——</w:t>
      </w:r>
      <w:r>
        <w:rPr>
          <w:rFonts w:hAnsi="宋体"/>
          <w:sz w:val="30"/>
          <w:szCs w:val="30"/>
        </w:rPr>
        <w:t>龙泓寺</w:t>
      </w:r>
      <w:r>
        <w:rPr>
          <w:rFonts w:hint="eastAsia" w:hAnsi="宋体"/>
          <w:sz w:val="30"/>
          <w:szCs w:val="30"/>
        </w:rPr>
        <w:t>，位于现龙泓</w:t>
      </w:r>
      <w:r>
        <w:rPr>
          <w:rFonts w:hAnsi="宋体"/>
          <w:sz w:val="30"/>
          <w:szCs w:val="30"/>
        </w:rPr>
        <w:t>路小学内</w:t>
      </w:r>
      <w:r>
        <w:rPr>
          <w:rFonts w:hint="eastAsia" w:ascii="宋体" w:hAnsi="宋体"/>
          <w:sz w:val="30"/>
          <w:szCs w:val="30"/>
        </w:rPr>
        <w:t>。文物保护单位需遵循文物保护法严格进行保护，其保护范围及控制建设地段按照相关规定严格执行。</w:t>
      </w:r>
    </w:p>
    <w:p w14:paraId="3279FCD2">
      <w:pPr>
        <w:spacing w:line="600" w:lineRule="exact"/>
        <w:ind w:firstLine="560" w:firstLineChars="200"/>
        <w:rPr>
          <w:rFonts w:hint="eastAsia" w:ascii="宋体" w:hAnsi="宋体"/>
          <w:sz w:val="28"/>
          <w:szCs w:val="28"/>
        </w:rPr>
      </w:pPr>
    </w:p>
    <w:p w14:paraId="4336D43B">
      <w:pPr>
        <w:pStyle w:val="3"/>
        <w:spacing w:line="620" w:lineRule="exact"/>
        <w:jc w:val="center"/>
        <w:rPr>
          <w:rFonts w:hint="eastAsia"/>
          <w:sz w:val="36"/>
        </w:rPr>
      </w:pPr>
      <w:bookmarkStart w:id="698" w:name="_Toc6394682"/>
      <w:bookmarkStart w:id="699" w:name="_Toc348965225"/>
      <w:r>
        <w:rPr>
          <w:rFonts w:hint="eastAsia"/>
          <w:sz w:val="36"/>
        </w:rPr>
        <w:t>第七章  绿地景观系统及海绵城市规划</w:t>
      </w:r>
      <w:bookmarkEnd w:id="687"/>
      <w:bookmarkEnd w:id="698"/>
      <w:bookmarkEnd w:id="699"/>
    </w:p>
    <w:p w14:paraId="5330D2FD">
      <w:pPr>
        <w:pStyle w:val="4"/>
        <w:spacing w:line="680" w:lineRule="exact"/>
        <w:rPr>
          <w:rFonts w:hint="eastAsia" w:ascii="黑体" w:eastAsia="黑体"/>
        </w:rPr>
      </w:pPr>
      <w:bookmarkStart w:id="700" w:name="_Toc216520021"/>
      <w:bookmarkStart w:id="701" w:name="_Toc348965226"/>
      <w:bookmarkStart w:id="702" w:name="_Toc6394683"/>
      <w:bookmarkStart w:id="703" w:name="_Toc67455538"/>
      <w:r>
        <w:rPr>
          <w:rFonts w:hint="eastAsia" w:ascii="黑体" w:eastAsia="黑体"/>
        </w:rPr>
        <w:t>一、绿地系统规划</w:t>
      </w:r>
      <w:bookmarkEnd w:id="700"/>
      <w:bookmarkEnd w:id="701"/>
      <w:bookmarkEnd w:id="702"/>
    </w:p>
    <w:p w14:paraId="7F5A24A7">
      <w:pPr>
        <w:spacing w:line="680" w:lineRule="exact"/>
        <w:ind w:firstLine="422" w:firstLineChars="150"/>
        <w:rPr>
          <w:rFonts w:hint="eastAsia" w:ascii="宋体" w:hAnsi="宋体"/>
          <w:b/>
          <w:bCs/>
          <w:sz w:val="28"/>
          <w:szCs w:val="28"/>
        </w:rPr>
      </w:pPr>
      <w:r>
        <w:rPr>
          <w:rFonts w:hint="eastAsia" w:ascii="宋体" w:hAnsi="宋体"/>
          <w:b/>
          <w:bCs/>
          <w:sz w:val="28"/>
          <w:szCs w:val="28"/>
        </w:rPr>
        <w:t>（一）规划原则及</w:t>
      </w:r>
      <w:r>
        <w:rPr>
          <w:rFonts w:ascii="宋体" w:hAnsi="宋体"/>
          <w:b/>
          <w:bCs/>
          <w:sz w:val="28"/>
          <w:szCs w:val="28"/>
        </w:rPr>
        <w:t>思路</w:t>
      </w:r>
    </w:p>
    <w:bookmarkEnd w:id="703"/>
    <w:p w14:paraId="0E2F52B5">
      <w:pPr>
        <w:tabs>
          <w:tab w:val="left" w:pos="8280"/>
        </w:tabs>
        <w:spacing w:line="680" w:lineRule="exact"/>
        <w:ind w:right="-31" w:firstLine="600"/>
        <w:rPr>
          <w:rFonts w:ascii="宋体" w:hAnsi="宋体"/>
          <w:sz w:val="30"/>
          <w:szCs w:val="30"/>
        </w:rPr>
      </w:pPr>
      <w:r>
        <w:rPr>
          <w:rFonts w:hint="eastAsia" w:ascii="宋体" w:hAnsi="宋体"/>
          <w:sz w:val="30"/>
          <w:szCs w:val="30"/>
        </w:rPr>
        <w:t>1、规划体现可持续发展的生态原则，致力于片区空间与周边山体、水面的沟通和呼应，强调将背景山体绿化引入，和增强滨江生态绿化向片区内部的渗透、辐射，体现城在绿中、绿在城中的规划理念。</w:t>
      </w:r>
    </w:p>
    <w:p w14:paraId="08B696E9">
      <w:pPr>
        <w:tabs>
          <w:tab w:val="left" w:pos="8280"/>
        </w:tabs>
        <w:spacing w:line="680" w:lineRule="exact"/>
        <w:ind w:right="-31" w:firstLine="600"/>
        <w:rPr>
          <w:rFonts w:ascii="宋体" w:hAnsi="宋体"/>
          <w:sz w:val="30"/>
          <w:szCs w:val="30"/>
        </w:rPr>
      </w:pPr>
      <w:r>
        <w:rPr>
          <w:rFonts w:ascii="宋体" w:hAnsi="宋体"/>
          <w:sz w:val="30"/>
          <w:szCs w:val="30"/>
        </w:rPr>
        <w:t>2</w:t>
      </w:r>
      <w:r>
        <w:rPr>
          <w:rFonts w:hint="eastAsia" w:ascii="宋体" w:hAnsi="宋体"/>
          <w:sz w:val="30"/>
          <w:szCs w:val="30"/>
        </w:rPr>
        <w:t>、充分</w:t>
      </w:r>
      <w:r>
        <w:rPr>
          <w:rFonts w:ascii="宋体" w:hAnsi="宋体"/>
          <w:sz w:val="30"/>
          <w:szCs w:val="30"/>
        </w:rPr>
        <w:t>结合</w:t>
      </w:r>
      <w:r>
        <w:rPr>
          <w:rFonts w:hint="eastAsia" w:ascii="宋体" w:hAnsi="宋体"/>
          <w:sz w:val="28"/>
          <w:szCs w:val="28"/>
        </w:rPr>
        <w:t>片区地形地貌，</w:t>
      </w:r>
      <w:r>
        <w:rPr>
          <w:rFonts w:hint="eastAsia" w:ascii="宋体" w:hAnsi="宋体"/>
          <w:sz w:val="30"/>
          <w:szCs w:val="30"/>
        </w:rPr>
        <w:t>沿山、沿河、</w:t>
      </w:r>
      <w:r>
        <w:rPr>
          <w:rFonts w:ascii="宋体" w:hAnsi="宋体"/>
          <w:sz w:val="30"/>
          <w:szCs w:val="30"/>
        </w:rPr>
        <w:t>沿路</w:t>
      </w:r>
      <w:r>
        <w:rPr>
          <w:rFonts w:hint="eastAsia" w:ascii="宋体" w:hAnsi="宋体"/>
          <w:sz w:val="30"/>
          <w:szCs w:val="30"/>
        </w:rPr>
        <w:t>形成规划区绿化廊道，</w:t>
      </w:r>
      <w:r>
        <w:rPr>
          <w:rFonts w:hint="eastAsia" w:ascii="宋体" w:hAnsi="宋体"/>
          <w:sz w:val="28"/>
          <w:szCs w:val="28"/>
        </w:rPr>
        <w:t>使城市与山水和谐共生。</w:t>
      </w:r>
      <w:r>
        <w:rPr>
          <w:rFonts w:hint="eastAsia" w:ascii="宋体" w:hAnsi="宋体"/>
          <w:sz w:val="30"/>
          <w:szCs w:val="30"/>
        </w:rPr>
        <w:t>结合规划区内部生态绿地、防护绿地，串联绿化广场、街头绿地、公共绿地，形成自然环境与人工环境相互渗透的点、线、面有机结合的完善绿化网络体系。</w:t>
      </w:r>
    </w:p>
    <w:p w14:paraId="540BED08">
      <w:pPr>
        <w:tabs>
          <w:tab w:val="left" w:pos="8280"/>
        </w:tabs>
        <w:spacing w:line="680" w:lineRule="exact"/>
        <w:ind w:right="-31" w:firstLine="600"/>
        <w:rPr>
          <w:rFonts w:ascii="宋体" w:hAnsi="宋体"/>
          <w:sz w:val="30"/>
          <w:szCs w:val="30"/>
        </w:rPr>
      </w:pPr>
      <w:r>
        <w:rPr>
          <w:rFonts w:hint="eastAsia" w:ascii="宋体" w:hAnsi="宋体"/>
          <w:sz w:val="30"/>
          <w:szCs w:val="30"/>
        </w:rPr>
        <w:t>3、绿地建设符合多元化要求，结合规划区商业服务中心、各小区中心形成生态景观节点，通过沿道路设置的生态防护绿带、利用冲沟形成的带状绿带串联，形成多元化生态绿地网络。</w:t>
      </w:r>
    </w:p>
    <w:p w14:paraId="72B31B5C">
      <w:pPr>
        <w:spacing w:line="640" w:lineRule="exact"/>
        <w:ind w:firstLine="562" w:firstLineChars="200"/>
        <w:rPr>
          <w:rFonts w:hint="eastAsia" w:ascii="宋体" w:hAnsi="宋体"/>
          <w:b/>
          <w:sz w:val="28"/>
          <w:szCs w:val="28"/>
        </w:rPr>
      </w:pPr>
      <w:r>
        <w:rPr>
          <w:rFonts w:hint="eastAsia" w:ascii="宋体" w:hAnsi="宋体"/>
          <w:b/>
          <w:sz w:val="28"/>
          <w:szCs w:val="28"/>
        </w:rPr>
        <w:t>（三）规划结构</w:t>
      </w:r>
    </w:p>
    <w:p w14:paraId="64C06D3B">
      <w:pPr>
        <w:tabs>
          <w:tab w:val="left" w:pos="8280"/>
        </w:tabs>
        <w:spacing w:line="680" w:lineRule="exact"/>
        <w:ind w:right="-31" w:firstLine="600"/>
        <w:rPr>
          <w:rFonts w:ascii="宋体" w:hAnsi="宋体"/>
          <w:sz w:val="30"/>
          <w:szCs w:val="30"/>
        </w:rPr>
      </w:pPr>
      <w:r>
        <w:rPr>
          <w:rFonts w:hint="eastAsia" w:ascii="宋体" w:hAnsi="宋体"/>
          <w:sz w:val="30"/>
          <w:szCs w:val="30"/>
        </w:rPr>
        <w:t>依托岷江东岸现有自然山体及岷江这两大自然生态主体，以碧山路、泥溪河、碧山湖、南部滨河道路的绿化作为自然生态走廊，将生态引入城市，结合其它的沿街绿带、小区绿带及高压走廊，同时加强各道路的绿化建设，形成“一核、五廊、多点”的绿地网络格局。</w:t>
      </w:r>
    </w:p>
    <w:p w14:paraId="1678EB7F">
      <w:pPr>
        <w:tabs>
          <w:tab w:val="left" w:pos="8280"/>
        </w:tabs>
        <w:spacing w:line="680" w:lineRule="exact"/>
        <w:ind w:right="-31" w:firstLine="600"/>
        <w:rPr>
          <w:rFonts w:ascii="宋体" w:hAnsi="宋体"/>
          <w:sz w:val="30"/>
          <w:szCs w:val="30"/>
        </w:rPr>
      </w:pPr>
      <w:r>
        <w:rPr>
          <w:rFonts w:ascii="宋体" w:hAnsi="宋体"/>
          <w:sz w:val="30"/>
          <w:szCs w:val="30"/>
        </w:rPr>
        <w:t xml:space="preserve"> </w:t>
      </w:r>
      <w:r>
        <w:rPr>
          <w:rFonts w:hint="eastAsia" w:ascii="宋体" w:hAnsi="宋体"/>
          <w:sz w:val="30"/>
          <w:szCs w:val="30"/>
        </w:rPr>
        <w:t>一核：指片区中部围绕碧山湖形成的</w:t>
      </w:r>
      <w:r>
        <w:rPr>
          <w:rFonts w:ascii="宋体" w:hAnsi="宋体"/>
          <w:sz w:val="30"/>
          <w:szCs w:val="30"/>
        </w:rPr>
        <w:t>生态绿</w:t>
      </w:r>
      <w:r>
        <w:rPr>
          <w:rFonts w:hint="eastAsia" w:ascii="宋体" w:hAnsi="宋体"/>
          <w:sz w:val="30"/>
          <w:szCs w:val="30"/>
        </w:rPr>
        <w:t>核。</w:t>
      </w:r>
      <w:r>
        <w:rPr>
          <w:rFonts w:ascii="宋体" w:hAnsi="宋体"/>
          <w:sz w:val="30"/>
          <w:szCs w:val="30"/>
        </w:rPr>
        <w:t xml:space="preserve"> </w:t>
      </w:r>
    </w:p>
    <w:p w14:paraId="185E5D9C">
      <w:pPr>
        <w:tabs>
          <w:tab w:val="left" w:pos="8280"/>
        </w:tabs>
        <w:spacing w:line="680" w:lineRule="exact"/>
        <w:ind w:right="-31" w:firstLine="600"/>
        <w:rPr>
          <w:rFonts w:ascii="宋体" w:hAnsi="宋体"/>
          <w:sz w:val="30"/>
          <w:szCs w:val="30"/>
        </w:rPr>
      </w:pPr>
      <w:r>
        <w:rPr>
          <w:rFonts w:ascii="宋体" w:hAnsi="宋体"/>
          <w:sz w:val="30"/>
          <w:szCs w:val="30"/>
        </w:rPr>
        <w:t xml:space="preserve"> </w:t>
      </w:r>
      <w:r>
        <w:rPr>
          <w:rFonts w:hint="eastAsia" w:ascii="宋体" w:hAnsi="宋体"/>
          <w:sz w:val="30"/>
          <w:szCs w:val="30"/>
        </w:rPr>
        <w:t>五廊：指沿岷江滨水岸线形成的生态休闲绿化廊道以及联系片区东侧自然山林与岷江滨水空间的胜利水库、泥溪河、碧山湖、南侧横向滨河道路四条绿色生态廊道。</w:t>
      </w:r>
    </w:p>
    <w:p w14:paraId="7D18D78F">
      <w:pPr>
        <w:tabs>
          <w:tab w:val="left" w:pos="8280"/>
        </w:tabs>
        <w:spacing w:line="680" w:lineRule="exact"/>
        <w:ind w:right="-31" w:firstLine="600"/>
        <w:rPr>
          <w:rFonts w:ascii="宋体" w:hAnsi="宋体"/>
          <w:sz w:val="30"/>
          <w:szCs w:val="30"/>
        </w:rPr>
      </w:pPr>
      <w:r>
        <w:rPr>
          <w:rFonts w:ascii="宋体" w:hAnsi="宋体"/>
          <w:sz w:val="30"/>
          <w:szCs w:val="30"/>
        </w:rPr>
        <w:t xml:space="preserve"> </w:t>
      </w:r>
      <w:r>
        <w:rPr>
          <w:rFonts w:hint="eastAsia" w:ascii="宋体" w:hAnsi="宋体"/>
          <w:sz w:val="30"/>
          <w:szCs w:val="30"/>
        </w:rPr>
        <w:t>多点：指片区内多处绿化节点。</w:t>
      </w:r>
    </w:p>
    <w:p w14:paraId="09CC0C90">
      <w:pPr>
        <w:spacing w:line="640" w:lineRule="exact"/>
        <w:ind w:firstLine="562" w:firstLineChars="200"/>
        <w:rPr>
          <w:rFonts w:hint="eastAsia" w:ascii="宋体" w:hAnsi="宋体"/>
          <w:b/>
          <w:sz w:val="28"/>
          <w:szCs w:val="28"/>
        </w:rPr>
      </w:pPr>
      <w:r>
        <w:rPr>
          <w:rFonts w:hint="eastAsia" w:ascii="宋体" w:hAnsi="宋体"/>
          <w:b/>
          <w:sz w:val="28"/>
          <w:szCs w:val="28"/>
        </w:rPr>
        <w:t>（四）规划布局</w:t>
      </w:r>
    </w:p>
    <w:p w14:paraId="6B2D978D">
      <w:pPr>
        <w:tabs>
          <w:tab w:val="left" w:pos="8280"/>
        </w:tabs>
        <w:spacing w:line="680" w:lineRule="exact"/>
        <w:ind w:right="-31" w:firstLine="600"/>
        <w:rPr>
          <w:rFonts w:hint="eastAsia" w:ascii="宋体" w:hAnsi="宋体"/>
          <w:sz w:val="30"/>
          <w:szCs w:val="30"/>
        </w:rPr>
      </w:pPr>
      <w:r>
        <w:rPr>
          <w:rFonts w:hint="eastAsia" w:ascii="宋体" w:hAnsi="宋体"/>
          <w:sz w:val="30"/>
          <w:szCs w:val="30"/>
        </w:rPr>
        <w:t>规划区绿地面积为</w:t>
      </w:r>
      <w:r>
        <w:rPr>
          <w:rFonts w:ascii="宋体" w:hAnsi="宋体"/>
          <w:sz w:val="30"/>
          <w:szCs w:val="30"/>
        </w:rPr>
        <w:t>38.94</w:t>
      </w:r>
      <w:r>
        <w:rPr>
          <w:rFonts w:hint="eastAsia" w:ascii="宋体" w:hAnsi="宋体"/>
          <w:sz w:val="30"/>
          <w:szCs w:val="30"/>
        </w:rPr>
        <w:t>公顷（生态林地</w:t>
      </w:r>
      <w:r>
        <w:rPr>
          <w:rFonts w:ascii="宋体" w:hAnsi="宋体"/>
          <w:sz w:val="30"/>
          <w:szCs w:val="30"/>
        </w:rPr>
        <w:t>未计入</w:t>
      </w:r>
      <w:r>
        <w:rPr>
          <w:rFonts w:hint="eastAsia" w:ascii="宋体" w:hAnsi="宋体"/>
          <w:sz w:val="30"/>
          <w:szCs w:val="30"/>
        </w:rPr>
        <w:t>），占建设用地的</w:t>
      </w:r>
      <w:r>
        <w:rPr>
          <w:rFonts w:ascii="宋体" w:hAnsi="宋体"/>
          <w:sz w:val="30"/>
          <w:szCs w:val="30"/>
        </w:rPr>
        <w:t>16.43</w:t>
      </w:r>
      <w:r>
        <w:rPr>
          <w:rFonts w:hint="eastAsia" w:ascii="宋体" w:hAnsi="宋体"/>
          <w:sz w:val="30"/>
          <w:szCs w:val="30"/>
        </w:rPr>
        <w:t>%。</w:t>
      </w:r>
    </w:p>
    <w:p w14:paraId="73A7BAC5">
      <w:pPr>
        <w:tabs>
          <w:tab w:val="left" w:pos="8280"/>
        </w:tabs>
        <w:spacing w:line="680" w:lineRule="exact"/>
        <w:ind w:right="-31" w:firstLine="600"/>
        <w:rPr>
          <w:rFonts w:hint="eastAsia" w:ascii="宋体" w:hAnsi="宋体"/>
          <w:sz w:val="30"/>
          <w:szCs w:val="30"/>
        </w:rPr>
      </w:pPr>
      <w:r>
        <w:rPr>
          <w:rFonts w:hint="eastAsia" w:ascii="宋体" w:hAnsi="宋体"/>
          <w:sz w:val="30"/>
          <w:szCs w:val="30"/>
        </w:rPr>
        <w:t>1、生态林地</w:t>
      </w:r>
    </w:p>
    <w:p w14:paraId="0BACF45B">
      <w:pPr>
        <w:tabs>
          <w:tab w:val="left" w:pos="8280"/>
        </w:tabs>
        <w:spacing w:line="680" w:lineRule="exact"/>
        <w:ind w:right="-31" w:firstLine="600"/>
        <w:rPr>
          <w:rFonts w:hint="eastAsia" w:ascii="宋体" w:hAnsi="宋体"/>
          <w:sz w:val="30"/>
          <w:szCs w:val="30"/>
        </w:rPr>
      </w:pPr>
      <w:r>
        <w:rPr>
          <w:rFonts w:hint="eastAsia" w:ascii="宋体" w:hAnsi="宋体"/>
          <w:sz w:val="30"/>
          <w:szCs w:val="30"/>
        </w:rPr>
        <w:t>规划区结合现有自然地理环境，</w:t>
      </w:r>
      <w:r>
        <w:rPr>
          <w:rFonts w:ascii="宋体" w:hAnsi="宋体"/>
          <w:sz w:val="30"/>
          <w:szCs w:val="30"/>
        </w:rPr>
        <w:t>以碧山湖为核心，</w:t>
      </w:r>
      <w:r>
        <w:rPr>
          <w:rFonts w:hint="eastAsia" w:ascii="宋体" w:hAnsi="宋体"/>
          <w:sz w:val="30"/>
          <w:szCs w:val="30"/>
        </w:rPr>
        <w:t>在中部</w:t>
      </w:r>
      <w:r>
        <w:rPr>
          <w:rFonts w:ascii="宋体" w:hAnsi="宋体"/>
          <w:sz w:val="30"/>
          <w:szCs w:val="30"/>
        </w:rPr>
        <w:t>形成一片</w:t>
      </w:r>
      <w:r>
        <w:rPr>
          <w:rFonts w:hint="eastAsia" w:ascii="宋体" w:hAnsi="宋体"/>
          <w:sz w:val="30"/>
          <w:szCs w:val="30"/>
        </w:rPr>
        <w:t>自然</w:t>
      </w:r>
      <w:r>
        <w:rPr>
          <w:rFonts w:ascii="宋体" w:hAnsi="宋体"/>
          <w:sz w:val="30"/>
          <w:szCs w:val="30"/>
        </w:rPr>
        <w:t>生态林地</w:t>
      </w:r>
      <w:r>
        <w:rPr>
          <w:rFonts w:hint="eastAsia" w:ascii="宋体" w:hAnsi="宋体"/>
          <w:sz w:val="30"/>
          <w:szCs w:val="30"/>
        </w:rPr>
        <w:t>。</w:t>
      </w:r>
    </w:p>
    <w:p w14:paraId="740A3BAC">
      <w:pPr>
        <w:tabs>
          <w:tab w:val="left" w:pos="8280"/>
        </w:tabs>
        <w:spacing w:line="680" w:lineRule="exact"/>
        <w:ind w:right="-31" w:firstLine="600"/>
        <w:rPr>
          <w:rFonts w:hint="eastAsia" w:ascii="宋体" w:hAnsi="宋体"/>
          <w:sz w:val="30"/>
          <w:szCs w:val="30"/>
        </w:rPr>
      </w:pPr>
      <w:r>
        <w:rPr>
          <w:rFonts w:hint="eastAsia" w:ascii="宋体" w:hAnsi="宋体"/>
          <w:sz w:val="30"/>
          <w:szCs w:val="30"/>
        </w:rPr>
        <w:t>2、公园绿地</w:t>
      </w:r>
    </w:p>
    <w:p w14:paraId="4AF5EBE8">
      <w:pPr>
        <w:tabs>
          <w:tab w:val="left" w:pos="8280"/>
        </w:tabs>
        <w:spacing w:line="680" w:lineRule="exact"/>
        <w:ind w:right="-31" w:firstLine="600"/>
        <w:rPr>
          <w:rFonts w:hint="eastAsia" w:ascii="宋体" w:hAnsi="宋体"/>
          <w:sz w:val="30"/>
          <w:szCs w:val="30"/>
        </w:rPr>
      </w:pPr>
      <w:r>
        <w:rPr>
          <w:rFonts w:hint="eastAsia" w:ascii="宋体" w:hAnsi="宋体"/>
          <w:sz w:val="30"/>
          <w:szCs w:val="30"/>
        </w:rPr>
        <w:t>规划沿佛光路</w:t>
      </w:r>
      <w:r>
        <w:rPr>
          <w:rFonts w:ascii="宋体" w:hAnsi="宋体"/>
          <w:sz w:val="30"/>
          <w:szCs w:val="30"/>
        </w:rPr>
        <w:t>、</w:t>
      </w:r>
      <w:r>
        <w:rPr>
          <w:rFonts w:hint="eastAsia" w:ascii="宋体" w:hAnsi="宋体"/>
          <w:sz w:val="30"/>
          <w:szCs w:val="30"/>
        </w:rPr>
        <w:t>碧山路（岷江二桥至泥溪河段）两侧各控制15米宽的</w:t>
      </w:r>
      <w:r>
        <w:rPr>
          <w:rFonts w:ascii="宋体" w:hAnsi="宋体"/>
          <w:sz w:val="30"/>
          <w:szCs w:val="30"/>
        </w:rPr>
        <w:t>公园</w:t>
      </w:r>
      <w:r>
        <w:rPr>
          <w:rFonts w:hint="eastAsia" w:ascii="宋体" w:hAnsi="宋体"/>
          <w:sz w:val="30"/>
          <w:szCs w:val="30"/>
        </w:rPr>
        <w:t>绿地，与牟子片区</w:t>
      </w:r>
      <w:r>
        <w:rPr>
          <w:rFonts w:ascii="宋体" w:hAnsi="宋体"/>
          <w:sz w:val="30"/>
          <w:szCs w:val="30"/>
        </w:rPr>
        <w:t>道路绿化</w:t>
      </w:r>
      <w:r>
        <w:rPr>
          <w:rFonts w:hint="eastAsia" w:ascii="宋体" w:hAnsi="宋体"/>
          <w:sz w:val="30"/>
          <w:szCs w:val="30"/>
        </w:rPr>
        <w:t>相协调；沿</w:t>
      </w:r>
      <w:r>
        <w:rPr>
          <w:rFonts w:ascii="宋体" w:hAnsi="宋体"/>
          <w:sz w:val="30"/>
          <w:szCs w:val="30"/>
        </w:rPr>
        <w:t>任家坝冲溪沟</w:t>
      </w:r>
      <w:r>
        <w:rPr>
          <w:rFonts w:hint="eastAsia" w:ascii="宋体" w:hAnsi="宋体"/>
          <w:sz w:val="30"/>
          <w:szCs w:val="30"/>
        </w:rPr>
        <w:t>等河流两侧控制不等宽的滨水绿地；岷江大桥桥头、</w:t>
      </w:r>
      <w:r>
        <w:rPr>
          <w:rFonts w:ascii="宋体" w:hAnsi="宋体"/>
          <w:sz w:val="30"/>
          <w:szCs w:val="30"/>
        </w:rPr>
        <w:t>龙泓</w:t>
      </w:r>
      <w:r>
        <w:rPr>
          <w:rFonts w:hint="eastAsia" w:ascii="宋体" w:hAnsi="宋体"/>
          <w:sz w:val="30"/>
          <w:szCs w:val="30"/>
        </w:rPr>
        <w:t>寺</w:t>
      </w:r>
      <w:r>
        <w:rPr>
          <w:rFonts w:ascii="宋体" w:hAnsi="宋体"/>
          <w:sz w:val="30"/>
          <w:szCs w:val="30"/>
        </w:rPr>
        <w:t>周边</w:t>
      </w:r>
      <w:r>
        <w:rPr>
          <w:rFonts w:hint="eastAsia" w:ascii="宋体" w:hAnsi="宋体"/>
          <w:sz w:val="30"/>
          <w:szCs w:val="30"/>
        </w:rPr>
        <w:t>布置块状公共绿地。</w:t>
      </w:r>
    </w:p>
    <w:p w14:paraId="5B49DE70">
      <w:pPr>
        <w:tabs>
          <w:tab w:val="left" w:pos="8280"/>
        </w:tabs>
        <w:spacing w:line="680" w:lineRule="exact"/>
        <w:ind w:right="-31" w:firstLine="600"/>
        <w:rPr>
          <w:rFonts w:hint="eastAsia" w:ascii="宋体" w:hAnsi="宋体"/>
          <w:sz w:val="30"/>
          <w:szCs w:val="30"/>
        </w:rPr>
      </w:pPr>
      <w:r>
        <w:rPr>
          <w:rFonts w:hint="eastAsia" w:ascii="宋体" w:hAnsi="宋体"/>
          <w:sz w:val="30"/>
          <w:szCs w:val="30"/>
        </w:rPr>
        <w:t>为打造滨水空间环境，规划沿岷江一侧结合大佛景区北大门形成一条吸纳水体景观，为市民及游客提供休闲、游憩的“城市滨江景观休闲带”。滨江景观休闲带南接大佛博物馆前广场，北端接滨江绿地延伸至岷江二桥，其建设按岷江水域控制线总宽控制，即考虑排洪、防护等因素，又充分利用现状自然用地。规划保持临江自然生态河堤，根据防洪需要将部分地段改造成为复式生态河堤。整个滨江绿地又通过4条小溪流生态廊道延伸至东部自然山体，将岷江与东部自然山体联系在一起，拉近了山水的距离，更使城市基质融入山水之间，达到山、水、自然、城市、人和谐统一的完美空间环境，充分展现乐山城市魅力。</w:t>
      </w:r>
    </w:p>
    <w:p w14:paraId="1E6A4F29">
      <w:pPr>
        <w:tabs>
          <w:tab w:val="left" w:pos="8280"/>
        </w:tabs>
        <w:spacing w:line="680" w:lineRule="exact"/>
        <w:ind w:right="-31" w:firstLine="600"/>
        <w:rPr>
          <w:rFonts w:hint="eastAsia" w:ascii="宋体" w:hAnsi="宋体"/>
          <w:sz w:val="30"/>
          <w:szCs w:val="30"/>
        </w:rPr>
      </w:pPr>
      <w:r>
        <w:rPr>
          <w:rFonts w:hint="eastAsia" w:ascii="宋体" w:hAnsi="宋体"/>
          <w:sz w:val="30"/>
          <w:szCs w:val="30"/>
        </w:rPr>
        <w:t>3、防护绿地</w:t>
      </w:r>
    </w:p>
    <w:p w14:paraId="5DEE091A">
      <w:pPr>
        <w:tabs>
          <w:tab w:val="left" w:pos="8280"/>
        </w:tabs>
        <w:spacing w:line="680" w:lineRule="exact"/>
        <w:ind w:right="-31" w:firstLine="600"/>
        <w:rPr>
          <w:rFonts w:hint="eastAsia" w:ascii="宋体" w:hAnsi="宋体"/>
          <w:sz w:val="30"/>
          <w:szCs w:val="30"/>
        </w:rPr>
      </w:pPr>
      <w:r>
        <w:rPr>
          <w:rFonts w:hint="eastAsia" w:ascii="宋体" w:hAnsi="宋体"/>
          <w:sz w:val="30"/>
          <w:szCs w:val="30"/>
        </w:rPr>
        <w:t>为</w:t>
      </w:r>
      <w:r>
        <w:rPr>
          <w:rFonts w:ascii="宋体" w:hAnsi="宋体"/>
          <w:sz w:val="30"/>
          <w:szCs w:val="30"/>
        </w:rPr>
        <w:t>减少交通干道对片区居民生活</w:t>
      </w:r>
      <w:r>
        <w:rPr>
          <w:rFonts w:hint="eastAsia" w:ascii="宋体" w:hAnsi="宋体"/>
          <w:sz w:val="30"/>
          <w:szCs w:val="30"/>
        </w:rPr>
        <w:t>的干扰</w:t>
      </w:r>
      <w:r>
        <w:rPr>
          <w:rFonts w:ascii="宋体" w:hAnsi="宋体"/>
          <w:sz w:val="30"/>
          <w:szCs w:val="30"/>
        </w:rPr>
        <w:t>，</w:t>
      </w:r>
      <w:r>
        <w:rPr>
          <w:rFonts w:hint="eastAsia" w:ascii="宋体" w:hAnsi="宋体"/>
          <w:sz w:val="30"/>
          <w:szCs w:val="30"/>
        </w:rPr>
        <w:t>规划</w:t>
      </w:r>
      <w:r>
        <w:rPr>
          <w:rFonts w:ascii="宋体" w:hAnsi="宋体"/>
          <w:sz w:val="30"/>
          <w:szCs w:val="30"/>
        </w:rPr>
        <w:t>在</w:t>
      </w:r>
      <w:r>
        <w:rPr>
          <w:rFonts w:hint="eastAsia" w:ascii="宋体" w:hAnsi="宋体"/>
          <w:sz w:val="30"/>
          <w:szCs w:val="30"/>
        </w:rPr>
        <w:t>山龙路</w:t>
      </w:r>
      <w:r>
        <w:rPr>
          <w:rFonts w:ascii="宋体" w:hAnsi="宋体"/>
          <w:sz w:val="30"/>
          <w:szCs w:val="30"/>
        </w:rPr>
        <w:t>北侧控制38</w:t>
      </w:r>
      <w:r>
        <w:rPr>
          <w:rFonts w:hint="eastAsia" w:ascii="宋体" w:hAnsi="宋体"/>
          <w:sz w:val="30"/>
          <w:szCs w:val="30"/>
        </w:rPr>
        <w:t>米</w:t>
      </w:r>
      <w:r>
        <w:rPr>
          <w:rFonts w:ascii="宋体" w:hAnsi="宋体"/>
          <w:sz w:val="30"/>
          <w:szCs w:val="30"/>
        </w:rPr>
        <w:t>宽的绿化防护带</w:t>
      </w:r>
      <w:r>
        <w:rPr>
          <w:rFonts w:hint="eastAsia" w:ascii="宋体" w:hAnsi="宋体"/>
          <w:sz w:val="30"/>
          <w:szCs w:val="30"/>
        </w:rPr>
        <w:t>，在上</w:t>
      </w:r>
      <w:r>
        <w:rPr>
          <w:rFonts w:ascii="宋体" w:hAnsi="宋体"/>
          <w:sz w:val="30"/>
          <w:szCs w:val="30"/>
        </w:rPr>
        <w:t>致江</w:t>
      </w:r>
      <w:r>
        <w:rPr>
          <w:rFonts w:hint="eastAsia" w:ascii="宋体" w:hAnsi="宋体"/>
          <w:sz w:val="30"/>
          <w:szCs w:val="30"/>
        </w:rPr>
        <w:t>桥的</w:t>
      </w:r>
      <w:r>
        <w:rPr>
          <w:rFonts w:ascii="宋体" w:hAnsi="宋体"/>
          <w:sz w:val="30"/>
          <w:szCs w:val="30"/>
        </w:rPr>
        <w:t>引道</w:t>
      </w:r>
      <w:r>
        <w:rPr>
          <w:rFonts w:hint="eastAsia" w:ascii="宋体" w:hAnsi="宋体"/>
          <w:sz w:val="30"/>
          <w:szCs w:val="30"/>
        </w:rPr>
        <w:t>两侧</w:t>
      </w:r>
      <w:r>
        <w:rPr>
          <w:rFonts w:ascii="宋体" w:hAnsi="宋体"/>
          <w:sz w:val="30"/>
          <w:szCs w:val="30"/>
        </w:rPr>
        <w:t>各控制</w:t>
      </w:r>
      <w:r>
        <w:rPr>
          <w:rFonts w:hint="eastAsia" w:ascii="宋体" w:hAnsi="宋体"/>
          <w:sz w:val="30"/>
          <w:szCs w:val="30"/>
        </w:rPr>
        <w:t>15米</w:t>
      </w:r>
      <w:r>
        <w:rPr>
          <w:rFonts w:ascii="宋体" w:hAnsi="宋体"/>
          <w:sz w:val="30"/>
          <w:szCs w:val="30"/>
        </w:rPr>
        <w:t>宽的绿化防护带</w:t>
      </w:r>
      <w:r>
        <w:rPr>
          <w:rFonts w:hint="eastAsia" w:ascii="宋体" w:hAnsi="宋体"/>
          <w:sz w:val="30"/>
          <w:szCs w:val="30"/>
        </w:rPr>
        <w:t>。</w:t>
      </w:r>
    </w:p>
    <w:p w14:paraId="0EBB279F">
      <w:pPr>
        <w:tabs>
          <w:tab w:val="left" w:pos="8280"/>
        </w:tabs>
        <w:spacing w:line="680" w:lineRule="exact"/>
        <w:ind w:right="-31" w:firstLine="600"/>
        <w:rPr>
          <w:rFonts w:ascii="宋体" w:hAnsi="宋体"/>
          <w:sz w:val="30"/>
          <w:szCs w:val="30"/>
        </w:rPr>
      </w:pPr>
      <w:r>
        <w:rPr>
          <w:rFonts w:ascii="宋体" w:hAnsi="宋体"/>
          <w:sz w:val="30"/>
          <w:szCs w:val="30"/>
        </w:rPr>
        <w:t>4</w:t>
      </w:r>
      <w:r>
        <w:rPr>
          <w:rFonts w:hint="eastAsia" w:ascii="宋体" w:hAnsi="宋体"/>
          <w:sz w:val="30"/>
          <w:szCs w:val="30"/>
        </w:rPr>
        <w:t>、广场用地</w:t>
      </w:r>
    </w:p>
    <w:p w14:paraId="0459A335">
      <w:pPr>
        <w:tabs>
          <w:tab w:val="left" w:pos="8280"/>
        </w:tabs>
        <w:spacing w:line="680" w:lineRule="exact"/>
        <w:ind w:right="-31" w:firstLine="600"/>
        <w:rPr>
          <w:rFonts w:hint="eastAsia" w:ascii="宋体" w:hAnsi="宋体"/>
          <w:sz w:val="30"/>
          <w:szCs w:val="30"/>
        </w:rPr>
      </w:pPr>
      <w:r>
        <w:rPr>
          <w:rFonts w:hint="eastAsia" w:ascii="宋体" w:hAnsi="宋体"/>
          <w:sz w:val="30"/>
          <w:szCs w:val="30"/>
        </w:rPr>
        <w:t>规划</w:t>
      </w:r>
      <w:r>
        <w:rPr>
          <w:rFonts w:ascii="宋体" w:hAnsi="宋体"/>
          <w:sz w:val="30"/>
          <w:szCs w:val="30"/>
        </w:rPr>
        <w:t>结合片区各小区中心区域设置广场用地</w:t>
      </w:r>
      <w:r>
        <w:rPr>
          <w:rFonts w:hint="eastAsia" w:ascii="宋体" w:hAnsi="宋体"/>
          <w:sz w:val="30"/>
          <w:szCs w:val="30"/>
        </w:rPr>
        <w:t>，</w:t>
      </w:r>
      <w:r>
        <w:rPr>
          <w:rFonts w:ascii="宋体" w:hAnsi="宋体"/>
          <w:sz w:val="30"/>
          <w:szCs w:val="30"/>
        </w:rPr>
        <w:t>为片区居民提供休闲、游憩的公共活动场地。</w:t>
      </w:r>
    </w:p>
    <w:p w14:paraId="0CCBAA1E">
      <w:pPr>
        <w:pStyle w:val="4"/>
        <w:spacing w:line="640" w:lineRule="exact"/>
        <w:rPr>
          <w:rFonts w:hint="eastAsia" w:ascii="黑体" w:eastAsia="黑体"/>
        </w:rPr>
      </w:pPr>
      <w:bookmarkStart w:id="704" w:name="_Toc216520022"/>
      <w:bookmarkStart w:id="705" w:name="_Toc6394684"/>
      <w:bookmarkStart w:id="706" w:name="_Toc348965227"/>
      <w:r>
        <w:rPr>
          <w:rFonts w:hint="eastAsia" w:ascii="黑体" w:eastAsia="黑体"/>
        </w:rPr>
        <w:t>二、景观系统规划</w:t>
      </w:r>
      <w:bookmarkEnd w:id="704"/>
      <w:bookmarkEnd w:id="705"/>
      <w:bookmarkEnd w:id="706"/>
    </w:p>
    <w:p w14:paraId="421EF61C">
      <w:pPr>
        <w:tabs>
          <w:tab w:val="left" w:pos="8280"/>
        </w:tabs>
        <w:spacing w:line="680" w:lineRule="exact"/>
        <w:ind w:right="-31" w:firstLine="600"/>
        <w:rPr>
          <w:rFonts w:hint="eastAsia" w:ascii="宋体" w:hAnsi="宋体"/>
          <w:sz w:val="30"/>
          <w:szCs w:val="30"/>
        </w:rPr>
      </w:pPr>
      <w:r>
        <w:rPr>
          <w:rFonts w:hint="eastAsia" w:ascii="宋体" w:hAnsi="宋体"/>
          <w:sz w:val="30"/>
          <w:szCs w:val="30"/>
        </w:rPr>
        <w:t>规划结合岷江东岸片区的地理区位和绿地系统的布局，精心组织各景观轴线和建筑空间，形成开敞空间与封闭空间相对应的重点突出、整体统一、充满滨江休闲气息的城市景观。景观系统由多条不同特色的景观轴（带）及各特色景观区组成。</w:t>
      </w:r>
    </w:p>
    <w:p w14:paraId="5EC4676D">
      <w:pPr>
        <w:tabs>
          <w:tab w:val="left" w:pos="8280"/>
        </w:tabs>
        <w:spacing w:line="680" w:lineRule="exact"/>
        <w:ind w:right="-31" w:firstLine="600"/>
        <w:rPr>
          <w:rFonts w:hint="eastAsia" w:ascii="宋体" w:hAnsi="宋体"/>
          <w:b/>
          <w:sz w:val="30"/>
          <w:szCs w:val="30"/>
        </w:rPr>
      </w:pPr>
      <w:r>
        <w:rPr>
          <w:rFonts w:hint="eastAsia" w:ascii="宋体" w:hAnsi="宋体"/>
          <w:b/>
          <w:sz w:val="30"/>
          <w:szCs w:val="30"/>
        </w:rPr>
        <w:t>(一)景观区</w:t>
      </w:r>
    </w:p>
    <w:p w14:paraId="33E463AA">
      <w:pPr>
        <w:tabs>
          <w:tab w:val="left" w:pos="8280"/>
        </w:tabs>
        <w:spacing w:line="680" w:lineRule="exact"/>
        <w:ind w:right="-31" w:firstLine="600"/>
        <w:rPr>
          <w:rFonts w:hint="eastAsia" w:ascii="宋体" w:hAnsi="宋体"/>
          <w:sz w:val="30"/>
          <w:szCs w:val="30"/>
        </w:rPr>
      </w:pPr>
      <w:r>
        <w:rPr>
          <w:rFonts w:hint="eastAsia" w:ascii="宋体" w:hAnsi="宋体"/>
          <w:sz w:val="30"/>
          <w:szCs w:val="30"/>
        </w:rPr>
        <w:t>规划结合用地布局，形成三大景观区，即公共设施景观区、生态居住景观区和自然生态景观区。</w:t>
      </w:r>
    </w:p>
    <w:p w14:paraId="65F53D64">
      <w:pPr>
        <w:tabs>
          <w:tab w:val="left" w:pos="8280"/>
        </w:tabs>
        <w:spacing w:line="680" w:lineRule="exact"/>
        <w:ind w:right="-31" w:firstLine="600"/>
        <w:rPr>
          <w:rFonts w:hint="eastAsia" w:ascii="宋体" w:hAnsi="宋体"/>
          <w:sz w:val="30"/>
          <w:szCs w:val="30"/>
        </w:rPr>
      </w:pPr>
      <w:r>
        <w:rPr>
          <w:rFonts w:hint="eastAsia" w:ascii="宋体" w:hAnsi="宋体"/>
          <w:sz w:val="30"/>
          <w:szCs w:val="30"/>
        </w:rPr>
        <w:t>1、公共设施景观区</w:t>
      </w:r>
    </w:p>
    <w:p w14:paraId="2CC79BDA">
      <w:pPr>
        <w:tabs>
          <w:tab w:val="left" w:pos="8280"/>
        </w:tabs>
        <w:spacing w:line="680" w:lineRule="exact"/>
        <w:ind w:right="-31" w:firstLine="600"/>
        <w:rPr>
          <w:rFonts w:hint="eastAsia" w:ascii="宋体" w:hAnsi="宋体"/>
          <w:sz w:val="30"/>
          <w:szCs w:val="30"/>
        </w:rPr>
      </w:pPr>
      <w:r>
        <w:rPr>
          <w:rFonts w:hint="eastAsia" w:ascii="宋体" w:hAnsi="宋体"/>
          <w:sz w:val="30"/>
          <w:szCs w:val="30"/>
        </w:rPr>
        <w:t>片区南北两个居住小区中心</w:t>
      </w:r>
      <w:r>
        <w:rPr>
          <w:rFonts w:ascii="宋体" w:hAnsi="宋体"/>
          <w:sz w:val="30"/>
          <w:szCs w:val="30"/>
        </w:rPr>
        <w:t>区域，结合</w:t>
      </w:r>
      <w:r>
        <w:rPr>
          <w:rFonts w:hint="eastAsia" w:ascii="宋体" w:hAnsi="宋体"/>
          <w:sz w:val="30"/>
          <w:szCs w:val="30"/>
        </w:rPr>
        <w:t>区域</w:t>
      </w:r>
      <w:r>
        <w:rPr>
          <w:rFonts w:ascii="宋体" w:hAnsi="宋体"/>
          <w:sz w:val="30"/>
          <w:szCs w:val="30"/>
        </w:rPr>
        <w:t>旅游</w:t>
      </w:r>
      <w:r>
        <w:rPr>
          <w:rFonts w:hint="eastAsia" w:ascii="宋体" w:hAnsi="宋体"/>
          <w:sz w:val="30"/>
          <w:szCs w:val="30"/>
        </w:rPr>
        <w:t>配套</w:t>
      </w:r>
      <w:r>
        <w:rPr>
          <w:rFonts w:ascii="宋体" w:hAnsi="宋体"/>
          <w:sz w:val="30"/>
          <w:szCs w:val="30"/>
        </w:rPr>
        <w:t>服务、</w:t>
      </w:r>
      <w:r>
        <w:rPr>
          <w:rFonts w:hint="eastAsia" w:ascii="宋体" w:hAnsi="宋体"/>
          <w:sz w:val="30"/>
          <w:szCs w:val="30"/>
        </w:rPr>
        <w:t>片区生活配套服务设置公共服务设施，形成展示新区风貌、提供城市服务功能的公共建筑景观区。</w:t>
      </w:r>
    </w:p>
    <w:p w14:paraId="14C438C5">
      <w:pPr>
        <w:tabs>
          <w:tab w:val="left" w:pos="8280"/>
        </w:tabs>
        <w:spacing w:line="680" w:lineRule="exact"/>
        <w:ind w:right="-31" w:firstLine="600"/>
        <w:rPr>
          <w:rFonts w:hint="eastAsia" w:ascii="宋体" w:hAnsi="宋体"/>
          <w:sz w:val="30"/>
          <w:szCs w:val="30"/>
        </w:rPr>
      </w:pPr>
      <w:r>
        <w:rPr>
          <w:rFonts w:hint="eastAsia" w:ascii="宋体" w:hAnsi="宋体"/>
          <w:sz w:val="30"/>
          <w:szCs w:val="30"/>
        </w:rPr>
        <w:t>2、生态居住景观区</w:t>
      </w:r>
    </w:p>
    <w:p w14:paraId="270B2774">
      <w:pPr>
        <w:tabs>
          <w:tab w:val="left" w:pos="8280"/>
        </w:tabs>
        <w:spacing w:line="680" w:lineRule="exact"/>
        <w:ind w:right="-31" w:firstLine="600"/>
        <w:rPr>
          <w:rFonts w:hint="eastAsia" w:ascii="宋体" w:hAnsi="宋体"/>
          <w:sz w:val="30"/>
          <w:szCs w:val="30"/>
        </w:rPr>
      </w:pPr>
      <w:r>
        <w:rPr>
          <w:rFonts w:hint="eastAsia" w:ascii="宋体" w:hAnsi="宋体"/>
          <w:sz w:val="30"/>
          <w:szCs w:val="30"/>
        </w:rPr>
        <w:t>在片区南、北两个居住小区，形成富有乐山地方民居特色，与山水共融于一体的生态居住景观区。</w:t>
      </w:r>
    </w:p>
    <w:p w14:paraId="30A9AEB5">
      <w:pPr>
        <w:tabs>
          <w:tab w:val="left" w:pos="8280"/>
        </w:tabs>
        <w:spacing w:line="680" w:lineRule="exact"/>
        <w:ind w:right="-31" w:firstLine="600"/>
        <w:rPr>
          <w:rFonts w:hint="eastAsia" w:ascii="宋体" w:hAnsi="宋体"/>
          <w:sz w:val="30"/>
          <w:szCs w:val="30"/>
        </w:rPr>
      </w:pPr>
      <w:r>
        <w:rPr>
          <w:rFonts w:hint="eastAsia" w:ascii="宋体" w:hAnsi="宋体"/>
          <w:sz w:val="30"/>
          <w:szCs w:val="30"/>
        </w:rPr>
        <w:t>3、自然生态景观区</w:t>
      </w:r>
    </w:p>
    <w:p w14:paraId="7198BFAE">
      <w:pPr>
        <w:tabs>
          <w:tab w:val="left" w:pos="8280"/>
        </w:tabs>
        <w:spacing w:line="680" w:lineRule="exact"/>
        <w:ind w:right="-31" w:firstLine="600"/>
        <w:rPr>
          <w:rFonts w:hint="eastAsia" w:ascii="宋体" w:hAnsi="宋体"/>
          <w:sz w:val="30"/>
          <w:szCs w:val="30"/>
        </w:rPr>
      </w:pPr>
      <w:r>
        <w:rPr>
          <w:rFonts w:hint="eastAsia" w:ascii="宋体" w:hAnsi="宋体"/>
          <w:sz w:val="30"/>
          <w:szCs w:val="30"/>
        </w:rPr>
        <w:t>根据乐山市总体规划要求，控制城市建成区向东发展，加之规划区内有大片用地属于不可建设用地，为与乐山大佛景区相协调，规划保留了片区大片自然生态绿地，形成一片具有自然生态景观特征的区域，充分体现山水田园城市的特色。</w:t>
      </w:r>
    </w:p>
    <w:p w14:paraId="47B13C53">
      <w:pPr>
        <w:tabs>
          <w:tab w:val="left" w:pos="8280"/>
        </w:tabs>
        <w:spacing w:line="680" w:lineRule="exact"/>
        <w:ind w:right="-31" w:firstLine="600"/>
        <w:rPr>
          <w:rFonts w:hint="eastAsia" w:ascii="宋体" w:hAnsi="宋体"/>
          <w:b/>
          <w:sz w:val="30"/>
          <w:szCs w:val="30"/>
        </w:rPr>
      </w:pPr>
      <w:r>
        <w:rPr>
          <w:rFonts w:hint="eastAsia" w:ascii="宋体" w:hAnsi="宋体"/>
          <w:b/>
          <w:sz w:val="30"/>
          <w:szCs w:val="30"/>
        </w:rPr>
        <w:t>(二)景观带</w:t>
      </w:r>
    </w:p>
    <w:p w14:paraId="656C9E38">
      <w:pPr>
        <w:tabs>
          <w:tab w:val="left" w:pos="8280"/>
        </w:tabs>
        <w:spacing w:line="680" w:lineRule="exact"/>
        <w:ind w:right="-31" w:firstLine="600"/>
        <w:rPr>
          <w:rFonts w:hint="eastAsia" w:ascii="宋体" w:hAnsi="宋体"/>
          <w:sz w:val="30"/>
          <w:szCs w:val="30"/>
        </w:rPr>
      </w:pPr>
      <w:r>
        <w:rPr>
          <w:rFonts w:ascii="宋体" w:hAnsi="宋体"/>
          <w:sz w:val="30"/>
          <w:szCs w:val="30"/>
        </w:rPr>
        <w:t>1</w:t>
      </w:r>
      <w:r>
        <w:rPr>
          <w:rFonts w:hint="eastAsia" w:ascii="宋体" w:hAnsi="宋体"/>
          <w:sz w:val="30"/>
          <w:szCs w:val="30"/>
        </w:rPr>
        <w:t>、休闲观光景观带</w:t>
      </w:r>
    </w:p>
    <w:p w14:paraId="0CF2D6ED">
      <w:pPr>
        <w:tabs>
          <w:tab w:val="left" w:pos="8280"/>
        </w:tabs>
        <w:spacing w:line="680" w:lineRule="exact"/>
        <w:ind w:right="-31" w:firstLine="600"/>
        <w:rPr>
          <w:rFonts w:hint="eastAsia" w:ascii="宋体" w:hAnsi="宋体"/>
          <w:sz w:val="30"/>
          <w:szCs w:val="30"/>
        </w:rPr>
      </w:pPr>
      <w:r>
        <w:rPr>
          <w:rFonts w:hint="eastAsia" w:ascii="宋体" w:hAnsi="宋体"/>
          <w:sz w:val="30"/>
          <w:szCs w:val="30"/>
        </w:rPr>
        <w:t>本片区依山傍水，非常具有休闲观光的空间环境条件。规划将碧山</w:t>
      </w:r>
      <w:r>
        <w:rPr>
          <w:rFonts w:ascii="宋体" w:hAnsi="宋体"/>
          <w:sz w:val="30"/>
          <w:szCs w:val="30"/>
        </w:rPr>
        <w:t>路</w:t>
      </w:r>
      <w:r>
        <w:rPr>
          <w:rFonts w:hint="eastAsia" w:ascii="宋体" w:hAnsi="宋体"/>
          <w:sz w:val="30"/>
          <w:szCs w:val="30"/>
        </w:rPr>
        <w:t>沿线作为休闲观光景观带，通过对道路两侧绿带、沿线建筑及小品在空间、色彩、造型等方面的综合设计，使其成为展现岷江东岸滨水景观环境的</w:t>
      </w:r>
      <w:r>
        <w:rPr>
          <w:rFonts w:ascii="宋体" w:hAnsi="宋体"/>
          <w:sz w:val="30"/>
          <w:szCs w:val="30"/>
        </w:rPr>
        <w:t>重点地</w:t>
      </w:r>
      <w:r>
        <w:rPr>
          <w:rFonts w:hint="eastAsia" w:ascii="宋体" w:hAnsi="宋体"/>
          <w:sz w:val="30"/>
          <w:szCs w:val="30"/>
        </w:rPr>
        <w:t>段。</w:t>
      </w:r>
    </w:p>
    <w:p w14:paraId="62759256">
      <w:pPr>
        <w:tabs>
          <w:tab w:val="left" w:pos="8280"/>
        </w:tabs>
        <w:spacing w:line="680" w:lineRule="exact"/>
        <w:ind w:right="-31" w:firstLine="600"/>
        <w:rPr>
          <w:rFonts w:hint="eastAsia" w:ascii="宋体" w:hAnsi="宋体"/>
          <w:sz w:val="30"/>
          <w:szCs w:val="30"/>
        </w:rPr>
      </w:pPr>
      <w:r>
        <w:rPr>
          <w:rFonts w:hint="eastAsia" w:ascii="宋体" w:hAnsi="宋体"/>
          <w:sz w:val="30"/>
          <w:szCs w:val="30"/>
        </w:rPr>
        <w:t>2、快速景观带</w:t>
      </w:r>
    </w:p>
    <w:p w14:paraId="30BAF6F2">
      <w:pPr>
        <w:tabs>
          <w:tab w:val="left" w:pos="8280"/>
        </w:tabs>
        <w:spacing w:line="680" w:lineRule="exact"/>
        <w:ind w:right="-31" w:firstLine="600"/>
        <w:rPr>
          <w:rFonts w:hint="eastAsia" w:ascii="宋体" w:hAnsi="宋体"/>
          <w:sz w:val="30"/>
          <w:szCs w:val="30"/>
        </w:rPr>
      </w:pPr>
      <w:r>
        <w:rPr>
          <w:rFonts w:hint="eastAsia" w:ascii="宋体" w:hAnsi="宋体"/>
          <w:sz w:val="30"/>
          <w:szCs w:val="30"/>
        </w:rPr>
        <w:t>规划将岷江东岸片区东侧外围国道348线作为片区快速景观道路，结合其两侧布置的自然防护绿带，形成片区的绿色快速景观带。</w:t>
      </w:r>
    </w:p>
    <w:p w14:paraId="58495AE6">
      <w:pPr>
        <w:pStyle w:val="4"/>
        <w:spacing w:line="660" w:lineRule="exact"/>
        <w:rPr>
          <w:rFonts w:hint="eastAsia" w:ascii="黑体" w:eastAsia="黑体"/>
        </w:rPr>
      </w:pPr>
      <w:bookmarkStart w:id="707" w:name="_Toc6394685"/>
      <w:bookmarkStart w:id="708" w:name="_Toc348965228"/>
      <w:r>
        <w:rPr>
          <w:rFonts w:hint="eastAsia" w:ascii="黑体" w:eastAsia="黑体"/>
        </w:rPr>
        <w:t>三、空间环境设计</w:t>
      </w:r>
      <w:bookmarkEnd w:id="707"/>
      <w:bookmarkEnd w:id="708"/>
    </w:p>
    <w:p w14:paraId="61190E61">
      <w:pPr>
        <w:spacing w:line="640" w:lineRule="exact"/>
        <w:ind w:firstLine="590" w:firstLineChars="196"/>
        <w:rPr>
          <w:rFonts w:hint="eastAsia" w:ascii="宋体" w:hAnsi="宋体"/>
          <w:b/>
          <w:sz w:val="30"/>
        </w:rPr>
      </w:pPr>
      <w:r>
        <w:rPr>
          <w:rFonts w:hint="eastAsia" w:ascii="宋体" w:hAnsi="宋体"/>
          <w:b/>
          <w:sz w:val="30"/>
        </w:rPr>
        <w:t>（一）标志性建筑</w:t>
      </w:r>
    </w:p>
    <w:p w14:paraId="057258CC">
      <w:pPr>
        <w:spacing w:line="640" w:lineRule="exact"/>
        <w:ind w:firstLine="588" w:firstLineChars="196"/>
        <w:rPr>
          <w:rFonts w:hint="eastAsia" w:ascii="宋体" w:hAnsi="宋体"/>
          <w:sz w:val="30"/>
        </w:rPr>
      </w:pPr>
      <w:r>
        <w:rPr>
          <w:rFonts w:hint="eastAsia" w:ascii="宋体" w:hAnsi="宋体"/>
          <w:sz w:val="30"/>
        </w:rPr>
        <w:t>标志性建筑对片区的可识别性以及市民对场所领域的认同感有重要的作用。乐山岷江东岸片区的标志性建筑主要位于重要景观轴线上具有特别的视觉及区位的地点。规划结合景观控制点，于片区南、北两个公建中心等地方布局标志性建筑。</w:t>
      </w:r>
    </w:p>
    <w:p w14:paraId="0A371522">
      <w:pPr>
        <w:spacing w:line="640" w:lineRule="exact"/>
        <w:ind w:firstLine="590" w:firstLineChars="196"/>
        <w:rPr>
          <w:rFonts w:hint="eastAsia" w:ascii="宋体" w:hAnsi="宋体"/>
          <w:b/>
          <w:sz w:val="30"/>
        </w:rPr>
      </w:pPr>
      <w:r>
        <w:rPr>
          <w:rFonts w:hint="eastAsia" w:ascii="宋体" w:hAnsi="宋体"/>
          <w:b/>
          <w:sz w:val="30"/>
        </w:rPr>
        <w:t>（二）夜景照明设计</w:t>
      </w:r>
    </w:p>
    <w:p w14:paraId="6A308598">
      <w:pPr>
        <w:spacing w:line="640" w:lineRule="exact"/>
        <w:ind w:firstLine="588" w:firstLineChars="196"/>
        <w:rPr>
          <w:rFonts w:hint="eastAsia" w:ascii="宋体" w:hAnsi="宋体"/>
          <w:sz w:val="30"/>
        </w:rPr>
      </w:pPr>
      <w:r>
        <w:rPr>
          <w:rFonts w:hint="eastAsia" w:ascii="宋体" w:hAnsi="宋体"/>
          <w:sz w:val="30"/>
        </w:rPr>
        <w:t>照明是现代城市日益重视的城市空间美化工程措施之一，夜景照明设计应根据功能空间的不同运用不同的照明手段。</w:t>
      </w:r>
    </w:p>
    <w:p w14:paraId="2E829B67">
      <w:pPr>
        <w:spacing w:line="720" w:lineRule="exact"/>
        <w:ind w:firstLine="588" w:firstLineChars="196"/>
        <w:rPr>
          <w:rFonts w:hint="eastAsia" w:ascii="宋体" w:hAnsi="宋体"/>
          <w:sz w:val="30"/>
        </w:rPr>
      </w:pPr>
      <w:r>
        <w:rPr>
          <w:rFonts w:hint="eastAsia" w:ascii="宋体" w:hAnsi="宋体"/>
          <w:sz w:val="30"/>
        </w:rPr>
        <w:t>重点照明地段是主要的公共活动空间和人流集散空间,同时又是城市形象的重要体现点和区域标志性场所，重点照明区应针对不同的环境整体设计，并且在照明强度、时段以及风格上作出具体要求。如办公空间要体现雕塑感，商业空间体现丰富多彩的氛围感、科技文化空间体现艺术的韵律感等。片区中的各广场及景观节点为重点照明地段。</w:t>
      </w:r>
    </w:p>
    <w:p w14:paraId="1D057402">
      <w:pPr>
        <w:spacing w:line="720" w:lineRule="exact"/>
        <w:ind w:firstLine="588" w:firstLineChars="196"/>
        <w:rPr>
          <w:rFonts w:hint="eastAsia" w:ascii="宋体" w:hAnsi="宋体"/>
          <w:sz w:val="30"/>
        </w:rPr>
      </w:pPr>
      <w:r>
        <w:rPr>
          <w:rFonts w:hint="eastAsia" w:ascii="宋体" w:hAnsi="宋体"/>
          <w:sz w:val="30"/>
        </w:rPr>
        <w:t>重点照明带为滨江路、碧山路和龙泓路。其照明主要通过园林式的照明设计，在满足绿地系统使用的同时更体现“以人为本”的人本思想，利用带状的连续照明塑造美好的城市滨河景观。</w:t>
      </w:r>
    </w:p>
    <w:p w14:paraId="0F366D47">
      <w:pPr>
        <w:spacing w:line="720" w:lineRule="exact"/>
        <w:ind w:firstLine="588" w:firstLineChars="196"/>
        <w:rPr>
          <w:rFonts w:hint="eastAsia" w:ascii="宋体" w:hAnsi="宋体"/>
          <w:sz w:val="30"/>
        </w:rPr>
      </w:pPr>
      <w:r>
        <w:rPr>
          <w:rFonts w:hint="eastAsia" w:ascii="宋体" w:hAnsi="宋体"/>
          <w:sz w:val="30"/>
        </w:rPr>
        <w:t>道路照明除按规范保证视线辨别和交通安全需要以外，道路照明应体现道路等级，以具备引导和辨别的功能。</w:t>
      </w:r>
    </w:p>
    <w:p w14:paraId="1443916A">
      <w:pPr>
        <w:spacing w:line="720" w:lineRule="exact"/>
        <w:ind w:firstLine="590" w:firstLineChars="196"/>
        <w:rPr>
          <w:rFonts w:hint="eastAsia" w:ascii="宋体" w:hAnsi="宋体"/>
          <w:b/>
          <w:sz w:val="30"/>
        </w:rPr>
      </w:pPr>
      <w:r>
        <w:rPr>
          <w:rFonts w:hint="eastAsia" w:ascii="宋体" w:hAnsi="宋体"/>
          <w:b/>
          <w:sz w:val="30"/>
        </w:rPr>
        <w:t>（三）标识系统</w:t>
      </w:r>
    </w:p>
    <w:p w14:paraId="632FFF5A">
      <w:pPr>
        <w:spacing w:line="720" w:lineRule="exact"/>
        <w:ind w:firstLine="588" w:firstLineChars="196"/>
        <w:rPr>
          <w:rFonts w:hint="eastAsia" w:ascii="宋体" w:hAnsi="宋体"/>
          <w:sz w:val="30"/>
        </w:rPr>
      </w:pPr>
      <w:r>
        <w:rPr>
          <w:rFonts w:hint="eastAsia" w:ascii="宋体" w:hAnsi="宋体"/>
          <w:sz w:val="30"/>
        </w:rPr>
        <w:t>健康有序的城市空间需要一套有序明确的指示系统，以设计简洁、易识、连续和多样为特点，标识与建筑、广场、绿地、公共场所以及设施有机结合，直接反映城市品质。标识包括建筑标志系统、设施标志系统、机动车路标系统和步行道标志系统等，这些都充分体现了城市环境对人的尊重和关怀。</w:t>
      </w:r>
    </w:p>
    <w:p w14:paraId="30407B1B">
      <w:pPr>
        <w:spacing w:line="720" w:lineRule="exact"/>
        <w:ind w:firstLine="588" w:firstLineChars="196"/>
        <w:rPr>
          <w:rFonts w:hint="eastAsia" w:ascii="宋体" w:hAnsi="宋体"/>
          <w:sz w:val="30"/>
        </w:rPr>
      </w:pPr>
      <w:r>
        <w:rPr>
          <w:rFonts w:hint="eastAsia" w:ascii="宋体" w:hAnsi="宋体"/>
          <w:sz w:val="30"/>
        </w:rPr>
        <w:t>为突出城市的环境特征，避免视觉上的杂乱，一般除商业广场、步行街区和集散广场外，禁止设置固定的大中型商业广告。广告的安置不应破坏原有的建筑空间感觉和建筑立面。经规划行政主管部门同意可沿干道两侧的多层建筑设置一些造型简洁的广告牌（一般以高出地面6米为宜）；高层建筑顶部可安置霓虹灯式的广告（可附属于建筑立面，不得单独架设）；科技文化空间应以演出展览的广告为主，严禁杂乱的商业广告；办公区严禁大中型商业广告（可设置公益广告）。小型广告可结合建筑、设施、小品以及标志系统灵活设置，为丰富多彩的城市空间提供点缀。</w:t>
      </w:r>
    </w:p>
    <w:p w14:paraId="4BDFC8AD">
      <w:pPr>
        <w:spacing w:line="360" w:lineRule="auto"/>
        <w:ind w:firstLine="590" w:firstLineChars="196"/>
        <w:rPr>
          <w:rFonts w:hint="eastAsia" w:ascii="宋体" w:hAnsi="宋体"/>
          <w:b/>
          <w:sz w:val="30"/>
        </w:rPr>
      </w:pPr>
      <w:r>
        <w:rPr>
          <w:rFonts w:hint="eastAsia" w:ascii="宋体" w:hAnsi="宋体"/>
          <w:b/>
          <w:sz w:val="30"/>
        </w:rPr>
        <w:t>（四）无障碍设计</w:t>
      </w:r>
    </w:p>
    <w:p w14:paraId="67F8E891">
      <w:pPr>
        <w:spacing w:line="360" w:lineRule="auto"/>
        <w:ind w:firstLine="588" w:firstLineChars="196"/>
        <w:rPr>
          <w:rFonts w:hint="eastAsia" w:ascii="宋体" w:hAnsi="宋体"/>
          <w:sz w:val="30"/>
        </w:rPr>
      </w:pPr>
      <w:r>
        <w:rPr>
          <w:rFonts w:hint="eastAsia" w:ascii="宋体" w:hAnsi="宋体"/>
          <w:sz w:val="30"/>
        </w:rPr>
        <w:t>在片区的几个特色活动空间、步行系统、广场、公共场所和建筑物出入口等区域，有高差的地方均应设计方便步行或轮椅通行的坡道。在城市主要的人行道设置盲道。结合步行空间设计带座椅的休息场所，以给老年人、残疾人和步行困难者提供方便。公共场所中的电话厅和公厕设计须考虑为残疾人、儿童设置的专用设备。</w:t>
      </w:r>
    </w:p>
    <w:p w14:paraId="221F7018">
      <w:pPr>
        <w:pStyle w:val="4"/>
        <w:spacing w:line="360" w:lineRule="auto"/>
        <w:rPr>
          <w:rFonts w:hint="eastAsia" w:ascii="黑体" w:eastAsia="黑体"/>
        </w:rPr>
      </w:pPr>
      <w:bookmarkStart w:id="709" w:name="_Toc6394686"/>
      <w:r>
        <w:rPr>
          <w:rFonts w:hint="eastAsia" w:ascii="黑体" w:eastAsia="黑体"/>
        </w:rPr>
        <w:t>四、海绵城市建设规划</w:t>
      </w:r>
      <w:bookmarkEnd w:id="709"/>
    </w:p>
    <w:p w14:paraId="3AEF713A">
      <w:pPr>
        <w:spacing w:line="360" w:lineRule="auto"/>
        <w:ind w:firstLine="551" w:firstLineChars="196"/>
        <w:rPr>
          <w:rFonts w:hint="eastAsia" w:ascii="宋体" w:hAnsi="宋体"/>
          <w:b/>
          <w:sz w:val="28"/>
          <w:szCs w:val="28"/>
        </w:rPr>
      </w:pPr>
      <w:r>
        <w:rPr>
          <w:rFonts w:hint="eastAsia" w:ascii="宋体" w:hAnsi="宋体"/>
          <w:b/>
          <w:sz w:val="28"/>
          <w:szCs w:val="28"/>
        </w:rPr>
        <w:t>（一）控制指标体系</w:t>
      </w:r>
    </w:p>
    <w:p w14:paraId="790F78C8">
      <w:pPr>
        <w:spacing w:line="360" w:lineRule="auto"/>
        <w:ind w:firstLine="548" w:firstLineChars="196"/>
        <w:rPr>
          <w:rFonts w:hint="eastAsia" w:ascii="宋体" w:hAnsi="宋体"/>
          <w:sz w:val="28"/>
          <w:szCs w:val="28"/>
        </w:rPr>
      </w:pPr>
      <w:r>
        <w:rPr>
          <w:rFonts w:hint="eastAsia" w:ascii="宋体" w:hAnsi="宋体"/>
          <w:sz w:val="28"/>
          <w:szCs w:val="28"/>
        </w:rPr>
        <w:t>为落实乐山市海绵城市建设总体目标，系统推进海绵城市建设，完成重点建设任务，结合片区发展实际，提出岷江东岸片区海绵城市建设的指标体系，具体指标如下：</w:t>
      </w:r>
    </w:p>
    <w:p w14:paraId="4EB5D701">
      <w:pPr>
        <w:spacing w:line="660" w:lineRule="exact"/>
        <w:ind w:firstLine="548" w:firstLineChars="196"/>
        <w:jc w:val="center"/>
        <w:rPr>
          <w:rFonts w:hint="eastAsia" w:ascii="黑体" w:hAnsi="黑体" w:eastAsia="黑体"/>
          <w:sz w:val="28"/>
          <w:szCs w:val="28"/>
        </w:rPr>
      </w:pPr>
      <w:r>
        <w:rPr>
          <w:rFonts w:hint="eastAsia" w:ascii="黑体" w:hAnsi="黑体" w:eastAsia="黑体"/>
          <w:sz w:val="28"/>
          <w:szCs w:val="28"/>
        </w:rPr>
        <w:t>岷江东岸片区海绵城市建设指标体系表</w:t>
      </w:r>
    </w:p>
    <w:p w14:paraId="3DBDBC60">
      <w:pPr>
        <w:spacing w:line="660" w:lineRule="exact"/>
        <w:rPr>
          <w:rFonts w:hint="eastAsia" w:ascii="宋体" w:hAnsi="宋体"/>
          <w:szCs w:val="21"/>
        </w:rPr>
      </w:pPr>
      <w:r>
        <w:rPr>
          <w:rFonts w:hint="eastAsia" w:ascii="宋体" w:hAnsi="宋体"/>
          <w:szCs w:val="21"/>
        </w:rPr>
        <w:t>表7-1</w:t>
      </w:r>
    </w:p>
    <w:tbl>
      <w:tblPr>
        <w:tblStyle w:val="4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
        <w:gridCol w:w="2833"/>
        <w:gridCol w:w="1698"/>
        <w:gridCol w:w="1841"/>
        <w:gridCol w:w="2724"/>
      </w:tblGrid>
      <w:tr w14:paraId="7135D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0" w:type="pct"/>
            <w:vMerge w:val="restart"/>
            <w:shd w:val="clear" w:color="auto" w:fill="D9D9D9"/>
            <w:noWrap w:val="0"/>
            <w:vAlign w:val="center"/>
          </w:tcPr>
          <w:p w14:paraId="7E9DF384">
            <w:pPr>
              <w:rPr>
                <w:rFonts w:hint="eastAsia" w:ascii="宋体" w:hAnsi="宋体"/>
                <w:b/>
                <w:sz w:val="24"/>
              </w:rPr>
            </w:pPr>
            <w:r>
              <w:rPr>
                <w:rFonts w:hint="eastAsia" w:ascii="宋体" w:hAnsi="宋体"/>
                <w:b/>
                <w:sz w:val="24"/>
              </w:rPr>
              <w:t>类别</w:t>
            </w:r>
          </w:p>
        </w:tc>
        <w:tc>
          <w:tcPr>
            <w:tcW w:w="1408" w:type="pct"/>
            <w:vMerge w:val="restart"/>
            <w:shd w:val="clear" w:color="auto" w:fill="D9D9D9"/>
            <w:noWrap w:val="0"/>
            <w:vAlign w:val="center"/>
          </w:tcPr>
          <w:p w14:paraId="024A7152">
            <w:pPr>
              <w:rPr>
                <w:rFonts w:hint="eastAsia" w:ascii="宋体" w:hAnsi="宋体"/>
                <w:b/>
                <w:sz w:val="24"/>
              </w:rPr>
            </w:pPr>
            <w:r>
              <w:rPr>
                <w:rFonts w:hint="eastAsia" w:ascii="宋体" w:hAnsi="宋体" w:cs="瀹嬩綋"/>
                <w:b/>
                <w:kern w:val="0"/>
                <w:sz w:val="24"/>
              </w:rPr>
              <w:t>指标分类</w:t>
            </w:r>
          </w:p>
        </w:tc>
        <w:tc>
          <w:tcPr>
            <w:tcW w:w="1759" w:type="pct"/>
            <w:gridSpan w:val="2"/>
            <w:shd w:val="clear" w:color="auto" w:fill="D9D9D9"/>
            <w:noWrap w:val="0"/>
            <w:vAlign w:val="center"/>
          </w:tcPr>
          <w:p w14:paraId="4DC98E35">
            <w:pPr>
              <w:jc w:val="center"/>
              <w:rPr>
                <w:rFonts w:hint="eastAsia" w:ascii="宋体" w:hAnsi="宋体"/>
                <w:b/>
                <w:sz w:val="24"/>
              </w:rPr>
            </w:pPr>
            <w:r>
              <w:rPr>
                <w:rFonts w:hint="eastAsia" w:ascii="宋体" w:hAnsi="宋体"/>
                <w:b/>
                <w:sz w:val="24"/>
              </w:rPr>
              <w:t>指标要求</w:t>
            </w:r>
          </w:p>
        </w:tc>
        <w:tc>
          <w:tcPr>
            <w:tcW w:w="1354" w:type="pct"/>
            <w:shd w:val="clear" w:color="auto" w:fill="D9D9D9"/>
            <w:noWrap w:val="0"/>
            <w:vAlign w:val="center"/>
          </w:tcPr>
          <w:p w14:paraId="63C1411F">
            <w:pPr>
              <w:jc w:val="center"/>
              <w:rPr>
                <w:rFonts w:hint="eastAsia" w:ascii="宋体" w:hAnsi="宋体"/>
                <w:b/>
                <w:sz w:val="24"/>
              </w:rPr>
            </w:pPr>
            <w:r>
              <w:rPr>
                <w:rFonts w:hint="eastAsia" w:ascii="宋体" w:hAnsi="宋体"/>
                <w:b/>
                <w:sz w:val="24"/>
              </w:rPr>
              <w:t>备注</w:t>
            </w:r>
          </w:p>
        </w:tc>
      </w:tr>
      <w:tr w14:paraId="53EE1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0" w:type="pct"/>
            <w:vMerge w:val="continue"/>
            <w:shd w:val="clear" w:color="auto" w:fill="D9D9D9"/>
            <w:noWrap w:val="0"/>
            <w:vAlign w:val="center"/>
          </w:tcPr>
          <w:p w14:paraId="639000B9">
            <w:pPr>
              <w:rPr>
                <w:rFonts w:hint="eastAsia" w:ascii="宋体" w:hAnsi="宋体"/>
                <w:b/>
                <w:sz w:val="24"/>
              </w:rPr>
            </w:pPr>
          </w:p>
        </w:tc>
        <w:tc>
          <w:tcPr>
            <w:tcW w:w="1408" w:type="pct"/>
            <w:vMerge w:val="continue"/>
            <w:shd w:val="clear" w:color="auto" w:fill="D9D9D9"/>
            <w:noWrap w:val="0"/>
            <w:vAlign w:val="center"/>
          </w:tcPr>
          <w:p w14:paraId="143FCD21">
            <w:pPr>
              <w:rPr>
                <w:rFonts w:hint="eastAsia" w:ascii="宋体" w:hAnsi="宋体"/>
                <w:b/>
                <w:sz w:val="24"/>
              </w:rPr>
            </w:pPr>
          </w:p>
        </w:tc>
        <w:tc>
          <w:tcPr>
            <w:tcW w:w="844" w:type="pct"/>
            <w:shd w:val="clear" w:color="auto" w:fill="D9D9D9"/>
            <w:noWrap w:val="0"/>
            <w:vAlign w:val="center"/>
          </w:tcPr>
          <w:p w14:paraId="57B82E1C">
            <w:pPr>
              <w:jc w:val="center"/>
              <w:rPr>
                <w:rFonts w:hint="eastAsia" w:ascii="宋体" w:hAnsi="宋体"/>
                <w:b/>
                <w:sz w:val="24"/>
              </w:rPr>
            </w:pPr>
            <w:r>
              <w:rPr>
                <w:rFonts w:hint="eastAsia" w:ascii="宋体" w:hAnsi="宋体"/>
                <w:b/>
                <w:sz w:val="24"/>
              </w:rPr>
              <w:t>2020年</w:t>
            </w:r>
          </w:p>
        </w:tc>
        <w:tc>
          <w:tcPr>
            <w:tcW w:w="915" w:type="pct"/>
            <w:shd w:val="clear" w:color="auto" w:fill="D9D9D9"/>
            <w:noWrap w:val="0"/>
            <w:vAlign w:val="center"/>
          </w:tcPr>
          <w:p w14:paraId="4B10224F">
            <w:pPr>
              <w:jc w:val="center"/>
              <w:rPr>
                <w:rFonts w:hint="eastAsia" w:ascii="宋体" w:hAnsi="宋体"/>
                <w:b/>
                <w:sz w:val="24"/>
              </w:rPr>
            </w:pPr>
            <w:r>
              <w:rPr>
                <w:rFonts w:hint="eastAsia" w:ascii="宋体" w:hAnsi="宋体"/>
                <w:b/>
                <w:sz w:val="24"/>
              </w:rPr>
              <w:t>2030年</w:t>
            </w:r>
          </w:p>
        </w:tc>
        <w:tc>
          <w:tcPr>
            <w:tcW w:w="1354" w:type="pct"/>
            <w:shd w:val="clear" w:color="auto" w:fill="D9D9D9"/>
            <w:noWrap w:val="0"/>
            <w:vAlign w:val="center"/>
          </w:tcPr>
          <w:p w14:paraId="3BCD35B8">
            <w:pPr>
              <w:rPr>
                <w:rFonts w:hint="eastAsia" w:ascii="宋体" w:hAnsi="宋体"/>
                <w:b/>
                <w:sz w:val="24"/>
              </w:rPr>
            </w:pPr>
          </w:p>
        </w:tc>
      </w:tr>
      <w:tr w14:paraId="62729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480" w:type="pct"/>
            <w:vMerge w:val="restart"/>
            <w:noWrap w:val="0"/>
            <w:vAlign w:val="center"/>
          </w:tcPr>
          <w:p w14:paraId="2C21D34B">
            <w:pPr>
              <w:autoSpaceDE w:val="0"/>
              <w:autoSpaceDN w:val="0"/>
              <w:adjustRightInd w:val="0"/>
              <w:rPr>
                <w:rFonts w:hint="eastAsia" w:ascii="宋体" w:hAnsi="宋体" w:cs="瀹嬩綋"/>
                <w:kern w:val="0"/>
                <w:sz w:val="24"/>
              </w:rPr>
            </w:pPr>
            <w:r>
              <w:rPr>
                <w:rFonts w:hint="eastAsia" w:ascii="宋体" w:hAnsi="宋体" w:cs="瀹嬩綋"/>
                <w:kern w:val="0"/>
                <w:sz w:val="24"/>
              </w:rPr>
              <w:t>水生态</w:t>
            </w:r>
          </w:p>
        </w:tc>
        <w:tc>
          <w:tcPr>
            <w:tcW w:w="1408" w:type="pct"/>
            <w:noWrap w:val="0"/>
            <w:vAlign w:val="center"/>
          </w:tcPr>
          <w:p w14:paraId="73178339">
            <w:pPr>
              <w:autoSpaceDE w:val="0"/>
              <w:autoSpaceDN w:val="0"/>
              <w:adjustRightInd w:val="0"/>
              <w:rPr>
                <w:rFonts w:hint="eastAsia" w:ascii="宋体" w:hAnsi="宋体" w:cs="瀹嬩綋"/>
                <w:kern w:val="0"/>
                <w:sz w:val="24"/>
              </w:rPr>
            </w:pPr>
            <w:r>
              <w:rPr>
                <w:rFonts w:hint="eastAsia" w:ascii="宋体" w:hAnsi="宋体" w:cs="瀹嬩綋"/>
                <w:kern w:val="0"/>
                <w:sz w:val="24"/>
              </w:rPr>
              <w:t>年径流总量控制率</w:t>
            </w:r>
          </w:p>
        </w:tc>
        <w:tc>
          <w:tcPr>
            <w:tcW w:w="844" w:type="pct"/>
            <w:noWrap w:val="0"/>
            <w:vAlign w:val="center"/>
          </w:tcPr>
          <w:p w14:paraId="42885389">
            <w:pPr>
              <w:jc w:val="center"/>
              <w:rPr>
                <w:rFonts w:hint="eastAsia" w:ascii="宋体" w:hAnsi="宋体"/>
                <w:sz w:val="24"/>
              </w:rPr>
            </w:pPr>
            <w:r>
              <w:rPr>
                <w:rFonts w:ascii="宋体" w:hAnsi="宋体"/>
                <w:kern w:val="0"/>
                <w:sz w:val="24"/>
              </w:rPr>
              <w:t>≥70%</w:t>
            </w:r>
          </w:p>
        </w:tc>
        <w:tc>
          <w:tcPr>
            <w:tcW w:w="915" w:type="pct"/>
            <w:noWrap w:val="0"/>
            <w:vAlign w:val="center"/>
          </w:tcPr>
          <w:p w14:paraId="4243E912">
            <w:pPr>
              <w:jc w:val="center"/>
              <w:rPr>
                <w:rFonts w:hint="eastAsia" w:ascii="宋体" w:hAnsi="宋体"/>
                <w:sz w:val="24"/>
              </w:rPr>
            </w:pPr>
            <w:r>
              <w:rPr>
                <w:rFonts w:ascii="宋体" w:hAnsi="宋体"/>
                <w:kern w:val="0"/>
                <w:sz w:val="24"/>
              </w:rPr>
              <w:t>≥70%</w:t>
            </w:r>
          </w:p>
        </w:tc>
        <w:tc>
          <w:tcPr>
            <w:tcW w:w="1354" w:type="pct"/>
            <w:noWrap w:val="0"/>
            <w:vAlign w:val="center"/>
          </w:tcPr>
          <w:p w14:paraId="7E23AF1C">
            <w:pPr>
              <w:rPr>
                <w:rFonts w:hint="eastAsia" w:ascii="宋体" w:hAnsi="宋体"/>
                <w:sz w:val="24"/>
              </w:rPr>
            </w:pPr>
          </w:p>
        </w:tc>
      </w:tr>
      <w:tr w14:paraId="0C0D7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480" w:type="pct"/>
            <w:vMerge w:val="continue"/>
            <w:noWrap w:val="0"/>
            <w:vAlign w:val="center"/>
          </w:tcPr>
          <w:p w14:paraId="3E39E4C3">
            <w:pPr>
              <w:rPr>
                <w:rFonts w:hint="eastAsia" w:ascii="宋体" w:hAnsi="宋体"/>
                <w:sz w:val="24"/>
              </w:rPr>
            </w:pPr>
          </w:p>
        </w:tc>
        <w:tc>
          <w:tcPr>
            <w:tcW w:w="1408" w:type="pct"/>
            <w:noWrap w:val="0"/>
            <w:vAlign w:val="center"/>
          </w:tcPr>
          <w:p w14:paraId="7FFCA2A6">
            <w:pPr>
              <w:autoSpaceDE w:val="0"/>
              <w:autoSpaceDN w:val="0"/>
              <w:adjustRightInd w:val="0"/>
              <w:rPr>
                <w:rFonts w:hint="eastAsia" w:ascii="宋体" w:hAnsi="宋体" w:cs="瀹嬩綋"/>
                <w:kern w:val="0"/>
                <w:sz w:val="24"/>
              </w:rPr>
            </w:pPr>
            <w:r>
              <w:rPr>
                <w:rFonts w:hint="eastAsia" w:ascii="宋体" w:hAnsi="宋体" w:cs="瀹嬩綋"/>
                <w:kern w:val="0"/>
                <w:sz w:val="24"/>
              </w:rPr>
              <w:t>海绵城市达标面积比例</w:t>
            </w:r>
          </w:p>
        </w:tc>
        <w:tc>
          <w:tcPr>
            <w:tcW w:w="844" w:type="pct"/>
            <w:noWrap w:val="0"/>
            <w:vAlign w:val="center"/>
          </w:tcPr>
          <w:p w14:paraId="3B0DCD10">
            <w:pPr>
              <w:jc w:val="center"/>
              <w:rPr>
                <w:rFonts w:ascii="宋体" w:hAnsi="宋体"/>
                <w:kern w:val="0"/>
                <w:sz w:val="24"/>
              </w:rPr>
            </w:pPr>
            <w:r>
              <w:rPr>
                <w:rFonts w:ascii="宋体" w:hAnsi="宋体"/>
                <w:kern w:val="0"/>
                <w:sz w:val="24"/>
              </w:rPr>
              <w:t>≥20%</w:t>
            </w:r>
          </w:p>
        </w:tc>
        <w:tc>
          <w:tcPr>
            <w:tcW w:w="915" w:type="pct"/>
            <w:noWrap w:val="0"/>
            <w:vAlign w:val="center"/>
          </w:tcPr>
          <w:p w14:paraId="08AA5D30">
            <w:pPr>
              <w:jc w:val="center"/>
              <w:rPr>
                <w:rFonts w:ascii="宋体" w:hAnsi="宋体"/>
                <w:sz w:val="24"/>
              </w:rPr>
            </w:pPr>
            <w:r>
              <w:rPr>
                <w:rFonts w:ascii="宋体" w:hAnsi="宋体"/>
                <w:kern w:val="0"/>
                <w:sz w:val="24"/>
              </w:rPr>
              <w:t>≥80%</w:t>
            </w:r>
          </w:p>
        </w:tc>
        <w:tc>
          <w:tcPr>
            <w:tcW w:w="1354" w:type="pct"/>
            <w:noWrap w:val="0"/>
            <w:vAlign w:val="center"/>
          </w:tcPr>
          <w:p w14:paraId="1D9FB449">
            <w:pPr>
              <w:rPr>
                <w:rFonts w:hint="eastAsia" w:ascii="宋体" w:hAnsi="宋体"/>
                <w:sz w:val="24"/>
              </w:rPr>
            </w:pPr>
            <w:r>
              <w:rPr>
                <w:rFonts w:hint="eastAsia" w:ascii="宋体" w:hAnsi="宋体" w:cs="瀹嬩綋"/>
                <w:kern w:val="0"/>
                <w:sz w:val="24"/>
              </w:rPr>
              <w:t>以城市建成区面积计</w:t>
            </w:r>
          </w:p>
        </w:tc>
      </w:tr>
      <w:tr w14:paraId="4D0DF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480" w:type="pct"/>
            <w:vMerge w:val="continue"/>
            <w:noWrap w:val="0"/>
            <w:vAlign w:val="center"/>
          </w:tcPr>
          <w:p w14:paraId="64E8F614">
            <w:pPr>
              <w:rPr>
                <w:rFonts w:hint="eastAsia" w:ascii="宋体" w:hAnsi="宋体"/>
                <w:sz w:val="24"/>
              </w:rPr>
            </w:pPr>
          </w:p>
        </w:tc>
        <w:tc>
          <w:tcPr>
            <w:tcW w:w="1408" w:type="pct"/>
            <w:noWrap w:val="0"/>
            <w:vAlign w:val="center"/>
          </w:tcPr>
          <w:p w14:paraId="05CA60E7">
            <w:pPr>
              <w:autoSpaceDE w:val="0"/>
              <w:autoSpaceDN w:val="0"/>
              <w:adjustRightInd w:val="0"/>
              <w:rPr>
                <w:rFonts w:hint="eastAsia" w:ascii="宋体" w:hAnsi="宋体" w:cs="瀹嬩綋"/>
                <w:kern w:val="0"/>
                <w:sz w:val="24"/>
              </w:rPr>
            </w:pPr>
            <w:r>
              <w:rPr>
                <w:rFonts w:hint="eastAsia" w:ascii="宋体" w:hAnsi="宋体" w:cs="瀹嬩綋"/>
                <w:kern w:val="0"/>
                <w:sz w:val="24"/>
              </w:rPr>
              <w:t>水系生态岸线比例</w:t>
            </w:r>
          </w:p>
        </w:tc>
        <w:tc>
          <w:tcPr>
            <w:tcW w:w="844" w:type="pct"/>
            <w:noWrap w:val="0"/>
            <w:vAlign w:val="center"/>
          </w:tcPr>
          <w:p w14:paraId="7A5701AC">
            <w:pPr>
              <w:jc w:val="center"/>
              <w:rPr>
                <w:rFonts w:hint="eastAsia" w:ascii="宋体" w:hAnsi="宋体"/>
                <w:sz w:val="24"/>
              </w:rPr>
            </w:pPr>
            <w:r>
              <w:rPr>
                <w:rFonts w:ascii="宋体" w:hAnsi="宋体"/>
                <w:kern w:val="0"/>
                <w:sz w:val="24"/>
              </w:rPr>
              <w:t>≥50%</w:t>
            </w:r>
          </w:p>
        </w:tc>
        <w:tc>
          <w:tcPr>
            <w:tcW w:w="915" w:type="pct"/>
            <w:noWrap w:val="0"/>
            <w:vAlign w:val="center"/>
          </w:tcPr>
          <w:p w14:paraId="54F5A6B6">
            <w:pPr>
              <w:jc w:val="center"/>
              <w:rPr>
                <w:rFonts w:hint="eastAsia" w:ascii="宋体" w:hAnsi="宋体"/>
                <w:sz w:val="24"/>
              </w:rPr>
            </w:pPr>
            <w:r>
              <w:rPr>
                <w:rFonts w:ascii="宋体" w:hAnsi="宋体"/>
                <w:kern w:val="0"/>
                <w:sz w:val="24"/>
              </w:rPr>
              <w:t>≥80%</w:t>
            </w:r>
          </w:p>
        </w:tc>
        <w:tc>
          <w:tcPr>
            <w:tcW w:w="1354" w:type="pct"/>
            <w:noWrap w:val="0"/>
            <w:vAlign w:val="center"/>
          </w:tcPr>
          <w:p w14:paraId="1A60FAD9">
            <w:pPr>
              <w:rPr>
                <w:rFonts w:hint="eastAsia" w:ascii="宋体" w:hAnsi="宋体"/>
                <w:sz w:val="24"/>
              </w:rPr>
            </w:pPr>
          </w:p>
        </w:tc>
      </w:tr>
      <w:tr w14:paraId="487FA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0" w:type="pct"/>
            <w:vMerge w:val="restart"/>
            <w:noWrap w:val="0"/>
            <w:vAlign w:val="center"/>
          </w:tcPr>
          <w:p w14:paraId="30A1FA64">
            <w:pPr>
              <w:autoSpaceDE w:val="0"/>
              <w:autoSpaceDN w:val="0"/>
              <w:adjustRightInd w:val="0"/>
              <w:rPr>
                <w:rFonts w:hint="eastAsia" w:ascii="宋体" w:hAnsi="宋体" w:cs="瀹嬩綋"/>
                <w:kern w:val="0"/>
                <w:sz w:val="24"/>
              </w:rPr>
            </w:pPr>
            <w:r>
              <w:rPr>
                <w:rFonts w:hint="eastAsia" w:ascii="宋体" w:hAnsi="宋体" w:cs="瀹嬩綋"/>
                <w:kern w:val="0"/>
                <w:sz w:val="24"/>
              </w:rPr>
              <w:t>水环境</w:t>
            </w:r>
          </w:p>
        </w:tc>
        <w:tc>
          <w:tcPr>
            <w:tcW w:w="1408" w:type="pct"/>
            <w:noWrap w:val="0"/>
            <w:vAlign w:val="center"/>
          </w:tcPr>
          <w:p w14:paraId="6DB59761">
            <w:pPr>
              <w:autoSpaceDE w:val="0"/>
              <w:autoSpaceDN w:val="0"/>
              <w:adjustRightInd w:val="0"/>
              <w:rPr>
                <w:rFonts w:hint="eastAsia" w:ascii="宋体" w:hAnsi="宋体" w:cs="瀹嬩綋"/>
                <w:kern w:val="0"/>
                <w:sz w:val="24"/>
              </w:rPr>
            </w:pPr>
            <w:r>
              <w:rPr>
                <w:rFonts w:hint="eastAsia" w:ascii="宋体" w:hAnsi="宋体" w:cs="瀹嬩綋"/>
                <w:kern w:val="0"/>
                <w:sz w:val="24"/>
              </w:rPr>
              <w:t>水环境质量</w:t>
            </w:r>
          </w:p>
        </w:tc>
        <w:tc>
          <w:tcPr>
            <w:tcW w:w="844" w:type="pct"/>
            <w:noWrap w:val="0"/>
            <w:vAlign w:val="center"/>
          </w:tcPr>
          <w:p w14:paraId="239D1990">
            <w:pPr>
              <w:autoSpaceDE w:val="0"/>
              <w:autoSpaceDN w:val="0"/>
              <w:adjustRightInd w:val="0"/>
              <w:jc w:val="center"/>
              <w:rPr>
                <w:rFonts w:hint="eastAsia" w:ascii="宋体" w:hAnsi="宋体" w:cs="瀹嬩綋"/>
                <w:kern w:val="0"/>
                <w:sz w:val="24"/>
              </w:rPr>
            </w:pPr>
            <w:r>
              <w:rPr>
                <w:rFonts w:hint="eastAsia" w:ascii="宋体" w:hAnsi="宋体" w:cs="瀹嬩綋"/>
                <w:kern w:val="0"/>
                <w:sz w:val="24"/>
              </w:rPr>
              <w:t>地表水优于</w:t>
            </w:r>
          </w:p>
          <w:p w14:paraId="355FA15D">
            <w:pPr>
              <w:autoSpaceDE w:val="0"/>
              <w:autoSpaceDN w:val="0"/>
              <w:adjustRightInd w:val="0"/>
              <w:jc w:val="center"/>
              <w:rPr>
                <w:rFonts w:ascii="宋体" w:hAnsi="宋体" w:cs="瀹嬩綋"/>
                <w:kern w:val="0"/>
                <w:sz w:val="24"/>
              </w:rPr>
            </w:pPr>
            <w:r>
              <w:rPr>
                <w:rFonts w:hint="eastAsia" w:ascii="宋体" w:hAnsi="宋体" w:cs="瀹嬩綋"/>
                <w:kern w:val="0"/>
                <w:sz w:val="24"/>
              </w:rPr>
              <w:t>Ⅳ类标准</w:t>
            </w:r>
          </w:p>
        </w:tc>
        <w:tc>
          <w:tcPr>
            <w:tcW w:w="915" w:type="pct"/>
            <w:noWrap w:val="0"/>
            <w:vAlign w:val="center"/>
          </w:tcPr>
          <w:p w14:paraId="24D68B85">
            <w:pPr>
              <w:autoSpaceDE w:val="0"/>
              <w:autoSpaceDN w:val="0"/>
              <w:adjustRightInd w:val="0"/>
              <w:jc w:val="center"/>
              <w:rPr>
                <w:rFonts w:ascii="宋体" w:hAnsi="宋体" w:cs="瀹嬩綋"/>
                <w:kern w:val="0"/>
                <w:sz w:val="24"/>
              </w:rPr>
            </w:pPr>
            <w:r>
              <w:rPr>
                <w:rFonts w:hint="eastAsia" w:ascii="宋体" w:hAnsi="宋体" w:cs="瀹嬩綋"/>
                <w:kern w:val="0"/>
                <w:sz w:val="24"/>
              </w:rPr>
              <w:t>全面达到</w:t>
            </w:r>
          </w:p>
          <w:p w14:paraId="01EF0341">
            <w:pPr>
              <w:autoSpaceDE w:val="0"/>
              <w:autoSpaceDN w:val="0"/>
              <w:adjustRightInd w:val="0"/>
              <w:jc w:val="center"/>
              <w:rPr>
                <w:rFonts w:ascii="宋体" w:hAnsi="宋体" w:cs="瀹嬩綋"/>
                <w:kern w:val="0"/>
                <w:sz w:val="24"/>
              </w:rPr>
            </w:pPr>
            <w:r>
              <w:rPr>
                <w:rFonts w:hint="eastAsia" w:ascii="宋体" w:hAnsi="宋体" w:cs="瀹嬩綋"/>
                <w:kern w:val="0"/>
                <w:sz w:val="24"/>
              </w:rPr>
              <w:t>Ⅲ类标准</w:t>
            </w:r>
          </w:p>
        </w:tc>
        <w:tc>
          <w:tcPr>
            <w:tcW w:w="1354" w:type="pct"/>
            <w:noWrap w:val="0"/>
            <w:vAlign w:val="center"/>
          </w:tcPr>
          <w:p w14:paraId="51AA86D7">
            <w:pPr>
              <w:autoSpaceDE w:val="0"/>
              <w:autoSpaceDN w:val="0"/>
              <w:adjustRightInd w:val="0"/>
              <w:rPr>
                <w:rFonts w:hint="eastAsia" w:ascii="宋体" w:hAnsi="宋体" w:cs="瀹嬩綋"/>
                <w:kern w:val="0"/>
                <w:sz w:val="24"/>
              </w:rPr>
            </w:pPr>
          </w:p>
        </w:tc>
      </w:tr>
      <w:tr w14:paraId="5C6CC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0" w:type="pct"/>
            <w:vMerge w:val="continue"/>
            <w:noWrap w:val="0"/>
            <w:vAlign w:val="center"/>
          </w:tcPr>
          <w:p w14:paraId="7AD195AF">
            <w:pPr>
              <w:autoSpaceDE w:val="0"/>
              <w:autoSpaceDN w:val="0"/>
              <w:adjustRightInd w:val="0"/>
              <w:rPr>
                <w:rFonts w:hint="eastAsia" w:ascii="宋体" w:hAnsi="宋体" w:cs="瀹嬩綋"/>
                <w:kern w:val="0"/>
                <w:sz w:val="24"/>
              </w:rPr>
            </w:pPr>
          </w:p>
        </w:tc>
        <w:tc>
          <w:tcPr>
            <w:tcW w:w="1408" w:type="pct"/>
            <w:noWrap w:val="0"/>
            <w:vAlign w:val="center"/>
          </w:tcPr>
          <w:p w14:paraId="4331AB00">
            <w:pPr>
              <w:autoSpaceDE w:val="0"/>
              <w:autoSpaceDN w:val="0"/>
              <w:adjustRightInd w:val="0"/>
              <w:rPr>
                <w:rFonts w:hint="eastAsia" w:ascii="宋体" w:hAnsi="宋体" w:cs="瀹嬩綋"/>
                <w:kern w:val="0"/>
                <w:sz w:val="24"/>
              </w:rPr>
            </w:pPr>
            <w:r>
              <w:rPr>
                <w:rFonts w:hint="eastAsia" w:ascii="宋体" w:hAnsi="宋体" w:cs="瀹嬩綋"/>
                <w:kern w:val="0"/>
                <w:sz w:val="24"/>
              </w:rPr>
              <w:t>城市污水处理率</w:t>
            </w:r>
          </w:p>
        </w:tc>
        <w:tc>
          <w:tcPr>
            <w:tcW w:w="844" w:type="pct"/>
            <w:noWrap w:val="0"/>
            <w:vAlign w:val="center"/>
          </w:tcPr>
          <w:p w14:paraId="7708BA4B">
            <w:pPr>
              <w:autoSpaceDE w:val="0"/>
              <w:autoSpaceDN w:val="0"/>
              <w:adjustRightInd w:val="0"/>
              <w:jc w:val="center"/>
              <w:rPr>
                <w:rFonts w:ascii="宋体" w:hAnsi="宋体" w:cs="瀹嬩綋"/>
                <w:kern w:val="0"/>
                <w:sz w:val="24"/>
              </w:rPr>
            </w:pPr>
            <w:r>
              <w:rPr>
                <w:rFonts w:ascii="宋体" w:hAnsi="宋体" w:cs="瀹嬩綋"/>
                <w:kern w:val="0"/>
                <w:sz w:val="24"/>
              </w:rPr>
              <w:t>≥85%</w:t>
            </w:r>
          </w:p>
        </w:tc>
        <w:tc>
          <w:tcPr>
            <w:tcW w:w="915" w:type="pct"/>
            <w:noWrap w:val="0"/>
            <w:vAlign w:val="center"/>
          </w:tcPr>
          <w:p w14:paraId="670C4C45">
            <w:pPr>
              <w:autoSpaceDE w:val="0"/>
              <w:autoSpaceDN w:val="0"/>
              <w:adjustRightInd w:val="0"/>
              <w:jc w:val="center"/>
              <w:rPr>
                <w:rFonts w:ascii="宋体" w:hAnsi="宋体" w:cs="瀹嬩綋"/>
                <w:kern w:val="0"/>
                <w:sz w:val="24"/>
              </w:rPr>
            </w:pPr>
            <w:r>
              <w:rPr>
                <w:rFonts w:ascii="宋体" w:hAnsi="宋体" w:cs="瀹嬩綋"/>
                <w:kern w:val="0"/>
                <w:sz w:val="24"/>
              </w:rPr>
              <w:t>≥90%</w:t>
            </w:r>
          </w:p>
        </w:tc>
        <w:tc>
          <w:tcPr>
            <w:tcW w:w="1354" w:type="pct"/>
            <w:noWrap w:val="0"/>
            <w:vAlign w:val="center"/>
          </w:tcPr>
          <w:p w14:paraId="6BEC53DB">
            <w:pPr>
              <w:autoSpaceDE w:val="0"/>
              <w:autoSpaceDN w:val="0"/>
              <w:adjustRightInd w:val="0"/>
              <w:rPr>
                <w:rFonts w:hint="eastAsia" w:ascii="宋体" w:hAnsi="宋体" w:cs="瀹嬩綋"/>
                <w:kern w:val="0"/>
                <w:sz w:val="24"/>
              </w:rPr>
            </w:pPr>
          </w:p>
        </w:tc>
      </w:tr>
      <w:tr w14:paraId="68509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0" w:type="pct"/>
            <w:vMerge w:val="restart"/>
            <w:noWrap w:val="0"/>
            <w:vAlign w:val="center"/>
          </w:tcPr>
          <w:p w14:paraId="61B65CA4">
            <w:pPr>
              <w:autoSpaceDE w:val="0"/>
              <w:autoSpaceDN w:val="0"/>
              <w:adjustRightInd w:val="0"/>
              <w:rPr>
                <w:rFonts w:hint="eastAsia" w:ascii="宋体" w:hAnsi="宋体" w:cs="瀹嬩綋"/>
                <w:kern w:val="0"/>
                <w:sz w:val="24"/>
              </w:rPr>
            </w:pPr>
            <w:r>
              <w:rPr>
                <w:rFonts w:hint="eastAsia" w:ascii="宋体" w:hAnsi="宋体" w:cs="瀹嬩綋"/>
                <w:kern w:val="0"/>
                <w:sz w:val="24"/>
              </w:rPr>
              <w:t>水资源</w:t>
            </w:r>
          </w:p>
        </w:tc>
        <w:tc>
          <w:tcPr>
            <w:tcW w:w="1408" w:type="pct"/>
            <w:noWrap w:val="0"/>
            <w:vAlign w:val="center"/>
          </w:tcPr>
          <w:p w14:paraId="2CF285AD">
            <w:pPr>
              <w:autoSpaceDE w:val="0"/>
              <w:autoSpaceDN w:val="0"/>
              <w:adjustRightInd w:val="0"/>
              <w:rPr>
                <w:rFonts w:hint="eastAsia" w:ascii="宋体" w:hAnsi="宋体" w:cs="瀹嬩綋"/>
                <w:kern w:val="0"/>
                <w:sz w:val="24"/>
              </w:rPr>
            </w:pPr>
            <w:r>
              <w:rPr>
                <w:rFonts w:hint="eastAsia" w:ascii="宋体" w:hAnsi="宋体" w:cs="瀹嬩綋"/>
                <w:kern w:val="0"/>
                <w:sz w:val="24"/>
              </w:rPr>
              <w:t>污水再生利用率</w:t>
            </w:r>
          </w:p>
        </w:tc>
        <w:tc>
          <w:tcPr>
            <w:tcW w:w="844" w:type="pct"/>
            <w:noWrap w:val="0"/>
            <w:vAlign w:val="center"/>
          </w:tcPr>
          <w:p w14:paraId="60123D9F">
            <w:pPr>
              <w:autoSpaceDE w:val="0"/>
              <w:autoSpaceDN w:val="0"/>
              <w:adjustRightInd w:val="0"/>
              <w:jc w:val="center"/>
              <w:rPr>
                <w:rFonts w:ascii="宋体" w:hAnsi="宋体" w:cs="瀹嬩綋"/>
                <w:kern w:val="0"/>
                <w:sz w:val="24"/>
              </w:rPr>
            </w:pPr>
            <w:r>
              <w:rPr>
                <w:rFonts w:ascii="宋体" w:hAnsi="宋体" w:cs="瀹嬩綋"/>
                <w:kern w:val="0"/>
                <w:sz w:val="24"/>
              </w:rPr>
              <w:t>≥20%</w:t>
            </w:r>
          </w:p>
        </w:tc>
        <w:tc>
          <w:tcPr>
            <w:tcW w:w="915" w:type="pct"/>
            <w:noWrap w:val="0"/>
            <w:vAlign w:val="center"/>
          </w:tcPr>
          <w:p w14:paraId="002430E9">
            <w:pPr>
              <w:autoSpaceDE w:val="0"/>
              <w:autoSpaceDN w:val="0"/>
              <w:adjustRightInd w:val="0"/>
              <w:jc w:val="center"/>
              <w:rPr>
                <w:rFonts w:ascii="宋体" w:hAnsi="宋体" w:cs="瀹嬩綋"/>
                <w:kern w:val="0"/>
                <w:sz w:val="24"/>
              </w:rPr>
            </w:pPr>
            <w:r>
              <w:rPr>
                <w:rFonts w:ascii="宋体" w:hAnsi="宋体" w:cs="瀹嬩綋"/>
                <w:kern w:val="0"/>
                <w:sz w:val="24"/>
              </w:rPr>
              <w:t>≥30%</w:t>
            </w:r>
          </w:p>
        </w:tc>
        <w:tc>
          <w:tcPr>
            <w:tcW w:w="1354" w:type="pct"/>
            <w:noWrap w:val="0"/>
            <w:vAlign w:val="center"/>
          </w:tcPr>
          <w:p w14:paraId="065D0485">
            <w:pPr>
              <w:autoSpaceDE w:val="0"/>
              <w:autoSpaceDN w:val="0"/>
              <w:adjustRightInd w:val="0"/>
              <w:rPr>
                <w:rFonts w:hint="eastAsia" w:ascii="宋体" w:hAnsi="宋体" w:cs="瀹嬩綋"/>
                <w:kern w:val="0"/>
                <w:sz w:val="24"/>
              </w:rPr>
            </w:pPr>
          </w:p>
        </w:tc>
      </w:tr>
      <w:tr w14:paraId="203A7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0" w:type="pct"/>
            <w:vMerge w:val="continue"/>
            <w:noWrap w:val="0"/>
            <w:vAlign w:val="center"/>
          </w:tcPr>
          <w:p w14:paraId="55B6FB3B">
            <w:pPr>
              <w:autoSpaceDE w:val="0"/>
              <w:autoSpaceDN w:val="0"/>
              <w:adjustRightInd w:val="0"/>
              <w:rPr>
                <w:rFonts w:hint="eastAsia" w:ascii="宋体" w:hAnsi="宋体" w:cs="瀹嬩綋"/>
                <w:kern w:val="0"/>
                <w:sz w:val="24"/>
              </w:rPr>
            </w:pPr>
          </w:p>
        </w:tc>
        <w:tc>
          <w:tcPr>
            <w:tcW w:w="1408" w:type="pct"/>
            <w:noWrap w:val="0"/>
            <w:vAlign w:val="center"/>
          </w:tcPr>
          <w:p w14:paraId="79A05F0D">
            <w:pPr>
              <w:autoSpaceDE w:val="0"/>
              <w:autoSpaceDN w:val="0"/>
              <w:adjustRightInd w:val="0"/>
              <w:rPr>
                <w:rFonts w:hint="eastAsia" w:ascii="宋体" w:hAnsi="宋体" w:cs="瀹嬩綋"/>
                <w:kern w:val="0"/>
                <w:sz w:val="24"/>
              </w:rPr>
            </w:pPr>
            <w:r>
              <w:rPr>
                <w:rFonts w:hint="eastAsia" w:ascii="宋体" w:hAnsi="宋体" w:cs="瀹嬩綋"/>
                <w:kern w:val="0"/>
                <w:sz w:val="24"/>
              </w:rPr>
              <w:t>雨水资源利用率</w:t>
            </w:r>
          </w:p>
        </w:tc>
        <w:tc>
          <w:tcPr>
            <w:tcW w:w="844" w:type="pct"/>
            <w:noWrap w:val="0"/>
            <w:vAlign w:val="center"/>
          </w:tcPr>
          <w:p w14:paraId="077AC1C8">
            <w:pPr>
              <w:autoSpaceDE w:val="0"/>
              <w:autoSpaceDN w:val="0"/>
              <w:adjustRightInd w:val="0"/>
              <w:jc w:val="center"/>
              <w:rPr>
                <w:rFonts w:ascii="宋体" w:hAnsi="宋体" w:cs="瀹嬩綋"/>
                <w:kern w:val="0"/>
                <w:sz w:val="24"/>
              </w:rPr>
            </w:pPr>
            <w:r>
              <w:rPr>
                <w:rFonts w:ascii="宋体" w:hAnsi="宋体" w:cs="瀹嬩綋"/>
                <w:kern w:val="0"/>
                <w:sz w:val="24"/>
              </w:rPr>
              <w:t>≥1%</w:t>
            </w:r>
          </w:p>
        </w:tc>
        <w:tc>
          <w:tcPr>
            <w:tcW w:w="915" w:type="pct"/>
            <w:noWrap w:val="0"/>
            <w:vAlign w:val="center"/>
          </w:tcPr>
          <w:p w14:paraId="49812069">
            <w:pPr>
              <w:autoSpaceDE w:val="0"/>
              <w:autoSpaceDN w:val="0"/>
              <w:adjustRightInd w:val="0"/>
              <w:jc w:val="center"/>
              <w:rPr>
                <w:rFonts w:ascii="宋体" w:hAnsi="宋体" w:cs="瀹嬩綋"/>
                <w:kern w:val="0"/>
                <w:sz w:val="24"/>
              </w:rPr>
            </w:pPr>
            <w:r>
              <w:rPr>
                <w:rFonts w:ascii="宋体" w:hAnsi="宋体" w:cs="瀹嬩綋"/>
                <w:kern w:val="0"/>
                <w:sz w:val="24"/>
              </w:rPr>
              <w:t>≥3%</w:t>
            </w:r>
          </w:p>
        </w:tc>
        <w:tc>
          <w:tcPr>
            <w:tcW w:w="1354" w:type="pct"/>
            <w:noWrap w:val="0"/>
            <w:vAlign w:val="center"/>
          </w:tcPr>
          <w:p w14:paraId="1E2E9D6F">
            <w:pPr>
              <w:autoSpaceDE w:val="0"/>
              <w:autoSpaceDN w:val="0"/>
              <w:adjustRightInd w:val="0"/>
              <w:rPr>
                <w:rFonts w:hint="eastAsia" w:ascii="宋体" w:hAnsi="宋体" w:cs="瀹嬩綋"/>
                <w:kern w:val="0"/>
                <w:sz w:val="24"/>
              </w:rPr>
            </w:pPr>
          </w:p>
        </w:tc>
      </w:tr>
      <w:tr w14:paraId="7417F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0" w:type="pct"/>
            <w:vMerge w:val="restart"/>
            <w:noWrap w:val="0"/>
            <w:vAlign w:val="center"/>
          </w:tcPr>
          <w:p w14:paraId="39E3A616">
            <w:pPr>
              <w:autoSpaceDE w:val="0"/>
              <w:autoSpaceDN w:val="0"/>
              <w:adjustRightInd w:val="0"/>
              <w:rPr>
                <w:rFonts w:hint="eastAsia" w:ascii="宋体" w:hAnsi="宋体" w:cs="瀹嬩綋"/>
                <w:kern w:val="0"/>
                <w:sz w:val="24"/>
              </w:rPr>
            </w:pPr>
            <w:r>
              <w:rPr>
                <w:rFonts w:hint="eastAsia" w:ascii="宋体" w:hAnsi="宋体" w:cs="瀹嬩綋"/>
                <w:kern w:val="0"/>
                <w:sz w:val="24"/>
              </w:rPr>
              <w:t>水安全</w:t>
            </w:r>
          </w:p>
        </w:tc>
        <w:tc>
          <w:tcPr>
            <w:tcW w:w="1408" w:type="pct"/>
            <w:noWrap w:val="0"/>
            <w:vAlign w:val="center"/>
          </w:tcPr>
          <w:p w14:paraId="56A7C57F">
            <w:pPr>
              <w:autoSpaceDE w:val="0"/>
              <w:autoSpaceDN w:val="0"/>
              <w:adjustRightInd w:val="0"/>
              <w:rPr>
                <w:rFonts w:hint="eastAsia" w:ascii="宋体" w:hAnsi="宋体" w:cs="瀹嬩綋"/>
                <w:kern w:val="0"/>
                <w:sz w:val="24"/>
              </w:rPr>
            </w:pPr>
            <w:r>
              <w:rPr>
                <w:rFonts w:hint="eastAsia" w:ascii="宋体" w:hAnsi="宋体" w:cs="瀹嬩綋"/>
                <w:kern w:val="0"/>
                <w:sz w:val="24"/>
              </w:rPr>
              <w:t>城市防涝标准</w:t>
            </w:r>
          </w:p>
        </w:tc>
        <w:tc>
          <w:tcPr>
            <w:tcW w:w="844" w:type="pct"/>
            <w:noWrap w:val="0"/>
            <w:vAlign w:val="center"/>
          </w:tcPr>
          <w:p w14:paraId="1CAA6940">
            <w:pPr>
              <w:autoSpaceDE w:val="0"/>
              <w:autoSpaceDN w:val="0"/>
              <w:adjustRightInd w:val="0"/>
              <w:jc w:val="center"/>
              <w:rPr>
                <w:rFonts w:ascii="宋体" w:hAnsi="宋体" w:cs="瀹嬩綋"/>
                <w:kern w:val="0"/>
                <w:sz w:val="24"/>
              </w:rPr>
            </w:pPr>
            <w:r>
              <w:rPr>
                <w:rFonts w:ascii="宋体" w:hAnsi="宋体" w:cs="瀹嬩綋"/>
                <w:kern w:val="0"/>
                <w:sz w:val="24"/>
              </w:rPr>
              <w:t>≥</w:t>
            </w:r>
            <w:r>
              <w:rPr>
                <w:rFonts w:hint="eastAsia" w:ascii="宋体" w:hAnsi="宋体" w:cs="瀹嬩綋"/>
                <w:kern w:val="0"/>
                <w:sz w:val="24"/>
              </w:rPr>
              <w:t>5</w:t>
            </w:r>
            <w:r>
              <w:rPr>
                <w:rFonts w:ascii="宋体" w:hAnsi="宋体" w:cs="瀹嬩綋"/>
                <w:kern w:val="0"/>
                <w:sz w:val="24"/>
              </w:rPr>
              <w:t xml:space="preserve">0 </w:t>
            </w:r>
            <w:r>
              <w:rPr>
                <w:rFonts w:hint="eastAsia" w:ascii="宋体" w:hAnsi="宋体" w:cs="瀹嬩綋"/>
                <w:kern w:val="0"/>
                <w:sz w:val="24"/>
              </w:rPr>
              <w:t>年</w:t>
            </w:r>
          </w:p>
        </w:tc>
        <w:tc>
          <w:tcPr>
            <w:tcW w:w="915" w:type="pct"/>
            <w:noWrap w:val="0"/>
            <w:vAlign w:val="center"/>
          </w:tcPr>
          <w:p w14:paraId="39F15559">
            <w:pPr>
              <w:autoSpaceDE w:val="0"/>
              <w:autoSpaceDN w:val="0"/>
              <w:adjustRightInd w:val="0"/>
              <w:jc w:val="center"/>
              <w:rPr>
                <w:rFonts w:ascii="宋体" w:hAnsi="宋体" w:cs="瀹嬩綋"/>
                <w:kern w:val="0"/>
                <w:sz w:val="24"/>
              </w:rPr>
            </w:pPr>
            <w:r>
              <w:rPr>
                <w:rFonts w:ascii="宋体" w:hAnsi="宋体" w:cs="瀹嬩綋"/>
                <w:kern w:val="0"/>
                <w:sz w:val="24"/>
              </w:rPr>
              <w:t>≥</w:t>
            </w:r>
            <w:r>
              <w:rPr>
                <w:rFonts w:hint="eastAsia" w:ascii="宋体" w:hAnsi="宋体" w:cs="瀹嬩綋"/>
                <w:kern w:val="0"/>
                <w:sz w:val="24"/>
              </w:rPr>
              <w:t>5</w:t>
            </w:r>
            <w:r>
              <w:rPr>
                <w:rFonts w:ascii="宋体" w:hAnsi="宋体" w:cs="瀹嬩綋"/>
                <w:kern w:val="0"/>
                <w:sz w:val="24"/>
              </w:rPr>
              <w:t xml:space="preserve">0 </w:t>
            </w:r>
            <w:r>
              <w:rPr>
                <w:rFonts w:hint="eastAsia" w:ascii="宋体" w:hAnsi="宋体" w:cs="瀹嬩綋"/>
                <w:kern w:val="0"/>
                <w:sz w:val="24"/>
              </w:rPr>
              <w:t>年</w:t>
            </w:r>
          </w:p>
        </w:tc>
        <w:tc>
          <w:tcPr>
            <w:tcW w:w="1354" w:type="pct"/>
            <w:noWrap w:val="0"/>
            <w:vAlign w:val="center"/>
          </w:tcPr>
          <w:p w14:paraId="27A166B2">
            <w:pPr>
              <w:autoSpaceDE w:val="0"/>
              <w:autoSpaceDN w:val="0"/>
              <w:adjustRightInd w:val="0"/>
              <w:rPr>
                <w:rFonts w:hint="eastAsia" w:ascii="宋体" w:hAnsi="宋体" w:cs="瀹嬩綋"/>
                <w:kern w:val="0"/>
                <w:sz w:val="24"/>
              </w:rPr>
            </w:pPr>
          </w:p>
        </w:tc>
      </w:tr>
      <w:tr w14:paraId="03321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0" w:type="pct"/>
            <w:vMerge w:val="continue"/>
            <w:noWrap w:val="0"/>
            <w:vAlign w:val="center"/>
          </w:tcPr>
          <w:p w14:paraId="2DE10C68">
            <w:pPr>
              <w:autoSpaceDE w:val="0"/>
              <w:autoSpaceDN w:val="0"/>
              <w:adjustRightInd w:val="0"/>
              <w:rPr>
                <w:rFonts w:hint="eastAsia" w:ascii="宋体" w:hAnsi="宋体" w:cs="瀹嬩綋"/>
                <w:kern w:val="0"/>
                <w:sz w:val="24"/>
              </w:rPr>
            </w:pPr>
          </w:p>
        </w:tc>
        <w:tc>
          <w:tcPr>
            <w:tcW w:w="1408" w:type="pct"/>
            <w:noWrap w:val="0"/>
            <w:vAlign w:val="center"/>
          </w:tcPr>
          <w:p w14:paraId="1BFE2D17">
            <w:pPr>
              <w:autoSpaceDE w:val="0"/>
              <w:autoSpaceDN w:val="0"/>
              <w:adjustRightInd w:val="0"/>
              <w:rPr>
                <w:rFonts w:hint="eastAsia" w:ascii="宋体" w:hAnsi="宋体" w:cs="瀹嬩綋"/>
                <w:kern w:val="0"/>
                <w:sz w:val="24"/>
              </w:rPr>
            </w:pPr>
            <w:r>
              <w:rPr>
                <w:rFonts w:hint="eastAsia" w:ascii="宋体" w:hAnsi="宋体" w:cs="瀹嬩綋"/>
                <w:kern w:val="0"/>
                <w:sz w:val="24"/>
              </w:rPr>
              <w:t>雨水管渠设计标准</w:t>
            </w:r>
          </w:p>
        </w:tc>
        <w:tc>
          <w:tcPr>
            <w:tcW w:w="844" w:type="pct"/>
            <w:noWrap w:val="0"/>
            <w:vAlign w:val="center"/>
          </w:tcPr>
          <w:p w14:paraId="43F57F13">
            <w:pPr>
              <w:autoSpaceDE w:val="0"/>
              <w:autoSpaceDN w:val="0"/>
              <w:adjustRightInd w:val="0"/>
              <w:jc w:val="center"/>
              <w:rPr>
                <w:rFonts w:ascii="宋体" w:hAnsi="宋体" w:cs="瀹嬩綋"/>
                <w:kern w:val="0"/>
                <w:sz w:val="24"/>
              </w:rPr>
            </w:pPr>
            <w:r>
              <w:rPr>
                <w:rFonts w:ascii="宋体" w:hAnsi="宋体" w:cs="瀹嬩綋"/>
                <w:kern w:val="0"/>
                <w:sz w:val="24"/>
              </w:rPr>
              <w:t>2</w:t>
            </w:r>
            <w:r>
              <w:rPr>
                <w:rFonts w:hint="eastAsia" w:ascii="宋体" w:hAnsi="宋体" w:cs="瀹嬩綋"/>
                <w:kern w:val="0"/>
                <w:sz w:val="24"/>
              </w:rPr>
              <w:t>～</w:t>
            </w:r>
            <w:r>
              <w:rPr>
                <w:rFonts w:ascii="宋体" w:hAnsi="宋体" w:cs="瀹嬩綋"/>
                <w:kern w:val="0"/>
                <w:sz w:val="24"/>
              </w:rPr>
              <w:t xml:space="preserve">5 </w:t>
            </w:r>
            <w:r>
              <w:rPr>
                <w:rFonts w:hint="eastAsia" w:ascii="宋体" w:hAnsi="宋体" w:cs="瀹嬩綋"/>
                <w:kern w:val="0"/>
                <w:sz w:val="24"/>
              </w:rPr>
              <w:t>年</w:t>
            </w:r>
          </w:p>
        </w:tc>
        <w:tc>
          <w:tcPr>
            <w:tcW w:w="915" w:type="pct"/>
            <w:noWrap w:val="0"/>
            <w:vAlign w:val="center"/>
          </w:tcPr>
          <w:p w14:paraId="37DE8F0C">
            <w:pPr>
              <w:autoSpaceDE w:val="0"/>
              <w:autoSpaceDN w:val="0"/>
              <w:adjustRightInd w:val="0"/>
              <w:jc w:val="center"/>
              <w:rPr>
                <w:rFonts w:ascii="宋体" w:hAnsi="宋体" w:cs="瀹嬩綋"/>
                <w:kern w:val="0"/>
                <w:sz w:val="24"/>
              </w:rPr>
            </w:pPr>
            <w:r>
              <w:rPr>
                <w:rFonts w:ascii="宋体" w:hAnsi="宋体" w:cs="瀹嬩綋"/>
                <w:kern w:val="0"/>
                <w:sz w:val="24"/>
              </w:rPr>
              <w:t>2</w:t>
            </w:r>
            <w:r>
              <w:rPr>
                <w:rFonts w:hint="eastAsia" w:ascii="宋体" w:hAnsi="宋体" w:cs="瀹嬩綋"/>
                <w:kern w:val="0"/>
                <w:sz w:val="24"/>
              </w:rPr>
              <w:t>～</w:t>
            </w:r>
            <w:r>
              <w:rPr>
                <w:rFonts w:ascii="宋体" w:hAnsi="宋体" w:cs="瀹嬩綋"/>
                <w:kern w:val="0"/>
                <w:sz w:val="24"/>
              </w:rPr>
              <w:t xml:space="preserve">5 </w:t>
            </w:r>
            <w:r>
              <w:rPr>
                <w:rFonts w:hint="eastAsia" w:ascii="宋体" w:hAnsi="宋体" w:cs="瀹嬩綋"/>
                <w:kern w:val="0"/>
                <w:sz w:val="24"/>
              </w:rPr>
              <w:t>年</w:t>
            </w:r>
          </w:p>
        </w:tc>
        <w:tc>
          <w:tcPr>
            <w:tcW w:w="1354" w:type="pct"/>
            <w:noWrap w:val="0"/>
            <w:vAlign w:val="center"/>
          </w:tcPr>
          <w:p w14:paraId="5E3EF779">
            <w:pPr>
              <w:autoSpaceDE w:val="0"/>
              <w:autoSpaceDN w:val="0"/>
              <w:adjustRightInd w:val="0"/>
              <w:rPr>
                <w:rFonts w:hint="eastAsia" w:ascii="宋体" w:hAnsi="宋体" w:cs="瀹嬩綋"/>
                <w:kern w:val="0"/>
                <w:sz w:val="24"/>
              </w:rPr>
            </w:pPr>
            <w:r>
              <w:rPr>
                <w:rFonts w:hint="eastAsia" w:ascii="宋体" w:hAnsi="宋体" w:cs="瀹嬩綋"/>
                <w:kern w:val="0"/>
                <w:sz w:val="24"/>
              </w:rPr>
              <w:t>重要地区</w:t>
            </w:r>
            <w:r>
              <w:rPr>
                <w:rFonts w:ascii="宋体" w:hAnsi="宋体" w:cs="瀹嬩綋"/>
                <w:kern w:val="0"/>
                <w:sz w:val="24"/>
              </w:rPr>
              <w:t>5</w:t>
            </w:r>
            <w:r>
              <w:rPr>
                <w:rFonts w:hint="eastAsia" w:ascii="宋体" w:hAnsi="宋体" w:cs="瀹嬩綋"/>
                <w:kern w:val="0"/>
                <w:sz w:val="24"/>
              </w:rPr>
              <w:t>～</w:t>
            </w:r>
            <w:r>
              <w:rPr>
                <w:rFonts w:ascii="宋体" w:hAnsi="宋体" w:cs="瀹嬩綋"/>
                <w:kern w:val="0"/>
                <w:sz w:val="24"/>
              </w:rPr>
              <w:t>10</w:t>
            </w:r>
            <w:r>
              <w:rPr>
                <w:rFonts w:hint="eastAsia" w:ascii="宋体" w:hAnsi="宋体" w:cs="瀹嬩綋"/>
                <w:kern w:val="0"/>
                <w:sz w:val="24"/>
              </w:rPr>
              <w:t>年，地下通道和下沉式广场等</w:t>
            </w:r>
            <w:r>
              <w:rPr>
                <w:rFonts w:ascii="宋体" w:hAnsi="宋体" w:cs="瀹嬩綋"/>
                <w:kern w:val="0"/>
                <w:sz w:val="24"/>
              </w:rPr>
              <w:t>20</w:t>
            </w:r>
            <w:r>
              <w:rPr>
                <w:rFonts w:hint="eastAsia" w:ascii="宋体" w:hAnsi="宋体" w:cs="瀹嬩綋"/>
                <w:kern w:val="0"/>
                <w:sz w:val="24"/>
              </w:rPr>
              <w:t>～</w:t>
            </w:r>
            <w:r>
              <w:rPr>
                <w:rFonts w:ascii="宋体" w:hAnsi="宋体" w:cs="瀹嬩綋"/>
                <w:kern w:val="0"/>
                <w:sz w:val="24"/>
              </w:rPr>
              <w:t xml:space="preserve">30 </w:t>
            </w:r>
            <w:r>
              <w:rPr>
                <w:rFonts w:hint="eastAsia" w:ascii="宋体" w:hAnsi="宋体" w:cs="瀹嬩綋"/>
                <w:kern w:val="0"/>
                <w:sz w:val="24"/>
              </w:rPr>
              <w:t>年</w:t>
            </w:r>
          </w:p>
        </w:tc>
      </w:tr>
      <w:tr w14:paraId="366D6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0" w:type="pct"/>
            <w:vMerge w:val="continue"/>
            <w:noWrap w:val="0"/>
            <w:vAlign w:val="center"/>
          </w:tcPr>
          <w:p w14:paraId="447559AF">
            <w:pPr>
              <w:autoSpaceDE w:val="0"/>
              <w:autoSpaceDN w:val="0"/>
              <w:adjustRightInd w:val="0"/>
              <w:rPr>
                <w:rFonts w:hint="eastAsia" w:ascii="宋体" w:hAnsi="宋体" w:cs="瀹嬩綋"/>
                <w:kern w:val="0"/>
                <w:sz w:val="24"/>
              </w:rPr>
            </w:pPr>
          </w:p>
        </w:tc>
        <w:tc>
          <w:tcPr>
            <w:tcW w:w="1408" w:type="pct"/>
            <w:noWrap w:val="0"/>
            <w:vAlign w:val="center"/>
          </w:tcPr>
          <w:p w14:paraId="178C4AF0">
            <w:pPr>
              <w:autoSpaceDE w:val="0"/>
              <w:autoSpaceDN w:val="0"/>
              <w:adjustRightInd w:val="0"/>
              <w:rPr>
                <w:rFonts w:hint="eastAsia" w:ascii="宋体" w:hAnsi="宋体" w:cs="瀹嬩綋"/>
                <w:kern w:val="0"/>
                <w:sz w:val="24"/>
              </w:rPr>
            </w:pPr>
            <w:r>
              <w:rPr>
                <w:rFonts w:hint="eastAsia" w:ascii="宋体" w:hAnsi="宋体" w:cs="瀹嬩綋"/>
                <w:kern w:val="0"/>
                <w:sz w:val="24"/>
              </w:rPr>
              <w:t>城市防洪堤达标率</w:t>
            </w:r>
          </w:p>
        </w:tc>
        <w:tc>
          <w:tcPr>
            <w:tcW w:w="844" w:type="pct"/>
            <w:noWrap w:val="0"/>
            <w:vAlign w:val="center"/>
          </w:tcPr>
          <w:p w14:paraId="1B6BC86D">
            <w:pPr>
              <w:autoSpaceDE w:val="0"/>
              <w:autoSpaceDN w:val="0"/>
              <w:adjustRightInd w:val="0"/>
              <w:jc w:val="center"/>
              <w:rPr>
                <w:rFonts w:ascii="宋体" w:hAnsi="宋体" w:cs="瀹嬩綋"/>
                <w:kern w:val="0"/>
                <w:sz w:val="24"/>
              </w:rPr>
            </w:pPr>
            <w:r>
              <w:rPr>
                <w:rFonts w:ascii="宋体" w:hAnsi="宋体" w:cs="瀹嬩綋"/>
                <w:kern w:val="0"/>
                <w:sz w:val="24"/>
              </w:rPr>
              <w:t>100%</w:t>
            </w:r>
          </w:p>
        </w:tc>
        <w:tc>
          <w:tcPr>
            <w:tcW w:w="915" w:type="pct"/>
            <w:noWrap w:val="0"/>
            <w:vAlign w:val="center"/>
          </w:tcPr>
          <w:p w14:paraId="3CFD6781">
            <w:pPr>
              <w:autoSpaceDE w:val="0"/>
              <w:autoSpaceDN w:val="0"/>
              <w:adjustRightInd w:val="0"/>
              <w:jc w:val="center"/>
              <w:rPr>
                <w:rFonts w:ascii="宋体" w:hAnsi="宋体" w:cs="瀹嬩綋"/>
                <w:kern w:val="0"/>
                <w:sz w:val="24"/>
              </w:rPr>
            </w:pPr>
            <w:r>
              <w:rPr>
                <w:rFonts w:ascii="宋体" w:hAnsi="宋体" w:cs="瀹嬩綋"/>
                <w:kern w:val="0"/>
                <w:sz w:val="24"/>
              </w:rPr>
              <w:t>100%</w:t>
            </w:r>
          </w:p>
        </w:tc>
        <w:tc>
          <w:tcPr>
            <w:tcW w:w="1354" w:type="pct"/>
            <w:noWrap w:val="0"/>
            <w:vAlign w:val="center"/>
          </w:tcPr>
          <w:p w14:paraId="7A061BA2">
            <w:pPr>
              <w:autoSpaceDE w:val="0"/>
              <w:autoSpaceDN w:val="0"/>
              <w:adjustRightInd w:val="0"/>
              <w:rPr>
                <w:rFonts w:hint="eastAsia" w:ascii="宋体" w:hAnsi="宋体" w:cs="瀹嬩綋"/>
                <w:kern w:val="0"/>
                <w:sz w:val="24"/>
              </w:rPr>
            </w:pPr>
          </w:p>
        </w:tc>
      </w:tr>
    </w:tbl>
    <w:p w14:paraId="601F585F">
      <w:pPr>
        <w:spacing w:line="660" w:lineRule="exact"/>
        <w:ind w:firstLine="551" w:firstLineChars="196"/>
        <w:rPr>
          <w:rFonts w:ascii="宋体" w:hAnsi="宋体"/>
          <w:b/>
          <w:sz w:val="28"/>
          <w:szCs w:val="28"/>
        </w:rPr>
      </w:pPr>
      <w:r>
        <w:rPr>
          <w:rFonts w:hint="eastAsia" w:ascii="宋体" w:hAnsi="宋体"/>
          <w:b/>
          <w:sz w:val="28"/>
          <w:szCs w:val="28"/>
        </w:rPr>
        <w:t>（二）海绵城市建设主要任务</w:t>
      </w:r>
      <w:r>
        <w:rPr>
          <w:rFonts w:ascii="宋体" w:hAnsi="宋体"/>
          <w:b/>
          <w:sz w:val="28"/>
          <w:szCs w:val="28"/>
        </w:rPr>
        <w:t xml:space="preserve"> </w:t>
      </w:r>
    </w:p>
    <w:p w14:paraId="258809D6">
      <w:pPr>
        <w:spacing w:line="660" w:lineRule="exact"/>
        <w:ind w:firstLine="548" w:firstLineChars="196"/>
        <w:rPr>
          <w:rFonts w:hint="eastAsia" w:ascii="宋体" w:hAnsi="宋体"/>
          <w:sz w:val="28"/>
          <w:szCs w:val="28"/>
        </w:rPr>
      </w:pPr>
      <w:r>
        <w:rPr>
          <w:rFonts w:hint="eastAsia" w:ascii="宋体" w:hAnsi="宋体"/>
          <w:sz w:val="28"/>
          <w:szCs w:val="28"/>
        </w:rPr>
        <w:t>根据片区实际及规划情况，确定片区海绵城市建设主要任务为:</w:t>
      </w:r>
    </w:p>
    <w:p w14:paraId="72EA1FDA">
      <w:pPr>
        <w:spacing w:line="660" w:lineRule="exact"/>
        <w:ind w:firstLine="548" w:firstLineChars="196"/>
        <w:rPr>
          <w:rFonts w:ascii="宋体" w:hAnsi="宋体"/>
          <w:sz w:val="28"/>
          <w:szCs w:val="28"/>
        </w:rPr>
      </w:pPr>
      <w:r>
        <w:rPr>
          <w:rFonts w:hint="eastAsia" w:ascii="宋体" w:hAnsi="宋体"/>
          <w:sz w:val="28"/>
          <w:szCs w:val="28"/>
        </w:rPr>
        <w:t>1、片区道路改造与建设低影响开发实施建设；</w:t>
      </w:r>
    </w:p>
    <w:p w14:paraId="6EDC6454">
      <w:pPr>
        <w:spacing w:line="660" w:lineRule="exact"/>
        <w:ind w:firstLine="548" w:firstLineChars="196"/>
        <w:rPr>
          <w:rFonts w:ascii="宋体" w:hAnsi="宋体"/>
          <w:sz w:val="28"/>
          <w:szCs w:val="28"/>
        </w:rPr>
      </w:pPr>
      <w:r>
        <w:rPr>
          <w:rFonts w:hint="eastAsia" w:ascii="宋体" w:hAnsi="宋体"/>
          <w:sz w:val="28"/>
          <w:szCs w:val="28"/>
        </w:rPr>
        <w:t>2、片区雨污水管道、泵站设施改造与建设；</w:t>
      </w:r>
    </w:p>
    <w:p w14:paraId="79A3AF4E">
      <w:pPr>
        <w:spacing w:line="660" w:lineRule="exact"/>
        <w:ind w:firstLine="548" w:firstLineChars="196"/>
        <w:rPr>
          <w:rFonts w:hint="eastAsia" w:ascii="宋体" w:hAnsi="宋体"/>
          <w:sz w:val="28"/>
          <w:szCs w:val="28"/>
        </w:rPr>
      </w:pPr>
      <w:r>
        <w:rPr>
          <w:rFonts w:hint="eastAsia" w:ascii="宋体" w:hAnsi="宋体"/>
          <w:sz w:val="28"/>
          <w:szCs w:val="28"/>
        </w:rPr>
        <w:t>3、公园绿地、广场、住宅小区低影响开发设施建设；</w:t>
      </w:r>
    </w:p>
    <w:p w14:paraId="26AE04AA">
      <w:pPr>
        <w:spacing w:line="660" w:lineRule="exact"/>
        <w:ind w:firstLine="548" w:firstLineChars="196"/>
        <w:rPr>
          <w:rFonts w:ascii="宋体" w:hAnsi="宋体"/>
          <w:sz w:val="28"/>
          <w:szCs w:val="28"/>
        </w:rPr>
      </w:pPr>
      <w:r>
        <w:rPr>
          <w:rFonts w:hint="eastAsia" w:ascii="宋体" w:hAnsi="宋体"/>
          <w:sz w:val="28"/>
          <w:szCs w:val="28"/>
        </w:rPr>
        <w:t>4、岷江本</w:t>
      </w:r>
      <w:r>
        <w:rPr>
          <w:rFonts w:ascii="宋体" w:hAnsi="宋体"/>
          <w:sz w:val="28"/>
          <w:szCs w:val="28"/>
        </w:rPr>
        <w:t>规划</w:t>
      </w:r>
      <w:r>
        <w:rPr>
          <w:rFonts w:hint="eastAsia" w:ascii="宋体" w:hAnsi="宋体"/>
          <w:sz w:val="28"/>
          <w:szCs w:val="28"/>
        </w:rPr>
        <w:t>区段水系统整治，片区中部碧山湖生态</w:t>
      </w:r>
      <w:r>
        <w:rPr>
          <w:rFonts w:ascii="宋体" w:hAnsi="宋体"/>
          <w:sz w:val="28"/>
          <w:szCs w:val="28"/>
        </w:rPr>
        <w:t>林地</w:t>
      </w:r>
      <w:r>
        <w:rPr>
          <w:rFonts w:hint="eastAsia" w:ascii="宋体" w:hAnsi="宋体"/>
          <w:sz w:val="28"/>
          <w:szCs w:val="28"/>
        </w:rPr>
        <w:t>修复提升；</w:t>
      </w:r>
    </w:p>
    <w:p w14:paraId="2DC24A96">
      <w:pPr>
        <w:spacing w:line="660" w:lineRule="exact"/>
        <w:ind w:firstLine="548" w:firstLineChars="196"/>
        <w:rPr>
          <w:rFonts w:hint="eastAsia" w:ascii="宋体" w:hAnsi="宋体"/>
          <w:sz w:val="28"/>
          <w:szCs w:val="28"/>
        </w:rPr>
      </w:pPr>
      <w:r>
        <w:rPr>
          <w:rFonts w:hint="eastAsia" w:ascii="宋体" w:hAnsi="宋体"/>
          <w:sz w:val="28"/>
          <w:szCs w:val="28"/>
        </w:rPr>
        <w:t>5、岷江东岸片区段防洪排涝设施改造与建设。</w:t>
      </w:r>
    </w:p>
    <w:p w14:paraId="59047961">
      <w:pPr>
        <w:spacing w:line="660" w:lineRule="exact"/>
        <w:ind w:firstLine="548" w:firstLineChars="196"/>
        <w:rPr>
          <w:rFonts w:hint="eastAsia" w:ascii="宋体" w:hAnsi="宋体"/>
          <w:sz w:val="28"/>
          <w:szCs w:val="28"/>
        </w:rPr>
      </w:pPr>
    </w:p>
    <w:p w14:paraId="093C4D9C">
      <w:pPr>
        <w:pStyle w:val="3"/>
        <w:spacing w:line="620" w:lineRule="exact"/>
        <w:jc w:val="center"/>
        <w:rPr>
          <w:rFonts w:hint="eastAsia"/>
          <w:sz w:val="36"/>
        </w:rPr>
      </w:pPr>
      <w:bookmarkStart w:id="710" w:name="_Toc6394687"/>
      <w:bookmarkStart w:id="711" w:name="_Toc348965229"/>
      <w:bookmarkStart w:id="712" w:name="_Toc216520023"/>
      <w:r>
        <w:rPr>
          <w:rFonts w:hint="eastAsia"/>
          <w:sz w:val="36"/>
        </w:rPr>
        <w:t>第八章  城市设计导则</w:t>
      </w:r>
      <w:bookmarkEnd w:id="710"/>
      <w:bookmarkEnd w:id="711"/>
      <w:bookmarkEnd w:id="712"/>
    </w:p>
    <w:p w14:paraId="17504E16">
      <w:pPr>
        <w:pStyle w:val="4"/>
        <w:spacing w:line="640" w:lineRule="exact"/>
        <w:rPr>
          <w:rFonts w:hint="eastAsia" w:ascii="黑体" w:eastAsia="黑体"/>
        </w:rPr>
      </w:pPr>
      <w:bookmarkStart w:id="713" w:name="_Toc348965230"/>
      <w:bookmarkStart w:id="714" w:name="_Toc6394688"/>
      <w:bookmarkStart w:id="715" w:name="_Toc216520024"/>
      <w:r>
        <w:rPr>
          <w:rFonts w:hint="eastAsia" w:ascii="黑体" w:eastAsia="黑体"/>
        </w:rPr>
        <w:t>一、总体构想</w:t>
      </w:r>
      <w:bookmarkEnd w:id="713"/>
      <w:bookmarkEnd w:id="714"/>
      <w:bookmarkEnd w:id="715"/>
    </w:p>
    <w:p w14:paraId="383F94AC">
      <w:pPr>
        <w:spacing w:line="640" w:lineRule="exact"/>
        <w:ind w:firstLine="560" w:firstLineChars="200"/>
        <w:rPr>
          <w:rFonts w:hint="eastAsia" w:ascii="宋体" w:hAnsi="宋体"/>
          <w:sz w:val="28"/>
          <w:szCs w:val="28"/>
        </w:rPr>
      </w:pPr>
      <w:r>
        <w:rPr>
          <w:rFonts w:ascii="宋体" w:hAnsi="宋体"/>
          <w:sz w:val="28"/>
          <w:szCs w:val="28"/>
        </w:rPr>
        <w:t>在城市设计和建设中努力营造人与自然的和谐关系，以用地功能分区、路网布局为基础，结合景观规划要求，构筑</w:t>
      </w:r>
      <w:r>
        <w:rPr>
          <w:rFonts w:hint="eastAsia" w:ascii="宋体" w:hAnsi="宋体"/>
          <w:sz w:val="28"/>
          <w:szCs w:val="28"/>
        </w:rPr>
        <w:t>规划</w:t>
      </w:r>
      <w:r>
        <w:rPr>
          <w:rFonts w:ascii="宋体" w:hAnsi="宋体"/>
          <w:sz w:val="28"/>
          <w:szCs w:val="28"/>
        </w:rPr>
        <w:t>区城市设计框架</w:t>
      </w:r>
      <w:r>
        <w:rPr>
          <w:rFonts w:hint="eastAsia" w:ascii="宋体" w:hAnsi="宋体"/>
          <w:sz w:val="28"/>
          <w:szCs w:val="28"/>
        </w:rPr>
        <w:t>。要求</w:t>
      </w:r>
      <w:r>
        <w:rPr>
          <w:rFonts w:ascii="宋体" w:hAnsi="宋体"/>
          <w:sz w:val="28"/>
          <w:szCs w:val="28"/>
        </w:rPr>
        <w:t>各个功能区形成各自特色，标识性强，但整体协调统一</w:t>
      </w:r>
      <w:r>
        <w:rPr>
          <w:rFonts w:hint="eastAsia" w:ascii="宋体" w:hAnsi="宋体"/>
          <w:sz w:val="28"/>
          <w:szCs w:val="28"/>
        </w:rPr>
        <w:t>。</w:t>
      </w:r>
    </w:p>
    <w:p w14:paraId="197BDC17">
      <w:pPr>
        <w:pStyle w:val="4"/>
        <w:spacing w:line="640" w:lineRule="exact"/>
        <w:rPr>
          <w:rFonts w:hint="eastAsia" w:ascii="黑体" w:eastAsia="黑体"/>
        </w:rPr>
      </w:pPr>
      <w:bookmarkStart w:id="716" w:name="_Toc216520025"/>
      <w:bookmarkStart w:id="717" w:name="_Toc348965231"/>
      <w:bookmarkStart w:id="718" w:name="_Toc6394689"/>
      <w:r>
        <w:rPr>
          <w:rFonts w:hint="eastAsia" w:ascii="黑体" w:eastAsia="黑体"/>
        </w:rPr>
        <w:t>二、城市设计控制要求</w:t>
      </w:r>
      <w:bookmarkEnd w:id="716"/>
      <w:bookmarkEnd w:id="717"/>
      <w:bookmarkEnd w:id="718"/>
    </w:p>
    <w:p w14:paraId="45284F5B">
      <w:pPr>
        <w:spacing w:line="640" w:lineRule="exact"/>
        <w:ind w:firstLine="562" w:firstLineChars="200"/>
        <w:rPr>
          <w:rFonts w:hint="eastAsia" w:ascii="宋体" w:hAnsi="宋体"/>
          <w:b/>
          <w:sz w:val="28"/>
          <w:szCs w:val="28"/>
        </w:rPr>
      </w:pPr>
      <w:r>
        <w:rPr>
          <w:rFonts w:hint="eastAsia" w:ascii="宋体" w:hAnsi="宋体"/>
          <w:b/>
          <w:sz w:val="28"/>
          <w:szCs w:val="28"/>
        </w:rPr>
        <w:t>（一）城市天际线设计引导</w:t>
      </w:r>
    </w:p>
    <w:p w14:paraId="638DE776">
      <w:pPr>
        <w:spacing w:line="640" w:lineRule="exact"/>
        <w:ind w:firstLine="560" w:firstLineChars="200"/>
        <w:rPr>
          <w:rFonts w:hint="eastAsia" w:ascii="宋体" w:hAnsi="宋体"/>
          <w:sz w:val="28"/>
          <w:szCs w:val="28"/>
        </w:rPr>
      </w:pPr>
      <w:r>
        <w:rPr>
          <w:rFonts w:hint="eastAsia" w:ascii="宋体" w:hAnsi="宋体"/>
          <w:sz w:val="28"/>
          <w:szCs w:val="28"/>
        </w:rPr>
        <w:t>城市天际线是由城市建筑与自然素材互相呼应、共同形成的天际轮廓线，是表现城市空间景观的重要方面；经过精心设计的优美的城市外轮廓线是极富美学价值的构图，往往会成为一个城市的标志性特征。在建构天际线时，应有意识的将各类建筑高度拉开层次。公共建筑适当增加高度，局部允许有超高层建筑，重视高层建筑群体的节奏韵律和对比统一，强化个别地标性建筑物或构筑物的空间形象设计，增加其在天际线构成中的份量，并使周围建筑群尽量与之配合，起到画龙点睛的作用。</w:t>
      </w:r>
      <w:r>
        <w:rPr>
          <w:rFonts w:ascii="宋体" w:hAnsi="宋体"/>
          <w:sz w:val="28"/>
          <w:szCs w:val="28"/>
        </w:rPr>
        <w:t xml:space="preserve"> </w:t>
      </w:r>
    </w:p>
    <w:p w14:paraId="605F24E4">
      <w:pPr>
        <w:spacing w:line="640" w:lineRule="exact"/>
        <w:ind w:firstLine="560" w:firstLineChars="200"/>
        <w:rPr>
          <w:rFonts w:ascii="宋体" w:hAnsi="宋体"/>
          <w:sz w:val="28"/>
          <w:szCs w:val="28"/>
        </w:rPr>
      </w:pPr>
      <w:r>
        <w:rPr>
          <w:rFonts w:hint="eastAsia" w:ascii="宋体" w:hAnsi="宋体"/>
          <w:sz w:val="28"/>
          <w:szCs w:val="28"/>
        </w:rPr>
        <w:t>根据岷江东岸片区的规划构想，结合规划空间结构，将岷江河道界面作为城市设计重点控制的城市天际线，注重天际线的轮廓变化和风格统一，在重要的城市功能核心形成标志性的地标建构筑物。</w:t>
      </w:r>
    </w:p>
    <w:p w14:paraId="7A427770">
      <w:pPr>
        <w:spacing w:line="640" w:lineRule="exact"/>
        <w:ind w:firstLine="562" w:firstLineChars="200"/>
        <w:rPr>
          <w:rFonts w:hint="eastAsia" w:ascii="宋体" w:hAnsi="宋体"/>
          <w:b/>
          <w:sz w:val="28"/>
          <w:szCs w:val="28"/>
        </w:rPr>
      </w:pPr>
      <w:r>
        <w:rPr>
          <w:rFonts w:hint="eastAsia" w:ascii="宋体" w:hAnsi="宋体"/>
          <w:b/>
          <w:sz w:val="28"/>
          <w:szCs w:val="28"/>
        </w:rPr>
        <w:t>（二）城市色彩控制</w:t>
      </w:r>
    </w:p>
    <w:p w14:paraId="0ECF9540">
      <w:pPr>
        <w:spacing w:line="640" w:lineRule="exact"/>
        <w:ind w:firstLine="560" w:firstLineChars="200"/>
        <w:rPr>
          <w:rFonts w:ascii="宋体" w:hAnsi="宋体"/>
          <w:sz w:val="28"/>
          <w:szCs w:val="28"/>
        </w:rPr>
      </w:pPr>
      <w:r>
        <w:rPr>
          <w:rFonts w:hint="eastAsia" w:ascii="宋体" w:hAnsi="宋体"/>
          <w:sz w:val="28"/>
          <w:szCs w:val="28"/>
        </w:rPr>
        <w:t>城市色彩一方面应与自然环境相协调，规划区所在地区四季分明，可采用暖色系有助于营造温暖的环境氛围。另一方面，城市色彩与城市空间氛围相协调，不同的建筑场所，具有不同的空间氛围，对于城市色彩有着不同的要求。居住区的色彩设计应该和人们安宁、舒适的心理需求一致，应以恬淡柔和的暖色调为主；对于文化性场所，色彩性格多明净高雅，与当地文化特色相映成辉；对于商业性场所，则尽可能营造热闹、繁荣的氛围；而对于休憩性场所，</w:t>
      </w:r>
      <w:r>
        <w:rPr>
          <w:rFonts w:ascii="宋体" w:hAnsi="宋体"/>
          <w:sz w:val="28"/>
          <w:szCs w:val="28"/>
        </w:rPr>
        <w:t>“</w:t>
      </w:r>
      <w:r>
        <w:rPr>
          <w:rFonts w:hint="eastAsia" w:ascii="宋体" w:hAnsi="宋体"/>
          <w:sz w:val="28"/>
          <w:szCs w:val="28"/>
        </w:rPr>
        <w:t>回归自然</w:t>
      </w:r>
      <w:r>
        <w:rPr>
          <w:rFonts w:ascii="宋体" w:hAnsi="宋体"/>
          <w:sz w:val="28"/>
          <w:szCs w:val="28"/>
        </w:rPr>
        <w:t>”</w:t>
      </w:r>
      <w:r>
        <w:rPr>
          <w:rFonts w:hint="eastAsia" w:ascii="宋体" w:hAnsi="宋体"/>
          <w:sz w:val="28"/>
          <w:szCs w:val="28"/>
        </w:rPr>
        <w:t>成为必然需求，建筑色彩只能成为点縀，应以丰富的种植色彩为主。</w:t>
      </w:r>
    </w:p>
    <w:p w14:paraId="564A07DA">
      <w:pPr>
        <w:spacing w:line="640" w:lineRule="exact"/>
        <w:ind w:firstLine="560" w:firstLineChars="200"/>
        <w:rPr>
          <w:rFonts w:ascii="宋体" w:hAnsi="宋体"/>
          <w:sz w:val="28"/>
          <w:szCs w:val="28"/>
        </w:rPr>
      </w:pPr>
      <w:r>
        <w:rPr>
          <w:rFonts w:hint="eastAsia" w:ascii="宋体" w:hAnsi="宋体"/>
          <w:sz w:val="28"/>
          <w:szCs w:val="28"/>
        </w:rPr>
        <w:t>针对规划区的气候特点，规划作如下设计引导：总体上的城市主色调应以浅白色或浅暖色为主。对于需要强化的城市意象、识别系统，通过辅色调、环境色的对比，增强地段的个性；对于城市的重要节点，允许色彩突出，增强标志性和吸引力，同时为城市增添亮点。</w:t>
      </w:r>
    </w:p>
    <w:p w14:paraId="54767710">
      <w:pPr>
        <w:spacing w:line="640" w:lineRule="exact"/>
        <w:ind w:firstLine="422" w:firstLineChars="150"/>
        <w:rPr>
          <w:rFonts w:hint="eastAsia" w:ascii="宋体" w:hAnsi="宋体"/>
          <w:b/>
          <w:sz w:val="28"/>
          <w:szCs w:val="28"/>
        </w:rPr>
      </w:pPr>
      <w:r>
        <w:rPr>
          <w:rFonts w:hint="eastAsia" w:ascii="宋体" w:hAnsi="宋体"/>
          <w:b/>
          <w:sz w:val="28"/>
          <w:szCs w:val="28"/>
        </w:rPr>
        <w:t>（三）开敞</w:t>
      </w:r>
      <w:r>
        <w:rPr>
          <w:rFonts w:ascii="宋体" w:hAnsi="宋体"/>
          <w:b/>
          <w:sz w:val="28"/>
          <w:szCs w:val="28"/>
        </w:rPr>
        <w:t>空间设计</w:t>
      </w:r>
      <w:r>
        <w:rPr>
          <w:rFonts w:hint="eastAsia" w:ascii="宋体" w:hAnsi="宋体"/>
          <w:b/>
          <w:sz w:val="28"/>
          <w:szCs w:val="28"/>
        </w:rPr>
        <w:t>导引</w:t>
      </w:r>
    </w:p>
    <w:p w14:paraId="2547061A">
      <w:pPr>
        <w:spacing w:line="640" w:lineRule="exact"/>
        <w:ind w:firstLine="560" w:firstLineChars="200"/>
        <w:rPr>
          <w:rFonts w:hint="eastAsia" w:ascii="宋体" w:hAnsi="宋体"/>
          <w:sz w:val="28"/>
          <w:szCs w:val="28"/>
        </w:rPr>
      </w:pPr>
      <w:r>
        <w:rPr>
          <w:rFonts w:ascii="宋体" w:hAnsi="宋体"/>
          <w:sz w:val="28"/>
          <w:szCs w:val="28"/>
        </w:rPr>
        <w:t>绿地中可设置少量铺地，与建构筑物的联系通过小型广场转换。</w:t>
      </w:r>
      <w:r>
        <w:rPr>
          <w:rFonts w:hint="eastAsia" w:ascii="宋体" w:hAnsi="宋体"/>
          <w:sz w:val="28"/>
          <w:szCs w:val="28"/>
        </w:rPr>
        <w:t>但作为高压线走廊的防护绿地不允许构筑人员长时间逗留的建筑物和活动场所。</w:t>
      </w:r>
    </w:p>
    <w:p w14:paraId="744FE534">
      <w:pPr>
        <w:spacing w:line="640" w:lineRule="exact"/>
        <w:ind w:firstLine="560" w:firstLineChars="200"/>
        <w:rPr>
          <w:rFonts w:hint="eastAsia" w:ascii="宋体" w:hAnsi="宋体"/>
          <w:sz w:val="28"/>
          <w:szCs w:val="28"/>
        </w:rPr>
      </w:pPr>
      <w:r>
        <w:rPr>
          <w:rFonts w:ascii="宋体" w:hAnsi="宋体"/>
          <w:sz w:val="28"/>
          <w:szCs w:val="28"/>
        </w:rPr>
        <w:t>滨</w:t>
      </w:r>
      <w:r>
        <w:rPr>
          <w:rFonts w:hint="eastAsia" w:ascii="宋体" w:hAnsi="宋体"/>
          <w:sz w:val="28"/>
          <w:szCs w:val="28"/>
        </w:rPr>
        <w:t>水</w:t>
      </w:r>
      <w:r>
        <w:rPr>
          <w:rFonts w:ascii="宋体" w:hAnsi="宋体"/>
          <w:sz w:val="28"/>
          <w:szCs w:val="28"/>
        </w:rPr>
        <w:t>生态绿地应设置适量小品、休憩设施，形成一定数量的交流空间。沿</w:t>
      </w:r>
      <w:r>
        <w:rPr>
          <w:rFonts w:hint="eastAsia" w:ascii="宋体" w:hAnsi="宋体"/>
          <w:sz w:val="28"/>
          <w:szCs w:val="28"/>
        </w:rPr>
        <w:t>江</w:t>
      </w:r>
      <w:r>
        <w:rPr>
          <w:rFonts w:ascii="宋体" w:hAnsi="宋体"/>
          <w:sz w:val="28"/>
          <w:szCs w:val="28"/>
        </w:rPr>
        <w:t>河</w:t>
      </w:r>
      <w:r>
        <w:rPr>
          <w:rFonts w:hint="eastAsia" w:ascii="宋体" w:hAnsi="宋体"/>
          <w:sz w:val="28"/>
          <w:szCs w:val="28"/>
        </w:rPr>
        <w:t>、渠</w:t>
      </w:r>
      <w:r>
        <w:rPr>
          <w:rFonts w:ascii="宋体" w:hAnsi="宋体"/>
          <w:sz w:val="28"/>
          <w:szCs w:val="28"/>
        </w:rPr>
        <w:t>分段采用树形优美、</w:t>
      </w:r>
      <w:r>
        <w:rPr>
          <w:rFonts w:hint="eastAsia" w:ascii="宋体" w:hAnsi="宋体"/>
          <w:sz w:val="28"/>
          <w:szCs w:val="28"/>
        </w:rPr>
        <w:t>树</w:t>
      </w:r>
      <w:r>
        <w:rPr>
          <w:rFonts w:ascii="宋体" w:hAnsi="宋体"/>
          <w:sz w:val="28"/>
          <w:szCs w:val="28"/>
        </w:rPr>
        <w:t>叶颜色多彩的树种，塑造色、香、形统一协调的特色滨水绿化环境。</w:t>
      </w:r>
    </w:p>
    <w:p w14:paraId="158430FC">
      <w:pPr>
        <w:spacing w:line="640" w:lineRule="exact"/>
        <w:ind w:firstLine="646" w:firstLineChars="231"/>
        <w:rPr>
          <w:rFonts w:hint="eastAsia" w:ascii="宋体" w:hAnsi="宋体"/>
          <w:sz w:val="28"/>
          <w:szCs w:val="28"/>
        </w:rPr>
      </w:pPr>
      <w:r>
        <w:rPr>
          <w:rFonts w:hint="eastAsia" w:ascii="宋体" w:hAnsi="宋体"/>
          <w:sz w:val="28"/>
          <w:szCs w:val="28"/>
        </w:rPr>
        <w:t>碧山路、片区东部的主游道两侧绿带及滨水绿地作为片区开敞空间设计重点引导地段，注重空间</w:t>
      </w:r>
      <w:r>
        <w:rPr>
          <w:rFonts w:ascii="宋体" w:hAnsi="宋体"/>
          <w:sz w:val="28"/>
          <w:szCs w:val="28"/>
        </w:rPr>
        <w:t>布局的特色</w:t>
      </w:r>
      <w:r>
        <w:rPr>
          <w:rFonts w:hint="eastAsia" w:ascii="宋体" w:hAnsi="宋体"/>
          <w:sz w:val="28"/>
          <w:szCs w:val="28"/>
        </w:rPr>
        <w:t>性和整体性。根据各个景观区的不同特色，分别布局与之相衔接、配套又各具特色的公共开敞空间，同时通过色彩、材料、符号及处理手法等使其统一。</w:t>
      </w:r>
    </w:p>
    <w:p w14:paraId="27D72D98">
      <w:pPr>
        <w:spacing w:line="640" w:lineRule="exact"/>
        <w:ind w:firstLine="422" w:firstLineChars="150"/>
        <w:rPr>
          <w:rFonts w:hint="eastAsia" w:ascii="宋体" w:hAnsi="宋体"/>
          <w:b/>
          <w:sz w:val="28"/>
          <w:szCs w:val="28"/>
        </w:rPr>
      </w:pPr>
      <w:r>
        <w:rPr>
          <w:rFonts w:hint="eastAsia" w:ascii="宋体" w:hAnsi="宋体"/>
          <w:b/>
          <w:sz w:val="28"/>
          <w:szCs w:val="28"/>
        </w:rPr>
        <w:t>（四）建筑</w:t>
      </w:r>
      <w:r>
        <w:rPr>
          <w:rFonts w:ascii="宋体" w:hAnsi="宋体"/>
          <w:b/>
          <w:sz w:val="28"/>
          <w:szCs w:val="28"/>
        </w:rPr>
        <w:t>设计</w:t>
      </w:r>
      <w:r>
        <w:rPr>
          <w:rFonts w:hint="eastAsia" w:ascii="宋体" w:hAnsi="宋体"/>
          <w:b/>
          <w:sz w:val="28"/>
          <w:szCs w:val="28"/>
        </w:rPr>
        <w:t>导引</w:t>
      </w:r>
    </w:p>
    <w:p w14:paraId="49BF774B">
      <w:pPr>
        <w:spacing w:line="640" w:lineRule="exact"/>
        <w:ind w:firstLine="560" w:firstLineChars="200"/>
        <w:rPr>
          <w:rFonts w:hint="eastAsia" w:ascii="宋体" w:hAnsi="宋体"/>
          <w:sz w:val="28"/>
          <w:szCs w:val="28"/>
        </w:rPr>
      </w:pPr>
      <w:bookmarkStart w:id="719" w:name="_Toc216520026"/>
      <w:r>
        <w:rPr>
          <w:rFonts w:ascii="宋体" w:hAnsi="宋体"/>
          <w:sz w:val="28"/>
          <w:szCs w:val="28"/>
        </w:rPr>
        <w:t>建筑设计导</w:t>
      </w:r>
      <w:r>
        <w:rPr>
          <w:rFonts w:hint="eastAsia" w:ascii="宋体" w:hAnsi="宋体"/>
          <w:sz w:val="28"/>
          <w:szCs w:val="28"/>
        </w:rPr>
        <w:t>引主要从建筑风格、色彩、体量等方面进行控制。</w:t>
      </w:r>
    </w:p>
    <w:p w14:paraId="4339A52E">
      <w:pPr>
        <w:spacing w:line="640" w:lineRule="exact"/>
        <w:ind w:firstLine="560" w:firstLineChars="200"/>
        <w:rPr>
          <w:rFonts w:hint="eastAsia" w:ascii="宋体" w:hAnsi="宋体"/>
          <w:sz w:val="28"/>
          <w:szCs w:val="28"/>
        </w:rPr>
      </w:pPr>
      <w:r>
        <w:rPr>
          <w:rFonts w:hint="eastAsia" w:ascii="宋体" w:hAnsi="宋体"/>
          <w:sz w:val="28"/>
          <w:szCs w:val="28"/>
        </w:rPr>
        <w:t>建筑风格是一个城市建筑文化的集中体现，是当地自然地理、气候、社会历史、社会经济、社会习俗和居民意识的综合反映。规划从自然因素和人文因素两个方面对现状地方建筑风格进行分析，结合城市发展的要求，同时根据规划区所处的自然条件，</w:t>
      </w:r>
      <w:r>
        <w:rPr>
          <w:rFonts w:ascii="宋体" w:hAnsi="宋体"/>
          <w:sz w:val="28"/>
          <w:szCs w:val="28"/>
        </w:rPr>
        <w:t>建筑</w:t>
      </w:r>
      <w:r>
        <w:rPr>
          <w:rFonts w:hint="eastAsia" w:ascii="宋体" w:hAnsi="宋体"/>
          <w:sz w:val="28"/>
          <w:szCs w:val="28"/>
        </w:rPr>
        <w:t>应以</w:t>
      </w:r>
      <w:r>
        <w:rPr>
          <w:rFonts w:ascii="宋体" w:hAnsi="宋体"/>
          <w:sz w:val="28"/>
          <w:szCs w:val="28"/>
        </w:rPr>
        <w:t>山水风貌作为</w:t>
      </w:r>
      <w:r>
        <w:rPr>
          <w:rFonts w:hint="eastAsia" w:ascii="宋体" w:hAnsi="宋体"/>
          <w:sz w:val="28"/>
          <w:szCs w:val="28"/>
        </w:rPr>
        <w:t>大</w:t>
      </w:r>
      <w:r>
        <w:rPr>
          <w:rFonts w:ascii="宋体" w:hAnsi="宋体"/>
          <w:sz w:val="28"/>
          <w:szCs w:val="28"/>
        </w:rPr>
        <w:t>背景，以体现地域特色的建筑风格为主，注意建筑与</w:t>
      </w:r>
      <w:r>
        <w:rPr>
          <w:rFonts w:hint="eastAsia" w:ascii="宋体" w:hAnsi="宋体"/>
          <w:sz w:val="28"/>
          <w:szCs w:val="28"/>
        </w:rPr>
        <w:t>周边自然</w:t>
      </w:r>
      <w:r>
        <w:rPr>
          <w:rFonts w:ascii="宋体" w:hAnsi="宋体"/>
          <w:sz w:val="28"/>
          <w:szCs w:val="28"/>
        </w:rPr>
        <w:t>山体和水岸和谐交融，建筑既要有特色，同时也不能独立于区</w:t>
      </w:r>
      <w:r>
        <w:rPr>
          <w:rFonts w:hint="eastAsia" w:ascii="宋体" w:hAnsi="宋体"/>
          <w:sz w:val="28"/>
          <w:szCs w:val="28"/>
        </w:rPr>
        <w:t>域</w:t>
      </w:r>
      <w:r>
        <w:rPr>
          <w:rFonts w:ascii="宋体" w:hAnsi="宋体"/>
          <w:sz w:val="28"/>
          <w:szCs w:val="28"/>
        </w:rPr>
        <w:t>环境而过于突出自身。公共建筑的建筑风格应现代、明快，建筑色彩采用浅暖色或采用暖色基调配以白色线条的色彩处理手法，应具有较高的品位和档次。居住建筑形式应具亲和力，平面上和立面上处理要求考究，轮廓线丰富，细部处理精细，色彩可丰富、多样，力求形成体现</w:t>
      </w:r>
      <w:r>
        <w:rPr>
          <w:rFonts w:hint="eastAsia" w:ascii="宋体" w:hAnsi="宋体"/>
          <w:sz w:val="28"/>
          <w:szCs w:val="28"/>
        </w:rPr>
        <w:t>生态、</w:t>
      </w:r>
      <w:r>
        <w:rPr>
          <w:rFonts w:ascii="宋体" w:hAnsi="宋体"/>
          <w:sz w:val="28"/>
          <w:szCs w:val="28"/>
        </w:rPr>
        <w:t>休闲居住的特色。</w:t>
      </w:r>
    </w:p>
    <w:p w14:paraId="5BA0AA7D">
      <w:pPr>
        <w:spacing w:line="640" w:lineRule="exact"/>
        <w:ind w:firstLine="560" w:firstLineChars="200"/>
        <w:rPr>
          <w:rFonts w:hint="eastAsia" w:ascii="宋体" w:hAnsi="宋体"/>
          <w:sz w:val="28"/>
          <w:szCs w:val="28"/>
        </w:rPr>
      </w:pPr>
      <w:r>
        <w:rPr>
          <w:rFonts w:hint="eastAsia" w:ascii="宋体" w:hAnsi="宋体"/>
          <w:sz w:val="28"/>
          <w:szCs w:val="28"/>
        </w:rPr>
        <w:t>建筑色彩的控制要充分利用规划区绿地基质的衬托作用，结合不同的建筑形式辅于相应的色彩，并注意突出主体建筑和重要的公共建筑。总体而言，建筑色彩为了与绿色相协调，应以亮色为主，明快、活泼的色调是主旋律。规划区宜以白色、乳白色等浅色系列为基色，浅兰、浅黄、灰色等浅色系列为辅助色，以红、兰、黄等明快的重色为点缀色。</w:t>
      </w:r>
    </w:p>
    <w:p w14:paraId="7E157329">
      <w:pPr>
        <w:spacing w:line="600" w:lineRule="exact"/>
        <w:ind w:firstLine="560" w:firstLineChars="200"/>
        <w:rPr>
          <w:rFonts w:hint="eastAsia" w:ascii="宋体" w:hAnsi="宋体"/>
          <w:sz w:val="28"/>
          <w:szCs w:val="28"/>
        </w:rPr>
      </w:pPr>
      <w:r>
        <w:rPr>
          <w:rFonts w:hint="eastAsia" w:ascii="宋体" w:hAnsi="宋体"/>
          <w:sz w:val="28"/>
          <w:szCs w:val="28"/>
        </w:rPr>
        <w:t>建筑体量的控制是通过建筑形体大小的变化，在视觉上产生不同的体量感知，通过容积率的控制和空间轮廓的组织，具体量化到每一幢建筑。设计时应尽量突出重点。公共设施景观区则应结合大体量的商业服务、酒店宾馆、文化娱乐等设施布置几栋标志性建筑；生态居住景观区建筑体量不宜大，临江或重要景观地段可建些小高层居住建筑，但应着重天际轮廓线，景观视线的控制。</w:t>
      </w:r>
    </w:p>
    <w:p w14:paraId="3E647AED">
      <w:pPr>
        <w:spacing w:line="600" w:lineRule="exact"/>
        <w:ind w:firstLine="422" w:firstLineChars="150"/>
        <w:rPr>
          <w:rFonts w:hint="eastAsia" w:ascii="宋体" w:hAnsi="宋体"/>
          <w:b/>
          <w:sz w:val="28"/>
          <w:szCs w:val="28"/>
        </w:rPr>
      </w:pPr>
      <w:bookmarkStart w:id="720" w:name="_Toc356379375"/>
      <w:bookmarkStart w:id="721" w:name="_Toc356379508"/>
      <w:r>
        <w:rPr>
          <w:rFonts w:hint="eastAsia" w:ascii="宋体" w:hAnsi="宋体"/>
          <w:b/>
          <w:sz w:val="28"/>
          <w:szCs w:val="28"/>
        </w:rPr>
        <w:t>（五）界面控制</w:t>
      </w:r>
      <w:bookmarkEnd w:id="720"/>
      <w:bookmarkEnd w:id="721"/>
    </w:p>
    <w:p w14:paraId="26F3CD9A">
      <w:pPr>
        <w:spacing w:line="600" w:lineRule="exact"/>
        <w:rPr>
          <w:rFonts w:hint="eastAsia" w:ascii="宋体" w:hAnsi="宋体"/>
          <w:sz w:val="30"/>
        </w:rPr>
      </w:pPr>
      <w:r>
        <w:rPr>
          <w:rFonts w:hint="eastAsia" w:ascii="宋体" w:hAnsi="宋体"/>
          <w:sz w:val="30"/>
        </w:rPr>
        <w:t xml:space="preserve">   1、山体界面控制</w:t>
      </w:r>
    </w:p>
    <w:p w14:paraId="11E8EC4E">
      <w:pPr>
        <w:spacing w:line="600" w:lineRule="exact"/>
        <w:rPr>
          <w:rFonts w:hint="eastAsia" w:ascii="宋体" w:hAnsi="宋体"/>
          <w:sz w:val="28"/>
          <w:szCs w:val="28"/>
        </w:rPr>
      </w:pPr>
      <w:r>
        <w:rPr>
          <w:rFonts w:hint="eastAsia" w:ascii="宋体" w:hAnsi="宋体"/>
          <w:sz w:val="30"/>
        </w:rPr>
        <w:t xml:space="preserve">   </w:t>
      </w:r>
      <w:r>
        <w:rPr>
          <w:rFonts w:hint="eastAsia" w:ascii="宋体" w:hAnsi="宋体"/>
          <w:sz w:val="28"/>
          <w:szCs w:val="28"/>
        </w:rPr>
        <w:t>根据临山各景观面的现状特点、敏感度和重要性分析，规划将景观界面划分为三个级别, 并提出相应的控制措施。</w:t>
      </w:r>
    </w:p>
    <w:p w14:paraId="7CE8908F">
      <w:pPr>
        <w:spacing w:line="680" w:lineRule="exact"/>
        <w:jc w:val="center"/>
        <w:rPr>
          <w:rFonts w:hint="eastAsia" w:ascii="黑体" w:hAnsi="黑体" w:eastAsia="黑体"/>
          <w:sz w:val="28"/>
          <w:szCs w:val="28"/>
        </w:rPr>
      </w:pPr>
      <w:r>
        <w:rPr>
          <w:rFonts w:hint="eastAsia" w:ascii="黑体" w:hAnsi="黑体" w:eastAsia="黑体"/>
          <w:sz w:val="28"/>
          <w:szCs w:val="28"/>
        </w:rPr>
        <w:t>山体景观界面控制详表</w:t>
      </w:r>
    </w:p>
    <w:p w14:paraId="0989310A">
      <w:pPr>
        <w:spacing w:line="680" w:lineRule="exact"/>
        <w:rPr>
          <w:rFonts w:hint="eastAsia" w:ascii="宋体" w:hAnsi="宋体"/>
          <w:szCs w:val="21"/>
        </w:rPr>
      </w:pPr>
      <w:r>
        <w:rPr>
          <w:rFonts w:ascii="宋体" w:hAnsi="宋体"/>
          <w:szCs w:val="21"/>
        </w:rPr>
        <w:t xml:space="preserve"> </w:t>
      </w:r>
      <w:r>
        <w:rPr>
          <w:rFonts w:hint="eastAsia" w:ascii="宋体" w:hAnsi="宋体"/>
          <w:szCs w:val="21"/>
        </w:rPr>
        <w:t>表8-1</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1276"/>
        <w:gridCol w:w="1984"/>
        <w:gridCol w:w="1418"/>
        <w:gridCol w:w="1984"/>
        <w:gridCol w:w="1181"/>
      </w:tblGrid>
      <w:tr w14:paraId="479A8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shd w:val="clear" w:color="auto" w:fill="D9D9D9"/>
            <w:noWrap w:val="0"/>
            <w:vAlign w:val="top"/>
          </w:tcPr>
          <w:p w14:paraId="3C21626F">
            <w:pPr>
              <w:spacing w:line="360" w:lineRule="auto"/>
              <w:rPr>
                <w:rFonts w:hint="eastAsia"/>
                <w:b/>
                <w:sz w:val="24"/>
              </w:rPr>
            </w:pPr>
            <w:r>
              <w:rPr>
                <w:rFonts w:hint="eastAsia"/>
                <w:b/>
                <w:sz w:val="24"/>
              </w:rPr>
              <w:t>分级</w:t>
            </w:r>
          </w:p>
        </w:tc>
        <w:tc>
          <w:tcPr>
            <w:tcW w:w="3260" w:type="dxa"/>
            <w:gridSpan w:val="2"/>
            <w:shd w:val="clear" w:color="auto" w:fill="D9D9D9"/>
            <w:noWrap w:val="0"/>
            <w:vAlign w:val="top"/>
          </w:tcPr>
          <w:p w14:paraId="63F71BE1">
            <w:pPr>
              <w:spacing w:line="360" w:lineRule="auto"/>
              <w:rPr>
                <w:rFonts w:hint="eastAsia"/>
                <w:b/>
                <w:sz w:val="24"/>
              </w:rPr>
            </w:pPr>
            <w:r>
              <w:rPr>
                <w:rFonts w:hint="eastAsia"/>
                <w:b/>
                <w:sz w:val="24"/>
              </w:rPr>
              <w:t>建筑控制线后退距离</w:t>
            </w:r>
          </w:p>
        </w:tc>
        <w:tc>
          <w:tcPr>
            <w:tcW w:w="3402" w:type="dxa"/>
            <w:gridSpan w:val="2"/>
            <w:shd w:val="clear" w:color="auto" w:fill="D9D9D9"/>
            <w:noWrap w:val="0"/>
            <w:vAlign w:val="top"/>
          </w:tcPr>
          <w:p w14:paraId="5106EF53">
            <w:pPr>
              <w:spacing w:line="360" w:lineRule="auto"/>
              <w:rPr>
                <w:rFonts w:hint="eastAsia"/>
                <w:b/>
                <w:sz w:val="24"/>
              </w:rPr>
            </w:pPr>
            <w:r>
              <w:rPr>
                <w:rFonts w:hint="eastAsia"/>
                <w:b/>
                <w:sz w:val="24"/>
              </w:rPr>
              <w:t>建筑高度控制</w:t>
            </w:r>
          </w:p>
        </w:tc>
        <w:tc>
          <w:tcPr>
            <w:tcW w:w="1181" w:type="dxa"/>
            <w:shd w:val="clear" w:color="auto" w:fill="D9D9D9"/>
            <w:noWrap w:val="0"/>
            <w:vAlign w:val="top"/>
          </w:tcPr>
          <w:p w14:paraId="24A7432D">
            <w:pPr>
              <w:spacing w:line="360" w:lineRule="auto"/>
              <w:rPr>
                <w:rFonts w:hint="eastAsia"/>
                <w:b/>
                <w:sz w:val="24"/>
              </w:rPr>
            </w:pPr>
            <w:r>
              <w:rPr>
                <w:rFonts w:hint="eastAsia"/>
                <w:b/>
                <w:sz w:val="24"/>
              </w:rPr>
              <w:t>贴线率</w:t>
            </w:r>
          </w:p>
        </w:tc>
      </w:tr>
      <w:tr w14:paraId="18485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noWrap w:val="0"/>
            <w:vAlign w:val="top"/>
          </w:tcPr>
          <w:p w14:paraId="4FCA6F5E">
            <w:pPr>
              <w:spacing w:line="360" w:lineRule="auto"/>
              <w:rPr>
                <w:rFonts w:hint="eastAsia"/>
                <w:sz w:val="24"/>
              </w:rPr>
            </w:pPr>
          </w:p>
        </w:tc>
        <w:tc>
          <w:tcPr>
            <w:tcW w:w="1276" w:type="dxa"/>
            <w:noWrap w:val="0"/>
            <w:vAlign w:val="top"/>
          </w:tcPr>
          <w:p w14:paraId="7393E3CC">
            <w:pPr>
              <w:spacing w:line="360" w:lineRule="auto"/>
              <w:rPr>
                <w:rFonts w:hint="eastAsia"/>
                <w:sz w:val="24"/>
              </w:rPr>
            </w:pPr>
            <w:r>
              <w:rPr>
                <w:rFonts w:hint="eastAsia"/>
                <w:sz w:val="24"/>
              </w:rPr>
              <w:t>低层区</w:t>
            </w:r>
          </w:p>
        </w:tc>
        <w:tc>
          <w:tcPr>
            <w:tcW w:w="1984" w:type="dxa"/>
            <w:noWrap w:val="0"/>
            <w:vAlign w:val="top"/>
          </w:tcPr>
          <w:p w14:paraId="6F916B11">
            <w:pPr>
              <w:spacing w:line="360" w:lineRule="auto"/>
              <w:rPr>
                <w:rFonts w:hint="eastAsia"/>
                <w:sz w:val="24"/>
              </w:rPr>
            </w:pPr>
            <w:r>
              <w:rPr>
                <w:rFonts w:hint="eastAsia"/>
                <w:sz w:val="24"/>
              </w:rPr>
              <w:t>多层、小高层区</w:t>
            </w:r>
          </w:p>
        </w:tc>
        <w:tc>
          <w:tcPr>
            <w:tcW w:w="1418" w:type="dxa"/>
            <w:noWrap w:val="0"/>
            <w:vAlign w:val="top"/>
          </w:tcPr>
          <w:p w14:paraId="0DAC91E2">
            <w:pPr>
              <w:spacing w:line="360" w:lineRule="auto"/>
              <w:rPr>
                <w:rFonts w:hint="eastAsia"/>
                <w:sz w:val="24"/>
              </w:rPr>
            </w:pPr>
            <w:r>
              <w:rPr>
                <w:rFonts w:hint="eastAsia"/>
                <w:sz w:val="24"/>
              </w:rPr>
              <w:t>低层区</w:t>
            </w:r>
          </w:p>
        </w:tc>
        <w:tc>
          <w:tcPr>
            <w:tcW w:w="1984" w:type="dxa"/>
            <w:noWrap w:val="0"/>
            <w:vAlign w:val="top"/>
          </w:tcPr>
          <w:p w14:paraId="306816A1">
            <w:pPr>
              <w:spacing w:line="360" w:lineRule="auto"/>
              <w:rPr>
                <w:rFonts w:hint="eastAsia"/>
                <w:sz w:val="24"/>
              </w:rPr>
            </w:pPr>
            <w:r>
              <w:rPr>
                <w:rFonts w:hint="eastAsia"/>
                <w:sz w:val="24"/>
              </w:rPr>
              <w:t>多层、小高层区</w:t>
            </w:r>
          </w:p>
        </w:tc>
        <w:tc>
          <w:tcPr>
            <w:tcW w:w="1181" w:type="dxa"/>
            <w:noWrap w:val="0"/>
            <w:vAlign w:val="top"/>
          </w:tcPr>
          <w:p w14:paraId="3F1EE6F2">
            <w:pPr>
              <w:spacing w:line="360" w:lineRule="auto"/>
              <w:rPr>
                <w:rFonts w:hint="eastAsia"/>
                <w:sz w:val="24"/>
              </w:rPr>
            </w:pPr>
          </w:p>
        </w:tc>
      </w:tr>
      <w:tr w14:paraId="093EE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noWrap w:val="0"/>
            <w:vAlign w:val="top"/>
          </w:tcPr>
          <w:p w14:paraId="26ADDE1F">
            <w:pPr>
              <w:spacing w:line="360" w:lineRule="auto"/>
              <w:rPr>
                <w:rFonts w:hint="eastAsia"/>
                <w:sz w:val="24"/>
              </w:rPr>
            </w:pPr>
            <w:r>
              <w:rPr>
                <w:rFonts w:hint="eastAsia"/>
                <w:sz w:val="24"/>
              </w:rPr>
              <w:t>一级景观界面</w:t>
            </w:r>
          </w:p>
        </w:tc>
        <w:tc>
          <w:tcPr>
            <w:tcW w:w="1276" w:type="dxa"/>
            <w:noWrap w:val="0"/>
            <w:vAlign w:val="top"/>
          </w:tcPr>
          <w:p w14:paraId="5921BBF9">
            <w:pPr>
              <w:spacing w:line="360" w:lineRule="auto"/>
              <w:rPr>
                <w:rFonts w:hint="eastAsia"/>
                <w:sz w:val="24"/>
              </w:rPr>
            </w:pPr>
            <w:r>
              <w:rPr>
                <w:rFonts w:hint="eastAsia"/>
                <w:sz w:val="24"/>
              </w:rPr>
              <w:t xml:space="preserve">≥10M </w:t>
            </w:r>
          </w:p>
        </w:tc>
        <w:tc>
          <w:tcPr>
            <w:tcW w:w="1984" w:type="dxa"/>
            <w:noWrap w:val="0"/>
            <w:vAlign w:val="top"/>
          </w:tcPr>
          <w:p w14:paraId="69B30EE7">
            <w:pPr>
              <w:spacing w:line="360" w:lineRule="auto"/>
              <w:rPr>
                <w:rFonts w:hint="eastAsia"/>
                <w:sz w:val="24"/>
              </w:rPr>
            </w:pPr>
            <w:r>
              <w:rPr>
                <w:rFonts w:hint="eastAsia"/>
                <w:sz w:val="24"/>
              </w:rPr>
              <w:t>禁建</w:t>
            </w:r>
          </w:p>
        </w:tc>
        <w:tc>
          <w:tcPr>
            <w:tcW w:w="1418" w:type="dxa"/>
            <w:noWrap w:val="0"/>
            <w:vAlign w:val="top"/>
          </w:tcPr>
          <w:p w14:paraId="4DE17D06">
            <w:pPr>
              <w:spacing w:line="360" w:lineRule="auto"/>
              <w:rPr>
                <w:rFonts w:hint="eastAsia"/>
                <w:sz w:val="24"/>
              </w:rPr>
            </w:pPr>
            <w:r>
              <w:rPr>
                <w:rFonts w:hint="eastAsia"/>
                <w:sz w:val="24"/>
              </w:rPr>
              <w:t xml:space="preserve">H≤1/3h </w:t>
            </w:r>
          </w:p>
        </w:tc>
        <w:tc>
          <w:tcPr>
            <w:tcW w:w="1984" w:type="dxa"/>
            <w:noWrap w:val="0"/>
            <w:vAlign w:val="top"/>
          </w:tcPr>
          <w:p w14:paraId="5CC6688B">
            <w:pPr>
              <w:spacing w:line="360" w:lineRule="auto"/>
              <w:rPr>
                <w:rFonts w:hint="eastAsia"/>
                <w:sz w:val="24"/>
              </w:rPr>
            </w:pPr>
            <w:r>
              <w:rPr>
                <w:rFonts w:hint="eastAsia"/>
                <w:sz w:val="24"/>
              </w:rPr>
              <w:t>--</w:t>
            </w:r>
          </w:p>
        </w:tc>
        <w:tc>
          <w:tcPr>
            <w:tcW w:w="1181" w:type="dxa"/>
            <w:noWrap w:val="0"/>
            <w:vAlign w:val="top"/>
          </w:tcPr>
          <w:p w14:paraId="7CC1721A">
            <w:pPr>
              <w:spacing w:line="360" w:lineRule="auto"/>
              <w:rPr>
                <w:rFonts w:hint="eastAsia"/>
                <w:sz w:val="24"/>
              </w:rPr>
            </w:pPr>
            <w:r>
              <w:rPr>
                <w:rFonts w:hint="eastAsia"/>
                <w:sz w:val="24"/>
              </w:rPr>
              <w:t xml:space="preserve">＜30% </w:t>
            </w:r>
          </w:p>
        </w:tc>
      </w:tr>
      <w:tr w14:paraId="77A50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noWrap w:val="0"/>
            <w:vAlign w:val="top"/>
          </w:tcPr>
          <w:p w14:paraId="7DF393BE">
            <w:pPr>
              <w:spacing w:line="360" w:lineRule="auto"/>
              <w:rPr>
                <w:rFonts w:hint="eastAsia"/>
                <w:sz w:val="24"/>
              </w:rPr>
            </w:pPr>
            <w:r>
              <w:rPr>
                <w:rFonts w:hint="eastAsia"/>
                <w:sz w:val="24"/>
              </w:rPr>
              <w:t>二级景观界面</w:t>
            </w:r>
          </w:p>
        </w:tc>
        <w:tc>
          <w:tcPr>
            <w:tcW w:w="1276" w:type="dxa"/>
            <w:noWrap w:val="0"/>
            <w:vAlign w:val="top"/>
          </w:tcPr>
          <w:p w14:paraId="38D157C8">
            <w:pPr>
              <w:spacing w:line="360" w:lineRule="auto"/>
              <w:rPr>
                <w:sz w:val="24"/>
              </w:rPr>
            </w:pPr>
            <w:r>
              <w:rPr>
                <w:rFonts w:hint="eastAsia"/>
                <w:sz w:val="24"/>
              </w:rPr>
              <w:t xml:space="preserve">≥10M </w:t>
            </w:r>
          </w:p>
          <w:p w14:paraId="7B0BE2A7">
            <w:pPr>
              <w:spacing w:line="360" w:lineRule="auto"/>
              <w:rPr>
                <w:rFonts w:hint="eastAsia"/>
                <w:sz w:val="24"/>
              </w:rPr>
            </w:pPr>
          </w:p>
        </w:tc>
        <w:tc>
          <w:tcPr>
            <w:tcW w:w="1984" w:type="dxa"/>
            <w:noWrap w:val="0"/>
            <w:vAlign w:val="top"/>
          </w:tcPr>
          <w:p w14:paraId="1FD0B8F5">
            <w:pPr>
              <w:spacing w:line="360" w:lineRule="auto"/>
              <w:rPr>
                <w:sz w:val="24"/>
              </w:rPr>
            </w:pPr>
            <w:r>
              <w:rPr>
                <w:rFonts w:hint="eastAsia"/>
                <w:sz w:val="24"/>
              </w:rPr>
              <w:t>≥20M</w:t>
            </w:r>
          </w:p>
          <w:p w14:paraId="1143A8CD">
            <w:pPr>
              <w:spacing w:line="360" w:lineRule="auto"/>
              <w:rPr>
                <w:rFonts w:hint="eastAsia"/>
                <w:sz w:val="24"/>
              </w:rPr>
            </w:pPr>
            <w:r>
              <w:rPr>
                <w:rFonts w:hint="eastAsia"/>
                <w:sz w:val="24"/>
              </w:rPr>
              <w:t xml:space="preserve">≥30M </w:t>
            </w:r>
          </w:p>
        </w:tc>
        <w:tc>
          <w:tcPr>
            <w:tcW w:w="1418" w:type="dxa"/>
            <w:noWrap w:val="0"/>
            <w:vAlign w:val="top"/>
          </w:tcPr>
          <w:p w14:paraId="35AFFEAA">
            <w:pPr>
              <w:spacing w:line="360" w:lineRule="auto"/>
              <w:rPr>
                <w:sz w:val="24"/>
              </w:rPr>
            </w:pPr>
            <w:r>
              <w:rPr>
                <w:rFonts w:hint="eastAsia"/>
                <w:sz w:val="24"/>
              </w:rPr>
              <w:t xml:space="preserve">H≤1/3h </w:t>
            </w:r>
          </w:p>
          <w:p w14:paraId="396D020A">
            <w:pPr>
              <w:spacing w:line="360" w:lineRule="auto"/>
              <w:rPr>
                <w:rFonts w:hint="eastAsia"/>
                <w:sz w:val="24"/>
              </w:rPr>
            </w:pPr>
          </w:p>
        </w:tc>
        <w:tc>
          <w:tcPr>
            <w:tcW w:w="1984" w:type="dxa"/>
            <w:noWrap w:val="0"/>
            <w:vAlign w:val="top"/>
          </w:tcPr>
          <w:p w14:paraId="21C4D8C1">
            <w:pPr>
              <w:spacing w:line="360" w:lineRule="auto"/>
              <w:rPr>
                <w:sz w:val="24"/>
              </w:rPr>
            </w:pPr>
            <w:r>
              <w:rPr>
                <w:rFonts w:hint="eastAsia"/>
                <w:sz w:val="24"/>
              </w:rPr>
              <w:t xml:space="preserve">H≤1/2h </w:t>
            </w:r>
          </w:p>
          <w:p w14:paraId="03C29458">
            <w:pPr>
              <w:spacing w:line="360" w:lineRule="auto"/>
              <w:rPr>
                <w:rFonts w:hint="eastAsia"/>
                <w:sz w:val="24"/>
              </w:rPr>
            </w:pPr>
          </w:p>
        </w:tc>
        <w:tc>
          <w:tcPr>
            <w:tcW w:w="1181" w:type="dxa"/>
            <w:noWrap w:val="0"/>
            <w:vAlign w:val="top"/>
          </w:tcPr>
          <w:p w14:paraId="5A8F3773">
            <w:pPr>
              <w:spacing w:line="360" w:lineRule="auto"/>
              <w:rPr>
                <w:sz w:val="24"/>
              </w:rPr>
            </w:pPr>
            <w:r>
              <w:rPr>
                <w:rFonts w:hint="eastAsia"/>
                <w:sz w:val="24"/>
              </w:rPr>
              <w:t>＜60%</w:t>
            </w:r>
          </w:p>
          <w:p w14:paraId="0487B840">
            <w:pPr>
              <w:spacing w:line="360" w:lineRule="auto"/>
              <w:rPr>
                <w:rFonts w:hint="eastAsia"/>
                <w:sz w:val="24"/>
              </w:rPr>
            </w:pPr>
          </w:p>
        </w:tc>
      </w:tr>
      <w:tr w14:paraId="3A88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noWrap w:val="0"/>
            <w:vAlign w:val="top"/>
          </w:tcPr>
          <w:p w14:paraId="728188EF">
            <w:pPr>
              <w:spacing w:line="360" w:lineRule="auto"/>
              <w:rPr>
                <w:rFonts w:hint="eastAsia"/>
                <w:sz w:val="24"/>
              </w:rPr>
            </w:pPr>
            <w:r>
              <w:rPr>
                <w:rFonts w:hint="eastAsia"/>
                <w:sz w:val="24"/>
              </w:rPr>
              <w:t>三级景观界面</w:t>
            </w:r>
          </w:p>
        </w:tc>
        <w:tc>
          <w:tcPr>
            <w:tcW w:w="1276" w:type="dxa"/>
            <w:noWrap w:val="0"/>
            <w:vAlign w:val="top"/>
          </w:tcPr>
          <w:p w14:paraId="44052730">
            <w:pPr>
              <w:spacing w:line="360" w:lineRule="auto"/>
              <w:rPr>
                <w:rFonts w:hint="eastAsia"/>
                <w:sz w:val="24"/>
              </w:rPr>
            </w:pPr>
            <w:r>
              <w:rPr>
                <w:rFonts w:hint="eastAsia"/>
                <w:sz w:val="24"/>
              </w:rPr>
              <w:t xml:space="preserve">≥5M </w:t>
            </w:r>
          </w:p>
        </w:tc>
        <w:tc>
          <w:tcPr>
            <w:tcW w:w="1984" w:type="dxa"/>
            <w:noWrap w:val="0"/>
            <w:vAlign w:val="top"/>
          </w:tcPr>
          <w:p w14:paraId="40513C40">
            <w:pPr>
              <w:spacing w:line="360" w:lineRule="auto"/>
              <w:rPr>
                <w:rFonts w:hint="eastAsia"/>
                <w:sz w:val="24"/>
              </w:rPr>
            </w:pPr>
            <w:r>
              <w:rPr>
                <w:rFonts w:hint="eastAsia"/>
                <w:sz w:val="24"/>
              </w:rPr>
              <w:t xml:space="preserve">＞15M </w:t>
            </w:r>
          </w:p>
        </w:tc>
        <w:tc>
          <w:tcPr>
            <w:tcW w:w="1418" w:type="dxa"/>
            <w:noWrap w:val="0"/>
            <w:vAlign w:val="top"/>
          </w:tcPr>
          <w:p w14:paraId="3039AB80">
            <w:pPr>
              <w:spacing w:line="360" w:lineRule="auto"/>
              <w:rPr>
                <w:rFonts w:hint="eastAsia"/>
                <w:sz w:val="24"/>
              </w:rPr>
            </w:pPr>
            <w:r>
              <w:rPr>
                <w:rFonts w:hint="eastAsia"/>
                <w:sz w:val="24"/>
              </w:rPr>
              <w:t>--</w:t>
            </w:r>
          </w:p>
        </w:tc>
        <w:tc>
          <w:tcPr>
            <w:tcW w:w="1984" w:type="dxa"/>
            <w:noWrap w:val="0"/>
            <w:vAlign w:val="top"/>
          </w:tcPr>
          <w:p w14:paraId="1F607A71">
            <w:pPr>
              <w:spacing w:line="360" w:lineRule="auto"/>
              <w:rPr>
                <w:rFonts w:hint="eastAsia"/>
                <w:sz w:val="24"/>
              </w:rPr>
            </w:pPr>
            <w:r>
              <w:rPr>
                <w:rFonts w:hint="eastAsia"/>
                <w:sz w:val="24"/>
              </w:rPr>
              <w:t>--</w:t>
            </w:r>
          </w:p>
        </w:tc>
        <w:tc>
          <w:tcPr>
            <w:tcW w:w="1181" w:type="dxa"/>
            <w:noWrap w:val="0"/>
            <w:vAlign w:val="top"/>
          </w:tcPr>
          <w:p w14:paraId="0B408F55">
            <w:pPr>
              <w:spacing w:line="360" w:lineRule="auto"/>
              <w:rPr>
                <w:rFonts w:hint="eastAsia"/>
                <w:sz w:val="24"/>
              </w:rPr>
            </w:pPr>
            <w:r>
              <w:rPr>
                <w:rFonts w:hint="eastAsia"/>
                <w:sz w:val="24"/>
              </w:rPr>
              <w:t>＜80%</w:t>
            </w:r>
          </w:p>
        </w:tc>
      </w:tr>
    </w:tbl>
    <w:p w14:paraId="573D03D7">
      <w:pPr>
        <w:spacing w:line="680" w:lineRule="exact"/>
        <w:rPr>
          <w:rFonts w:hint="eastAsia" w:ascii="宋体" w:hAnsi="宋体"/>
          <w:sz w:val="28"/>
          <w:szCs w:val="28"/>
        </w:rPr>
      </w:pPr>
      <w:r>
        <w:rPr>
          <w:rFonts w:hint="eastAsia" w:ascii="宋体" w:hAnsi="宋体"/>
          <w:sz w:val="28"/>
          <w:szCs w:val="28"/>
        </w:rPr>
        <w:t xml:space="preserve">    2、建筑界面控制</w:t>
      </w:r>
    </w:p>
    <w:p w14:paraId="12AB4C07">
      <w:pPr>
        <w:spacing w:line="680" w:lineRule="exact"/>
        <w:rPr>
          <w:rFonts w:hint="eastAsia" w:ascii="宋体" w:hAnsi="宋体"/>
          <w:sz w:val="28"/>
          <w:szCs w:val="28"/>
        </w:rPr>
      </w:pPr>
      <w:r>
        <w:rPr>
          <w:rFonts w:hint="eastAsia" w:ascii="宋体" w:hAnsi="宋体"/>
          <w:sz w:val="28"/>
          <w:szCs w:val="28"/>
        </w:rPr>
        <w:t xml:space="preserve">    结合岷江东岸片区的实际情况，适当控制建筑贴线率。滨水沿岸区域建筑贴线率小于30%，避免形成过长、刻板的滨水建筑立面，应留足水体与外部空间的开放面，使城市主要水体与城市空间相互交融；商业服务区域边界大于70%贴线率，突出连续性及可识别性。公共空间大于70%贴线率，强调人的交往空间。 生活空间大于50%贴线率，宜人的街道尺度。</w:t>
      </w:r>
    </w:p>
    <w:p w14:paraId="2C735D27">
      <w:pPr>
        <w:pStyle w:val="3"/>
        <w:spacing w:line="640" w:lineRule="exact"/>
        <w:jc w:val="center"/>
        <w:rPr>
          <w:rFonts w:hint="eastAsia"/>
          <w:sz w:val="36"/>
        </w:rPr>
      </w:pPr>
      <w:bookmarkStart w:id="722" w:name="_Toc348965232"/>
      <w:bookmarkStart w:id="723" w:name="_Toc6394690"/>
      <w:r>
        <w:rPr>
          <w:rFonts w:hint="eastAsia"/>
          <w:sz w:val="36"/>
        </w:rPr>
        <w:t>第九章  道路交通及竖向规划</w:t>
      </w:r>
      <w:bookmarkEnd w:id="719"/>
      <w:bookmarkEnd w:id="722"/>
      <w:bookmarkEnd w:id="723"/>
    </w:p>
    <w:p w14:paraId="723BA4B9">
      <w:pPr>
        <w:pStyle w:val="4"/>
        <w:spacing w:line="660" w:lineRule="exact"/>
        <w:rPr>
          <w:rFonts w:hint="eastAsia" w:ascii="黑体" w:eastAsia="黑体"/>
        </w:rPr>
      </w:pPr>
      <w:bookmarkStart w:id="724" w:name="_Toc6394691"/>
      <w:bookmarkStart w:id="725" w:name="_Toc216520027"/>
      <w:bookmarkStart w:id="726" w:name="_Toc348965233"/>
      <w:r>
        <w:rPr>
          <w:rFonts w:hint="eastAsia" w:ascii="黑体" w:eastAsia="黑体"/>
        </w:rPr>
        <w:t>一、道路系统规划</w:t>
      </w:r>
      <w:bookmarkEnd w:id="724"/>
      <w:bookmarkEnd w:id="725"/>
      <w:bookmarkEnd w:id="726"/>
    </w:p>
    <w:p w14:paraId="46E10216">
      <w:pPr>
        <w:spacing w:line="660" w:lineRule="exact"/>
        <w:ind w:firstLine="562" w:firstLineChars="200"/>
        <w:rPr>
          <w:rFonts w:hint="eastAsia" w:ascii="宋体" w:hAnsi="宋体"/>
          <w:b/>
          <w:sz w:val="28"/>
          <w:szCs w:val="28"/>
        </w:rPr>
      </w:pPr>
      <w:bookmarkStart w:id="727" w:name="_Toc67455544"/>
      <w:bookmarkStart w:id="728" w:name="_Toc216520028"/>
      <w:r>
        <w:rPr>
          <w:rFonts w:hint="eastAsia" w:ascii="宋体" w:hAnsi="宋体"/>
          <w:b/>
          <w:sz w:val="28"/>
          <w:szCs w:val="28"/>
        </w:rPr>
        <w:t>（一）现状道路分析</w:t>
      </w:r>
      <w:bookmarkEnd w:id="727"/>
    </w:p>
    <w:p w14:paraId="20762973">
      <w:pPr>
        <w:spacing w:line="660" w:lineRule="exact"/>
        <w:ind w:firstLine="570"/>
        <w:rPr>
          <w:rFonts w:hint="eastAsia" w:ascii="宋体" w:hAnsi="宋体"/>
          <w:sz w:val="28"/>
          <w:szCs w:val="28"/>
        </w:rPr>
      </w:pPr>
      <w:r>
        <w:rPr>
          <w:rFonts w:hint="eastAsia" w:ascii="宋体" w:hAnsi="宋体"/>
          <w:sz w:val="28"/>
          <w:szCs w:val="28"/>
        </w:rPr>
        <w:t>规划区路网形态布局的主要考虑以下因素：</w:t>
      </w:r>
    </w:p>
    <w:p w14:paraId="4BAC958E">
      <w:pPr>
        <w:spacing w:line="700" w:lineRule="exact"/>
        <w:ind w:firstLine="537" w:firstLineChars="179"/>
        <w:rPr>
          <w:rFonts w:ascii="宋体" w:hAnsi="宋体"/>
          <w:sz w:val="30"/>
          <w:szCs w:val="30"/>
        </w:rPr>
      </w:pPr>
      <w:r>
        <w:rPr>
          <w:rFonts w:hint="eastAsia" w:ascii="宋体" w:hAnsi="宋体"/>
          <w:sz w:val="30"/>
          <w:szCs w:val="30"/>
        </w:rPr>
        <w:t>1、岷江东岸规划区目前对外交通主要依靠现有的碧山路和龙泓路，其道路部分地段应适当加宽，以确保交通流畅。</w:t>
      </w:r>
    </w:p>
    <w:p w14:paraId="41F167CE">
      <w:pPr>
        <w:spacing w:line="700" w:lineRule="exact"/>
        <w:ind w:firstLine="537" w:firstLineChars="179"/>
        <w:rPr>
          <w:rFonts w:hint="eastAsia" w:ascii="宋体" w:hAnsi="宋体"/>
          <w:sz w:val="30"/>
          <w:szCs w:val="30"/>
        </w:rPr>
      </w:pPr>
      <w:r>
        <w:rPr>
          <w:rFonts w:hint="eastAsia" w:ascii="宋体" w:hAnsi="宋体"/>
          <w:sz w:val="30"/>
          <w:szCs w:val="30"/>
        </w:rPr>
        <w:t>2、道路的选线应结合土地利用、防灾安全、滨江沿线景观等内容来结合考虑。</w:t>
      </w:r>
    </w:p>
    <w:p w14:paraId="07E464AB">
      <w:pPr>
        <w:spacing w:line="700" w:lineRule="exact"/>
        <w:ind w:firstLine="537" w:firstLineChars="179"/>
        <w:rPr>
          <w:rFonts w:hint="eastAsia" w:ascii="宋体" w:hAnsi="宋体"/>
          <w:sz w:val="30"/>
          <w:szCs w:val="30"/>
        </w:rPr>
      </w:pPr>
      <w:r>
        <w:rPr>
          <w:rFonts w:hint="eastAsia" w:ascii="宋体" w:hAnsi="宋体"/>
          <w:sz w:val="30"/>
          <w:szCs w:val="30"/>
        </w:rPr>
        <w:t>3、充分利用现有道路，减少工程投资。</w:t>
      </w:r>
    </w:p>
    <w:p w14:paraId="60C32CB6">
      <w:pPr>
        <w:spacing w:line="660" w:lineRule="exact"/>
        <w:ind w:firstLine="562" w:firstLineChars="200"/>
        <w:rPr>
          <w:rFonts w:hint="eastAsia" w:ascii="宋体" w:hAnsi="宋体"/>
          <w:b/>
          <w:sz w:val="28"/>
          <w:szCs w:val="28"/>
        </w:rPr>
      </w:pPr>
      <w:bookmarkStart w:id="729" w:name="_Toc67455545"/>
      <w:r>
        <w:rPr>
          <w:rFonts w:hint="eastAsia" w:ascii="宋体" w:hAnsi="宋体"/>
          <w:b/>
          <w:sz w:val="28"/>
          <w:szCs w:val="28"/>
        </w:rPr>
        <w:t>（二）规划原则</w:t>
      </w:r>
      <w:bookmarkEnd w:id="729"/>
    </w:p>
    <w:p w14:paraId="1C1548F7">
      <w:pPr>
        <w:spacing w:line="660" w:lineRule="exact"/>
        <w:ind w:firstLine="501" w:firstLineChars="179"/>
        <w:rPr>
          <w:rFonts w:hint="eastAsia" w:ascii="宋体" w:hAnsi="宋体"/>
          <w:sz w:val="28"/>
          <w:szCs w:val="28"/>
        </w:rPr>
      </w:pPr>
      <w:r>
        <w:rPr>
          <w:rFonts w:hint="eastAsia" w:ascii="宋体" w:hAnsi="宋体"/>
          <w:sz w:val="28"/>
          <w:szCs w:val="28"/>
        </w:rPr>
        <w:t>以乐山总规确定的城市主路网为依据，在强化道路骨架布局的基础上，结合规划区的用地性质、发展方向、自然风貌和地形特征以及已实施的现状道路，合理布置各级道路，处理好规划区内道路与过境路、城市道路的衔接和过渡。</w:t>
      </w:r>
    </w:p>
    <w:p w14:paraId="34782B7E">
      <w:pPr>
        <w:spacing w:line="660" w:lineRule="exact"/>
        <w:ind w:firstLine="562" w:firstLineChars="200"/>
        <w:rPr>
          <w:rFonts w:hint="eastAsia" w:ascii="宋体" w:hAnsi="宋体"/>
          <w:b/>
          <w:sz w:val="28"/>
          <w:szCs w:val="28"/>
        </w:rPr>
      </w:pPr>
      <w:bookmarkStart w:id="730" w:name="_Toc67455546"/>
      <w:r>
        <w:rPr>
          <w:rFonts w:hint="eastAsia" w:ascii="宋体" w:hAnsi="宋体"/>
          <w:b/>
          <w:sz w:val="28"/>
          <w:szCs w:val="28"/>
        </w:rPr>
        <w:t>（三）道路系统规划</w:t>
      </w:r>
      <w:bookmarkEnd w:id="730"/>
    </w:p>
    <w:p w14:paraId="090D5C93">
      <w:pPr>
        <w:spacing w:line="700" w:lineRule="exact"/>
        <w:ind w:firstLine="501" w:firstLineChars="179"/>
        <w:rPr>
          <w:rFonts w:ascii="宋体" w:hAnsi="宋体"/>
          <w:sz w:val="30"/>
          <w:szCs w:val="30"/>
        </w:rPr>
      </w:pPr>
      <w:r>
        <w:rPr>
          <w:rFonts w:hint="eastAsia" w:ascii="宋体" w:hAnsi="宋体"/>
          <w:sz w:val="28"/>
          <w:szCs w:val="28"/>
        </w:rPr>
        <w:t>根据规划区所处的空间位置及用地形态，规划区采用沿江平行发展布局。</w:t>
      </w:r>
      <w:r>
        <w:rPr>
          <w:rFonts w:hint="eastAsia" w:ascii="宋体" w:hAnsi="宋体"/>
          <w:sz w:val="30"/>
          <w:szCs w:val="30"/>
        </w:rPr>
        <w:t>路网与牟子片区相适应；片区东部区域由于建设用地相对较少，路网密度较低，规划结合现有道路采用自由式道路骨架与该区域外围道路相接。</w:t>
      </w:r>
    </w:p>
    <w:p w14:paraId="4C6C536D">
      <w:pPr>
        <w:spacing w:line="660" w:lineRule="exact"/>
        <w:ind w:firstLine="501" w:firstLineChars="179"/>
        <w:rPr>
          <w:rFonts w:hint="eastAsia" w:ascii="宋体" w:hAnsi="宋体"/>
          <w:sz w:val="28"/>
          <w:szCs w:val="28"/>
        </w:rPr>
      </w:pPr>
      <w:r>
        <w:rPr>
          <w:rFonts w:hint="eastAsia" w:ascii="宋体" w:hAnsi="宋体"/>
          <w:sz w:val="28"/>
          <w:szCs w:val="28"/>
        </w:rPr>
        <w:t>路网系统形成“两快、三主、两次”的道路骨架网。“两快”即现状保留的国道348线和</w:t>
      </w:r>
      <w:r>
        <w:rPr>
          <w:rFonts w:ascii="宋体" w:hAnsi="宋体"/>
          <w:sz w:val="28"/>
          <w:szCs w:val="28"/>
        </w:rPr>
        <w:t>山龙路</w:t>
      </w:r>
      <w:r>
        <w:rPr>
          <w:rFonts w:hint="eastAsia" w:ascii="宋体" w:hAnsi="宋体"/>
          <w:sz w:val="28"/>
          <w:szCs w:val="28"/>
        </w:rPr>
        <w:t>；“三主”即南北向的碧山路，东西向的佛光路、致江路延伸段；“两次”指翡翠路</w:t>
      </w:r>
      <w:r>
        <w:rPr>
          <w:rFonts w:ascii="宋体" w:hAnsi="宋体"/>
          <w:sz w:val="28"/>
          <w:szCs w:val="28"/>
        </w:rPr>
        <w:t>南延</w:t>
      </w:r>
      <w:r>
        <w:rPr>
          <w:rFonts w:hint="eastAsia" w:ascii="宋体" w:hAnsi="宋体"/>
          <w:sz w:val="28"/>
          <w:szCs w:val="28"/>
        </w:rPr>
        <w:t>段和任家坝小区内规划的</w:t>
      </w:r>
      <w:r>
        <w:rPr>
          <w:rFonts w:ascii="宋体" w:hAnsi="宋体"/>
          <w:sz w:val="28"/>
          <w:szCs w:val="28"/>
        </w:rPr>
        <w:t>主要</w:t>
      </w:r>
      <w:r>
        <w:rPr>
          <w:rFonts w:hint="eastAsia" w:ascii="宋体" w:hAnsi="宋体"/>
          <w:sz w:val="28"/>
          <w:szCs w:val="28"/>
        </w:rPr>
        <w:t>道路。</w:t>
      </w:r>
    </w:p>
    <w:p w14:paraId="63031A3E">
      <w:pPr>
        <w:spacing w:line="660" w:lineRule="exact"/>
        <w:ind w:firstLine="501" w:firstLineChars="179"/>
        <w:rPr>
          <w:rFonts w:hint="eastAsia" w:ascii="宋体" w:hAnsi="宋体"/>
          <w:sz w:val="28"/>
          <w:szCs w:val="28"/>
        </w:rPr>
      </w:pPr>
      <w:r>
        <w:rPr>
          <w:rFonts w:hint="eastAsia" w:ascii="宋体" w:hAnsi="宋体"/>
          <w:sz w:val="28"/>
          <w:szCs w:val="28"/>
        </w:rPr>
        <w:t>道路网格局规划中，重视交通分流、“干、支并重”，以便有效发挥各级道路的作用，提高路网的可达性和适用性，使规划区的道路系统具有较高交通服务水平和应变能力。</w:t>
      </w:r>
    </w:p>
    <w:p w14:paraId="65C3C8D0">
      <w:pPr>
        <w:spacing w:line="660" w:lineRule="exact"/>
        <w:ind w:firstLine="562" w:firstLineChars="200"/>
        <w:rPr>
          <w:rFonts w:hint="eastAsia" w:ascii="宋体" w:hAnsi="宋体"/>
          <w:b/>
          <w:sz w:val="28"/>
          <w:szCs w:val="28"/>
        </w:rPr>
      </w:pPr>
      <w:bookmarkStart w:id="731" w:name="_Toc67455547"/>
      <w:r>
        <w:rPr>
          <w:rFonts w:hint="eastAsia" w:ascii="宋体" w:hAnsi="宋体"/>
          <w:b/>
          <w:sz w:val="28"/>
          <w:szCs w:val="28"/>
        </w:rPr>
        <w:t>（四）道路分类</w:t>
      </w:r>
      <w:bookmarkEnd w:id="731"/>
    </w:p>
    <w:p w14:paraId="66858149">
      <w:pPr>
        <w:spacing w:line="660" w:lineRule="exact"/>
        <w:ind w:firstLine="585"/>
        <w:rPr>
          <w:rFonts w:hint="eastAsia" w:ascii="宋体" w:hAnsi="宋体"/>
          <w:sz w:val="28"/>
          <w:szCs w:val="28"/>
        </w:rPr>
      </w:pPr>
      <w:r>
        <w:rPr>
          <w:rFonts w:hint="eastAsia" w:ascii="宋体" w:hAnsi="宋体"/>
          <w:sz w:val="28"/>
          <w:szCs w:val="28"/>
        </w:rPr>
        <w:t>规划区内道路规划为快速路、主干道、次干道、支路四个等级。</w:t>
      </w:r>
    </w:p>
    <w:p w14:paraId="54AC5894">
      <w:pPr>
        <w:spacing w:line="680" w:lineRule="exact"/>
        <w:ind w:firstLine="585"/>
        <w:rPr>
          <w:rFonts w:ascii="宋体" w:hAnsi="宋体"/>
          <w:sz w:val="28"/>
          <w:szCs w:val="28"/>
        </w:rPr>
      </w:pPr>
      <w:r>
        <w:rPr>
          <w:rFonts w:hint="eastAsia" w:ascii="宋体" w:hAnsi="宋体"/>
          <w:sz w:val="28"/>
          <w:szCs w:val="28"/>
        </w:rPr>
        <w:t>快速路：片区东侧的国道348线，规划道路控制线宽度为50米；山龙路</w:t>
      </w:r>
      <w:r>
        <w:rPr>
          <w:rFonts w:ascii="宋体" w:hAnsi="宋体"/>
          <w:sz w:val="28"/>
          <w:szCs w:val="28"/>
        </w:rPr>
        <w:t>，规划作为连接</w:t>
      </w:r>
      <w:r>
        <w:rPr>
          <w:rFonts w:hint="eastAsia" w:ascii="宋体" w:hAnsi="宋体"/>
          <w:sz w:val="28"/>
          <w:szCs w:val="28"/>
        </w:rPr>
        <w:t>乐雅高速（乐山南）</w:t>
      </w:r>
      <w:r>
        <w:rPr>
          <w:rFonts w:ascii="宋体" w:hAnsi="宋体"/>
          <w:sz w:val="28"/>
          <w:szCs w:val="28"/>
        </w:rPr>
        <w:t>与</w:t>
      </w:r>
      <w:r>
        <w:rPr>
          <w:rFonts w:hint="eastAsia" w:ascii="宋体" w:hAnsi="宋体"/>
          <w:sz w:val="28"/>
          <w:szCs w:val="28"/>
        </w:rPr>
        <w:t>乐山</w:t>
      </w:r>
      <w:r>
        <w:rPr>
          <w:rFonts w:ascii="宋体" w:hAnsi="宋体"/>
          <w:sz w:val="28"/>
          <w:szCs w:val="28"/>
        </w:rPr>
        <w:t>大佛的快速路</w:t>
      </w:r>
      <w:r>
        <w:rPr>
          <w:rFonts w:hint="eastAsia" w:ascii="宋体" w:hAnsi="宋体"/>
          <w:sz w:val="28"/>
          <w:szCs w:val="28"/>
        </w:rPr>
        <w:t>，规划道路控制线宽度为</w:t>
      </w:r>
      <w:r>
        <w:rPr>
          <w:rFonts w:ascii="宋体" w:hAnsi="宋体"/>
          <w:sz w:val="28"/>
          <w:szCs w:val="28"/>
        </w:rPr>
        <w:t>3</w:t>
      </w:r>
      <w:r>
        <w:rPr>
          <w:rFonts w:hint="eastAsia" w:ascii="宋体" w:hAnsi="宋体"/>
          <w:sz w:val="28"/>
          <w:szCs w:val="28"/>
        </w:rPr>
        <w:t>0米。快速路主车道设计车速</w:t>
      </w:r>
      <w:r>
        <w:rPr>
          <w:rFonts w:ascii="宋体" w:hAnsi="宋体"/>
          <w:sz w:val="28"/>
          <w:szCs w:val="28"/>
        </w:rPr>
        <w:t>60</w:t>
      </w:r>
      <w:r>
        <w:rPr>
          <w:rFonts w:hint="eastAsia" w:ascii="宋体" w:hAnsi="宋体"/>
          <w:sz w:val="28"/>
          <w:szCs w:val="28"/>
        </w:rPr>
        <w:t>～</w:t>
      </w:r>
      <w:r>
        <w:rPr>
          <w:rFonts w:ascii="宋体" w:hAnsi="宋体"/>
          <w:sz w:val="28"/>
          <w:szCs w:val="28"/>
        </w:rPr>
        <w:t>80km/hr</w:t>
      </w:r>
      <w:r>
        <w:rPr>
          <w:rFonts w:hint="eastAsia" w:ascii="宋体" w:hAnsi="宋体"/>
          <w:sz w:val="28"/>
          <w:szCs w:val="28"/>
        </w:rPr>
        <w:t>，断面形式为两块板。</w:t>
      </w:r>
    </w:p>
    <w:p w14:paraId="374F97A3">
      <w:pPr>
        <w:spacing w:line="680" w:lineRule="exact"/>
        <w:ind w:firstLine="585"/>
        <w:rPr>
          <w:rFonts w:hint="eastAsia" w:ascii="宋体" w:hAnsi="宋体"/>
          <w:sz w:val="28"/>
          <w:szCs w:val="28"/>
        </w:rPr>
      </w:pPr>
      <w:r>
        <w:rPr>
          <w:rFonts w:hint="eastAsia" w:ascii="宋体" w:hAnsi="宋体"/>
          <w:sz w:val="28"/>
          <w:szCs w:val="28"/>
        </w:rPr>
        <w:t>主干道：规划区内的主干道主要有南北向的碧山路，东西向的佛光路以及中部的致江路延伸段，设计行车速度</w:t>
      </w:r>
      <w:r>
        <w:rPr>
          <w:rFonts w:ascii="宋体" w:hAnsi="宋体"/>
          <w:sz w:val="28"/>
          <w:szCs w:val="28"/>
        </w:rPr>
        <w:t>40km/hr</w:t>
      </w:r>
      <w:r>
        <w:rPr>
          <w:rFonts w:hint="eastAsia" w:ascii="宋体" w:hAnsi="宋体"/>
          <w:sz w:val="28"/>
          <w:szCs w:val="28"/>
        </w:rPr>
        <w:t>，道路红线控制宽度除致江路延伸段为</w:t>
      </w:r>
      <w:r>
        <w:rPr>
          <w:rFonts w:ascii="宋体" w:hAnsi="宋体"/>
          <w:sz w:val="28"/>
          <w:szCs w:val="28"/>
        </w:rPr>
        <w:t>32.5</w:t>
      </w:r>
      <w:r>
        <w:rPr>
          <w:rFonts w:hint="eastAsia" w:ascii="宋体" w:hAnsi="宋体"/>
          <w:sz w:val="28"/>
          <w:szCs w:val="28"/>
        </w:rPr>
        <w:t>米外其他均为</w:t>
      </w:r>
      <w:r>
        <w:rPr>
          <w:rFonts w:ascii="宋体" w:hAnsi="宋体"/>
          <w:sz w:val="28"/>
          <w:szCs w:val="28"/>
        </w:rPr>
        <w:t>30</w:t>
      </w:r>
      <w:r>
        <w:rPr>
          <w:rFonts w:hint="eastAsia" w:ascii="宋体" w:hAnsi="宋体"/>
          <w:sz w:val="28"/>
          <w:szCs w:val="28"/>
        </w:rPr>
        <w:t xml:space="preserve">米，断面形式为两块板。 </w:t>
      </w:r>
    </w:p>
    <w:p w14:paraId="249B22AB">
      <w:pPr>
        <w:spacing w:line="680" w:lineRule="exact"/>
        <w:ind w:firstLine="585"/>
        <w:rPr>
          <w:rFonts w:hint="eastAsia" w:ascii="宋体" w:hAnsi="宋体"/>
          <w:sz w:val="28"/>
          <w:szCs w:val="28"/>
        </w:rPr>
      </w:pPr>
      <w:r>
        <w:rPr>
          <w:rFonts w:hint="eastAsia" w:ascii="宋体" w:hAnsi="宋体"/>
          <w:sz w:val="28"/>
          <w:szCs w:val="28"/>
        </w:rPr>
        <w:t>次干道：翡翠路</w:t>
      </w:r>
      <w:r>
        <w:rPr>
          <w:rFonts w:ascii="宋体" w:hAnsi="宋体"/>
          <w:sz w:val="28"/>
          <w:szCs w:val="28"/>
        </w:rPr>
        <w:t>南延</w:t>
      </w:r>
      <w:r>
        <w:rPr>
          <w:rFonts w:hint="eastAsia" w:ascii="宋体" w:hAnsi="宋体"/>
          <w:sz w:val="28"/>
          <w:szCs w:val="28"/>
        </w:rPr>
        <w:t>段</w:t>
      </w:r>
      <w:r>
        <w:rPr>
          <w:rFonts w:ascii="宋体" w:hAnsi="宋体"/>
          <w:sz w:val="28"/>
          <w:szCs w:val="28"/>
        </w:rPr>
        <w:t>、</w:t>
      </w:r>
      <w:r>
        <w:rPr>
          <w:rFonts w:hint="eastAsia" w:ascii="宋体" w:hAnsi="宋体"/>
          <w:sz w:val="28"/>
          <w:szCs w:val="28"/>
        </w:rPr>
        <w:t>任家坝小区内主要道路为片区次干道，设计行车速度</w:t>
      </w:r>
      <w:r>
        <w:rPr>
          <w:rFonts w:ascii="宋体" w:hAnsi="宋体"/>
          <w:sz w:val="28"/>
          <w:szCs w:val="28"/>
        </w:rPr>
        <w:t>30</w:t>
      </w:r>
      <w:r>
        <w:rPr>
          <w:rFonts w:hint="eastAsia" w:ascii="宋体" w:hAnsi="宋体"/>
          <w:sz w:val="28"/>
          <w:szCs w:val="28"/>
        </w:rPr>
        <w:t>～</w:t>
      </w:r>
      <w:r>
        <w:rPr>
          <w:rFonts w:ascii="宋体" w:hAnsi="宋体"/>
          <w:sz w:val="28"/>
          <w:szCs w:val="28"/>
        </w:rPr>
        <w:t>40km/hr</w:t>
      </w:r>
      <w:r>
        <w:rPr>
          <w:rFonts w:hint="eastAsia" w:ascii="宋体" w:hAnsi="宋体"/>
          <w:sz w:val="28"/>
          <w:szCs w:val="28"/>
        </w:rPr>
        <w:t>，道路红线控制宽度</w:t>
      </w:r>
      <w:r>
        <w:rPr>
          <w:rFonts w:ascii="宋体" w:hAnsi="宋体"/>
          <w:sz w:val="28"/>
          <w:szCs w:val="28"/>
        </w:rPr>
        <w:t>20-24m</w:t>
      </w:r>
      <w:r>
        <w:rPr>
          <w:rFonts w:hint="eastAsia" w:ascii="宋体" w:hAnsi="宋体"/>
          <w:sz w:val="28"/>
          <w:szCs w:val="28"/>
        </w:rPr>
        <w:t>，断面形式为一块板。</w:t>
      </w:r>
    </w:p>
    <w:p w14:paraId="0A6F8308">
      <w:pPr>
        <w:spacing w:line="680" w:lineRule="exact"/>
        <w:ind w:firstLine="501" w:firstLineChars="179"/>
        <w:rPr>
          <w:rFonts w:hint="eastAsia" w:ascii="宋体" w:hAnsi="宋体"/>
          <w:sz w:val="28"/>
          <w:szCs w:val="28"/>
        </w:rPr>
      </w:pPr>
      <w:r>
        <w:rPr>
          <w:rFonts w:hint="eastAsia" w:ascii="宋体" w:hAnsi="宋体"/>
          <w:sz w:val="28"/>
          <w:szCs w:val="28"/>
        </w:rPr>
        <w:t>支路：主要连接规划区内部各功能区及次干道，为内部交通服务，道路红线控制宽度</w:t>
      </w:r>
      <w:r>
        <w:rPr>
          <w:rFonts w:ascii="宋体" w:hAnsi="宋体"/>
          <w:sz w:val="28"/>
          <w:szCs w:val="28"/>
        </w:rPr>
        <w:t>15</w:t>
      </w:r>
      <w:r>
        <w:rPr>
          <w:rFonts w:hint="eastAsia" w:ascii="宋体" w:hAnsi="宋体"/>
          <w:sz w:val="28"/>
          <w:szCs w:val="28"/>
        </w:rPr>
        <w:t>～</w:t>
      </w:r>
      <w:r>
        <w:rPr>
          <w:rFonts w:ascii="宋体" w:hAnsi="宋体"/>
          <w:sz w:val="28"/>
          <w:szCs w:val="28"/>
        </w:rPr>
        <w:t>18m</w:t>
      </w:r>
      <w:r>
        <w:rPr>
          <w:rFonts w:hint="eastAsia" w:ascii="宋体" w:hAnsi="宋体"/>
          <w:sz w:val="28"/>
          <w:szCs w:val="28"/>
        </w:rPr>
        <w:t>。设计行车速度</w:t>
      </w:r>
      <w:r>
        <w:rPr>
          <w:rFonts w:ascii="宋体" w:hAnsi="宋体"/>
          <w:sz w:val="28"/>
          <w:szCs w:val="28"/>
        </w:rPr>
        <w:t>20</w:t>
      </w:r>
      <w:r>
        <w:rPr>
          <w:rFonts w:hint="eastAsia" w:ascii="宋体" w:hAnsi="宋体"/>
          <w:sz w:val="28"/>
          <w:szCs w:val="28"/>
        </w:rPr>
        <w:t>～</w:t>
      </w:r>
      <w:r>
        <w:rPr>
          <w:rFonts w:ascii="宋体" w:hAnsi="宋体"/>
          <w:sz w:val="28"/>
          <w:szCs w:val="28"/>
        </w:rPr>
        <w:t>30km/hr</w:t>
      </w:r>
      <w:r>
        <w:rPr>
          <w:rFonts w:hint="eastAsia" w:ascii="宋体" w:hAnsi="宋体"/>
          <w:sz w:val="28"/>
          <w:szCs w:val="28"/>
        </w:rPr>
        <w:t>，断面形式均为一块板。</w:t>
      </w:r>
    </w:p>
    <w:p w14:paraId="555FE3A5">
      <w:pPr>
        <w:spacing w:line="600" w:lineRule="exact"/>
        <w:ind w:firstLine="539" w:firstLineChars="179"/>
        <w:rPr>
          <w:rFonts w:ascii="宋体" w:hAnsi="宋体"/>
          <w:b/>
          <w:sz w:val="30"/>
          <w:szCs w:val="30"/>
        </w:rPr>
      </w:pPr>
      <w:r>
        <w:rPr>
          <w:rFonts w:hint="eastAsia" w:ascii="宋体" w:hAnsi="宋体"/>
          <w:b/>
          <w:sz w:val="30"/>
          <w:szCs w:val="30"/>
        </w:rPr>
        <w:t>（五）公交线路规划</w:t>
      </w:r>
    </w:p>
    <w:p w14:paraId="5FAF74B2">
      <w:pPr>
        <w:spacing w:line="680" w:lineRule="exact"/>
        <w:ind w:firstLine="501" w:firstLineChars="179"/>
        <w:rPr>
          <w:rFonts w:ascii="宋体" w:hAnsi="宋体"/>
          <w:sz w:val="28"/>
          <w:szCs w:val="28"/>
        </w:rPr>
      </w:pPr>
      <w:r>
        <w:rPr>
          <w:rFonts w:hint="eastAsia" w:ascii="宋体" w:hAnsi="宋体"/>
          <w:sz w:val="28"/>
          <w:szCs w:val="28"/>
        </w:rPr>
        <w:t>规划片区快速公交沿碧山</w:t>
      </w:r>
      <w:r>
        <w:rPr>
          <w:rFonts w:ascii="宋体" w:hAnsi="宋体"/>
          <w:sz w:val="28"/>
          <w:szCs w:val="28"/>
        </w:rPr>
        <w:t>路设置，</w:t>
      </w:r>
      <w:r>
        <w:rPr>
          <w:rFonts w:hint="eastAsia" w:ascii="宋体" w:hAnsi="宋体"/>
          <w:sz w:val="28"/>
          <w:szCs w:val="28"/>
        </w:rPr>
        <w:t>向</w:t>
      </w:r>
      <w:r>
        <w:rPr>
          <w:rFonts w:ascii="宋体" w:hAnsi="宋体"/>
          <w:sz w:val="28"/>
          <w:szCs w:val="28"/>
        </w:rPr>
        <w:t>北</w:t>
      </w:r>
      <w:r>
        <w:rPr>
          <w:rFonts w:hint="eastAsia" w:ascii="宋体" w:hAnsi="宋体"/>
          <w:sz w:val="28"/>
          <w:szCs w:val="28"/>
        </w:rPr>
        <w:t>与</w:t>
      </w:r>
      <w:r>
        <w:rPr>
          <w:rFonts w:ascii="宋体" w:hAnsi="宋体"/>
          <w:sz w:val="28"/>
          <w:szCs w:val="28"/>
        </w:rPr>
        <w:t>牟子片区翡翠路相接，向南</w:t>
      </w:r>
      <w:r>
        <w:rPr>
          <w:rFonts w:hint="eastAsia" w:ascii="宋体" w:hAnsi="宋体"/>
          <w:sz w:val="28"/>
          <w:szCs w:val="28"/>
        </w:rPr>
        <w:t>延伸</w:t>
      </w:r>
      <w:r>
        <w:rPr>
          <w:rFonts w:ascii="宋体" w:hAnsi="宋体"/>
          <w:sz w:val="28"/>
          <w:szCs w:val="28"/>
        </w:rPr>
        <w:t>至</w:t>
      </w:r>
      <w:r>
        <w:rPr>
          <w:rFonts w:hint="eastAsia" w:ascii="宋体" w:hAnsi="宋体"/>
          <w:sz w:val="28"/>
          <w:szCs w:val="28"/>
        </w:rPr>
        <w:t>大佛景区，快速公交站距按</w:t>
      </w:r>
      <w:r>
        <w:rPr>
          <w:rFonts w:ascii="宋体" w:hAnsi="宋体"/>
          <w:sz w:val="28"/>
          <w:szCs w:val="28"/>
        </w:rPr>
        <w:t xml:space="preserve">1000-1500 </w:t>
      </w:r>
      <w:r>
        <w:rPr>
          <w:rFonts w:hint="eastAsia" w:ascii="宋体" w:hAnsi="宋体"/>
          <w:sz w:val="28"/>
          <w:szCs w:val="28"/>
        </w:rPr>
        <w:t>米设置。</w:t>
      </w:r>
    </w:p>
    <w:p w14:paraId="40F83F64">
      <w:pPr>
        <w:spacing w:line="680" w:lineRule="exact"/>
        <w:ind w:firstLine="501" w:firstLineChars="179"/>
        <w:rPr>
          <w:rFonts w:ascii="宋体" w:hAnsi="宋体"/>
          <w:sz w:val="28"/>
          <w:szCs w:val="28"/>
        </w:rPr>
      </w:pPr>
      <w:r>
        <w:rPr>
          <w:rFonts w:hint="eastAsia" w:ascii="宋体" w:hAnsi="宋体"/>
          <w:sz w:val="28"/>
          <w:szCs w:val="28"/>
        </w:rPr>
        <w:t>规划的常规公交线路以方便乘客，提高公交在居民出行方式中的比重为前提，布置在人流密集的路段。其线路规划沿规划</w:t>
      </w:r>
      <w:r>
        <w:rPr>
          <w:rFonts w:ascii="宋体" w:hAnsi="宋体"/>
          <w:sz w:val="28"/>
          <w:szCs w:val="28"/>
        </w:rPr>
        <w:t>区主次干道</w:t>
      </w:r>
      <w:r>
        <w:rPr>
          <w:rFonts w:hint="eastAsia" w:ascii="宋体" w:hAnsi="宋体"/>
          <w:sz w:val="28"/>
          <w:szCs w:val="28"/>
        </w:rPr>
        <w:t>布设。公交站台设置间隔一般不大于500米， 中心区站台间隔300米左右，可结合快速公交站点联合设置。建议在主干道上布置港湾式停靠站。</w:t>
      </w:r>
    </w:p>
    <w:p w14:paraId="7EA625B8">
      <w:pPr>
        <w:spacing w:line="660" w:lineRule="exact"/>
        <w:ind w:firstLine="539" w:firstLineChars="179"/>
        <w:rPr>
          <w:rFonts w:ascii="宋体" w:hAnsi="宋体"/>
          <w:b/>
          <w:sz w:val="30"/>
          <w:szCs w:val="30"/>
        </w:rPr>
      </w:pPr>
      <w:r>
        <w:rPr>
          <w:rFonts w:hint="eastAsia" w:ascii="宋体" w:hAnsi="宋体"/>
          <w:b/>
          <w:sz w:val="30"/>
          <w:szCs w:val="30"/>
        </w:rPr>
        <w:t>（六）停车设施规划</w:t>
      </w:r>
    </w:p>
    <w:p w14:paraId="551125EC">
      <w:pPr>
        <w:spacing w:line="680" w:lineRule="exact"/>
        <w:rPr>
          <w:rFonts w:hint="eastAsia" w:ascii="宋体" w:hAnsi="宋体"/>
          <w:sz w:val="28"/>
          <w:szCs w:val="28"/>
        </w:rPr>
      </w:pPr>
      <w:r>
        <w:rPr>
          <w:rFonts w:hint="eastAsia" w:ascii="宋体" w:hAnsi="宋体"/>
          <w:sz w:val="28"/>
          <w:szCs w:val="28"/>
        </w:rPr>
        <w:t xml:space="preserve">    规划在学校、市场、商业服务</w:t>
      </w:r>
      <w:r>
        <w:rPr>
          <w:rFonts w:ascii="宋体" w:hAnsi="宋体"/>
          <w:sz w:val="28"/>
          <w:szCs w:val="28"/>
        </w:rPr>
        <w:t>中心、休闲度假旅游设施</w:t>
      </w:r>
      <w:r>
        <w:rPr>
          <w:rFonts w:hint="eastAsia" w:ascii="宋体" w:hAnsi="宋体"/>
          <w:sz w:val="28"/>
          <w:szCs w:val="28"/>
        </w:rPr>
        <w:t>集中地段或周边区域设置社会停车场，以满足片区社会停车需求。片区内设置有6处社会停车场用地，采取地面停车和地下停车相结合方式建设。</w:t>
      </w:r>
    </w:p>
    <w:p w14:paraId="0720035C">
      <w:pPr>
        <w:spacing w:line="680" w:lineRule="exact"/>
        <w:ind w:firstLine="570"/>
        <w:rPr>
          <w:rFonts w:ascii="宋体" w:hAnsi="宋体"/>
          <w:sz w:val="28"/>
          <w:szCs w:val="28"/>
        </w:rPr>
      </w:pPr>
      <w:r>
        <w:rPr>
          <w:rFonts w:hint="eastAsia" w:ascii="宋体" w:hAnsi="宋体"/>
          <w:sz w:val="28"/>
          <w:szCs w:val="28"/>
        </w:rPr>
        <w:t>停车场配建标准按照《乐山市城市规划管理技术规定》相关内容对建设项目实施配建停车场泊位指标控制。停车场泊位指各类建设项目必须配建的最小车辆停放泊位数。停车场泊位包括室外停车场和室内停车场。</w:t>
      </w:r>
    </w:p>
    <w:p w14:paraId="537F0F94">
      <w:pPr>
        <w:spacing w:line="660" w:lineRule="exact"/>
        <w:ind w:firstLine="539" w:firstLineChars="179"/>
        <w:rPr>
          <w:rFonts w:ascii="宋体" w:hAnsi="宋体"/>
          <w:b/>
          <w:sz w:val="30"/>
          <w:szCs w:val="30"/>
        </w:rPr>
      </w:pPr>
      <w:r>
        <w:rPr>
          <w:rFonts w:hint="eastAsia" w:ascii="宋体" w:hAnsi="宋体"/>
          <w:b/>
          <w:sz w:val="30"/>
          <w:szCs w:val="30"/>
        </w:rPr>
        <w:t>（七）慢行交通</w:t>
      </w:r>
      <w:r>
        <w:rPr>
          <w:rFonts w:ascii="宋体" w:hAnsi="宋体"/>
          <w:b/>
          <w:sz w:val="30"/>
          <w:szCs w:val="30"/>
        </w:rPr>
        <w:t>系统</w:t>
      </w:r>
      <w:r>
        <w:rPr>
          <w:rFonts w:hint="eastAsia" w:ascii="宋体" w:hAnsi="宋体"/>
          <w:b/>
          <w:sz w:val="30"/>
          <w:szCs w:val="30"/>
        </w:rPr>
        <w:t>规划</w:t>
      </w:r>
    </w:p>
    <w:p w14:paraId="2ADC760D">
      <w:pPr>
        <w:spacing w:line="660" w:lineRule="exact"/>
        <w:ind w:firstLine="600" w:firstLineChars="200"/>
        <w:rPr>
          <w:rFonts w:hAnsi="宋体"/>
          <w:sz w:val="30"/>
          <w:szCs w:val="30"/>
        </w:rPr>
      </w:pPr>
      <w:r>
        <w:rPr>
          <w:rFonts w:hint="eastAsia" w:hAnsi="宋体"/>
          <w:sz w:val="30"/>
          <w:szCs w:val="30"/>
        </w:rPr>
        <w:t>在慢行交通系统规划中，为减少交通混合产生的干扰，通常可采取的措施包括以下方法：</w:t>
      </w:r>
    </w:p>
    <w:p w14:paraId="359C6E31">
      <w:pPr>
        <w:spacing w:line="660" w:lineRule="exact"/>
        <w:ind w:firstLine="600" w:firstLineChars="200"/>
        <w:rPr>
          <w:rFonts w:hAnsi="宋体"/>
          <w:sz w:val="30"/>
          <w:szCs w:val="30"/>
        </w:rPr>
      </w:pPr>
      <w:r>
        <w:rPr>
          <w:rFonts w:hAnsi="宋体"/>
          <w:sz w:val="30"/>
          <w:szCs w:val="30"/>
        </w:rPr>
        <w:t>1</w:t>
      </w:r>
      <w:r>
        <w:rPr>
          <w:rFonts w:hint="eastAsia" w:hAnsi="宋体"/>
          <w:sz w:val="30"/>
          <w:szCs w:val="30"/>
        </w:rPr>
        <w:t>、路段吸引法-吸引自行车分流到次干道 ；</w:t>
      </w:r>
    </w:p>
    <w:p w14:paraId="62097D28">
      <w:pPr>
        <w:spacing w:line="660" w:lineRule="exact"/>
        <w:ind w:firstLine="600" w:firstLineChars="200"/>
        <w:rPr>
          <w:rFonts w:hAnsi="宋体"/>
          <w:sz w:val="30"/>
          <w:szCs w:val="30"/>
        </w:rPr>
      </w:pPr>
      <w:r>
        <w:rPr>
          <w:rFonts w:hAnsi="宋体"/>
          <w:sz w:val="30"/>
          <w:szCs w:val="30"/>
        </w:rPr>
        <w:t>2</w:t>
      </w:r>
      <w:r>
        <w:rPr>
          <w:rFonts w:hint="eastAsia" w:hAnsi="宋体"/>
          <w:sz w:val="30"/>
          <w:szCs w:val="30"/>
        </w:rPr>
        <w:t>、机动车减速法 ；</w:t>
      </w:r>
    </w:p>
    <w:p w14:paraId="37E41D39">
      <w:pPr>
        <w:spacing w:line="660" w:lineRule="exact"/>
        <w:ind w:firstLine="600" w:firstLineChars="200"/>
        <w:rPr>
          <w:rFonts w:hAnsi="宋体"/>
          <w:sz w:val="30"/>
          <w:szCs w:val="30"/>
        </w:rPr>
      </w:pPr>
      <w:r>
        <w:rPr>
          <w:rFonts w:hAnsi="宋体"/>
          <w:sz w:val="30"/>
          <w:szCs w:val="30"/>
        </w:rPr>
        <w:t>3</w:t>
      </w:r>
      <w:r>
        <w:rPr>
          <w:rFonts w:hint="eastAsia" w:hAnsi="宋体"/>
          <w:sz w:val="30"/>
          <w:szCs w:val="30"/>
        </w:rPr>
        <w:t xml:space="preserve">、自行车专用道、自行车禁行道设立； </w:t>
      </w:r>
    </w:p>
    <w:p w14:paraId="384AFE41">
      <w:pPr>
        <w:spacing w:line="660" w:lineRule="exact"/>
        <w:ind w:firstLine="600" w:firstLineChars="200"/>
        <w:rPr>
          <w:rFonts w:hAnsi="宋体"/>
          <w:sz w:val="30"/>
          <w:szCs w:val="30"/>
        </w:rPr>
      </w:pPr>
      <w:r>
        <w:rPr>
          <w:rFonts w:hAnsi="宋体"/>
          <w:sz w:val="30"/>
          <w:szCs w:val="30"/>
        </w:rPr>
        <w:t>3</w:t>
      </w:r>
      <w:r>
        <w:rPr>
          <w:rFonts w:hint="eastAsia" w:hAnsi="宋体"/>
          <w:sz w:val="30"/>
          <w:szCs w:val="30"/>
        </w:rPr>
        <w:t>、在路段上禁止自行车左转 ；</w:t>
      </w:r>
    </w:p>
    <w:p w14:paraId="0AA48E39">
      <w:pPr>
        <w:spacing w:line="660" w:lineRule="exact"/>
        <w:ind w:firstLine="600" w:firstLineChars="200"/>
        <w:rPr>
          <w:rFonts w:hAnsi="宋体"/>
          <w:sz w:val="30"/>
          <w:szCs w:val="30"/>
        </w:rPr>
      </w:pPr>
      <w:r>
        <w:rPr>
          <w:rFonts w:hAnsi="宋体"/>
          <w:sz w:val="30"/>
          <w:szCs w:val="30"/>
        </w:rPr>
        <w:t>4</w:t>
      </w:r>
      <w:r>
        <w:rPr>
          <w:rFonts w:hint="eastAsia" w:hAnsi="宋体"/>
          <w:sz w:val="30"/>
          <w:szCs w:val="30"/>
        </w:rPr>
        <w:t>、通行时间限制：</w:t>
      </w:r>
      <w:r>
        <w:rPr>
          <w:rFonts w:hAnsi="宋体"/>
          <w:sz w:val="30"/>
          <w:szCs w:val="30"/>
        </w:rPr>
        <w:t>适用于机非混行中间没有实物隔离、路面比较狭窄的支路</w:t>
      </w:r>
      <w:r>
        <w:rPr>
          <w:rFonts w:hint="eastAsia" w:hAnsi="宋体"/>
          <w:sz w:val="30"/>
          <w:szCs w:val="30"/>
        </w:rPr>
        <w:t>；</w:t>
      </w:r>
    </w:p>
    <w:p w14:paraId="37447BA9">
      <w:pPr>
        <w:spacing w:line="660" w:lineRule="exact"/>
        <w:ind w:firstLine="600" w:firstLineChars="200"/>
        <w:rPr>
          <w:rFonts w:hAnsi="宋体"/>
          <w:sz w:val="30"/>
          <w:szCs w:val="30"/>
        </w:rPr>
      </w:pPr>
      <w:r>
        <w:rPr>
          <w:rFonts w:hAnsi="宋体"/>
          <w:sz w:val="30"/>
          <w:szCs w:val="30"/>
        </w:rPr>
        <w:t>5</w:t>
      </w:r>
      <w:r>
        <w:rPr>
          <w:rFonts w:hint="eastAsia" w:hAnsi="宋体"/>
          <w:sz w:val="30"/>
          <w:szCs w:val="30"/>
        </w:rPr>
        <w:t>、单行道设置。</w:t>
      </w:r>
    </w:p>
    <w:p w14:paraId="4A895099">
      <w:pPr>
        <w:spacing w:line="660" w:lineRule="exact"/>
        <w:ind w:firstLine="600" w:firstLineChars="200"/>
        <w:rPr>
          <w:rFonts w:hAnsi="宋体"/>
          <w:sz w:val="30"/>
          <w:szCs w:val="30"/>
        </w:rPr>
      </w:pPr>
      <w:r>
        <w:rPr>
          <w:rFonts w:hint="eastAsia" w:hAnsi="宋体"/>
          <w:sz w:val="30"/>
          <w:szCs w:val="30"/>
        </w:rPr>
        <w:t>本规划主要采用路段吸引、机动车减速、专用道设置等方法，以低碳生活、生态宜居社区为发展目标，规划结合绿地系统建设，重点构建串联碧山湖森、胜利水库、滨江步行空间、嘉州长卷步行街区的大区域慢行环线。</w:t>
      </w:r>
    </w:p>
    <w:p w14:paraId="5B8300B3">
      <w:pPr>
        <w:spacing w:line="660" w:lineRule="exact"/>
        <w:ind w:firstLine="600" w:firstLineChars="200"/>
        <w:rPr>
          <w:rFonts w:hAnsi="宋体"/>
          <w:sz w:val="30"/>
          <w:szCs w:val="30"/>
        </w:rPr>
      </w:pPr>
      <w:r>
        <w:rPr>
          <w:rFonts w:hint="eastAsia" w:hAnsi="宋体"/>
          <w:sz w:val="30"/>
          <w:szCs w:val="30"/>
        </w:rPr>
        <w:t>步行游线主要沿滨江区域配置，自行车游线沿滨江以及东部</w:t>
      </w:r>
      <w:r>
        <w:rPr>
          <w:rFonts w:hAnsi="宋体"/>
          <w:sz w:val="30"/>
          <w:szCs w:val="30"/>
        </w:rPr>
        <w:t>观光游道</w:t>
      </w:r>
      <w:r>
        <w:rPr>
          <w:rFonts w:hint="eastAsia" w:hAnsi="宋体"/>
          <w:sz w:val="30"/>
          <w:szCs w:val="30"/>
        </w:rPr>
        <w:t>建设，从而将岷江沿岸、碧山湖</w:t>
      </w:r>
      <w:r>
        <w:rPr>
          <w:rFonts w:hAnsi="宋体"/>
          <w:sz w:val="30"/>
          <w:szCs w:val="30"/>
        </w:rPr>
        <w:t>、胜利水库</w:t>
      </w:r>
      <w:r>
        <w:rPr>
          <w:rFonts w:hint="eastAsia" w:hAnsi="宋体"/>
          <w:sz w:val="30"/>
          <w:szCs w:val="30"/>
        </w:rPr>
        <w:t>、东部自然生态景观区、南北公共设施景观区串联起来。各主要慢行区域周边必须配套完善的公交车换乘系统，方便人员疏散。</w:t>
      </w:r>
    </w:p>
    <w:bookmarkEnd w:id="728"/>
    <w:p w14:paraId="64A19BB9">
      <w:pPr>
        <w:pStyle w:val="4"/>
        <w:spacing w:line="680" w:lineRule="exact"/>
        <w:rPr>
          <w:rFonts w:hint="eastAsia" w:ascii="黑体" w:eastAsia="黑体"/>
        </w:rPr>
      </w:pPr>
      <w:bookmarkStart w:id="732" w:name="_Toc216520029"/>
      <w:bookmarkStart w:id="733" w:name="_Toc348965234"/>
      <w:bookmarkStart w:id="734" w:name="_Toc6394692"/>
      <w:r>
        <w:rPr>
          <w:rFonts w:hint="eastAsia" w:ascii="黑体" w:eastAsia="黑体"/>
        </w:rPr>
        <w:t>二、用地竖向规划</w:t>
      </w:r>
      <w:bookmarkEnd w:id="732"/>
      <w:bookmarkEnd w:id="733"/>
      <w:bookmarkEnd w:id="734"/>
    </w:p>
    <w:p w14:paraId="5729CB80">
      <w:pPr>
        <w:spacing w:line="680" w:lineRule="exact"/>
        <w:ind w:firstLine="503" w:firstLineChars="179"/>
        <w:rPr>
          <w:rFonts w:hint="eastAsia" w:ascii="宋体" w:hAnsi="宋体"/>
          <w:b/>
          <w:sz w:val="28"/>
          <w:szCs w:val="28"/>
        </w:rPr>
      </w:pPr>
      <w:bookmarkStart w:id="735" w:name="_Toc67455549"/>
      <w:bookmarkStart w:id="736" w:name="_Toc216520030"/>
      <w:r>
        <w:rPr>
          <w:rFonts w:hint="eastAsia" w:ascii="宋体" w:hAnsi="宋体"/>
          <w:b/>
          <w:sz w:val="28"/>
          <w:szCs w:val="28"/>
        </w:rPr>
        <w:t>（一）规划原则</w:t>
      </w:r>
      <w:bookmarkEnd w:id="735"/>
    </w:p>
    <w:p w14:paraId="4058FD4A">
      <w:pPr>
        <w:spacing w:line="680" w:lineRule="exact"/>
        <w:ind w:firstLine="501" w:firstLineChars="179"/>
        <w:rPr>
          <w:rFonts w:hint="eastAsia" w:ascii="宋体" w:hAnsi="宋体"/>
          <w:sz w:val="28"/>
          <w:szCs w:val="28"/>
        </w:rPr>
      </w:pPr>
      <w:r>
        <w:rPr>
          <w:rFonts w:hint="eastAsia" w:ascii="宋体" w:hAnsi="宋体"/>
          <w:sz w:val="28"/>
          <w:szCs w:val="28"/>
        </w:rPr>
        <w:t>根据规划区的用地布局和路网结构、现状地形地貌、河流水系分布以及防洪要求等，按照安全、适用、经济、美观等思想，对规划用地的场地高程、道路控制点高程、用地坡度、地面形式进行合理规划，合理组织地面排水，协调好场地与道路的竖向关系，满足规划区的各项用地的使用要求。</w:t>
      </w:r>
    </w:p>
    <w:p w14:paraId="6AAE45F1">
      <w:pPr>
        <w:spacing w:line="680" w:lineRule="exact"/>
        <w:ind w:firstLine="503" w:firstLineChars="179"/>
        <w:rPr>
          <w:rFonts w:hint="eastAsia" w:ascii="宋体" w:hAnsi="宋体"/>
          <w:b/>
          <w:sz w:val="28"/>
          <w:szCs w:val="28"/>
        </w:rPr>
      </w:pPr>
      <w:bookmarkStart w:id="737" w:name="_Toc67455550"/>
      <w:r>
        <w:rPr>
          <w:rFonts w:hint="eastAsia" w:ascii="宋体" w:hAnsi="宋体"/>
          <w:b/>
          <w:sz w:val="28"/>
          <w:szCs w:val="28"/>
        </w:rPr>
        <w:t>（二）规划地面形式</w:t>
      </w:r>
      <w:bookmarkEnd w:id="737"/>
    </w:p>
    <w:p w14:paraId="7E7DDB21">
      <w:pPr>
        <w:spacing w:line="660" w:lineRule="exact"/>
        <w:ind w:firstLine="501" w:firstLineChars="179"/>
        <w:rPr>
          <w:rFonts w:ascii="宋体" w:hAnsi="宋体"/>
          <w:sz w:val="28"/>
          <w:szCs w:val="28"/>
        </w:rPr>
      </w:pPr>
      <w:r>
        <w:rPr>
          <w:rFonts w:hint="eastAsia" w:ascii="宋体" w:hAnsi="宋体"/>
          <w:sz w:val="28"/>
          <w:szCs w:val="28"/>
        </w:rPr>
        <w:t>根据现状地形条件并结合规划用地性质、功能，规划区地面形式采用平坡式、台阶式、混合式三种形式。这些地面形式有利于达到保护自然、亲近自然、节约投资的目标。场地平整采用小地块内部就地平衡的原则，以减少土石方的运输投资，有利于城市干道交通组织以及人民生活、生产及管理。</w:t>
      </w:r>
    </w:p>
    <w:p w14:paraId="0C206661">
      <w:pPr>
        <w:spacing w:line="660" w:lineRule="exact"/>
        <w:ind w:firstLine="503" w:firstLineChars="179"/>
        <w:rPr>
          <w:rFonts w:hint="eastAsia" w:ascii="宋体" w:hAnsi="宋体"/>
          <w:b/>
          <w:sz w:val="28"/>
          <w:szCs w:val="28"/>
        </w:rPr>
      </w:pPr>
      <w:bookmarkStart w:id="738" w:name="_Toc67455551"/>
      <w:r>
        <w:rPr>
          <w:rFonts w:hint="eastAsia" w:ascii="宋体" w:hAnsi="宋体"/>
          <w:b/>
          <w:sz w:val="28"/>
          <w:szCs w:val="28"/>
        </w:rPr>
        <w:t>（三）竖向与道路、场地排水</w:t>
      </w:r>
      <w:bookmarkEnd w:id="738"/>
    </w:p>
    <w:p w14:paraId="388EDD1A">
      <w:pPr>
        <w:spacing w:line="660" w:lineRule="exact"/>
        <w:ind w:firstLine="501" w:firstLineChars="179"/>
        <w:rPr>
          <w:rFonts w:ascii="宋体" w:hAnsi="宋体"/>
          <w:sz w:val="28"/>
          <w:szCs w:val="28"/>
        </w:rPr>
      </w:pPr>
      <w:r>
        <w:rPr>
          <w:rFonts w:hint="eastAsia" w:ascii="宋体" w:hAnsi="宋体"/>
          <w:sz w:val="28"/>
          <w:szCs w:val="28"/>
        </w:rPr>
        <w:t>本次竖向规划的重点是综合协调道路、场地、排水管道、排洪河道之间的高程关系。规划中，将用地竖向与道路竖向同时进行，充分考虑道路的排水坡度要求和场地排水坡度要求，道路高程结合雨水管道的布局、河流水系分布和地形条件综合平衡。</w:t>
      </w:r>
    </w:p>
    <w:p w14:paraId="64E19175">
      <w:pPr>
        <w:spacing w:line="660" w:lineRule="exact"/>
        <w:ind w:firstLine="501" w:firstLineChars="179"/>
        <w:rPr>
          <w:rFonts w:hint="eastAsia" w:ascii="宋体" w:hAnsi="宋体"/>
          <w:sz w:val="28"/>
          <w:szCs w:val="28"/>
        </w:rPr>
      </w:pPr>
      <w:r>
        <w:rPr>
          <w:rFonts w:hint="eastAsia" w:ascii="宋体" w:hAnsi="宋体"/>
          <w:sz w:val="28"/>
          <w:szCs w:val="28"/>
        </w:rPr>
        <w:t>规划区的道路纵坡基本控制在3%以下，整个场地坡向是：北高、南低，东高、西低。规划整个规划区以泥溪河为界形成2个排水区域，均自东向西，由北向南汇集到排水主干管中，就近排入河流水体。用地竖向与道路竖向同时进行规划，充分考虑道路的排水坡度要求和场地排水坡度要求。</w:t>
      </w:r>
    </w:p>
    <w:p w14:paraId="629C1474">
      <w:pPr>
        <w:spacing w:line="660" w:lineRule="exact"/>
        <w:ind w:firstLine="501" w:firstLineChars="179"/>
        <w:rPr>
          <w:rFonts w:hint="eastAsia" w:ascii="宋体" w:hAnsi="宋体"/>
          <w:sz w:val="28"/>
          <w:szCs w:val="28"/>
        </w:rPr>
      </w:pPr>
    </w:p>
    <w:p w14:paraId="01F25776">
      <w:pPr>
        <w:pStyle w:val="3"/>
        <w:spacing w:line="660" w:lineRule="exact"/>
        <w:jc w:val="center"/>
        <w:rPr>
          <w:rFonts w:hint="eastAsia"/>
          <w:sz w:val="36"/>
        </w:rPr>
      </w:pPr>
      <w:bookmarkStart w:id="739" w:name="_Toc6394693"/>
      <w:bookmarkStart w:id="740" w:name="_Toc348965235"/>
      <w:r>
        <w:rPr>
          <w:rFonts w:hint="eastAsia"/>
          <w:sz w:val="36"/>
        </w:rPr>
        <w:t>第十章  管线工程规划</w:t>
      </w:r>
      <w:bookmarkEnd w:id="736"/>
      <w:bookmarkEnd w:id="739"/>
      <w:bookmarkEnd w:id="740"/>
    </w:p>
    <w:p w14:paraId="4E690C8A">
      <w:pPr>
        <w:pStyle w:val="4"/>
        <w:spacing w:line="680" w:lineRule="exact"/>
        <w:rPr>
          <w:rFonts w:hint="eastAsia" w:ascii="黑体" w:eastAsia="黑体"/>
        </w:rPr>
      </w:pPr>
      <w:bookmarkStart w:id="741" w:name="_Toc6394694"/>
      <w:bookmarkStart w:id="742" w:name="_Toc348965236"/>
      <w:bookmarkStart w:id="743" w:name="_Toc216520031"/>
      <w:r>
        <w:rPr>
          <w:rFonts w:hint="eastAsia" w:ascii="黑体" w:eastAsia="黑体"/>
        </w:rPr>
        <w:t>一、给水工程规划</w:t>
      </w:r>
      <w:bookmarkEnd w:id="741"/>
      <w:bookmarkEnd w:id="742"/>
      <w:bookmarkEnd w:id="743"/>
    </w:p>
    <w:p w14:paraId="12FB1160">
      <w:pPr>
        <w:spacing w:line="680" w:lineRule="exact"/>
        <w:ind w:firstLine="503" w:firstLineChars="179"/>
        <w:rPr>
          <w:rFonts w:hint="eastAsia" w:ascii="宋体" w:hAnsi="宋体"/>
          <w:b/>
          <w:sz w:val="28"/>
          <w:szCs w:val="28"/>
        </w:rPr>
      </w:pPr>
      <w:r>
        <w:rPr>
          <w:rFonts w:hint="eastAsia" w:ascii="宋体" w:hAnsi="宋体"/>
          <w:b/>
          <w:sz w:val="28"/>
          <w:szCs w:val="28"/>
        </w:rPr>
        <w:t>（一）现状概况</w:t>
      </w:r>
    </w:p>
    <w:p w14:paraId="1D5EB626">
      <w:pPr>
        <w:spacing w:line="680" w:lineRule="exact"/>
        <w:ind w:firstLine="501" w:firstLineChars="179"/>
        <w:rPr>
          <w:rFonts w:ascii="宋体" w:hAnsi="宋体"/>
          <w:color w:val="FF0000"/>
          <w:sz w:val="28"/>
          <w:szCs w:val="28"/>
        </w:rPr>
      </w:pPr>
      <w:r>
        <w:rPr>
          <w:rFonts w:hint="eastAsia" w:ascii="宋体" w:hAnsi="宋体"/>
          <w:sz w:val="28"/>
          <w:szCs w:val="28"/>
        </w:rPr>
        <w:t xml:space="preserve">区内供水由市三水厂供给，供水主干管网沿碧山路敷设，向沿线地块供水。规划区由于给水管网未形成体系供水安全性较差，无法满足该片区未来发展要求。   </w:t>
      </w:r>
      <w:r>
        <w:rPr>
          <w:rFonts w:hint="eastAsia" w:ascii="宋体" w:hAnsi="宋体"/>
          <w:color w:val="FF0000"/>
          <w:sz w:val="28"/>
          <w:szCs w:val="28"/>
        </w:rPr>
        <w:t xml:space="preserve">      </w:t>
      </w:r>
    </w:p>
    <w:p w14:paraId="0561C634">
      <w:pPr>
        <w:spacing w:line="680" w:lineRule="exact"/>
        <w:ind w:firstLine="503" w:firstLineChars="179"/>
        <w:rPr>
          <w:rFonts w:hint="eastAsia" w:ascii="宋体" w:hAnsi="宋体"/>
          <w:b/>
          <w:sz w:val="28"/>
          <w:szCs w:val="28"/>
        </w:rPr>
      </w:pPr>
      <w:r>
        <w:rPr>
          <w:rFonts w:hint="eastAsia" w:ascii="宋体" w:hAnsi="宋体"/>
          <w:b/>
          <w:sz w:val="28"/>
          <w:szCs w:val="28"/>
        </w:rPr>
        <w:t>（二）供水量预测</w:t>
      </w:r>
    </w:p>
    <w:p w14:paraId="73F4E57E">
      <w:pPr>
        <w:spacing w:line="680" w:lineRule="exact"/>
        <w:ind w:firstLine="501" w:firstLineChars="179"/>
        <w:rPr>
          <w:rFonts w:hint="eastAsia" w:ascii="宋体" w:hAnsi="宋体"/>
          <w:sz w:val="28"/>
          <w:szCs w:val="28"/>
        </w:rPr>
      </w:pPr>
      <w:r>
        <w:rPr>
          <w:rFonts w:hint="eastAsia" w:ascii="宋体" w:hAnsi="宋体"/>
          <w:sz w:val="28"/>
          <w:szCs w:val="28"/>
        </w:rPr>
        <w:t>根据《乐山市总体规划》和《城市给水工程规划规范》（</w:t>
      </w:r>
      <w:r>
        <w:rPr>
          <w:rFonts w:ascii="宋体" w:hAnsi="宋体"/>
          <w:sz w:val="28"/>
          <w:szCs w:val="28"/>
        </w:rPr>
        <w:t>GB50282</w:t>
      </w:r>
      <w:r>
        <w:rPr>
          <w:rFonts w:hint="eastAsia" w:ascii="宋体" w:hAnsi="宋体"/>
          <w:sz w:val="28"/>
          <w:szCs w:val="28"/>
        </w:rPr>
        <w:t>—</w:t>
      </w:r>
      <w:r>
        <w:rPr>
          <w:rFonts w:ascii="宋体" w:hAnsi="宋体"/>
          <w:sz w:val="28"/>
          <w:szCs w:val="28"/>
        </w:rPr>
        <w:t>2016</w:t>
      </w:r>
      <w:r>
        <w:rPr>
          <w:rFonts w:hint="eastAsia" w:ascii="宋体" w:hAnsi="宋体"/>
          <w:sz w:val="28"/>
          <w:szCs w:val="28"/>
        </w:rPr>
        <w:t>），并结合岷江东岸片区规划发展情况，根据用地性质的不同来计算用水量。在规划区用水量预测计算时，其供水普及率按</w:t>
      </w:r>
      <w:r>
        <w:rPr>
          <w:rFonts w:ascii="宋体" w:hAnsi="宋体"/>
          <w:sz w:val="28"/>
          <w:szCs w:val="28"/>
        </w:rPr>
        <w:t>100%</w:t>
      </w:r>
      <w:r>
        <w:rPr>
          <w:rFonts w:hint="eastAsia" w:ascii="宋体" w:hAnsi="宋体"/>
          <w:sz w:val="28"/>
          <w:szCs w:val="28"/>
        </w:rPr>
        <w:t>计，人均综合用水量取450升/日，规划区规划人口为</w:t>
      </w:r>
      <w:r>
        <w:rPr>
          <w:rFonts w:ascii="宋体" w:hAnsi="宋体"/>
          <w:sz w:val="28"/>
          <w:szCs w:val="28"/>
        </w:rPr>
        <w:t>2.0</w:t>
      </w:r>
      <w:r>
        <w:rPr>
          <w:rFonts w:hint="eastAsia" w:ascii="宋体" w:hAnsi="宋体"/>
          <w:sz w:val="28"/>
          <w:szCs w:val="28"/>
        </w:rPr>
        <w:t>万人，则本规划区供水量为</w:t>
      </w:r>
      <w:r>
        <w:rPr>
          <w:rFonts w:ascii="宋体" w:hAnsi="宋体"/>
          <w:sz w:val="28"/>
          <w:szCs w:val="28"/>
        </w:rPr>
        <w:t>0.90</w:t>
      </w:r>
      <w:r>
        <w:rPr>
          <w:rFonts w:hint="eastAsia" w:ascii="宋体" w:hAnsi="宋体"/>
          <w:sz w:val="28"/>
          <w:szCs w:val="28"/>
        </w:rPr>
        <w:t>万吨</w:t>
      </w:r>
      <w:r>
        <w:rPr>
          <w:rFonts w:ascii="宋体" w:hAnsi="宋体"/>
          <w:sz w:val="28"/>
          <w:szCs w:val="28"/>
        </w:rPr>
        <w:t>/</w:t>
      </w:r>
      <w:r>
        <w:rPr>
          <w:rFonts w:hint="eastAsia" w:ascii="宋体" w:hAnsi="宋体"/>
          <w:sz w:val="28"/>
          <w:szCs w:val="28"/>
        </w:rPr>
        <w:t>日。水源为市三水厂。</w:t>
      </w:r>
    </w:p>
    <w:p w14:paraId="30A3D6C2">
      <w:pPr>
        <w:spacing w:line="680" w:lineRule="exact"/>
        <w:ind w:firstLine="503" w:firstLineChars="179"/>
        <w:rPr>
          <w:rFonts w:hint="eastAsia" w:ascii="宋体" w:hAnsi="宋体"/>
          <w:b/>
          <w:sz w:val="28"/>
          <w:szCs w:val="28"/>
        </w:rPr>
      </w:pPr>
      <w:r>
        <w:rPr>
          <w:rFonts w:hint="eastAsia" w:ascii="宋体" w:hAnsi="宋体"/>
          <w:b/>
          <w:sz w:val="28"/>
          <w:szCs w:val="28"/>
        </w:rPr>
        <w:t>（三）给水系统规划</w:t>
      </w:r>
    </w:p>
    <w:p w14:paraId="7A4F7231">
      <w:pPr>
        <w:spacing w:line="680" w:lineRule="exact"/>
        <w:ind w:firstLine="501" w:firstLineChars="179"/>
        <w:rPr>
          <w:rFonts w:hint="eastAsia" w:ascii="宋体" w:hAnsi="宋体"/>
          <w:sz w:val="28"/>
          <w:szCs w:val="28"/>
        </w:rPr>
      </w:pPr>
      <w:r>
        <w:rPr>
          <w:rFonts w:hint="eastAsia" w:ascii="宋体" w:hAnsi="宋体"/>
          <w:sz w:val="28"/>
          <w:szCs w:val="28"/>
        </w:rPr>
        <w:t>本规划区供水采用生产、生活、消防合网的管网系统，给水主干管布置成环状供水管网，以提高规划区的供水安全性。</w:t>
      </w:r>
    </w:p>
    <w:p w14:paraId="210411E5">
      <w:pPr>
        <w:spacing w:line="680" w:lineRule="exact"/>
        <w:ind w:firstLine="560" w:firstLineChars="200"/>
        <w:rPr>
          <w:rFonts w:hint="eastAsia" w:ascii="宋体" w:hAnsi="宋体"/>
          <w:sz w:val="28"/>
          <w:szCs w:val="28"/>
        </w:rPr>
      </w:pPr>
      <w:r>
        <w:rPr>
          <w:rFonts w:hint="eastAsia" w:ascii="宋体" w:hAnsi="宋体"/>
          <w:sz w:val="28"/>
          <w:szCs w:val="28"/>
        </w:rPr>
        <w:t>本规划区自岷江</w:t>
      </w:r>
      <w:r>
        <w:rPr>
          <w:rFonts w:ascii="宋体" w:hAnsi="宋体"/>
          <w:sz w:val="28"/>
          <w:szCs w:val="28"/>
        </w:rPr>
        <w:t>二桥</w:t>
      </w:r>
      <w:r>
        <w:rPr>
          <w:rFonts w:hint="eastAsia" w:ascii="宋体" w:hAnsi="宋体"/>
          <w:sz w:val="28"/>
          <w:szCs w:val="28"/>
        </w:rPr>
        <w:t>引入一根DN</w:t>
      </w:r>
      <w:r>
        <w:rPr>
          <w:rFonts w:ascii="宋体" w:hAnsi="宋体"/>
          <w:sz w:val="28"/>
          <w:szCs w:val="28"/>
        </w:rPr>
        <w:t>4</w:t>
      </w:r>
      <w:r>
        <w:rPr>
          <w:rFonts w:hint="eastAsia" w:ascii="宋体" w:hAnsi="宋体"/>
          <w:sz w:val="28"/>
          <w:szCs w:val="28"/>
        </w:rPr>
        <w:t>00的城市给水主干管，作为岷江东岸片区的水源。给水主干管沿碧山路敷设，与片区城市次干道、支路上给水支管相连，形成众多小环。给水管管径采用</w:t>
      </w:r>
      <w:r>
        <w:rPr>
          <w:rFonts w:ascii="宋体" w:hAnsi="宋体"/>
          <w:sz w:val="28"/>
          <w:szCs w:val="28"/>
        </w:rPr>
        <w:t>DN</w:t>
      </w:r>
      <w:r>
        <w:rPr>
          <w:rFonts w:hint="eastAsia" w:ascii="宋体" w:hAnsi="宋体"/>
          <w:sz w:val="28"/>
          <w:szCs w:val="28"/>
        </w:rPr>
        <w:t>15</w:t>
      </w:r>
      <w:r>
        <w:rPr>
          <w:rFonts w:ascii="宋体" w:hAnsi="宋体"/>
          <w:sz w:val="28"/>
          <w:szCs w:val="28"/>
        </w:rPr>
        <w:t>0</w:t>
      </w:r>
      <w:r>
        <w:rPr>
          <w:rFonts w:hint="eastAsia" w:ascii="宋体" w:hAnsi="宋体"/>
          <w:sz w:val="28"/>
          <w:szCs w:val="28"/>
        </w:rPr>
        <w:t>～</w:t>
      </w:r>
      <w:r>
        <w:rPr>
          <w:rFonts w:ascii="宋体" w:hAnsi="宋体"/>
          <w:sz w:val="28"/>
          <w:szCs w:val="28"/>
        </w:rPr>
        <w:t>DN400</w:t>
      </w:r>
      <w:r>
        <w:rPr>
          <w:rFonts w:hint="eastAsia" w:ascii="宋体" w:hAnsi="宋体"/>
          <w:sz w:val="28"/>
          <w:szCs w:val="28"/>
        </w:rPr>
        <w:t>毫米。</w:t>
      </w:r>
    </w:p>
    <w:p w14:paraId="36B1EDBA">
      <w:pPr>
        <w:spacing w:line="680" w:lineRule="exact"/>
        <w:ind w:firstLine="562" w:firstLineChars="200"/>
        <w:rPr>
          <w:rFonts w:hint="eastAsia" w:ascii="宋体" w:hAnsi="宋体"/>
          <w:b/>
          <w:sz w:val="28"/>
          <w:szCs w:val="28"/>
        </w:rPr>
      </w:pPr>
      <w:r>
        <w:rPr>
          <w:rFonts w:hint="eastAsia" w:ascii="宋体" w:hAnsi="宋体"/>
          <w:b/>
          <w:sz w:val="28"/>
          <w:szCs w:val="28"/>
        </w:rPr>
        <w:t>（三）管道附属设施</w:t>
      </w:r>
    </w:p>
    <w:p w14:paraId="49FFFCB6">
      <w:pPr>
        <w:spacing w:line="680" w:lineRule="exact"/>
        <w:ind w:firstLine="560" w:firstLineChars="200"/>
        <w:rPr>
          <w:rFonts w:hint="eastAsia" w:ascii="宋体" w:hAnsi="宋体"/>
          <w:sz w:val="28"/>
          <w:szCs w:val="28"/>
        </w:rPr>
      </w:pPr>
      <w:r>
        <w:rPr>
          <w:rFonts w:hint="eastAsia" w:ascii="宋体" w:hAnsi="宋体"/>
          <w:sz w:val="28"/>
          <w:szCs w:val="28"/>
        </w:rPr>
        <w:t>闸门井：为方便检修和用户接管，在管道转弯处和连接处以及支管接入处设置闸门井。干管闸门井间距不超过400米。</w:t>
      </w:r>
    </w:p>
    <w:p w14:paraId="0C9E7E4E">
      <w:pPr>
        <w:spacing w:line="680" w:lineRule="exact"/>
        <w:ind w:firstLine="560" w:firstLineChars="200"/>
        <w:rPr>
          <w:rFonts w:hint="eastAsia" w:ascii="宋体" w:hAnsi="宋体"/>
          <w:sz w:val="28"/>
          <w:szCs w:val="28"/>
        </w:rPr>
      </w:pPr>
      <w:r>
        <w:rPr>
          <w:rFonts w:hint="eastAsia" w:ascii="宋体" w:hAnsi="宋体"/>
          <w:sz w:val="28"/>
          <w:szCs w:val="28"/>
        </w:rPr>
        <w:t>消火栓：在配水主、支管上设置市政室外地上式消火栓，消火栓间距不大于120米。为满足消防需要，城市道路以上的各级道路铺设的给水管径不能小于</w:t>
      </w:r>
      <w:r>
        <w:rPr>
          <w:rFonts w:ascii="宋体" w:hAnsi="宋体"/>
          <w:sz w:val="28"/>
          <w:szCs w:val="28"/>
        </w:rPr>
        <w:t>DN150</w:t>
      </w:r>
      <w:r>
        <w:rPr>
          <w:rFonts w:hint="eastAsia" w:ascii="宋体" w:hAnsi="宋体"/>
          <w:sz w:val="28"/>
          <w:szCs w:val="28"/>
        </w:rPr>
        <w:t>毫米。</w:t>
      </w:r>
    </w:p>
    <w:p w14:paraId="363D73AE">
      <w:pPr>
        <w:pStyle w:val="4"/>
        <w:spacing w:line="680" w:lineRule="exact"/>
        <w:rPr>
          <w:rFonts w:hint="eastAsia" w:ascii="黑体" w:eastAsia="黑体"/>
        </w:rPr>
      </w:pPr>
      <w:bookmarkStart w:id="744" w:name="_Toc216520032"/>
      <w:bookmarkStart w:id="745" w:name="_Toc6394695"/>
      <w:bookmarkStart w:id="746" w:name="_Toc348965237"/>
      <w:r>
        <w:rPr>
          <w:rFonts w:hint="eastAsia" w:ascii="黑体" w:eastAsia="黑体"/>
        </w:rPr>
        <w:t>二、排水工程规划</w:t>
      </w:r>
      <w:bookmarkEnd w:id="744"/>
      <w:bookmarkEnd w:id="745"/>
      <w:bookmarkEnd w:id="746"/>
    </w:p>
    <w:p w14:paraId="6E28EC68">
      <w:pPr>
        <w:spacing w:line="680" w:lineRule="exact"/>
        <w:ind w:firstLine="562" w:firstLineChars="200"/>
        <w:rPr>
          <w:rFonts w:hint="eastAsia" w:ascii="宋体" w:hAnsi="宋体"/>
          <w:b/>
          <w:sz w:val="28"/>
          <w:szCs w:val="28"/>
        </w:rPr>
      </w:pPr>
      <w:r>
        <w:rPr>
          <w:rFonts w:hint="eastAsia" w:ascii="宋体" w:hAnsi="宋体"/>
          <w:b/>
          <w:sz w:val="28"/>
          <w:szCs w:val="28"/>
        </w:rPr>
        <w:t>（一）排水体制</w:t>
      </w:r>
    </w:p>
    <w:p w14:paraId="036C46E5">
      <w:pPr>
        <w:spacing w:line="680" w:lineRule="exact"/>
        <w:ind w:firstLine="560" w:firstLineChars="200"/>
        <w:rPr>
          <w:rFonts w:hint="eastAsia" w:ascii="宋体" w:hAnsi="宋体"/>
          <w:sz w:val="28"/>
          <w:szCs w:val="28"/>
        </w:rPr>
      </w:pPr>
      <w:r>
        <w:rPr>
          <w:rFonts w:hint="eastAsia" w:ascii="宋体" w:hAnsi="宋体"/>
          <w:sz w:val="28"/>
          <w:szCs w:val="28"/>
        </w:rPr>
        <w:t>根据《乐山市城市总体规划》要求，本规划区的排水体制确定为雨、污分流制，雨水就近排入岷江及规划区内的4条小溪流中，污水由污水管收集后输送至下游的污水处理厂进行处理，水质达到排放标准后再排入水体中。</w:t>
      </w:r>
    </w:p>
    <w:p w14:paraId="6C0D1999">
      <w:pPr>
        <w:spacing w:line="680" w:lineRule="exact"/>
        <w:ind w:firstLine="562" w:firstLineChars="200"/>
        <w:rPr>
          <w:rFonts w:hint="eastAsia" w:ascii="宋体" w:hAnsi="宋体"/>
          <w:b/>
          <w:sz w:val="28"/>
          <w:szCs w:val="28"/>
        </w:rPr>
      </w:pPr>
      <w:r>
        <w:rPr>
          <w:rFonts w:hint="eastAsia" w:ascii="宋体" w:hAnsi="宋体"/>
          <w:b/>
          <w:sz w:val="28"/>
          <w:szCs w:val="28"/>
        </w:rPr>
        <w:t>（二）规划原则</w:t>
      </w:r>
    </w:p>
    <w:p w14:paraId="3CA20CBF">
      <w:pPr>
        <w:spacing w:line="680" w:lineRule="exact"/>
        <w:ind w:firstLine="560" w:firstLineChars="200"/>
        <w:rPr>
          <w:rFonts w:hint="eastAsia" w:ascii="宋体" w:hAnsi="宋体"/>
          <w:sz w:val="28"/>
          <w:szCs w:val="28"/>
        </w:rPr>
      </w:pPr>
      <w:r>
        <w:rPr>
          <w:rFonts w:hint="eastAsia" w:ascii="宋体" w:hAnsi="宋体"/>
          <w:sz w:val="28"/>
          <w:szCs w:val="28"/>
        </w:rPr>
        <w:t>1、充分利用地形，雨水就近排入水体。</w:t>
      </w:r>
    </w:p>
    <w:p w14:paraId="56FEDB00">
      <w:pPr>
        <w:spacing w:line="680" w:lineRule="exact"/>
        <w:ind w:firstLine="560" w:firstLineChars="200"/>
        <w:rPr>
          <w:rFonts w:hint="eastAsia" w:ascii="宋体" w:hAnsi="宋体"/>
          <w:sz w:val="28"/>
          <w:szCs w:val="28"/>
        </w:rPr>
      </w:pPr>
      <w:r>
        <w:rPr>
          <w:rFonts w:hint="eastAsia" w:ascii="宋体" w:hAnsi="宋体"/>
          <w:sz w:val="28"/>
          <w:szCs w:val="28"/>
        </w:rPr>
        <w:t>2、结合城市竖向规划与水体流向，综合布置排水系统。</w:t>
      </w:r>
    </w:p>
    <w:p w14:paraId="094F9E21">
      <w:pPr>
        <w:spacing w:line="680" w:lineRule="exact"/>
        <w:ind w:firstLine="560" w:firstLineChars="200"/>
        <w:rPr>
          <w:rFonts w:hint="eastAsia" w:ascii="宋体" w:hAnsi="宋体"/>
          <w:sz w:val="28"/>
          <w:szCs w:val="28"/>
        </w:rPr>
      </w:pPr>
      <w:r>
        <w:rPr>
          <w:rFonts w:hint="eastAsia" w:ascii="宋体" w:hAnsi="宋体"/>
          <w:sz w:val="28"/>
          <w:szCs w:val="28"/>
        </w:rPr>
        <w:t>3、雨污分流，分区治理，统一规划，分期实施。</w:t>
      </w:r>
    </w:p>
    <w:p w14:paraId="28BCE43D">
      <w:pPr>
        <w:spacing w:line="680" w:lineRule="exact"/>
        <w:ind w:firstLine="560" w:firstLineChars="200"/>
        <w:rPr>
          <w:rFonts w:hint="eastAsia" w:ascii="宋体" w:hAnsi="宋体"/>
          <w:sz w:val="28"/>
          <w:szCs w:val="28"/>
        </w:rPr>
      </w:pPr>
      <w:r>
        <w:rPr>
          <w:rFonts w:hint="eastAsia" w:ascii="宋体" w:hAnsi="宋体"/>
          <w:sz w:val="28"/>
          <w:szCs w:val="28"/>
        </w:rPr>
        <w:t>4、遵循可持续发展战略，从区域性、系统性出发，保护水资源，维护和加强生态环境，提高规划区排涝能力和环境质量水平。</w:t>
      </w:r>
    </w:p>
    <w:p w14:paraId="64941483">
      <w:pPr>
        <w:spacing w:line="680" w:lineRule="exact"/>
        <w:ind w:firstLine="562" w:firstLineChars="200"/>
        <w:rPr>
          <w:rFonts w:hint="eastAsia" w:ascii="宋体" w:hAnsi="宋体"/>
          <w:b/>
          <w:sz w:val="28"/>
          <w:szCs w:val="28"/>
        </w:rPr>
      </w:pPr>
      <w:r>
        <w:rPr>
          <w:rFonts w:hint="eastAsia" w:ascii="宋体" w:hAnsi="宋体"/>
          <w:b/>
          <w:sz w:val="28"/>
          <w:szCs w:val="28"/>
        </w:rPr>
        <w:t>（三）污水系统规划</w:t>
      </w:r>
    </w:p>
    <w:p w14:paraId="274B4EDF">
      <w:pPr>
        <w:spacing w:line="680" w:lineRule="exact"/>
        <w:ind w:firstLine="560" w:firstLineChars="200"/>
        <w:rPr>
          <w:rFonts w:hint="eastAsia" w:ascii="宋体" w:hAnsi="宋体"/>
          <w:sz w:val="28"/>
          <w:szCs w:val="28"/>
        </w:rPr>
      </w:pPr>
      <w:r>
        <w:rPr>
          <w:rFonts w:hint="eastAsia" w:ascii="宋体" w:hAnsi="宋体"/>
          <w:sz w:val="28"/>
          <w:szCs w:val="28"/>
        </w:rPr>
        <w:t>1、污水量预测</w:t>
      </w:r>
    </w:p>
    <w:p w14:paraId="0AF84E00">
      <w:pPr>
        <w:spacing w:line="680" w:lineRule="exact"/>
        <w:ind w:firstLine="560" w:firstLineChars="200"/>
        <w:rPr>
          <w:rFonts w:ascii="宋体" w:hAnsi="宋体"/>
          <w:sz w:val="28"/>
          <w:szCs w:val="28"/>
        </w:rPr>
      </w:pPr>
      <w:r>
        <w:rPr>
          <w:rFonts w:hint="eastAsia" w:ascii="宋体" w:hAnsi="宋体"/>
          <w:sz w:val="28"/>
          <w:szCs w:val="28"/>
        </w:rPr>
        <w:t>根据片区内地块用地性质，确定规划区污水排放系数为0.85，日变化系数取1.3，地下水渗入量按10%计。则规划区污水总量为</w:t>
      </w:r>
      <w:r>
        <w:rPr>
          <w:rFonts w:ascii="宋体" w:hAnsi="宋体"/>
          <w:sz w:val="28"/>
          <w:szCs w:val="28"/>
        </w:rPr>
        <w:t>0.65</w:t>
      </w:r>
      <w:r>
        <w:rPr>
          <w:rFonts w:hint="eastAsia" w:ascii="宋体" w:hAnsi="宋体"/>
          <w:sz w:val="28"/>
          <w:szCs w:val="28"/>
        </w:rPr>
        <w:t>万吨</w:t>
      </w:r>
      <w:r>
        <w:rPr>
          <w:rFonts w:ascii="宋体" w:hAnsi="宋体"/>
          <w:sz w:val="28"/>
          <w:szCs w:val="28"/>
        </w:rPr>
        <w:t>/</w:t>
      </w:r>
      <w:r>
        <w:rPr>
          <w:rFonts w:hint="eastAsia" w:ascii="宋体" w:hAnsi="宋体"/>
          <w:sz w:val="28"/>
          <w:szCs w:val="28"/>
        </w:rPr>
        <w:t>日。</w:t>
      </w:r>
    </w:p>
    <w:p w14:paraId="4BD0D894">
      <w:pPr>
        <w:spacing w:line="680" w:lineRule="exact"/>
        <w:ind w:firstLine="560" w:firstLineChars="200"/>
        <w:rPr>
          <w:rFonts w:hint="eastAsia" w:ascii="宋体" w:hAnsi="宋体"/>
          <w:sz w:val="28"/>
          <w:szCs w:val="28"/>
        </w:rPr>
      </w:pPr>
      <w:r>
        <w:rPr>
          <w:rFonts w:hint="eastAsia" w:ascii="宋体" w:hAnsi="宋体"/>
          <w:sz w:val="28"/>
          <w:szCs w:val="28"/>
        </w:rPr>
        <w:t>2、污水管网布置</w:t>
      </w:r>
    </w:p>
    <w:p w14:paraId="76ADF575">
      <w:pPr>
        <w:spacing w:line="680" w:lineRule="exact"/>
        <w:ind w:firstLine="560" w:firstLineChars="200"/>
        <w:rPr>
          <w:rFonts w:ascii="宋体" w:hAnsi="宋体"/>
          <w:sz w:val="28"/>
          <w:szCs w:val="28"/>
        </w:rPr>
      </w:pPr>
      <w:r>
        <w:rPr>
          <w:rFonts w:hint="eastAsia" w:ascii="宋体" w:hAnsi="宋体"/>
          <w:sz w:val="28"/>
          <w:szCs w:val="28"/>
        </w:rPr>
        <w:t>规划区的污水排放均为重力排放。本规划区地势呈东、北高西、南低，坡向于岷江。根据地形地势，结合现有污水管网情况，改造现有排污管网，将污水主干管沿碧山路敷设，收集污水经过大佛景区送至市第一污水处理厂。</w:t>
      </w:r>
    </w:p>
    <w:p w14:paraId="75A80904">
      <w:pPr>
        <w:spacing w:line="680" w:lineRule="exact"/>
        <w:ind w:firstLine="560" w:firstLineChars="200"/>
        <w:rPr>
          <w:rFonts w:ascii="宋体" w:hAnsi="宋体"/>
          <w:sz w:val="28"/>
          <w:szCs w:val="28"/>
        </w:rPr>
      </w:pPr>
      <w:r>
        <w:rPr>
          <w:rFonts w:hint="eastAsia" w:ascii="宋体" w:hAnsi="宋体"/>
          <w:sz w:val="28"/>
          <w:szCs w:val="28"/>
        </w:rPr>
        <w:t>污水管管径</w:t>
      </w:r>
      <w:r>
        <w:rPr>
          <w:rFonts w:ascii="宋体" w:hAnsi="宋体"/>
          <w:sz w:val="28"/>
          <w:szCs w:val="28"/>
        </w:rPr>
        <w:t>D400</w:t>
      </w:r>
      <w:r>
        <w:rPr>
          <w:rFonts w:hint="eastAsia" w:ascii="宋体" w:hAnsi="宋体"/>
          <w:sz w:val="28"/>
          <w:szCs w:val="28"/>
        </w:rPr>
        <w:t>～D</w:t>
      </w:r>
      <w:r>
        <w:rPr>
          <w:rFonts w:ascii="宋体" w:hAnsi="宋体"/>
          <w:sz w:val="28"/>
          <w:szCs w:val="28"/>
        </w:rPr>
        <w:t>12</w:t>
      </w:r>
      <w:r>
        <w:rPr>
          <w:rFonts w:hint="eastAsia" w:ascii="宋体" w:hAnsi="宋体"/>
          <w:sz w:val="28"/>
          <w:szCs w:val="28"/>
        </w:rPr>
        <w:t>00毫米。管道管径DN800及以下的污水管建议采用HDPE双壁波纹管或或聚乙烯钢塑缠绕管。管道管径为DN800以上的排水管建议采用钢砼排水管和预应力钢筋砼排水管，管道采用柔性接口。污水管</w:t>
      </w:r>
      <w:r>
        <w:rPr>
          <w:rFonts w:ascii="宋体" w:hAnsi="宋体"/>
          <w:sz w:val="28"/>
          <w:szCs w:val="28"/>
        </w:rPr>
        <w:t>最小覆土0.7米，管道最大埋深控制在5米左右。</w:t>
      </w:r>
    </w:p>
    <w:p w14:paraId="11DDC7DE">
      <w:pPr>
        <w:spacing w:line="680" w:lineRule="exact"/>
        <w:ind w:firstLine="602" w:firstLineChars="200"/>
        <w:rPr>
          <w:rFonts w:hint="eastAsia" w:ascii="宋体" w:hAnsi="宋体"/>
          <w:b/>
          <w:sz w:val="30"/>
        </w:rPr>
      </w:pPr>
      <w:r>
        <w:rPr>
          <w:rFonts w:hint="eastAsia" w:ascii="宋体" w:hAnsi="宋体"/>
          <w:b/>
          <w:sz w:val="30"/>
        </w:rPr>
        <w:t>（四）雨水系统规划</w:t>
      </w:r>
    </w:p>
    <w:p w14:paraId="740FFEFA">
      <w:pPr>
        <w:spacing w:line="680" w:lineRule="exact"/>
        <w:ind w:firstLine="560" w:firstLineChars="200"/>
        <w:rPr>
          <w:rFonts w:ascii="宋体" w:hAnsi="宋体"/>
          <w:sz w:val="28"/>
          <w:szCs w:val="28"/>
        </w:rPr>
      </w:pPr>
      <w:r>
        <w:rPr>
          <w:rFonts w:hint="eastAsia" w:ascii="宋体" w:hAnsi="宋体"/>
          <w:sz w:val="28"/>
          <w:szCs w:val="28"/>
        </w:rPr>
        <w:t>1、暴雨强度公式</w:t>
      </w:r>
    </w:p>
    <w:p w14:paraId="743689F5">
      <w:pPr>
        <w:spacing w:line="680" w:lineRule="exact"/>
        <w:ind w:firstLine="560" w:firstLineChars="200"/>
        <w:rPr>
          <w:rFonts w:hint="eastAsia" w:ascii="宋体" w:hAnsi="宋体"/>
          <w:sz w:val="28"/>
          <w:szCs w:val="28"/>
        </w:rPr>
      </w:pPr>
      <w:r>
        <w:rPr>
          <w:rFonts w:hint="eastAsia" w:ascii="宋体" w:hAnsi="宋体"/>
          <w:sz w:val="28"/>
          <w:szCs w:val="28"/>
        </w:rPr>
        <w:t>雨水量计算的暴雨强度公式采用2017乐山市暴雨强度公式：</w:t>
      </w:r>
    </w:p>
    <w:p w14:paraId="621831F5">
      <w:pPr>
        <w:spacing w:line="680" w:lineRule="exact"/>
        <w:ind w:firstLine="560" w:firstLineChars="200"/>
        <w:rPr>
          <w:rFonts w:hint="eastAsia" w:ascii="宋体" w:hAnsi="宋体"/>
          <w:sz w:val="28"/>
          <w:szCs w:val="28"/>
        </w:rPr>
      </w:pPr>
      <w:r>
        <w:rPr>
          <w:rFonts w:hint="eastAsia" w:ascii="宋体" w:hAnsi="宋体"/>
          <w:sz w:val="28"/>
          <w:szCs w:val="28"/>
        </w:rPr>
        <w:t>确定用耿贝尔分布函数拟合乐山市暴雨强度的经验频率，而暴雨公式则采用由耿贝尔分布函数所导出的暴雨公式。考虑到随着重现期的增大，绝对均方差与相对均方差也会逐渐增大，在满足规范的前提下选择精度最高的一组参数，即重现期2～20 年时的暴雨强度公式参数。</w:t>
      </w:r>
    </w:p>
    <w:p w14:paraId="01511CA5">
      <w:pPr>
        <w:spacing w:line="680" w:lineRule="exact"/>
        <w:ind w:firstLine="560" w:firstLineChars="200"/>
        <w:rPr>
          <w:rFonts w:hint="eastAsia" w:ascii="宋体" w:hAnsi="宋体"/>
          <w:sz w:val="28"/>
          <w:szCs w:val="28"/>
        </w:rPr>
      </w:pPr>
      <w:r>
        <w:rPr>
          <w:rFonts w:hint="eastAsia" w:ascii="宋体" w:hAnsi="宋体"/>
          <w:sz w:val="28"/>
          <w:szCs w:val="28"/>
        </w:rPr>
        <w:t>由此可得乐山市暴雨强度总公式为：</w:t>
      </w:r>
    </w:p>
    <w:p w14:paraId="2C0ED2A2">
      <w:pPr>
        <w:spacing w:line="640" w:lineRule="exact"/>
        <w:ind w:firstLine="420" w:firstLineChars="200"/>
        <w:rPr>
          <w:rFonts w:hint="eastAsia" w:ascii="宋体" w:hAnsi="宋体"/>
          <w:sz w:val="30"/>
        </w:rPr>
      </w:pPr>
      <w:r>
        <w:drawing>
          <wp:anchor distT="0" distB="0" distL="114300" distR="114300" simplePos="0" relativeHeight="251661312" behindDoc="1" locked="0" layoutInCell="1" allowOverlap="1">
            <wp:simplePos x="0" y="0"/>
            <wp:positionH relativeFrom="column">
              <wp:posOffset>19050</wp:posOffset>
            </wp:positionH>
            <wp:positionV relativeFrom="paragraph">
              <wp:posOffset>161925</wp:posOffset>
            </wp:positionV>
            <wp:extent cx="4162425" cy="1240790"/>
            <wp:effectExtent l="0" t="0" r="9525" b="16510"/>
            <wp:wrapTight wrapText="bothSides">
              <wp:wrapPolygon>
                <wp:start x="-45" y="0"/>
                <wp:lineTo x="-45" y="21449"/>
                <wp:lineTo x="21600" y="21449"/>
                <wp:lineTo x="21600" y="0"/>
                <wp:lineTo x="-45" y="0"/>
              </wp:wrapPolygon>
            </wp:wrapTight>
            <wp:docPr id="9" name="图片 74" descr="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4" descr="2222"/>
                    <pic:cNvPicPr>
                      <a:picLocks noChangeAspect="1"/>
                    </pic:cNvPicPr>
                  </pic:nvPicPr>
                  <pic:blipFill>
                    <a:blip r:embed="rId6"/>
                    <a:stretch>
                      <a:fillRect/>
                    </a:stretch>
                  </pic:blipFill>
                  <pic:spPr>
                    <a:xfrm>
                      <a:off x="0" y="0"/>
                      <a:ext cx="4162425" cy="1240790"/>
                    </a:xfrm>
                    <a:prstGeom prst="rect">
                      <a:avLst/>
                    </a:prstGeom>
                    <a:noFill/>
                    <a:ln>
                      <a:noFill/>
                    </a:ln>
                  </pic:spPr>
                </pic:pic>
              </a:graphicData>
            </a:graphic>
          </wp:anchor>
        </w:drawing>
      </w:r>
    </w:p>
    <w:p w14:paraId="1E898456">
      <w:pPr>
        <w:spacing w:line="640" w:lineRule="exact"/>
        <w:ind w:firstLine="600" w:firstLineChars="200"/>
        <w:rPr>
          <w:rFonts w:ascii="宋体" w:hAnsi="宋体"/>
          <w:sz w:val="30"/>
        </w:rPr>
      </w:pPr>
    </w:p>
    <w:p w14:paraId="6E1475F1">
      <w:pPr>
        <w:spacing w:line="640" w:lineRule="exact"/>
        <w:ind w:firstLine="600" w:firstLineChars="200"/>
        <w:rPr>
          <w:rFonts w:ascii="宋体" w:hAnsi="宋体"/>
          <w:sz w:val="30"/>
        </w:rPr>
      </w:pPr>
    </w:p>
    <w:p w14:paraId="504B7BF2">
      <w:pPr>
        <w:spacing w:line="640" w:lineRule="exact"/>
        <w:ind w:firstLine="600" w:firstLineChars="200"/>
        <w:rPr>
          <w:rFonts w:ascii="宋体" w:hAnsi="宋体"/>
          <w:sz w:val="30"/>
        </w:rPr>
      </w:pPr>
    </w:p>
    <w:p w14:paraId="707BF5B7">
      <w:pPr>
        <w:spacing w:line="640" w:lineRule="exact"/>
        <w:ind w:firstLine="560" w:firstLineChars="200"/>
        <w:rPr>
          <w:rFonts w:hint="eastAsia" w:ascii="宋体" w:hAnsi="宋体"/>
          <w:sz w:val="28"/>
          <w:szCs w:val="28"/>
        </w:rPr>
      </w:pPr>
      <w:r>
        <w:rPr>
          <w:rFonts w:hint="eastAsia" w:ascii="宋体" w:hAnsi="宋体"/>
          <w:sz w:val="28"/>
          <w:szCs w:val="28"/>
        </w:rPr>
        <w:t>式中：i——暴雨强度计算值（mm/min）；</w:t>
      </w:r>
    </w:p>
    <w:p w14:paraId="235CD377">
      <w:pPr>
        <w:spacing w:line="640" w:lineRule="exact"/>
        <w:ind w:firstLine="560" w:firstLineChars="200"/>
        <w:rPr>
          <w:rFonts w:hint="eastAsia" w:ascii="宋体" w:hAnsi="宋体"/>
          <w:sz w:val="28"/>
          <w:szCs w:val="28"/>
        </w:rPr>
      </w:pPr>
      <w:r>
        <w:rPr>
          <w:rFonts w:hint="eastAsia" w:ascii="宋体" w:hAnsi="宋体"/>
          <w:sz w:val="28"/>
          <w:szCs w:val="28"/>
        </w:rPr>
        <w:t>q——暴雨强度计算值（L/(s·hm2)）；</w:t>
      </w:r>
    </w:p>
    <w:p w14:paraId="34061E23">
      <w:pPr>
        <w:spacing w:line="640" w:lineRule="exact"/>
        <w:ind w:firstLine="560" w:firstLineChars="200"/>
        <w:rPr>
          <w:rFonts w:hint="eastAsia" w:ascii="宋体" w:hAnsi="宋体"/>
          <w:sz w:val="28"/>
          <w:szCs w:val="28"/>
        </w:rPr>
      </w:pPr>
      <w:r>
        <w:rPr>
          <w:rFonts w:hint="eastAsia" w:ascii="宋体" w:hAnsi="宋体"/>
          <w:sz w:val="28"/>
          <w:szCs w:val="28"/>
        </w:rPr>
        <w:t>t——降雨历时（min）；</w:t>
      </w:r>
    </w:p>
    <w:p w14:paraId="6BE73693">
      <w:pPr>
        <w:spacing w:line="640" w:lineRule="exact"/>
        <w:ind w:firstLine="560" w:firstLineChars="200"/>
        <w:rPr>
          <w:rFonts w:hint="eastAsia" w:ascii="宋体" w:hAnsi="宋体"/>
          <w:sz w:val="28"/>
          <w:szCs w:val="28"/>
        </w:rPr>
      </w:pPr>
      <w:r>
        <w:rPr>
          <w:rFonts w:hint="eastAsia" w:ascii="宋体" w:hAnsi="宋体"/>
          <w:sz w:val="28"/>
          <w:szCs w:val="28"/>
        </w:rPr>
        <w:t>P——重现期（a）。</w:t>
      </w:r>
    </w:p>
    <w:p w14:paraId="2B927EB0">
      <w:pPr>
        <w:spacing w:line="720" w:lineRule="exact"/>
        <w:ind w:firstLine="560" w:firstLineChars="200"/>
        <w:rPr>
          <w:rFonts w:hint="eastAsia" w:ascii="宋体" w:hAnsi="宋体"/>
          <w:sz w:val="28"/>
          <w:szCs w:val="28"/>
        </w:rPr>
      </w:pPr>
      <w:r>
        <w:rPr>
          <w:rFonts w:hint="eastAsia" w:ascii="宋体" w:hAnsi="宋体"/>
          <w:sz w:val="28"/>
          <w:szCs w:val="28"/>
        </w:rPr>
        <w:t>2、雨水管网布置</w:t>
      </w:r>
    </w:p>
    <w:p w14:paraId="6B305C29">
      <w:pPr>
        <w:spacing w:line="640" w:lineRule="exact"/>
        <w:ind w:firstLine="560" w:firstLineChars="200"/>
        <w:rPr>
          <w:rFonts w:hint="eastAsia" w:ascii="宋体" w:hAnsi="宋体"/>
          <w:sz w:val="28"/>
          <w:szCs w:val="28"/>
        </w:rPr>
      </w:pPr>
      <w:r>
        <w:rPr>
          <w:rFonts w:hint="eastAsia" w:ascii="宋体" w:hAnsi="宋体"/>
          <w:sz w:val="28"/>
          <w:szCs w:val="28"/>
        </w:rPr>
        <w:t>规划区地势有一定起伏，地势总体坡向于岷江，有岷江、泥溪河和</w:t>
      </w:r>
      <w:r>
        <w:rPr>
          <w:rFonts w:ascii="宋体" w:hAnsi="宋体"/>
          <w:sz w:val="28"/>
          <w:szCs w:val="28"/>
        </w:rPr>
        <w:t>3</w:t>
      </w:r>
      <w:r>
        <w:rPr>
          <w:rFonts w:hint="eastAsia" w:ascii="宋体" w:hAnsi="宋体"/>
          <w:sz w:val="28"/>
          <w:szCs w:val="28"/>
        </w:rPr>
        <w:t>条无名溪流作为排放水体。规划将本区域划分为两个排水区：Ⅰ区：泥溪河以北的全部区域以及泥溪河以南，碧山湖生态林区以北的区域；Ⅱ区：碧山湖生态林区以南，乐山大佛风景区以北的区域。</w:t>
      </w:r>
    </w:p>
    <w:p w14:paraId="29A2B400">
      <w:pPr>
        <w:spacing w:line="640" w:lineRule="exact"/>
        <w:ind w:firstLine="560" w:firstLineChars="200"/>
        <w:rPr>
          <w:rFonts w:hint="eastAsia" w:ascii="宋体" w:hAnsi="宋体"/>
          <w:sz w:val="28"/>
          <w:szCs w:val="28"/>
        </w:rPr>
      </w:pPr>
      <w:r>
        <w:rPr>
          <w:rFonts w:hint="eastAsia" w:ascii="宋体" w:hAnsi="宋体"/>
          <w:sz w:val="28"/>
          <w:szCs w:val="28"/>
        </w:rPr>
        <w:t>为防止岷江洪水时倒灌破坏雨水排放系统，应在河渠汇入岷江的入口处及雨水管渠在岷江的排放口的位置设置止回阀和雨水提升泵站。结合规划道路和自然地形高程设置雨水排放管道系统。雨水管道布置在非机动车道下，采用钢筋砼圆管，管径DN</w:t>
      </w:r>
      <w:r>
        <w:rPr>
          <w:rFonts w:ascii="宋体" w:hAnsi="宋体"/>
          <w:sz w:val="28"/>
          <w:szCs w:val="28"/>
        </w:rPr>
        <w:t>6</w:t>
      </w:r>
      <w:r>
        <w:rPr>
          <w:rFonts w:hint="eastAsia" w:ascii="宋体" w:hAnsi="宋体"/>
          <w:sz w:val="28"/>
          <w:szCs w:val="28"/>
        </w:rPr>
        <w:t>00-DN1000毫米，敷土深度在</w:t>
      </w:r>
      <w:r>
        <w:rPr>
          <w:rFonts w:ascii="宋体" w:hAnsi="宋体"/>
          <w:sz w:val="28"/>
          <w:szCs w:val="28"/>
        </w:rPr>
        <w:t>0.7-1.5</w:t>
      </w:r>
      <w:r>
        <w:rPr>
          <w:rFonts w:hint="eastAsia" w:ascii="宋体" w:hAnsi="宋体"/>
          <w:sz w:val="28"/>
          <w:szCs w:val="28"/>
        </w:rPr>
        <w:t>米。在转弯处、变坡处和直线段不大于30米设检查井。</w:t>
      </w:r>
    </w:p>
    <w:p w14:paraId="7690B3AF">
      <w:pPr>
        <w:pStyle w:val="4"/>
        <w:spacing w:line="640" w:lineRule="exact"/>
        <w:rPr>
          <w:rFonts w:hint="eastAsia" w:ascii="黑体" w:eastAsia="黑体"/>
        </w:rPr>
      </w:pPr>
      <w:bookmarkStart w:id="747" w:name="_Toc6394696"/>
      <w:bookmarkStart w:id="748" w:name="_Toc216520033"/>
      <w:bookmarkStart w:id="749" w:name="_Toc348965238"/>
      <w:r>
        <w:rPr>
          <w:rFonts w:hint="eastAsia" w:ascii="黑体" w:eastAsia="黑体"/>
        </w:rPr>
        <w:t>三、燃气工程规划</w:t>
      </w:r>
      <w:bookmarkEnd w:id="747"/>
      <w:bookmarkEnd w:id="748"/>
      <w:bookmarkEnd w:id="749"/>
    </w:p>
    <w:p w14:paraId="6F658B93">
      <w:pPr>
        <w:spacing w:line="640" w:lineRule="exact"/>
        <w:ind w:firstLine="562" w:firstLineChars="200"/>
        <w:rPr>
          <w:rFonts w:hint="eastAsia" w:ascii="宋体" w:hAnsi="宋体"/>
          <w:b/>
          <w:sz w:val="28"/>
          <w:szCs w:val="28"/>
        </w:rPr>
      </w:pPr>
      <w:r>
        <w:rPr>
          <w:rFonts w:hint="eastAsia" w:ascii="宋体" w:hAnsi="宋体"/>
          <w:b/>
          <w:sz w:val="28"/>
          <w:szCs w:val="28"/>
        </w:rPr>
        <w:t>（一）用气量预测</w:t>
      </w:r>
    </w:p>
    <w:p w14:paraId="619E84D7">
      <w:pPr>
        <w:spacing w:line="640" w:lineRule="exact"/>
        <w:ind w:firstLine="560" w:firstLineChars="200"/>
        <w:rPr>
          <w:rFonts w:ascii="宋体" w:hAnsi="宋体"/>
          <w:sz w:val="28"/>
          <w:szCs w:val="28"/>
        </w:rPr>
      </w:pPr>
      <w:r>
        <w:rPr>
          <w:rFonts w:hint="eastAsia" w:ascii="宋体" w:hAnsi="宋体"/>
          <w:sz w:val="28"/>
          <w:szCs w:val="28"/>
        </w:rPr>
        <w:t>根据乐山现状用气量情况，结合片区自身特点，居民生活用气指标取0.4立方米/人∙日，公建用气占居民用气40%， CNG汽车用气占居民用气30%，不可预测气量按总用气量的5%计。规划区总用气量</w:t>
      </w:r>
      <w:r>
        <w:rPr>
          <w:rFonts w:ascii="宋体" w:hAnsi="宋体"/>
          <w:sz w:val="28"/>
          <w:szCs w:val="28"/>
        </w:rPr>
        <w:t>1.43</w:t>
      </w:r>
      <w:r>
        <w:rPr>
          <w:rFonts w:hint="eastAsia" w:ascii="宋体" w:hAnsi="宋体"/>
          <w:sz w:val="28"/>
          <w:szCs w:val="28"/>
        </w:rPr>
        <w:t>万立方米/日。</w:t>
      </w:r>
    </w:p>
    <w:p w14:paraId="57283DD6">
      <w:pPr>
        <w:spacing w:line="640" w:lineRule="exact"/>
        <w:ind w:firstLine="562" w:firstLineChars="200"/>
        <w:rPr>
          <w:rFonts w:hint="eastAsia" w:ascii="宋体" w:hAnsi="宋体"/>
          <w:b/>
          <w:sz w:val="28"/>
          <w:szCs w:val="28"/>
        </w:rPr>
      </w:pPr>
      <w:r>
        <w:rPr>
          <w:rFonts w:hint="eastAsia" w:ascii="宋体" w:hAnsi="宋体"/>
          <w:b/>
          <w:sz w:val="28"/>
          <w:szCs w:val="28"/>
        </w:rPr>
        <w:t>（二）燃气设施规划</w:t>
      </w:r>
    </w:p>
    <w:p w14:paraId="45BBD3F9">
      <w:pPr>
        <w:spacing w:line="680" w:lineRule="exact"/>
        <w:ind w:firstLine="560" w:firstLineChars="200"/>
        <w:rPr>
          <w:rFonts w:hint="eastAsia" w:ascii="宋体" w:hAnsi="宋体"/>
          <w:sz w:val="30"/>
        </w:rPr>
      </w:pPr>
      <w:r>
        <w:rPr>
          <w:rFonts w:hint="eastAsia" w:ascii="宋体" w:hAnsi="宋体"/>
          <w:sz w:val="28"/>
          <w:szCs w:val="28"/>
        </w:rPr>
        <w:t>保留并</w:t>
      </w:r>
      <w:r>
        <w:rPr>
          <w:rFonts w:ascii="宋体" w:hAnsi="宋体"/>
          <w:sz w:val="28"/>
          <w:szCs w:val="28"/>
        </w:rPr>
        <w:t>扩建</w:t>
      </w:r>
      <w:r>
        <w:rPr>
          <w:rFonts w:hint="eastAsia" w:ascii="宋体" w:hAnsi="宋体"/>
          <w:sz w:val="28"/>
          <w:szCs w:val="28"/>
        </w:rPr>
        <w:t>碧山</w:t>
      </w:r>
      <w:r>
        <w:rPr>
          <w:rFonts w:ascii="宋体" w:hAnsi="宋体"/>
          <w:sz w:val="28"/>
          <w:szCs w:val="28"/>
        </w:rPr>
        <w:t>路</w:t>
      </w:r>
      <w:r>
        <w:rPr>
          <w:rFonts w:hint="eastAsia" w:ascii="宋体" w:hAnsi="宋体"/>
          <w:sz w:val="28"/>
          <w:szCs w:val="28"/>
        </w:rPr>
        <w:t>现有</w:t>
      </w:r>
      <w:r>
        <w:rPr>
          <w:rFonts w:ascii="宋体" w:hAnsi="宋体"/>
          <w:sz w:val="28"/>
          <w:szCs w:val="28"/>
        </w:rPr>
        <w:t>天然气门站</w:t>
      </w:r>
      <w:r>
        <w:rPr>
          <w:rFonts w:hint="eastAsia" w:ascii="宋体" w:hAnsi="宋体"/>
          <w:sz w:val="28"/>
          <w:szCs w:val="28"/>
        </w:rPr>
        <w:t>。</w:t>
      </w:r>
      <w:r>
        <w:rPr>
          <w:rFonts w:hint="eastAsia" w:ascii="宋体" w:hAnsi="宋体"/>
          <w:sz w:val="30"/>
        </w:rPr>
        <w:t>。</w:t>
      </w:r>
    </w:p>
    <w:p w14:paraId="6EE4B37D">
      <w:pPr>
        <w:spacing w:line="640" w:lineRule="exact"/>
        <w:ind w:firstLine="562" w:firstLineChars="200"/>
        <w:rPr>
          <w:rFonts w:hint="eastAsia" w:ascii="宋体" w:hAnsi="宋体"/>
          <w:b/>
          <w:sz w:val="28"/>
          <w:szCs w:val="28"/>
        </w:rPr>
      </w:pPr>
      <w:r>
        <w:rPr>
          <w:rFonts w:hint="eastAsia" w:ascii="宋体" w:hAnsi="宋体"/>
          <w:b/>
          <w:sz w:val="28"/>
          <w:szCs w:val="28"/>
        </w:rPr>
        <w:t>（三）燃气管网规划</w:t>
      </w:r>
    </w:p>
    <w:p w14:paraId="427D1C92">
      <w:pPr>
        <w:spacing w:line="640" w:lineRule="exact"/>
        <w:ind w:firstLine="560" w:firstLineChars="200"/>
        <w:rPr>
          <w:rFonts w:ascii="宋体" w:hAnsi="宋体"/>
          <w:sz w:val="28"/>
          <w:szCs w:val="28"/>
        </w:rPr>
      </w:pPr>
      <w:r>
        <w:rPr>
          <w:rFonts w:hint="eastAsia" w:ascii="宋体" w:hAnsi="宋体"/>
          <w:sz w:val="28"/>
          <w:szCs w:val="28"/>
        </w:rPr>
        <w:t>规划</w:t>
      </w:r>
      <w:r>
        <w:rPr>
          <w:rFonts w:ascii="宋体" w:hAnsi="宋体"/>
          <w:sz w:val="28"/>
          <w:szCs w:val="28"/>
        </w:rPr>
        <w:t>区天然气输配系统采用中压一级系统，中压管道压力0.4MPa。</w:t>
      </w:r>
      <w:r>
        <w:rPr>
          <w:rFonts w:hint="eastAsia" w:ascii="宋体" w:hAnsi="宋体"/>
          <w:sz w:val="28"/>
          <w:szCs w:val="28"/>
        </w:rPr>
        <w:t>高压</w:t>
      </w:r>
      <w:r>
        <w:rPr>
          <w:rFonts w:ascii="宋体" w:hAnsi="宋体"/>
          <w:sz w:val="28"/>
          <w:szCs w:val="28"/>
        </w:rPr>
        <w:t>天然气经</w:t>
      </w:r>
      <w:r>
        <w:rPr>
          <w:rFonts w:hint="eastAsia" w:ascii="宋体" w:hAnsi="宋体"/>
          <w:sz w:val="28"/>
          <w:szCs w:val="28"/>
        </w:rPr>
        <w:t>门站降压后</w:t>
      </w:r>
      <w:r>
        <w:rPr>
          <w:rFonts w:ascii="宋体" w:hAnsi="宋体"/>
          <w:sz w:val="28"/>
          <w:szCs w:val="28"/>
        </w:rPr>
        <w:t>进入</w:t>
      </w:r>
      <w:r>
        <w:rPr>
          <w:rFonts w:hint="eastAsia" w:ascii="宋体" w:hAnsi="宋体"/>
          <w:sz w:val="28"/>
          <w:szCs w:val="28"/>
        </w:rPr>
        <w:t>规划</w:t>
      </w:r>
      <w:r>
        <w:rPr>
          <w:rFonts w:ascii="宋体" w:hAnsi="宋体"/>
          <w:sz w:val="28"/>
          <w:szCs w:val="28"/>
        </w:rPr>
        <w:t>区中压供气管网</w:t>
      </w:r>
      <w:r>
        <w:rPr>
          <w:rFonts w:hint="eastAsia" w:ascii="宋体" w:hAnsi="宋体"/>
          <w:sz w:val="28"/>
          <w:szCs w:val="28"/>
        </w:rPr>
        <w:t>。为确保供气可靠性，一般管网成环路布置。大型公建用户采用中低压调压计量柜分户专供，</w:t>
      </w:r>
      <w:r>
        <w:rPr>
          <w:rFonts w:ascii="宋体" w:hAnsi="宋体"/>
          <w:sz w:val="28"/>
          <w:szCs w:val="28"/>
        </w:rPr>
        <w:t>居民生活用气</w:t>
      </w:r>
      <w:r>
        <w:rPr>
          <w:rFonts w:hint="eastAsia" w:ascii="宋体" w:hAnsi="宋体"/>
          <w:sz w:val="28"/>
          <w:szCs w:val="28"/>
        </w:rPr>
        <w:t>、小型公建用户</w:t>
      </w:r>
      <w:r>
        <w:rPr>
          <w:rFonts w:ascii="宋体" w:hAnsi="宋体"/>
          <w:sz w:val="28"/>
          <w:szCs w:val="28"/>
        </w:rPr>
        <w:t>由小区调压箱或楼栋调压</w:t>
      </w:r>
      <w:r>
        <w:rPr>
          <w:rFonts w:hint="eastAsia" w:ascii="宋体" w:hAnsi="宋体"/>
          <w:sz w:val="28"/>
          <w:szCs w:val="28"/>
        </w:rPr>
        <w:t>箱</w:t>
      </w:r>
      <w:r>
        <w:rPr>
          <w:rFonts w:ascii="宋体" w:hAnsi="宋体"/>
          <w:sz w:val="28"/>
          <w:szCs w:val="28"/>
        </w:rPr>
        <w:t>调压后使用。</w:t>
      </w:r>
      <w:r>
        <w:rPr>
          <w:rFonts w:hint="eastAsia" w:ascii="宋体" w:hAnsi="宋体"/>
          <w:sz w:val="28"/>
          <w:szCs w:val="28"/>
        </w:rPr>
        <w:t>供气干管沿碧山路、佛光路等干道布置，敷设于人行道下，管径DN1</w:t>
      </w:r>
      <w:r>
        <w:rPr>
          <w:rFonts w:ascii="宋体" w:hAnsi="宋体"/>
          <w:sz w:val="28"/>
          <w:szCs w:val="28"/>
        </w:rPr>
        <w:t>1</w:t>
      </w:r>
      <w:r>
        <w:rPr>
          <w:rFonts w:hint="eastAsia" w:ascii="宋体" w:hAnsi="宋体"/>
          <w:sz w:val="28"/>
          <w:szCs w:val="28"/>
        </w:rPr>
        <w:t>0-DN2</w:t>
      </w:r>
      <w:r>
        <w:rPr>
          <w:rFonts w:ascii="宋体" w:hAnsi="宋体"/>
          <w:sz w:val="28"/>
          <w:szCs w:val="28"/>
        </w:rPr>
        <w:t>0</w:t>
      </w:r>
      <w:r>
        <w:rPr>
          <w:rFonts w:hint="eastAsia" w:ascii="宋体" w:hAnsi="宋体"/>
          <w:sz w:val="28"/>
          <w:szCs w:val="28"/>
        </w:rPr>
        <w:t>0mm。中压管网埋地敷设最小覆土，车行道0</w:t>
      </w:r>
      <w:r>
        <w:rPr>
          <w:rFonts w:ascii="宋体" w:hAnsi="宋体"/>
          <w:sz w:val="28"/>
          <w:szCs w:val="28"/>
        </w:rPr>
        <w:t>.9</w:t>
      </w:r>
      <w:r>
        <w:rPr>
          <w:rFonts w:hint="eastAsia" w:ascii="宋体" w:hAnsi="宋体"/>
          <w:sz w:val="28"/>
          <w:szCs w:val="28"/>
        </w:rPr>
        <w:t>米，非车行道</w:t>
      </w:r>
      <w:r>
        <w:rPr>
          <w:rFonts w:ascii="宋体" w:hAnsi="宋体"/>
          <w:sz w:val="28"/>
          <w:szCs w:val="28"/>
        </w:rPr>
        <w:t>0.6</w:t>
      </w:r>
      <w:r>
        <w:rPr>
          <w:rFonts w:hint="eastAsia" w:ascii="宋体" w:hAnsi="宋体"/>
          <w:sz w:val="28"/>
          <w:szCs w:val="28"/>
        </w:rPr>
        <w:t>米。天然气管采用无缝钢管或PE管。</w:t>
      </w:r>
    </w:p>
    <w:p w14:paraId="064553BD">
      <w:pPr>
        <w:pStyle w:val="4"/>
        <w:spacing w:line="640" w:lineRule="exact"/>
        <w:rPr>
          <w:rFonts w:hint="eastAsia" w:ascii="黑体" w:eastAsia="黑体"/>
        </w:rPr>
      </w:pPr>
      <w:bookmarkStart w:id="750" w:name="_Toc348965239"/>
      <w:bookmarkStart w:id="751" w:name="_Toc6394697"/>
      <w:bookmarkStart w:id="752" w:name="_Toc216520034"/>
      <w:r>
        <w:rPr>
          <w:rFonts w:hint="eastAsia" w:ascii="黑体" w:eastAsia="黑体"/>
        </w:rPr>
        <w:t>四、电信、邮政及广播电视工程规划</w:t>
      </w:r>
      <w:bookmarkEnd w:id="750"/>
      <w:bookmarkEnd w:id="751"/>
      <w:bookmarkEnd w:id="752"/>
    </w:p>
    <w:p w14:paraId="243F351B">
      <w:pPr>
        <w:spacing w:line="640" w:lineRule="exact"/>
        <w:ind w:firstLine="562" w:firstLineChars="200"/>
        <w:rPr>
          <w:rFonts w:hint="eastAsia" w:ascii="宋体" w:hAnsi="宋体"/>
          <w:b/>
          <w:sz w:val="28"/>
          <w:szCs w:val="28"/>
        </w:rPr>
      </w:pPr>
      <w:r>
        <w:rPr>
          <w:rFonts w:hint="eastAsia" w:ascii="宋体" w:hAnsi="宋体"/>
          <w:b/>
          <w:sz w:val="28"/>
          <w:szCs w:val="28"/>
        </w:rPr>
        <w:t>（一）邮政设施规划</w:t>
      </w:r>
    </w:p>
    <w:p w14:paraId="5B034281">
      <w:pPr>
        <w:spacing w:line="640" w:lineRule="exact"/>
        <w:ind w:firstLine="560" w:firstLineChars="200"/>
        <w:rPr>
          <w:rFonts w:ascii="宋体" w:hAnsi="宋体"/>
          <w:sz w:val="28"/>
          <w:szCs w:val="28"/>
        </w:rPr>
      </w:pPr>
      <w:r>
        <w:rPr>
          <w:rFonts w:hint="eastAsia" w:ascii="宋体" w:hAnsi="宋体"/>
          <w:sz w:val="28"/>
          <w:szCs w:val="28"/>
        </w:rPr>
        <w:t>各居住小区根据实际需求设邮政服务代办点，以满足岷江东岸片区居民邮政服务需求。</w:t>
      </w:r>
    </w:p>
    <w:p w14:paraId="357C19AD">
      <w:pPr>
        <w:spacing w:line="640" w:lineRule="exact"/>
        <w:ind w:firstLine="562" w:firstLineChars="200"/>
        <w:rPr>
          <w:rFonts w:hint="eastAsia" w:ascii="宋体" w:hAnsi="宋体"/>
          <w:b/>
          <w:sz w:val="28"/>
          <w:szCs w:val="28"/>
        </w:rPr>
      </w:pPr>
      <w:r>
        <w:rPr>
          <w:rFonts w:hint="eastAsia" w:ascii="宋体" w:hAnsi="宋体"/>
          <w:b/>
          <w:sz w:val="28"/>
          <w:szCs w:val="28"/>
        </w:rPr>
        <w:t>（二）电信工程规划</w:t>
      </w:r>
    </w:p>
    <w:p w14:paraId="76DA3392">
      <w:pPr>
        <w:spacing w:line="640" w:lineRule="exact"/>
        <w:ind w:firstLine="560" w:firstLineChars="200"/>
        <w:rPr>
          <w:rFonts w:hint="eastAsia" w:ascii="宋体" w:hAnsi="宋体"/>
          <w:sz w:val="28"/>
          <w:szCs w:val="28"/>
        </w:rPr>
      </w:pPr>
      <w:r>
        <w:rPr>
          <w:rFonts w:hint="eastAsia" w:ascii="宋体" w:hAnsi="宋体"/>
          <w:sz w:val="28"/>
          <w:szCs w:val="28"/>
        </w:rPr>
        <w:t>1、市话需求量预测</w:t>
      </w:r>
    </w:p>
    <w:p w14:paraId="7635CA20">
      <w:pPr>
        <w:spacing w:line="640" w:lineRule="exact"/>
        <w:ind w:firstLine="560" w:firstLineChars="200"/>
        <w:rPr>
          <w:rFonts w:ascii="宋体" w:hAnsi="宋体"/>
          <w:sz w:val="28"/>
          <w:szCs w:val="28"/>
        </w:rPr>
      </w:pPr>
      <w:r>
        <w:rPr>
          <w:rFonts w:hint="eastAsia" w:ascii="宋体" w:hAnsi="宋体"/>
          <w:sz w:val="28"/>
          <w:szCs w:val="28"/>
        </w:rPr>
        <w:t>规划区内电话普及率按50部/百人，则规划区固定电话用户量</w:t>
      </w:r>
      <w:r>
        <w:rPr>
          <w:rFonts w:ascii="宋体" w:hAnsi="宋体"/>
          <w:sz w:val="28"/>
          <w:szCs w:val="28"/>
        </w:rPr>
        <w:t>1.0</w:t>
      </w:r>
      <w:r>
        <w:rPr>
          <w:rFonts w:hint="eastAsia" w:ascii="宋体" w:hAnsi="宋体"/>
          <w:sz w:val="28"/>
          <w:szCs w:val="28"/>
        </w:rPr>
        <w:t>万门。移动电话用户普及率取</w:t>
      </w:r>
      <w:r>
        <w:rPr>
          <w:rFonts w:ascii="宋体" w:hAnsi="宋体"/>
          <w:sz w:val="28"/>
          <w:szCs w:val="28"/>
        </w:rPr>
        <w:t xml:space="preserve">130 </w:t>
      </w:r>
      <w:r>
        <w:rPr>
          <w:rFonts w:hint="eastAsia" w:ascii="宋体" w:hAnsi="宋体"/>
          <w:sz w:val="28"/>
          <w:szCs w:val="28"/>
        </w:rPr>
        <w:t>卡号</w:t>
      </w:r>
      <w:r>
        <w:rPr>
          <w:rFonts w:ascii="宋体" w:hAnsi="宋体"/>
          <w:sz w:val="28"/>
          <w:szCs w:val="28"/>
        </w:rPr>
        <w:t>/</w:t>
      </w:r>
      <w:r>
        <w:rPr>
          <w:rFonts w:hint="eastAsia" w:ascii="宋体" w:hAnsi="宋体"/>
          <w:sz w:val="28"/>
          <w:szCs w:val="28"/>
        </w:rPr>
        <w:t>百人，至规划期末片区移动电话用户数约为</w:t>
      </w:r>
      <w:r>
        <w:rPr>
          <w:rFonts w:ascii="宋体" w:hAnsi="宋体"/>
          <w:sz w:val="28"/>
          <w:szCs w:val="28"/>
        </w:rPr>
        <w:t>2.6</w:t>
      </w:r>
      <w:r>
        <w:rPr>
          <w:rFonts w:hint="eastAsia" w:ascii="宋体" w:hAnsi="宋体"/>
          <w:sz w:val="28"/>
          <w:szCs w:val="28"/>
        </w:rPr>
        <w:t>万卡号。</w:t>
      </w:r>
    </w:p>
    <w:p w14:paraId="0FE53BE8">
      <w:pPr>
        <w:spacing w:line="640" w:lineRule="exact"/>
        <w:ind w:firstLine="560" w:firstLineChars="200"/>
        <w:rPr>
          <w:rFonts w:hint="eastAsia" w:ascii="宋体" w:hAnsi="宋体"/>
          <w:sz w:val="28"/>
          <w:szCs w:val="28"/>
        </w:rPr>
      </w:pPr>
      <w:r>
        <w:rPr>
          <w:rFonts w:hint="eastAsia" w:ascii="宋体" w:hAnsi="宋体"/>
          <w:sz w:val="28"/>
          <w:szCs w:val="28"/>
        </w:rPr>
        <w:t>2、局所规划</w:t>
      </w:r>
    </w:p>
    <w:p w14:paraId="6A96EA83">
      <w:pPr>
        <w:spacing w:line="640" w:lineRule="exact"/>
        <w:ind w:firstLine="560" w:firstLineChars="200"/>
        <w:rPr>
          <w:rFonts w:hint="eastAsia" w:ascii="宋体" w:hAnsi="宋体"/>
          <w:sz w:val="28"/>
          <w:szCs w:val="28"/>
        </w:rPr>
      </w:pPr>
      <w:r>
        <w:rPr>
          <w:rFonts w:hint="eastAsia" w:ascii="宋体" w:hAnsi="宋体"/>
          <w:sz w:val="28"/>
          <w:szCs w:val="28"/>
        </w:rPr>
        <w:t>根据乐山市总体规划，本规划区不设电信支局，其电信业务泥溪河以北由牟子电信支局负责；泥溪河以南由旧城区电信支局负责。</w:t>
      </w:r>
    </w:p>
    <w:p w14:paraId="30C43E8F">
      <w:pPr>
        <w:spacing w:line="640" w:lineRule="exact"/>
        <w:ind w:firstLine="560" w:firstLineChars="200"/>
        <w:rPr>
          <w:rFonts w:hint="eastAsia" w:ascii="宋体" w:hAnsi="宋体"/>
          <w:sz w:val="28"/>
          <w:szCs w:val="28"/>
        </w:rPr>
      </w:pPr>
      <w:r>
        <w:rPr>
          <w:rFonts w:hint="eastAsia" w:ascii="宋体" w:hAnsi="宋体"/>
          <w:sz w:val="28"/>
          <w:szCs w:val="28"/>
        </w:rPr>
        <w:t>3、电信网管规划</w:t>
      </w:r>
    </w:p>
    <w:p w14:paraId="5A5EC6C2">
      <w:pPr>
        <w:spacing w:line="640" w:lineRule="exact"/>
        <w:ind w:firstLine="560" w:firstLineChars="200"/>
        <w:rPr>
          <w:rFonts w:hint="eastAsia" w:ascii="宋体" w:hAnsi="宋体"/>
          <w:sz w:val="28"/>
          <w:szCs w:val="28"/>
        </w:rPr>
      </w:pPr>
      <w:r>
        <w:rPr>
          <w:rFonts w:hint="eastAsia" w:ascii="宋体" w:hAnsi="宋体"/>
          <w:sz w:val="28"/>
          <w:szCs w:val="28"/>
        </w:rPr>
        <w:t>为美化规划区环境，净化规划区空间，保证电信线路的安全，规划电信线路主要采用管道电缆方式，全部下地敷设。线路中应考虑长、市及非话业务，备用、专用等需求。电信主干线路沿碧山路布置，主干道、次干道，其管道孔数一般按1</w:t>
      </w:r>
      <w:r>
        <w:rPr>
          <w:rFonts w:ascii="宋体" w:hAnsi="宋体"/>
          <w:sz w:val="28"/>
          <w:szCs w:val="28"/>
        </w:rPr>
        <w:t>6</w:t>
      </w:r>
      <w:r>
        <w:rPr>
          <w:rFonts w:hint="eastAsia" w:ascii="宋体" w:hAnsi="宋体"/>
          <w:sz w:val="28"/>
          <w:szCs w:val="28"/>
        </w:rPr>
        <w:t>～</w:t>
      </w:r>
      <w:r>
        <w:rPr>
          <w:rFonts w:ascii="宋体" w:hAnsi="宋体"/>
          <w:sz w:val="28"/>
          <w:szCs w:val="28"/>
        </w:rPr>
        <w:t>20</w:t>
      </w:r>
      <w:r>
        <w:rPr>
          <w:rFonts w:hint="eastAsia" w:ascii="宋体" w:hAnsi="宋体"/>
          <w:sz w:val="28"/>
          <w:szCs w:val="28"/>
        </w:rPr>
        <w:t>孔考虑，支路按4～8孔考虑。</w:t>
      </w:r>
    </w:p>
    <w:p w14:paraId="7ED58079">
      <w:pPr>
        <w:spacing w:line="640" w:lineRule="exact"/>
        <w:ind w:firstLine="562" w:firstLineChars="200"/>
        <w:rPr>
          <w:rFonts w:hint="eastAsia" w:ascii="宋体" w:hAnsi="宋体"/>
          <w:b/>
          <w:sz w:val="28"/>
          <w:szCs w:val="28"/>
        </w:rPr>
      </w:pPr>
      <w:r>
        <w:rPr>
          <w:rFonts w:hint="eastAsia" w:ascii="宋体" w:hAnsi="宋体"/>
          <w:b/>
          <w:sz w:val="28"/>
          <w:szCs w:val="28"/>
        </w:rPr>
        <w:t>（三）广播电视工程规划</w:t>
      </w:r>
    </w:p>
    <w:p w14:paraId="6D964438">
      <w:pPr>
        <w:spacing w:line="640" w:lineRule="exact"/>
        <w:ind w:firstLine="560" w:firstLineChars="200"/>
        <w:rPr>
          <w:rFonts w:hint="eastAsia" w:ascii="宋体" w:hAnsi="宋体"/>
          <w:sz w:val="28"/>
          <w:szCs w:val="28"/>
        </w:rPr>
      </w:pPr>
      <w:r>
        <w:rPr>
          <w:rFonts w:hint="eastAsia" w:ascii="宋体" w:hAnsi="宋体"/>
          <w:sz w:val="28"/>
          <w:szCs w:val="28"/>
        </w:rPr>
        <w:t>1、有线电视用户预测</w:t>
      </w:r>
    </w:p>
    <w:p w14:paraId="39274695">
      <w:pPr>
        <w:spacing w:line="640" w:lineRule="exact"/>
        <w:ind w:firstLine="560" w:firstLineChars="200"/>
        <w:rPr>
          <w:rFonts w:hint="eastAsia" w:ascii="宋体" w:hAnsi="宋体"/>
          <w:sz w:val="28"/>
          <w:szCs w:val="28"/>
        </w:rPr>
      </w:pPr>
      <w:r>
        <w:rPr>
          <w:rFonts w:hint="eastAsia" w:ascii="宋体" w:hAnsi="宋体"/>
          <w:sz w:val="28"/>
          <w:szCs w:val="28"/>
        </w:rPr>
        <w:t>规划区有</w:t>
      </w:r>
      <w:r>
        <w:rPr>
          <w:rFonts w:hint="eastAsia" w:ascii="宋体" w:hAnsi="宋体"/>
          <w:sz w:val="28"/>
          <w:szCs w:val="28"/>
          <w:lang w:val="en-US" w:eastAsia="zh-CN"/>
        </w:rPr>
        <w:t>线</w:t>
      </w:r>
      <w:bookmarkStart w:id="793" w:name="_GoBack"/>
      <w:bookmarkEnd w:id="793"/>
      <w:r>
        <w:rPr>
          <w:rFonts w:hint="eastAsia" w:ascii="宋体" w:hAnsi="宋体"/>
          <w:sz w:val="28"/>
          <w:szCs w:val="28"/>
        </w:rPr>
        <w:t>电视用户按每户1对线计，办公、公建按居住户数的20%计，则规划区共需约</w:t>
      </w:r>
      <w:r>
        <w:rPr>
          <w:rFonts w:ascii="宋体" w:hAnsi="宋体"/>
          <w:sz w:val="28"/>
          <w:szCs w:val="28"/>
        </w:rPr>
        <w:t>0.8</w:t>
      </w:r>
      <w:r>
        <w:rPr>
          <w:rFonts w:hint="eastAsia" w:ascii="宋体" w:hAnsi="宋体"/>
          <w:sz w:val="28"/>
          <w:szCs w:val="28"/>
        </w:rPr>
        <w:t>万对接线。</w:t>
      </w:r>
    </w:p>
    <w:p w14:paraId="29867290">
      <w:pPr>
        <w:spacing w:line="640" w:lineRule="exact"/>
        <w:ind w:firstLine="560" w:firstLineChars="200"/>
        <w:rPr>
          <w:rFonts w:hint="eastAsia" w:ascii="宋体" w:hAnsi="宋体"/>
          <w:sz w:val="28"/>
          <w:szCs w:val="28"/>
        </w:rPr>
      </w:pPr>
      <w:r>
        <w:rPr>
          <w:rFonts w:hint="eastAsia" w:ascii="宋体" w:hAnsi="宋体"/>
          <w:sz w:val="28"/>
          <w:szCs w:val="28"/>
        </w:rPr>
        <w:t>2、广播电视系统规划</w:t>
      </w:r>
    </w:p>
    <w:p w14:paraId="7F48F544">
      <w:pPr>
        <w:spacing w:line="640" w:lineRule="exact"/>
        <w:ind w:firstLine="560" w:firstLineChars="200"/>
        <w:rPr>
          <w:rFonts w:hint="eastAsia" w:ascii="宋体" w:hAnsi="宋体"/>
          <w:sz w:val="28"/>
          <w:szCs w:val="28"/>
        </w:rPr>
      </w:pPr>
      <w:r>
        <w:rPr>
          <w:rFonts w:ascii="宋体" w:hAnsi="宋体"/>
          <w:sz w:val="28"/>
          <w:szCs w:val="28"/>
        </w:rPr>
        <w:t>广播电视主干线路采用光缆埋地敷设</w:t>
      </w:r>
      <w:r>
        <w:rPr>
          <w:rFonts w:hint="eastAsia" w:ascii="宋体" w:hAnsi="宋体"/>
          <w:sz w:val="28"/>
          <w:szCs w:val="28"/>
        </w:rPr>
        <w:t>，</w:t>
      </w:r>
      <w:r>
        <w:rPr>
          <w:rFonts w:ascii="宋体" w:hAnsi="宋体"/>
          <w:sz w:val="28"/>
          <w:szCs w:val="28"/>
        </w:rPr>
        <w:t>电信线路同程敷设(单独留</w:t>
      </w:r>
      <w:r>
        <w:rPr>
          <w:rFonts w:hint="eastAsia" w:ascii="宋体" w:hAnsi="宋体"/>
          <w:sz w:val="28"/>
          <w:szCs w:val="28"/>
        </w:rPr>
        <w:t>1</w:t>
      </w:r>
      <w:r>
        <w:rPr>
          <w:rFonts w:ascii="宋体" w:hAnsi="宋体"/>
          <w:sz w:val="28"/>
          <w:szCs w:val="28"/>
        </w:rPr>
        <w:t>孔)</w:t>
      </w:r>
      <w:r>
        <w:rPr>
          <w:rFonts w:hint="eastAsia" w:ascii="宋体" w:hAnsi="宋体"/>
          <w:sz w:val="28"/>
          <w:szCs w:val="28"/>
        </w:rPr>
        <w:t>。</w:t>
      </w:r>
      <w:r>
        <w:rPr>
          <w:rFonts w:ascii="宋体" w:hAnsi="宋体"/>
          <w:sz w:val="28"/>
          <w:szCs w:val="28"/>
        </w:rPr>
        <w:t>广播电视线路、电话、计算机三网一体</w:t>
      </w:r>
      <w:r>
        <w:rPr>
          <w:rFonts w:hint="eastAsia" w:ascii="宋体" w:hAnsi="宋体"/>
          <w:sz w:val="28"/>
          <w:szCs w:val="28"/>
        </w:rPr>
        <w:t>,为岷江东岸片区信息网络建设提供坚实基础</w:t>
      </w:r>
      <w:r>
        <w:rPr>
          <w:rFonts w:ascii="宋体" w:hAnsi="宋体"/>
          <w:sz w:val="28"/>
          <w:szCs w:val="28"/>
        </w:rPr>
        <w:t>。</w:t>
      </w:r>
    </w:p>
    <w:p w14:paraId="0177331B">
      <w:pPr>
        <w:pStyle w:val="4"/>
        <w:spacing w:line="640" w:lineRule="exact"/>
        <w:rPr>
          <w:rFonts w:hint="eastAsia" w:ascii="黑体" w:eastAsia="黑体"/>
        </w:rPr>
      </w:pPr>
      <w:bookmarkStart w:id="753" w:name="_Toc348965240"/>
      <w:bookmarkStart w:id="754" w:name="_Toc6394698"/>
      <w:bookmarkStart w:id="755" w:name="_Toc216520035"/>
      <w:r>
        <w:rPr>
          <w:rFonts w:hint="eastAsia" w:ascii="黑体" w:eastAsia="黑体"/>
        </w:rPr>
        <w:t>五、电力工程规划</w:t>
      </w:r>
      <w:bookmarkEnd w:id="753"/>
      <w:bookmarkEnd w:id="754"/>
      <w:bookmarkEnd w:id="755"/>
    </w:p>
    <w:p w14:paraId="655A6988">
      <w:pPr>
        <w:spacing w:line="640" w:lineRule="exact"/>
        <w:ind w:firstLine="562" w:firstLineChars="200"/>
        <w:rPr>
          <w:rFonts w:hint="eastAsia" w:ascii="宋体" w:hAnsi="宋体"/>
          <w:b/>
          <w:sz w:val="28"/>
          <w:szCs w:val="28"/>
        </w:rPr>
      </w:pPr>
      <w:r>
        <w:rPr>
          <w:rFonts w:hint="eastAsia" w:ascii="宋体" w:hAnsi="宋体"/>
          <w:b/>
          <w:sz w:val="28"/>
          <w:szCs w:val="28"/>
        </w:rPr>
        <w:t>（一）现状概况</w:t>
      </w:r>
    </w:p>
    <w:p w14:paraId="13D49D48">
      <w:pPr>
        <w:spacing w:line="640" w:lineRule="exact"/>
        <w:ind w:firstLine="560" w:firstLineChars="200"/>
        <w:rPr>
          <w:rFonts w:hint="eastAsia" w:ascii="宋体" w:hAnsi="宋体"/>
          <w:sz w:val="28"/>
          <w:szCs w:val="28"/>
        </w:rPr>
      </w:pPr>
      <w:r>
        <w:rPr>
          <w:rFonts w:hint="eastAsia" w:ascii="宋体" w:hAnsi="宋体"/>
          <w:sz w:val="28"/>
          <w:szCs w:val="28"/>
        </w:rPr>
        <w:t>规划区范围内无35kV以上的变电站。有1条</w:t>
      </w:r>
      <w:r>
        <w:rPr>
          <w:rFonts w:ascii="宋体" w:hAnsi="宋体"/>
          <w:sz w:val="28"/>
          <w:szCs w:val="28"/>
        </w:rPr>
        <w:t>110KV</w:t>
      </w:r>
      <w:r>
        <w:rPr>
          <w:rFonts w:hint="eastAsia" w:ascii="宋体" w:hAnsi="宋体"/>
          <w:sz w:val="28"/>
          <w:szCs w:val="28"/>
        </w:rPr>
        <w:t>高压线和3条35</w:t>
      </w:r>
      <w:r>
        <w:rPr>
          <w:rFonts w:ascii="宋体" w:hAnsi="宋体"/>
          <w:sz w:val="28"/>
          <w:szCs w:val="28"/>
        </w:rPr>
        <w:t>KV</w:t>
      </w:r>
      <w:r>
        <w:rPr>
          <w:rFonts w:hint="eastAsia" w:ascii="宋体" w:hAnsi="宋体"/>
          <w:sz w:val="28"/>
          <w:szCs w:val="28"/>
        </w:rPr>
        <w:t>高压线穿越规划区。电源主要由规划区外的110KV钓鱼台变电站供给。</w:t>
      </w:r>
    </w:p>
    <w:p w14:paraId="6E18C6AB">
      <w:pPr>
        <w:spacing w:line="640" w:lineRule="exact"/>
        <w:ind w:firstLine="562" w:firstLineChars="200"/>
        <w:rPr>
          <w:rFonts w:hint="eastAsia" w:ascii="宋体" w:hAnsi="宋体"/>
          <w:b/>
          <w:sz w:val="28"/>
          <w:szCs w:val="28"/>
        </w:rPr>
      </w:pPr>
      <w:r>
        <w:rPr>
          <w:rFonts w:hint="eastAsia" w:ascii="宋体" w:hAnsi="宋体"/>
          <w:b/>
          <w:sz w:val="28"/>
          <w:szCs w:val="28"/>
        </w:rPr>
        <w:t>（二）供电负荷预测</w:t>
      </w:r>
    </w:p>
    <w:p w14:paraId="313A3762">
      <w:pPr>
        <w:spacing w:line="640" w:lineRule="exact"/>
        <w:ind w:firstLine="560" w:firstLineChars="200"/>
        <w:rPr>
          <w:rFonts w:hint="eastAsia" w:ascii="宋体" w:hAnsi="宋体"/>
          <w:sz w:val="28"/>
          <w:szCs w:val="28"/>
        </w:rPr>
      </w:pPr>
      <w:r>
        <w:rPr>
          <w:rFonts w:hint="eastAsia" w:ascii="宋体" w:hAnsi="宋体"/>
          <w:sz w:val="28"/>
          <w:szCs w:val="28"/>
        </w:rPr>
        <w:t>供电负荷计算按照不同性质用地供电负荷指标进行估算，不同性质用地的负荷指标按照《城市电力规划规范》确定的数据，本规划区的供电负荷见“供电负荷计算表”。</w:t>
      </w:r>
    </w:p>
    <w:p w14:paraId="343AF75B">
      <w:pPr>
        <w:spacing w:line="660" w:lineRule="exact"/>
        <w:jc w:val="center"/>
        <w:rPr>
          <w:rFonts w:hint="eastAsia"/>
          <w:b/>
          <w:sz w:val="30"/>
          <w:szCs w:val="30"/>
        </w:rPr>
      </w:pPr>
      <w:r>
        <w:rPr>
          <w:rFonts w:hint="eastAsia"/>
          <w:b/>
          <w:sz w:val="30"/>
          <w:szCs w:val="30"/>
        </w:rPr>
        <w:t>供电负荷计算表</w:t>
      </w:r>
    </w:p>
    <w:p w14:paraId="327F3980">
      <w:pPr>
        <w:spacing w:line="560" w:lineRule="exact"/>
        <w:rPr>
          <w:rFonts w:hint="eastAsia"/>
          <w:b/>
          <w:sz w:val="30"/>
          <w:szCs w:val="30"/>
        </w:rPr>
      </w:pPr>
      <w:r>
        <w:rPr>
          <w:rFonts w:hint="eastAsia" w:ascii="宋体" w:hAnsi="宋体"/>
          <w:sz w:val="28"/>
          <w:szCs w:val="28"/>
        </w:rPr>
        <w:t>表10-1</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4"/>
        <w:gridCol w:w="2148"/>
        <w:gridCol w:w="1083"/>
        <w:gridCol w:w="1506"/>
        <w:gridCol w:w="1293"/>
        <w:gridCol w:w="3380"/>
      </w:tblGrid>
      <w:tr w14:paraId="321DC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544" w:type="dxa"/>
            <w:shd w:val="clear" w:color="auto" w:fill="D9D9D9"/>
            <w:noWrap w:val="0"/>
            <w:vAlign w:val="center"/>
          </w:tcPr>
          <w:p w14:paraId="69CCA96F">
            <w:pPr>
              <w:spacing w:line="440" w:lineRule="exact"/>
              <w:jc w:val="center"/>
              <w:rPr>
                <w:rFonts w:hint="eastAsia"/>
                <w:sz w:val="24"/>
              </w:rPr>
            </w:pPr>
            <w:r>
              <w:rPr>
                <w:rFonts w:hint="eastAsia"/>
                <w:sz w:val="24"/>
              </w:rPr>
              <w:t>序号</w:t>
            </w:r>
          </w:p>
        </w:tc>
        <w:tc>
          <w:tcPr>
            <w:tcW w:w="2148" w:type="dxa"/>
            <w:shd w:val="clear" w:color="auto" w:fill="D9D9D9"/>
            <w:noWrap w:val="0"/>
            <w:vAlign w:val="center"/>
          </w:tcPr>
          <w:p w14:paraId="52A18A3A">
            <w:pPr>
              <w:spacing w:line="440" w:lineRule="exact"/>
              <w:jc w:val="center"/>
              <w:rPr>
                <w:rFonts w:hint="eastAsia"/>
                <w:sz w:val="24"/>
              </w:rPr>
            </w:pPr>
            <w:r>
              <w:rPr>
                <w:rFonts w:hint="eastAsia"/>
                <w:sz w:val="24"/>
              </w:rPr>
              <w:t>用地性质</w:t>
            </w:r>
          </w:p>
        </w:tc>
        <w:tc>
          <w:tcPr>
            <w:tcW w:w="1083" w:type="dxa"/>
            <w:shd w:val="clear" w:color="auto" w:fill="D9D9D9"/>
            <w:noWrap w:val="0"/>
            <w:vAlign w:val="center"/>
          </w:tcPr>
          <w:p w14:paraId="1EEA5B91">
            <w:pPr>
              <w:spacing w:line="440" w:lineRule="exact"/>
              <w:jc w:val="center"/>
              <w:rPr>
                <w:rFonts w:hint="eastAsia"/>
                <w:sz w:val="24"/>
              </w:rPr>
            </w:pPr>
            <w:r>
              <w:rPr>
                <w:rFonts w:hint="eastAsia"/>
                <w:sz w:val="24"/>
              </w:rPr>
              <w:t>用地面积（</w:t>
            </w:r>
            <w:r>
              <w:rPr>
                <w:sz w:val="24"/>
              </w:rPr>
              <w:t>hm</w:t>
            </w:r>
            <w:r>
              <w:rPr>
                <w:sz w:val="24"/>
                <w:vertAlign w:val="superscript"/>
              </w:rPr>
              <w:t>2</w:t>
            </w:r>
            <w:r>
              <w:rPr>
                <w:rFonts w:hint="eastAsia"/>
                <w:sz w:val="24"/>
              </w:rPr>
              <w:t>）</w:t>
            </w:r>
          </w:p>
        </w:tc>
        <w:tc>
          <w:tcPr>
            <w:tcW w:w="1506" w:type="dxa"/>
            <w:shd w:val="clear" w:color="auto" w:fill="D9D9D9"/>
            <w:noWrap w:val="0"/>
            <w:vAlign w:val="center"/>
          </w:tcPr>
          <w:p w14:paraId="69F7B2FC">
            <w:pPr>
              <w:spacing w:line="440" w:lineRule="exact"/>
              <w:jc w:val="center"/>
              <w:rPr>
                <w:rFonts w:hint="eastAsia"/>
                <w:sz w:val="24"/>
              </w:rPr>
            </w:pPr>
            <w:r>
              <w:rPr>
                <w:rFonts w:hint="eastAsia"/>
                <w:sz w:val="24"/>
              </w:rPr>
              <w:t>负荷密度（</w:t>
            </w:r>
            <w:r>
              <w:rPr>
                <w:sz w:val="24"/>
              </w:rPr>
              <w:t>kw/hm</w:t>
            </w:r>
            <w:r>
              <w:rPr>
                <w:sz w:val="24"/>
                <w:vertAlign w:val="superscript"/>
              </w:rPr>
              <w:t>2</w:t>
            </w:r>
            <w:r>
              <w:rPr>
                <w:rFonts w:hint="eastAsia"/>
                <w:sz w:val="24"/>
              </w:rPr>
              <w:t>）</w:t>
            </w:r>
          </w:p>
        </w:tc>
        <w:tc>
          <w:tcPr>
            <w:tcW w:w="1293" w:type="dxa"/>
            <w:shd w:val="clear" w:color="auto" w:fill="D9D9D9"/>
            <w:noWrap w:val="0"/>
            <w:vAlign w:val="center"/>
          </w:tcPr>
          <w:p w14:paraId="08524BA7">
            <w:pPr>
              <w:spacing w:line="440" w:lineRule="exact"/>
              <w:jc w:val="center"/>
              <w:rPr>
                <w:rFonts w:hint="eastAsia"/>
                <w:sz w:val="24"/>
              </w:rPr>
            </w:pPr>
            <w:r>
              <w:rPr>
                <w:rFonts w:hint="eastAsia"/>
                <w:sz w:val="24"/>
              </w:rPr>
              <w:t>供电负荷（</w:t>
            </w:r>
            <w:r>
              <w:rPr>
                <w:sz w:val="24"/>
              </w:rPr>
              <w:t>kw</w:t>
            </w:r>
            <w:r>
              <w:rPr>
                <w:rFonts w:hint="eastAsia"/>
                <w:sz w:val="24"/>
              </w:rPr>
              <w:t>）</w:t>
            </w:r>
          </w:p>
        </w:tc>
        <w:tc>
          <w:tcPr>
            <w:tcW w:w="3380" w:type="dxa"/>
            <w:shd w:val="clear" w:color="auto" w:fill="D9D9D9"/>
            <w:noWrap w:val="0"/>
            <w:vAlign w:val="center"/>
          </w:tcPr>
          <w:p w14:paraId="4249DB4D">
            <w:pPr>
              <w:spacing w:line="440" w:lineRule="exact"/>
              <w:jc w:val="center"/>
              <w:rPr>
                <w:rFonts w:hint="eastAsia"/>
                <w:sz w:val="24"/>
              </w:rPr>
            </w:pPr>
            <w:r>
              <w:rPr>
                <w:rFonts w:hint="eastAsia"/>
                <w:sz w:val="24"/>
              </w:rPr>
              <w:t>备注</w:t>
            </w:r>
          </w:p>
        </w:tc>
      </w:tr>
      <w:tr w14:paraId="520AD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544" w:type="dxa"/>
            <w:noWrap w:val="0"/>
            <w:vAlign w:val="center"/>
          </w:tcPr>
          <w:p w14:paraId="029F16D6">
            <w:pPr>
              <w:spacing w:line="440" w:lineRule="exact"/>
              <w:jc w:val="center"/>
              <w:rPr>
                <w:rFonts w:hint="eastAsia"/>
                <w:sz w:val="24"/>
              </w:rPr>
            </w:pPr>
            <w:r>
              <w:rPr>
                <w:sz w:val="24"/>
              </w:rPr>
              <w:t>1</w:t>
            </w:r>
          </w:p>
        </w:tc>
        <w:tc>
          <w:tcPr>
            <w:tcW w:w="2148" w:type="dxa"/>
            <w:noWrap w:val="0"/>
            <w:vAlign w:val="center"/>
          </w:tcPr>
          <w:p w14:paraId="1154C3FB">
            <w:pPr>
              <w:spacing w:line="440" w:lineRule="exact"/>
              <w:jc w:val="center"/>
              <w:rPr>
                <w:rFonts w:hint="eastAsia"/>
                <w:sz w:val="24"/>
              </w:rPr>
            </w:pPr>
            <w:r>
              <w:rPr>
                <w:rFonts w:hint="eastAsia"/>
                <w:sz w:val="24"/>
              </w:rPr>
              <w:t>居住用地</w:t>
            </w:r>
          </w:p>
        </w:tc>
        <w:tc>
          <w:tcPr>
            <w:tcW w:w="1083" w:type="dxa"/>
            <w:noWrap w:val="0"/>
            <w:vAlign w:val="center"/>
          </w:tcPr>
          <w:p w14:paraId="0A6450F6">
            <w:pPr>
              <w:spacing w:line="440" w:lineRule="exact"/>
              <w:jc w:val="center"/>
              <w:rPr>
                <w:rFonts w:hint="eastAsia"/>
                <w:sz w:val="24"/>
              </w:rPr>
            </w:pPr>
            <w:r>
              <w:rPr>
                <w:sz w:val="24"/>
              </w:rPr>
              <w:t>47.45</w:t>
            </w:r>
          </w:p>
        </w:tc>
        <w:tc>
          <w:tcPr>
            <w:tcW w:w="1506" w:type="dxa"/>
            <w:noWrap w:val="0"/>
            <w:vAlign w:val="center"/>
          </w:tcPr>
          <w:p w14:paraId="7D2A95FA">
            <w:pPr>
              <w:spacing w:line="440" w:lineRule="exact"/>
              <w:jc w:val="center"/>
              <w:rPr>
                <w:rFonts w:hint="eastAsia"/>
                <w:sz w:val="24"/>
              </w:rPr>
            </w:pPr>
            <w:r>
              <w:rPr>
                <w:rFonts w:hint="eastAsia"/>
                <w:sz w:val="24"/>
              </w:rPr>
              <w:t>200</w:t>
            </w:r>
          </w:p>
        </w:tc>
        <w:tc>
          <w:tcPr>
            <w:tcW w:w="1293" w:type="dxa"/>
            <w:noWrap w:val="0"/>
            <w:vAlign w:val="center"/>
          </w:tcPr>
          <w:p w14:paraId="5A28D330">
            <w:pPr>
              <w:spacing w:line="440" w:lineRule="exact"/>
              <w:jc w:val="center"/>
              <w:rPr>
                <w:rFonts w:hint="eastAsia"/>
                <w:sz w:val="24"/>
              </w:rPr>
            </w:pPr>
            <w:r>
              <w:rPr>
                <w:sz w:val="24"/>
              </w:rPr>
              <w:t>9490</w:t>
            </w:r>
          </w:p>
        </w:tc>
        <w:tc>
          <w:tcPr>
            <w:tcW w:w="3380" w:type="dxa"/>
            <w:noWrap w:val="0"/>
            <w:vAlign w:val="center"/>
          </w:tcPr>
          <w:p w14:paraId="1BF3F3E5">
            <w:pPr>
              <w:spacing w:line="440" w:lineRule="exact"/>
              <w:jc w:val="center"/>
              <w:rPr>
                <w:rFonts w:hint="eastAsia"/>
                <w:sz w:val="24"/>
              </w:rPr>
            </w:pPr>
          </w:p>
        </w:tc>
      </w:tr>
      <w:tr w14:paraId="5C57E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544" w:type="dxa"/>
            <w:noWrap w:val="0"/>
            <w:vAlign w:val="center"/>
          </w:tcPr>
          <w:p w14:paraId="77DD44CB">
            <w:pPr>
              <w:spacing w:line="440" w:lineRule="exact"/>
              <w:jc w:val="center"/>
              <w:rPr>
                <w:rFonts w:hint="eastAsia"/>
                <w:sz w:val="24"/>
              </w:rPr>
            </w:pPr>
            <w:r>
              <w:rPr>
                <w:sz w:val="24"/>
              </w:rPr>
              <w:t>2</w:t>
            </w:r>
          </w:p>
        </w:tc>
        <w:tc>
          <w:tcPr>
            <w:tcW w:w="2148" w:type="dxa"/>
            <w:noWrap w:val="0"/>
            <w:vAlign w:val="center"/>
          </w:tcPr>
          <w:p w14:paraId="1B0340AE">
            <w:pPr>
              <w:spacing w:line="440" w:lineRule="exact"/>
              <w:jc w:val="center"/>
              <w:rPr>
                <w:rFonts w:hint="eastAsia"/>
                <w:sz w:val="24"/>
              </w:rPr>
            </w:pPr>
            <w:r>
              <w:rPr>
                <w:rFonts w:hint="eastAsia"/>
                <w:sz w:val="24"/>
              </w:rPr>
              <w:t>公共设施用地</w:t>
            </w:r>
          </w:p>
        </w:tc>
        <w:tc>
          <w:tcPr>
            <w:tcW w:w="1083" w:type="dxa"/>
            <w:noWrap w:val="0"/>
            <w:vAlign w:val="center"/>
          </w:tcPr>
          <w:p w14:paraId="70174CF7">
            <w:pPr>
              <w:spacing w:line="440" w:lineRule="exact"/>
              <w:jc w:val="center"/>
              <w:rPr>
                <w:rFonts w:hint="eastAsia"/>
                <w:sz w:val="24"/>
              </w:rPr>
            </w:pPr>
            <w:r>
              <w:rPr>
                <w:sz w:val="24"/>
              </w:rPr>
              <w:t>84.77</w:t>
            </w:r>
          </w:p>
        </w:tc>
        <w:tc>
          <w:tcPr>
            <w:tcW w:w="1506" w:type="dxa"/>
            <w:noWrap w:val="0"/>
            <w:vAlign w:val="center"/>
          </w:tcPr>
          <w:p w14:paraId="4B4E2FA9">
            <w:pPr>
              <w:spacing w:line="440" w:lineRule="exact"/>
              <w:jc w:val="center"/>
              <w:rPr>
                <w:rFonts w:hint="eastAsia"/>
                <w:sz w:val="24"/>
              </w:rPr>
            </w:pPr>
            <w:r>
              <w:rPr>
                <w:sz w:val="24"/>
              </w:rPr>
              <w:t>500</w:t>
            </w:r>
          </w:p>
        </w:tc>
        <w:tc>
          <w:tcPr>
            <w:tcW w:w="1293" w:type="dxa"/>
            <w:noWrap w:val="0"/>
            <w:vAlign w:val="center"/>
          </w:tcPr>
          <w:p w14:paraId="5FBF93C0">
            <w:pPr>
              <w:spacing w:line="440" w:lineRule="exact"/>
              <w:jc w:val="center"/>
              <w:rPr>
                <w:rFonts w:hint="eastAsia"/>
                <w:sz w:val="24"/>
              </w:rPr>
            </w:pPr>
            <w:r>
              <w:rPr>
                <w:sz w:val="24"/>
              </w:rPr>
              <w:t>42385</w:t>
            </w:r>
          </w:p>
        </w:tc>
        <w:tc>
          <w:tcPr>
            <w:tcW w:w="3380" w:type="dxa"/>
            <w:noWrap w:val="0"/>
            <w:vAlign w:val="center"/>
          </w:tcPr>
          <w:p w14:paraId="558F4570">
            <w:pPr>
              <w:spacing w:line="440" w:lineRule="exact"/>
              <w:jc w:val="center"/>
              <w:rPr>
                <w:rFonts w:hint="eastAsia"/>
                <w:sz w:val="24"/>
              </w:rPr>
            </w:pPr>
            <w:r>
              <w:rPr>
                <w:rFonts w:hint="eastAsia"/>
                <w:sz w:val="24"/>
              </w:rPr>
              <w:t>包括公共管理与公共服务设施用地和商业服务业设施用地（含部分</w:t>
            </w:r>
            <w:r>
              <w:rPr>
                <w:sz w:val="24"/>
              </w:rPr>
              <w:t>弹性用地</w:t>
            </w:r>
            <w:r>
              <w:rPr>
                <w:rFonts w:hint="eastAsia"/>
                <w:sz w:val="24"/>
              </w:rPr>
              <w:t>）</w:t>
            </w:r>
          </w:p>
        </w:tc>
      </w:tr>
      <w:tr w14:paraId="580A1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544" w:type="dxa"/>
            <w:noWrap w:val="0"/>
            <w:vAlign w:val="center"/>
          </w:tcPr>
          <w:p w14:paraId="581B8C13">
            <w:pPr>
              <w:spacing w:line="440" w:lineRule="exact"/>
              <w:jc w:val="center"/>
              <w:rPr>
                <w:rFonts w:hint="eastAsia"/>
                <w:sz w:val="24"/>
              </w:rPr>
            </w:pPr>
            <w:r>
              <w:rPr>
                <w:sz w:val="24"/>
              </w:rPr>
              <w:t>3</w:t>
            </w:r>
          </w:p>
        </w:tc>
        <w:tc>
          <w:tcPr>
            <w:tcW w:w="2148" w:type="dxa"/>
            <w:noWrap w:val="0"/>
            <w:vAlign w:val="center"/>
          </w:tcPr>
          <w:p w14:paraId="76362785">
            <w:pPr>
              <w:spacing w:line="440" w:lineRule="exact"/>
              <w:jc w:val="center"/>
              <w:rPr>
                <w:rFonts w:hint="eastAsia"/>
                <w:sz w:val="24"/>
              </w:rPr>
            </w:pPr>
            <w:r>
              <w:rPr>
                <w:rFonts w:hint="eastAsia"/>
                <w:sz w:val="24"/>
              </w:rPr>
              <w:t>道路广场用地</w:t>
            </w:r>
          </w:p>
        </w:tc>
        <w:tc>
          <w:tcPr>
            <w:tcW w:w="1083" w:type="dxa"/>
            <w:noWrap w:val="0"/>
            <w:vAlign w:val="center"/>
          </w:tcPr>
          <w:p w14:paraId="1D16764C">
            <w:pPr>
              <w:spacing w:line="440" w:lineRule="exact"/>
              <w:jc w:val="center"/>
              <w:rPr>
                <w:rFonts w:hint="eastAsia"/>
                <w:sz w:val="24"/>
              </w:rPr>
            </w:pPr>
            <w:r>
              <w:rPr>
                <w:sz w:val="24"/>
              </w:rPr>
              <w:t>67.37</w:t>
            </w:r>
          </w:p>
        </w:tc>
        <w:tc>
          <w:tcPr>
            <w:tcW w:w="1506" w:type="dxa"/>
            <w:noWrap w:val="0"/>
            <w:vAlign w:val="center"/>
          </w:tcPr>
          <w:p w14:paraId="58B4D71D">
            <w:pPr>
              <w:spacing w:line="440" w:lineRule="exact"/>
              <w:jc w:val="center"/>
              <w:rPr>
                <w:rFonts w:hint="eastAsia"/>
                <w:sz w:val="24"/>
              </w:rPr>
            </w:pPr>
            <w:r>
              <w:rPr>
                <w:rFonts w:hint="eastAsia"/>
                <w:sz w:val="24"/>
              </w:rPr>
              <w:t>50</w:t>
            </w:r>
          </w:p>
        </w:tc>
        <w:tc>
          <w:tcPr>
            <w:tcW w:w="1293" w:type="dxa"/>
            <w:noWrap w:val="0"/>
            <w:vAlign w:val="center"/>
          </w:tcPr>
          <w:p w14:paraId="63BA5FA5">
            <w:pPr>
              <w:spacing w:line="440" w:lineRule="exact"/>
              <w:jc w:val="center"/>
              <w:rPr>
                <w:rFonts w:hint="eastAsia"/>
                <w:sz w:val="24"/>
              </w:rPr>
            </w:pPr>
            <w:r>
              <w:rPr>
                <w:sz w:val="24"/>
              </w:rPr>
              <w:t>3368.5</w:t>
            </w:r>
          </w:p>
        </w:tc>
        <w:tc>
          <w:tcPr>
            <w:tcW w:w="3380" w:type="dxa"/>
            <w:noWrap w:val="0"/>
            <w:vAlign w:val="center"/>
          </w:tcPr>
          <w:p w14:paraId="2B643237">
            <w:pPr>
              <w:spacing w:line="440" w:lineRule="exact"/>
              <w:jc w:val="center"/>
              <w:rPr>
                <w:rFonts w:hint="eastAsia"/>
                <w:sz w:val="24"/>
              </w:rPr>
            </w:pPr>
            <w:r>
              <w:rPr>
                <w:rFonts w:hint="eastAsia"/>
                <w:sz w:val="24"/>
              </w:rPr>
              <w:t>包括城市道路与</w:t>
            </w:r>
            <w:r>
              <w:rPr>
                <w:sz w:val="24"/>
              </w:rPr>
              <w:t>交通设施</w:t>
            </w:r>
            <w:r>
              <w:rPr>
                <w:rFonts w:hint="eastAsia"/>
                <w:sz w:val="24"/>
              </w:rPr>
              <w:t>用地、广场用地</w:t>
            </w:r>
          </w:p>
        </w:tc>
      </w:tr>
      <w:tr w14:paraId="141CC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544" w:type="dxa"/>
            <w:noWrap w:val="0"/>
            <w:vAlign w:val="center"/>
          </w:tcPr>
          <w:p w14:paraId="44A088E5">
            <w:pPr>
              <w:spacing w:line="440" w:lineRule="exact"/>
              <w:jc w:val="center"/>
              <w:rPr>
                <w:rFonts w:hint="eastAsia"/>
                <w:sz w:val="24"/>
              </w:rPr>
            </w:pPr>
            <w:r>
              <w:rPr>
                <w:sz w:val="24"/>
              </w:rPr>
              <w:t>4</w:t>
            </w:r>
          </w:p>
        </w:tc>
        <w:tc>
          <w:tcPr>
            <w:tcW w:w="2148" w:type="dxa"/>
            <w:noWrap w:val="0"/>
            <w:vAlign w:val="center"/>
          </w:tcPr>
          <w:p w14:paraId="783D9CD2">
            <w:pPr>
              <w:spacing w:line="440" w:lineRule="exact"/>
              <w:jc w:val="center"/>
              <w:rPr>
                <w:rFonts w:hint="eastAsia"/>
                <w:sz w:val="24"/>
              </w:rPr>
            </w:pPr>
            <w:r>
              <w:rPr>
                <w:rFonts w:hint="eastAsia"/>
                <w:sz w:val="24"/>
              </w:rPr>
              <w:t>市政公用设施用地</w:t>
            </w:r>
          </w:p>
        </w:tc>
        <w:tc>
          <w:tcPr>
            <w:tcW w:w="1083" w:type="dxa"/>
            <w:noWrap w:val="0"/>
            <w:vAlign w:val="center"/>
          </w:tcPr>
          <w:p w14:paraId="0A50590F">
            <w:pPr>
              <w:spacing w:line="440" w:lineRule="exact"/>
              <w:jc w:val="center"/>
              <w:rPr>
                <w:rFonts w:hint="eastAsia"/>
                <w:sz w:val="24"/>
              </w:rPr>
            </w:pPr>
            <w:r>
              <w:rPr>
                <w:sz w:val="24"/>
              </w:rPr>
              <w:t>0.83</w:t>
            </w:r>
          </w:p>
        </w:tc>
        <w:tc>
          <w:tcPr>
            <w:tcW w:w="1506" w:type="dxa"/>
            <w:noWrap w:val="0"/>
            <w:vAlign w:val="center"/>
          </w:tcPr>
          <w:p w14:paraId="3BB2AF94">
            <w:pPr>
              <w:spacing w:line="440" w:lineRule="exact"/>
              <w:jc w:val="center"/>
              <w:rPr>
                <w:rFonts w:hint="eastAsia"/>
                <w:sz w:val="24"/>
              </w:rPr>
            </w:pPr>
            <w:r>
              <w:rPr>
                <w:rFonts w:hint="eastAsia"/>
                <w:sz w:val="24"/>
              </w:rPr>
              <w:t>300</w:t>
            </w:r>
          </w:p>
        </w:tc>
        <w:tc>
          <w:tcPr>
            <w:tcW w:w="1293" w:type="dxa"/>
            <w:noWrap w:val="0"/>
            <w:vAlign w:val="center"/>
          </w:tcPr>
          <w:p w14:paraId="327BA0D5">
            <w:pPr>
              <w:spacing w:line="440" w:lineRule="exact"/>
              <w:jc w:val="center"/>
              <w:rPr>
                <w:rFonts w:hint="eastAsia"/>
                <w:sz w:val="24"/>
              </w:rPr>
            </w:pPr>
            <w:r>
              <w:rPr>
                <w:sz w:val="24"/>
              </w:rPr>
              <w:t>249</w:t>
            </w:r>
          </w:p>
        </w:tc>
        <w:tc>
          <w:tcPr>
            <w:tcW w:w="3380" w:type="dxa"/>
            <w:noWrap w:val="0"/>
            <w:vAlign w:val="center"/>
          </w:tcPr>
          <w:p w14:paraId="4A5F5070">
            <w:pPr>
              <w:spacing w:line="440" w:lineRule="exact"/>
              <w:jc w:val="center"/>
              <w:rPr>
                <w:rFonts w:hint="eastAsia"/>
                <w:sz w:val="24"/>
              </w:rPr>
            </w:pPr>
            <w:r>
              <w:rPr>
                <w:rFonts w:hint="eastAsia"/>
                <w:sz w:val="24"/>
              </w:rPr>
              <w:t>含部分</w:t>
            </w:r>
            <w:r>
              <w:rPr>
                <w:sz w:val="24"/>
              </w:rPr>
              <w:t>弹性用地</w:t>
            </w:r>
          </w:p>
        </w:tc>
      </w:tr>
      <w:tr w14:paraId="66D9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544" w:type="dxa"/>
            <w:noWrap w:val="0"/>
            <w:vAlign w:val="center"/>
          </w:tcPr>
          <w:p w14:paraId="462EF4E9">
            <w:pPr>
              <w:spacing w:line="440" w:lineRule="exact"/>
              <w:jc w:val="center"/>
              <w:rPr>
                <w:rFonts w:hint="eastAsia"/>
                <w:sz w:val="24"/>
              </w:rPr>
            </w:pPr>
            <w:r>
              <w:rPr>
                <w:sz w:val="24"/>
              </w:rPr>
              <w:t>5</w:t>
            </w:r>
          </w:p>
        </w:tc>
        <w:tc>
          <w:tcPr>
            <w:tcW w:w="2148" w:type="dxa"/>
            <w:noWrap w:val="0"/>
            <w:vAlign w:val="center"/>
          </w:tcPr>
          <w:p w14:paraId="3FBC9CB2">
            <w:pPr>
              <w:spacing w:line="440" w:lineRule="exact"/>
              <w:jc w:val="center"/>
              <w:rPr>
                <w:rFonts w:hint="eastAsia"/>
                <w:sz w:val="24"/>
              </w:rPr>
            </w:pPr>
            <w:r>
              <w:rPr>
                <w:rFonts w:hint="eastAsia"/>
                <w:sz w:val="24"/>
              </w:rPr>
              <w:t>对外交通用地</w:t>
            </w:r>
          </w:p>
        </w:tc>
        <w:tc>
          <w:tcPr>
            <w:tcW w:w="1083" w:type="dxa"/>
            <w:noWrap w:val="0"/>
            <w:vAlign w:val="center"/>
          </w:tcPr>
          <w:p w14:paraId="0218F55F">
            <w:pPr>
              <w:spacing w:line="440" w:lineRule="exact"/>
              <w:jc w:val="center"/>
              <w:rPr>
                <w:rFonts w:hint="eastAsia"/>
                <w:sz w:val="24"/>
              </w:rPr>
            </w:pPr>
            <w:r>
              <w:rPr>
                <w:sz w:val="24"/>
              </w:rPr>
              <w:t>32.04</w:t>
            </w:r>
          </w:p>
        </w:tc>
        <w:tc>
          <w:tcPr>
            <w:tcW w:w="1506" w:type="dxa"/>
            <w:noWrap w:val="0"/>
            <w:vAlign w:val="center"/>
          </w:tcPr>
          <w:p w14:paraId="35172E57">
            <w:pPr>
              <w:spacing w:line="440" w:lineRule="exact"/>
              <w:jc w:val="center"/>
              <w:rPr>
                <w:rFonts w:hint="eastAsia"/>
                <w:sz w:val="24"/>
              </w:rPr>
            </w:pPr>
            <w:r>
              <w:rPr>
                <w:sz w:val="24"/>
              </w:rPr>
              <w:t>100</w:t>
            </w:r>
          </w:p>
        </w:tc>
        <w:tc>
          <w:tcPr>
            <w:tcW w:w="1293" w:type="dxa"/>
            <w:noWrap w:val="0"/>
            <w:vAlign w:val="center"/>
          </w:tcPr>
          <w:p w14:paraId="28C63984">
            <w:pPr>
              <w:spacing w:line="440" w:lineRule="exact"/>
              <w:jc w:val="center"/>
              <w:rPr>
                <w:rFonts w:hint="eastAsia"/>
                <w:sz w:val="24"/>
              </w:rPr>
            </w:pPr>
            <w:r>
              <w:rPr>
                <w:sz w:val="24"/>
              </w:rPr>
              <w:t>3204</w:t>
            </w:r>
          </w:p>
        </w:tc>
        <w:tc>
          <w:tcPr>
            <w:tcW w:w="3380" w:type="dxa"/>
            <w:noWrap w:val="0"/>
            <w:vAlign w:val="center"/>
          </w:tcPr>
          <w:p w14:paraId="3E9D5465">
            <w:pPr>
              <w:spacing w:line="440" w:lineRule="exact"/>
              <w:jc w:val="center"/>
              <w:rPr>
                <w:rFonts w:hint="eastAsia"/>
                <w:sz w:val="24"/>
              </w:rPr>
            </w:pPr>
            <w:r>
              <w:rPr>
                <w:rFonts w:hint="eastAsia"/>
                <w:sz w:val="24"/>
              </w:rPr>
              <w:t>包括区域交通设施用地</w:t>
            </w:r>
          </w:p>
        </w:tc>
      </w:tr>
      <w:tr w14:paraId="760A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544" w:type="dxa"/>
            <w:noWrap w:val="0"/>
            <w:vAlign w:val="center"/>
          </w:tcPr>
          <w:p w14:paraId="76161F3B">
            <w:pPr>
              <w:spacing w:line="440" w:lineRule="exact"/>
              <w:jc w:val="center"/>
              <w:rPr>
                <w:rFonts w:hint="eastAsia"/>
                <w:sz w:val="24"/>
              </w:rPr>
            </w:pPr>
            <w:r>
              <w:rPr>
                <w:sz w:val="24"/>
              </w:rPr>
              <w:t>6</w:t>
            </w:r>
          </w:p>
        </w:tc>
        <w:tc>
          <w:tcPr>
            <w:tcW w:w="2148" w:type="dxa"/>
            <w:noWrap w:val="0"/>
            <w:vAlign w:val="center"/>
          </w:tcPr>
          <w:p w14:paraId="0C7C3DC6">
            <w:pPr>
              <w:spacing w:line="440" w:lineRule="exact"/>
              <w:jc w:val="center"/>
              <w:rPr>
                <w:rFonts w:hint="eastAsia"/>
                <w:sz w:val="24"/>
              </w:rPr>
            </w:pPr>
            <w:r>
              <w:rPr>
                <w:rFonts w:hint="eastAsia"/>
                <w:sz w:val="24"/>
              </w:rPr>
              <w:t>绿地</w:t>
            </w:r>
          </w:p>
        </w:tc>
        <w:tc>
          <w:tcPr>
            <w:tcW w:w="1083" w:type="dxa"/>
            <w:noWrap w:val="0"/>
            <w:vAlign w:val="center"/>
          </w:tcPr>
          <w:p w14:paraId="13D70368">
            <w:pPr>
              <w:spacing w:line="440" w:lineRule="exact"/>
              <w:jc w:val="center"/>
              <w:rPr>
                <w:rFonts w:hint="eastAsia"/>
                <w:sz w:val="24"/>
              </w:rPr>
            </w:pPr>
            <w:r>
              <w:rPr>
                <w:sz w:val="24"/>
              </w:rPr>
              <w:t>36.64</w:t>
            </w:r>
          </w:p>
        </w:tc>
        <w:tc>
          <w:tcPr>
            <w:tcW w:w="1506" w:type="dxa"/>
            <w:noWrap w:val="0"/>
            <w:vAlign w:val="center"/>
          </w:tcPr>
          <w:p w14:paraId="0FF33771">
            <w:pPr>
              <w:spacing w:line="440" w:lineRule="exact"/>
              <w:jc w:val="center"/>
              <w:rPr>
                <w:rFonts w:hint="eastAsia"/>
                <w:sz w:val="24"/>
              </w:rPr>
            </w:pPr>
            <w:r>
              <w:rPr>
                <w:sz w:val="24"/>
              </w:rPr>
              <w:t>10</w:t>
            </w:r>
          </w:p>
        </w:tc>
        <w:tc>
          <w:tcPr>
            <w:tcW w:w="1293" w:type="dxa"/>
            <w:noWrap w:val="0"/>
            <w:vAlign w:val="center"/>
          </w:tcPr>
          <w:p w14:paraId="5A852605">
            <w:pPr>
              <w:spacing w:line="440" w:lineRule="exact"/>
              <w:jc w:val="center"/>
              <w:rPr>
                <w:rFonts w:hint="eastAsia"/>
                <w:sz w:val="24"/>
              </w:rPr>
            </w:pPr>
            <w:r>
              <w:rPr>
                <w:sz w:val="24"/>
              </w:rPr>
              <w:t>366.4</w:t>
            </w:r>
          </w:p>
        </w:tc>
        <w:tc>
          <w:tcPr>
            <w:tcW w:w="3380" w:type="dxa"/>
            <w:noWrap w:val="0"/>
            <w:vAlign w:val="center"/>
          </w:tcPr>
          <w:p w14:paraId="34FAE8E8">
            <w:pPr>
              <w:spacing w:line="440" w:lineRule="exact"/>
              <w:jc w:val="center"/>
              <w:rPr>
                <w:rFonts w:hint="eastAsia"/>
                <w:sz w:val="24"/>
              </w:rPr>
            </w:pPr>
          </w:p>
        </w:tc>
      </w:tr>
      <w:tr w14:paraId="21779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692" w:type="dxa"/>
            <w:gridSpan w:val="2"/>
            <w:noWrap w:val="0"/>
            <w:vAlign w:val="center"/>
          </w:tcPr>
          <w:p w14:paraId="0293D9D6">
            <w:pPr>
              <w:spacing w:line="440" w:lineRule="exact"/>
              <w:jc w:val="center"/>
              <w:rPr>
                <w:rFonts w:hint="eastAsia"/>
                <w:sz w:val="24"/>
              </w:rPr>
            </w:pPr>
            <w:r>
              <w:rPr>
                <w:rFonts w:hint="eastAsia"/>
                <w:sz w:val="24"/>
              </w:rPr>
              <w:t>合计</w:t>
            </w:r>
          </w:p>
        </w:tc>
        <w:tc>
          <w:tcPr>
            <w:tcW w:w="1083" w:type="dxa"/>
            <w:noWrap w:val="0"/>
            <w:vAlign w:val="center"/>
          </w:tcPr>
          <w:p w14:paraId="210A169E">
            <w:pPr>
              <w:spacing w:line="440" w:lineRule="exact"/>
              <w:jc w:val="center"/>
              <w:rPr>
                <w:rFonts w:hint="eastAsia"/>
                <w:sz w:val="24"/>
              </w:rPr>
            </w:pPr>
            <w:r>
              <w:rPr>
                <w:sz w:val="24"/>
              </w:rPr>
              <w:t>269.10</w:t>
            </w:r>
          </w:p>
        </w:tc>
        <w:tc>
          <w:tcPr>
            <w:tcW w:w="1506" w:type="dxa"/>
            <w:noWrap w:val="0"/>
            <w:vAlign w:val="center"/>
          </w:tcPr>
          <w:p w14:paraId="633CDE27">
            <w:pPr>
              <w:spacing w:line="440" w:lineRule="exact"/>
              <w:jc w:val="center"/>
              <w:rPr>
                <w:rFonts w:hint="eastAsia"/>
                <w:sz w:val="24"/>
              </w:rPr>
            </w:pPr>
          </w:p>
        </w:tc>
        <w:tc>
          <w:tcPr>
            <w:tcW w:w="1293" w:type="dxa"/>
            <w:noWrap w:val="0"/>
            <w:vAlign w:val="center"/>
          </w:tcPr>
          <w:p w14:paraId="404DF0EB">
            <w:pPr>
              <w:spacing w:line="440" w:lineRule="exact"/>
              <w:jc w:val="center"/>
              <w:rPr>
                <w:rFonts w:hint="eastAsia"/>
                <w:sz w:val="24"/>
              </w:rPr>
            </w:pPr>
            <w:r>
              <w:rPr>
                <w:sz w:val="24"/>
              </w:rPr>
              <w:t>59062.9</w:t>
            </w:r>
          </w:p>
        </w:tc>
        <w:tc>
          <w:tcPr>
            <w:tcW w:w="3380" w:type="dxa"/>
            <w:noWrap w:val="0"/>
            <w:vAlign w:val="top"/>
          </w:tcPr>
          <w:p w14:paraId="7645E6C5">
            <w:pPr>
              <w:spacing w:line="440" w:lineRule="exact"/>
              <w:jc w:val="center"/>
              <w:rPr>
                <w:sz w:val="24"/>
              </w:rPr>
            </w:pPr>
          </w:p>
        </w:tc>
      </w:tr>
    </w:tbl>
    <w:p w14:paraId="06249850">
      <w:pPr>
        <w:spacing w:line="620" w:lineRule="exact"/>
        <w:ind w:firstLine="560" w:firstLineChars="200"/>
        <w:rPr>
          <w:rFonts w:hint="eastAsia" w:ascii="宋体" w:hAnsi="宋体"/>
          <w:sz w:val="28"/>
          <w:szCs w:val="28"/>
        </w:rPr>
      </w:pPr>
      <w:r>
        <w:rPr>
          <w:rFonts w:hint="eastAsia" w:ascii="宋体" w:hAnsi="宋体"/>
          <w:sz w:val="28"/>
          <w:szCs w:val="28"/>
        </w:rPr>
        <w:t>岷江东岸片区及其他不可预测用电负荷按地区总用电负荷的5％计，则岷江东岸片区最高用电负荷预测如下：</w:t>
      </w:r>
    </w:p>
    <w:p w14:paraId="5EA24063">
      <w:pPr>
        <w:spacing w:line="620" w:lineRule="exact"/>
        <w:ind w:firstLine="560" w:firstLineChars="200"/>
        <w:rPr>
          <w:rFonts w:hint="eastAsia" w:ascii="宋体" w:hAnsi="宋体"/>
          <w:sz w:val="28"/>
          <w:szCs w:val="28"/>
        </w:rPr>
      </w:pPr>
      <w:r>
        <w:rPr>
          <w:rFonts w:hint="eastAsia" w:ascii="宋体" w:hAnsi="宋体"/>
          <w:sz w:val="28"/>
          <w:szCs w:val="28"/>
        </w:rPr>
        <w:t>Q＝</w:t>
      </w:r>
      <w:r>
        <w:rPr>
          <w:rFonts w:ascii="宋体" w:hAnsi="宋体"/>
          <w:sz w:val="28"/>
          <w:szCs w:val="28"/>
        </w:rPr>
        <w:t>59062.9</w:t>
      </w:r>
      <w:r>
        <w:rPr>
          <w:rFonts w:hint="eastAsia" w:ascii="宋体" w:hAnsi="宋体"/>
          <w:sz w:val="28"/>
          <w:szCs w:val="28"/>
        </w:rPr>
        <w:t>/(1-5%)≈</w:t>
      </w:r>
      <w:r>
        <w:rPr>
          <w:rFonts w:ascii="宋体" w:hAnsi="宋体"/>
          <w:sz w:val="28"/>
          <w:szCs w:val="28"/>
        </w:rPr>
        <w:t>6.22</w:t>
      </w:r>
      <w:r>
        <w:rPr>
          <w:rFonts w:hint="eastAsia" w:ascii="宋体" w:hAnsi="宋体"/>
          <w:sz w:val="28"/>
          <w:szCs w:val="28"/>
        </w:rPr>
        <w:t>万kw/ha</w:t>
      </w:r>
    </w:p>
    <w:p w14:paraId="26635466">
      <w:pPr>
        <w:spacing w:line="620" w:lineRule="exact"/>
        <w:ind w:firstLine="560" w:firstLineChars="200"/>
        <w:rPr>
          <w:rFonts w:hint="eastAsia" w:ascii="宋体" w:hAnsi="宋体"/>
          <w:sz w:val="28"/>
          <w:szCs w:val="28"/>
        </w:rPr>
      </w:pPr>
      <w:r>
        <w:rPr>
          <w:rFonts w:hint="eastAsia" w:ascii="宋体" w:hAnsi="宋体"/>
          <w:sz w:val="28"/>
          <w:szCs w:val="28"/>
        </w:rPr>
        <w:t>岷江东岸片区用电最高负荷为</w:t>
      </w:r>
      <w:r>
        <w:rPr>
          <w:rFonts w:ascii="宋体" w:hAnsi="宋体"/>
          <w:sz w:val="28"/>
          <w:szCs w:val="28"/>
        </w:rPr>
        <w:t>6.22</w:t>
      </w:r>
      <w:r>
        <w:rPr>
          <w:rFonts w:hint="eastAsia" w:ascii="宋体" w:hAnsi="宋体"/>
          <w:sz w:val="28"/>
          <w:szCs w:val="28"/>
        </w:rPr>
        <w:t>万KW/ha。实际负荷为</w:t>
      </w:r>
      <w:r>
        <w:rPr>
          <w:rFonts w:ascii="宋体" w:hAnsi="宋体"/>
          <w:sz w:val="28"/>
          <w:szCs w:val="28"/>
        </w:rPr>
        <w:t>4.98</w:t>
      </w:r>
      <w:r>
        <w:rPr>
          <w:rFonts w:hint="eastAsia" w:ascii="宋体" w:hAnsi="宋体"/>
          <w:sz w:val="28"/>
          <w:szCs w:val="28"/>
        </w:rPr>
        <w:t>万KW/ha。（同时率为0.8）。</w:t>
      </w:r>
    </w:p>
    <w:p w14:paraId="497FD3A8">
      <w:pPr>
        <w:spacing w:line="620" w:lineRule="exact"/>
        <w:ind w:firstLine="562" w:firstLineChars="200"/>
        <w:rPr>
          <w:rFonts w:hint="eastAsia" w:ascii="宋体" w:hAnsi="宋体"/>
          <w:b/>
          <w:sz w:val="28"/>
          <w:szCs w:val="28"/>
        </w:rPr>
      </w:pPr>
      <w:r>
        <w:rPr>
          <w:rFonts w:hint="eastAsia" w:ascii="宋体" w:hAnsi="宋体"/>
          <w:b/>
          <w:sz w:val="28"/>
          <w:szCs w:val="28"/>
        </w:rPr>
        <w:t>（三）供电设施规划</w:t>
      </w:r>
    </w:p>
    <w:p w14:paraId="082921C1">
      <w:pPr>
        <w:spacing w:line="620" w:lineRule="exact"/>
        <w:ind w:firstLine="560" w:firstLineChars="200"/>
        <w:rPr>
          <w:rFonts w:hint="eastAsia" w:ascii="宋体" w:hAnsi="宋体"/>
          <w:sz w:val="28"/>
          <w:szCs w:val="28"/>
        </w:rPr>
      </w:pPr>
      <w:r>
        <w:rPr>
          <w:rFonts w:hint="eastAsia" w:ascii="宋体" w:hAnsi="宋体"/>
          <w:sz w:val="28"/>
          <w:szCs w:val="28"/>
        </w:rPr>
        <w:t>在规划区内未考虑变电站，其主要由规划区外缘的110KV钓鱼台变电站和110KV</w:t>
      </w:r>
      <w:r>
        <w:rPr>
          <w:rFonts w:ascii="宋体" w:hAnsi="宋体"/>
          <w:sz w:val="28"/>
          <w:szCs w:val="28"/>
        </w:rPr>
        <w:t>牟子</w:t>
      </w:r>
      <w:r>
        <w:rPr>
          <w:rFonts w:hint="eastAsia" w:ascii="宋体" w:hAnsi="宋体"/>
          <w:sz w:val="28"/>
          <w:szCs w:val="28"/>
        </w:rPr>
        <w:t>变电站供电。规划10</w:t>
      </w:r>
      <w:r>
        <w:rPr>
          <w:rFonts w:ascii="宋体" w:hAnsi="宋体"/>
          <w:sz w:val="28"/>
          <w:szCs w:val="28"/>
        </w:rPr>
        <w:t>KV</w:t>
      </w:r>
      <w:r>
        <w:rPr>
          <w:rFonts w:hint="eastAsia" w:ascii="宋体" w:hAnsi="宋体"/>
          <w:sz w:val="28"/>
          <w:szCs w:val="28"/>
        </w:rPr>
        <w:t>配电房</w:t>
      </w:r>
      <w:r>
        <w:rPr>
          <w:rFonts w:ascii="宋体" w:hAnsi="宋体"/>
          <w:sz w:val="28"/>
          <w:szCs w:val="28"/>
        </w:rPr>
        <w:t>16</w:t>
      </w:r>
      <w:r>
        <w:rPr>
          <w:rFonts w:hint="eastAsia" w:ascii="宋体" w:hAnsi="宋体"/>
          <w:sz w:val="28"/>
          <w:szCs w:val="28"/>
        </w:rPr>
        <w:t>座，配电房服务半径为250～300米，每处建筑面积大于50</w:t>
      </w:r>
      <w:r>
        <w:rPr>
          <w:rFonts w:ascii="宋体" w:hAnsi="宋体"/>
          <w:sz w:val="28"/>
          <w:szCs w:val="28"/>
        </w:rPr>
        <w:t xml:space="preserve"> m</w:t>
      </w:r>
      <w:r>
        <w:rPr>
          <w:rFonts w:ascii="宋体" w:hAnsi="宋体"/>
          <w:sz w:val="28"/>
          <w:szCs w:val="28"/>
          <w:vertAlign w:val="superscript"/>
        </w:rPr>
        <w:t>2</w:t>
      </w:r>
      <w:r>
        <w:rPr>
          <w:rFonts w:hint="eastAsia" w:ascii="宋体" w:hAnsi="宋体"/>
          <w:sz w:val="28"/>
          <w:szCs w:val="28"/>
        </w:rPr>
        <w:t>。</w:t>
      </w:r>
    </w:p>
    <w:p w14:paraId="7F8412AC">
      <w:pPr>
        <w:spacing w:line="680" w:lineRule="exact"/>
        <w:ind w:firstLine="562" w:firstLineChars="200"/>
        <w:rPr>
          <w:rFonts w:hint="eastAsia" w:ascii="宋体" w:hAnsi="宋体"/>
          <w:b/>
          <w:sz w:val="28"/>
          <w:szCs w:val="28"/>
        </w:rPr>
      </w:pPr>
      <w:r>
        <w:rPr>
          <w:rFonts w:hint="eastAsia" w:ascii="宋体" w:hAnsi="宋体"/>
          <w:b/>
          <w:sz w:val="28"/>
          <w:szCs w:val="28"/>
        </w:rPr>
        <w:t>（四）线路规划</w:t>
      </w:r>
    </w:p>
    <w:p w14:paraId="6A5DB17C">
      <w:pPr>
        <w:spacing w:line="680" w:lineRule="exact"/>
        <w:ind w:firstLine="560" w:firstLineChars="200"/>
        <w:rPr>
          <w:rFonts w:hint="eastAsia" w:ascii="宋体" w:hAnsi="宋体"/>
          <w:sz w:val="28"/>
          <w:szCs w:val="28"/>
        </w:rPr>
      </w:pPr>
      <w:r>
        <w:rPr>
          <w:rFonts w:hint="eastAsia" w:ascii="宋体" w:hAnsi="宋体"/>
          <w:sz w:val="28"/>
          <w:szCs w:val="28"/>
        </w:rPr>
        <w:t>规划区电力线路分为两个等级：</w:t>
      </w:r>
      <w:r>
        <w:rPr>
          <w:rFonts w:ascii="宋体" w:hAnsi="宋体"/>
          <w:sz w:val="28"/>
          <w:szCs w:val="28"/>
        </w:rPr>
        <w:t>110KV</w:t>
      </w:r>
      <w:r>
        <w:rPr>
          <w:rFonts w:hint="eastAsia" w:ascii="宋体" w:hAnsi="宋体"/>
          <w:sz w:val="28"/>
          <w:szCs w:val="28"/>
        </w:rPr>
        <w:t>和</w:t>
      </w:r>
      <w:r>
        <w:rPr>
          <w:rFonts w:ascii="宋体" w:hAnsi="宋体"/>
          <w:sz w:val="28"/>
          <w:szCs w:val="28"/>
        </w:rPr>
        <w:t>10KV</w:t>
      </w:r>
      <w:r>
        <w:rPr>
          <w:rFonts w:hint="eastAsia" w:ascii="宋体" w:hAnsi="宋体"/>
          <w:sz w:val="28"/>
          <w:szCs w:val="28"/>
        </w:rPr>
        <w:t>，其中</w:t>
      </w:r>
      <w:r>
        <w:rPr>
          <w:rFonts w:ascii="宋体" w:hAnsi="宋体"/>
          <w:sz w:val="28"/>
          <w:szCs w:val="28"/>
        </w:rPr>
        <w:t>110KV</w:t>
      </w:r>
      <w:r>
        <w:rPr>
          <w:rFonts w:hint="eastAsia" w:ascii="宋体" w:hAnsi="宋体"/>
          <w:sz w:val="28"/>
          <w:szCs w:val="28"/>
        </w:rPr>
        <w:t>电力线采用架空方式设立，同时线路两侧各划定不小于15米宽防护走廊；</w:t>
      </w:r>
      <w:r>
        <w:rPr>
          <w:rFonts w:ascii="宋体" w:hAnsi="宋体"/>
          <w:sz w:val="28"/>
          <w:szCs w:val="28"/>
        </w:rPr>
        <w:t>10KV</w:t>
      </w:r>
      <w:r>
        <w:rPr>
          <w:rFonts w:hint="eastAsia" w:ascii="宋体" w:hAnsi="宋体"/>
          <w:sz w:val="28"/>
          <w:szCs w:val="28"/>
        </w:rPr>
        <w:t>电力线则沿规划道路采用地下管沟敷设。规划对片区东南</w:t>
      </w:r>
      <w:r>
        <w:rPr>
          <w:rFonts w:ascii="宋体" w:hAnsi="宋体"/>
          <w:sz w:val="28"/>
          <w:szCs w:val="28"/>
        </w:rPr>
        <w:t>部</w:t>
      </w:r>
      <w:r>
        <w:rPr>
          <w:rFonts w:hint="eastAsia" w:ascii="宋体" w:hAnsi="宋体"/>
          <w:sz w:val="28"/>
          <w:szCs w:val="28"/>
        </w:rPr>
        <w:t>现有的</w:t>
      </w:r>
      <w:r>
        <w:rPr>
          <w:rFonts w:ascii="宋体" w:hAnsi="宋体"/>
          <w:sz w:val="28"/>
          <w:szCs w:val="28"/>
        </w:rPr>
        <w:t>35</w:t>
      </w:r>
      <w:r>
        <w:rPr>
          <w:rFonts w:hint="eastAsia" w:ascii="宋体" w:hAnsi="宋体"/>
          <w:sz w:val="28"/>
          <w:szCs w:val="28"/>
        </w:rPr>
        <w:t>KV电力线升级</w:t>
      </w:r>
      <w:r>
        <w:rPr>
          <w:rFonts w:ascii="宋体" w:hAnsi="宋体"/>
          <w:sz w:val="28"/>
          <w:szCs w:val="28"/>
        </w:rPr>
        <w:t>改造</w:t>
      </w:r>
      <w:r>
        <w:rPr>
          <w:rFonts w:hint="eastAsia" w:ascii="宋体" w:hAnsi="宋体"/>
          <w:sz w:val="28"/>
          <w:szCs w:val="28"/>
        </w:rPr>
        <w:t>为110</w:t>
      </w:r>
      <w:r>
        <w:rPr>
          <w:rFonts w:ascii="宋体" w:hAnsi="宋体"/>
          <w:sz w:val="28"/>
          <w:szCs w:val="28"/>
        </w:rPr>
        <w:t>KV电力线</w:t>
      </w:r>
      <w:r>
        <w:rPr>
          <w:rFonts w:hint="eastAsia" w:ascii="宋体" w:hAnsi="宋体"/>
          <w:sz w:val="28"/>
          <w:szCs w:val="28"/>
        </w:rPr>
        <w:t>，以满足周边区域开发需要。</w:t>
      </w:r>
    </w:p>
    <w:p w14:paraId="3AFE53F6">
      <w:pPr>
        <w:pStyle w:val="82"/>
        <w:spacing w:line="640" w:lineRule="exact"/>
        <w:ind w:firstLine="460"/>
        <w:rPr>
          <w:rFonts w:hint="eastAsia" w:hAnsi="宋体" w:cs="Times New Roman"/>
          <w:color w:val="auto"/>
          <w:kern w:val="2"/>
          <w:sz w:val="28"/>
          <w:szCs w:val="28"/>
        </w:rPr>
      </w:pPr>
      <w:r>
        <w:rPr>
          <w:rFonts w:hint="eastAsia" w:hAnsi="宋体" w:cs="Times New Roman"/>
          <w:color w:val="auto"/>
          <w:kern w:val="2"/>
          <w:sz w:val="28"/>
          <w:szCs w:val="28"/>
        </w:rPr>
        <w:t>规划区</w:t>
      </w:r>
      <w:r>
        <w:rPr>
          <w:rFonts w:hAnsi="宋体" w:cs="Times New Roman"/>
          <w:color w:val="auto"/>
          <w:kern w:val="2"/>
          <w:sz w:val="28"/>
          <w:szCs w:val="28"/>
        </w:rPr>
        <w:t>配电网络采用10千伏电压等级，</w:t>
      </w:r>
      <w:r>
        <w:rPr>
          <w:rFonts w:hint="eastAsia" w:hAnsi="宋体" w:cs="Times New Roman"/>
          <w:color w:val="auto"/>
          <w:kern w:val="2"/>
          <w:sz w:val="28"/>
          <w:szCs w:val="28"/>
        </w:rPr>
        <w:t>配电网络</w:t>
      </w:r>
      <w:r>
        <w:rPr>
          <w:rFonts w:hAnsi="宋体" w:cs="Times New Roman"/>
          <w:color w:val="auto"/>
          <w:kern w:val="2"/>
          <w:sz w:val="28"/>
          <w:szCs w:val="28"/>
        </w:rPr>
        <w:t>网架结构采用放射式与树干式相结合的结构方式，即一般负荷采用树干式结线，重要负荷采用放射式结线。</w:t>
      </w:r>
      <w:r>
        <w:rPr>
          <w:rFonts w:hint="eastAsia" w:hAnsi="宋体" w:cs="Times New Roman"/>
          <w:color w:val="auto"/>
          <w:kern w:val="2"/>
          <w:sz w:val="28"/>
          <w:szCs w:val="28"/>
        </w:rPr>
        <w:t>大负荷用户单位应设独立供电回路，与居住及公建负荷分开，以减少相互影响。</w:t>
      </w:r>
      <w:r>
        <w:rPr>
          <w:rFonts w:hAnsi="宋体" w:cs="Times New Roman"/>
          <w:color w:val="auto"/>
          <w:kern w:val="2"/>
          <w:sz w:val="28"/>
          <w:szCs w:val="28"/>
        </w:rPr>
        <w:t>10kV</w:t>
      </w:r>
      <w:r>
        <w:rPr>
          <w:rFonts w:hint="eastAsia" w:hAnsi="宋体" w:cs="Times New Roman"/>
          <w:color w:val="auto"/>
          <w:kern w:val="2"/>
          <w:sz w:val="28"/>
          <w:szCs w:val="28"/>
        </w:rPr>
        <w:t>电力线路沿区内主要道路布置，原则上采用地埋排管方式，主干线路规划采用地埋电缆沟的敷设方式。</w:t>
      </w:r>
    </w:p>
    <w:p w14:paraId="5F32AAF2">
      <w:pPr>
        <w:pStyle w:val="4"/>
        <w:spacing w:line="680" w:lineRule="exact"/>
        <w:rPr>
          <w:rFonts w:hint="eastAsia" w:ascii="黑体" w:eastAsia="黑体"/>
        </w:rPr>
      </w:pPr>
      <w:bookmarkStart w:id="756" w:name="_Toc216520036"/>
      <w:bookmarkStart w:id="757" w:name="_Toc348965241"/>
      <w:bookmarkStart w:id="758" w:name="_Toc6394699"/>
      <w:r>
        <w:rPr>
          <w:rFonts w:hint="eastAsia" w:ascii="黑体" w:eastAsia="黑体"/>
        </w:rPr>
        <w:t>六、管线综合规划</w:t>
      </w:r>
      <w:bookmarkEnd w:id="756"/>
      <w:bookmarkEnd w:id="757"/>
      <w:bookmarkEnd w:id="758"/>
    </w:p>
    <w:p w14:paraId="15D6CE51">
      <w:pPr>
        <w:spacing w:line="680" w:lineRule="exact"/>
        <w:ind w:firstLine="560" w:firstLineChars="200"/>
        <w:rPr>
          <w:rFonts w:hint="eastAsia" w:ascii="宋体" w:hAnsi="宋体"/>
          <w:sz w:val="28"/>
          <w:szCs w:val="28"/>
        </w:rPr>
      </w:pPr>
      <w:r>
        <w:rPr>
          <w:rFonts w:hint="eastAsia" w:ascii="宋体" w:hAnsi="宋体"/>
          <w:sz w:val="28"/>
          <w:szCs w:val="28"/>
        </w:rPr>
        <w:t>1、为避免重复施工，节约资金，减少道路二次开挖和有利于各种管线的正常运行，满足施工、管理维护、安全要求，管线平面综合一般情况下的布置顺序按（自建筑红线向道路方向）电力电缆、给水管道或电信电缆；雨水管道或污水管道；同时应优先考虑自流管、大口径管道的竖向要求。</w:t>
      </w:r>
    </w:p>
    <w:p w14:paraId="2D2742E1">
      <w:pPr>
        <w:spacing w:line="680" w:lineRule="exact"/>
        <w:ind w:firstLine="560" w:firstLineChars="200"/>
        <w:rPr>
          <w:rFonts w:hint="eastAsia" w:ascii="宋体" w:hAnsi="宋体"/>
          <w:sz w:val="28"/>
          <w:szCs w:val="28"/>
        </w:rPr>
      </w:pPr>
      <w:r>
        <w:rPr>
          <w:rFonts w:hint="eastAsia" w:ascii="宋体" w:hAnsi="宋体"/>
          <w:sz w:val="28"/>
          <w:szCs w:val="28"/>
        </w:rPr>
        <w:t>2、电力浅沟在穿越道路时，应作结构处理以解决随车荷载问题，尽量避免加大埋深方式，以减少管线在交叉口的有碰撞矛盾。</w:t>
      </w:r>
    </w:p>
    <w:p w14:paraId="6EB736FE">
      <w:pPr>
        <w:spacing w:line="680" w:lineRule="exact"/>
        <w:ind w:firstLine="560" w:firstLineChars="200"/>
        <w:rPr>
          <w:rFonts w:hint="eastAsia" w:ascii="宋体" w:hAnsi="宋体"/>
          <w:sz w:val="28"/>
          <w:szCs w:val="28"/>
        </w:rPr>
      </w:pPr>
      <w:r>
        <w:rPr>
          <w:rFonts w:hint="eastAsia" w:ascii="宋体" w:hAnsi="宋体"/>
          <w:sz w:val="28"/>
          <w:szCs w:val="28"/>
        </w:rPr>
        <w:t>3、在各种管道设计和实施中，管道高程出现矛盾，一般按下面原则解决：</w:t>
      </w:r>
    </w:p>
    <w:p w14:paraId="7A63895F">
      <w:pPr>
        <w:spacing w:line="680" w:lineRule="exact"/>
        <w:ind w:firstLine="560" w:firstLineChars="200"/>
        <w:rPr>
          <w:rFonts w:hint="eastAsia" w:ascii="宋体" w:hAnsi="宋体"/>
          <w:sz w:val="28"/>
          <w:szCs w:val="28"/>
        </w:rPr>
      </w:pPr>
      <w:r>
        <w:rPr>
          <w:rFonts w:ascii="宋体" w:hAnsi="宋体"/>
          <w:sz w:val="28"/>
          <w:szCs w:val="28"/>
        </w:rPr>
        <w:t>①</w:t>
      </w:r>
      <w:r>
        <w:rPr>
          <w:rFonts w:hint="eastAsia" w:ascii="宋体" w:hAnsi="宋体"/>
          <w:sz w:val="28"/>
          <w:szCs w:val="28"/>
        </w:rPr>
        <w:t>压力管让自流管；</w:t>
      </w:r>
    </w:p>
    <w:p w14:paraId="6861EF22">
      <w:pPr>
        <w:spacing w:line="680" w:lineRule="exact"/>
        <w:ind w:firstLine="560" w:firstLineChars="200"/>
        <w:rPr>
          <w:rFonts w:hint="eastAsia" w:ascii="宋体" w:hAnsi="宋体"/>
          <w:sz w:val="28"/>
          <w:szCs w:val="28"/>
        </w:rPr>
      </w:pPr>
      <w:r>
        <w:rPr>
          <w:rFonts w:ascii="宋体" w:hAnsi="宋体"/>
          <w:sz w:val="28"/>
          <w:szCs w:val="28"/>
        </w:rPr>
        <w:t>②</w:t>
      </w:r>
      <w:r>
        <w:rPr>
          <w:rFonts w:hint="eastAsia" w:ascii="宋体" w:hAnsi="宋体"/>
          <w:sz w:val="28"/>
          <w:szCs w:val="28"/>
        </w:rPr>
        <w:t>管径小的让管径大的；</w:t>
      </w:r>
    </w:p>
    <w:p w14:paraId="65D12D16">
      <w:pPr>
        <w:spacing w:line="680" w:lineRule="exact"/>
        <w:ind w:firstLine="560" w:firstLineChars="200"/>
        <w:rPr>
          <w:rFonts w:hint="eastAsia" w:ascii="宋体" w:hAnsi="宋体"/>
          <w:sz w:val="28"/>
          <w:szCs w:val="28"/>
        </w:rPr>
      </w:pPr>
      <w:r>
        <w:rPr>
          <w:rFonts w:ascii="宋体" w:hAnsi="宋体"/>
          <w:sz w:val="28"/>
          <w:szCs w:val="28"/>
        </w:rPr>
        <w:t>③</w:t>
      </w:r>
      <w:r>
        <w:rPr>
          <w:rFonts w:hint="eastAsia" w:ascii="宋体" w:hAnsi="宋体"/>
          <w:sz w:val="28"/>
          <w:szCs w:val="28"/>
        </w:rPr>
        <w:t>易弯曲的让不易弯曲的；</w:t>
      </w:r>
    </w:p>
    <w:p w14:paraId="40B6BEE8">
      <w:pPr>
        <w:spacing w:line="680" w:lineRule="exact"/>
        <w:ind w:firstLine="560" w:firstLineChars="200"/>
        <w:rPr>
          <w:rFonts w:hint="eastAsia" w:ascii="宋体" w:hAnsi="宋体"/>
          <w:sz w:val="28"/>
          <w:szCs w:val="28"/>
        </w:rPr>
      </w:pPr>
      <w:r>
        <w:rPr>
          <w:rFonts w:hint="eastAsia" w:ascii="宋体" w:hAnsi="宋体"/>
          <w:sz w:val="28"/>
          <w:szCs w:val="28"/>
        </w:rPr>
        <w:t>④临时性的让永久性的；</w:t>
      </w:r>
    </w:p>
    <w:p w14:paraId="392ECD79">
      <w:pPr>
        <w:spacing w:line="680" w:lineRule="exact"/>
        <w:ind w:firstLine="560" w:firstLineChars="200"/>
        <w:rPr>
          <w:rFonts w:hint="eastAsia" w:ascii="宋体" w:hAnsi="宋体"/>
          <w:sz w:val="28"/>
          <w:szCs w:val="28"/>
        </w:rPr>
      </w:pPr>
      <w:r>
        <w:rPr>
          <w:rFonts w:ascii="宋体" w:hAnsi="宋体"/>
          <w:sz w:val="28"/>
          <w:szCs w:val="28"/>
        </w:rPr>
        <w:t>⑤</w:t>
      </w:r>
      <w:r>
        <w:rPr>
          <w:rFonts w:hint="eastAsia" w:ascii="宋体" w:hAnsi="宋体"/>
          <w:sz w:val="28"/>
          <w:szCs w:val="28"/>
        </w:rPr>
        <w:t>工程量小的让工程量大的；</w:t>
      </w:r>
    </w:p>
    <w:p w14:paraId="064C2F0C">
      <w:pPr>
        <w:spacing w:line="680" w:lineRule="exact"/>
        <w:ind w:firstLine="560" w:firstLineChars="200"/>
        <w:rPr>
          <w:rFonts w:hint="eastAsia" w:ascii="宋体" w:hAnsi="宋体"/>
          <w:sz w:val="28"/>
          <w:szCs w:val="28"/>
        </w:rPr>
      </w:pPr>
      <w:r>
        <w:rPr>
          <w:rFonts w:ascii="宋体" w:hAnsi="宋体"/>
          <w:sz w:val="28"/>
          <w:szCs w:val="28"/>
        </w:rPr>
        <w:t>⑥</w:t>
      </w:r>
      <w:r>
        <w:rPr>
          <w:rFonts w:hint="eastAsia" w:ascii="宋体" w:hAnsi="宋体"/>
          <w:sz w:val="28"/>
          <w:szCs w:val="28"/>
        </w:rPr>
        <w:t>新建的让现状的；</w:t>
      </w:r>
    </w:p>
    <w:p w14:paraId="2BCD9235">
      <w:pPr>
        <w:spacing w:line="680" w:lineRule="exact"/>
        <w:ind w:firstLine="560" w:firstLineChars="200"/>
        <w:rPr>
          <w:rFonts w:hint="eastAsia" w:ascii="宋体" w:hAnsi="宋体"/>
          <w:sz w:val="28"/>
          <w:szCs w:val="28"/>
        </w:rPr>
      </w:pPr>
      <w:r>
        <w:rPr>
          <w:rFonts w:ascii="宋体" w:hAnsi="宋体"/>
          <w:sz w:val="28"/>
          <w:szCs w:val="28"/>
        </w:rPr>
        <w:t>⑦</w:t>
      </w:r>
      <w:r>
        <w:rPr>
          <w:rFonts w:hint="eastAsia" w:ascii="宋体" w:hAnsi="宋体"/>
          <w:sz w:val="28"/>
          <w:szCs w:val="28"/>
        </w:rPr>
        <w:t>检修次数少的、方便的让检修次数多的、不方便的。</w:t>
      </w:r>
    </w:p>
    <w:p w14:paraId="665BC244">
      <w:pPr>
        <w:spacing w:line="680" w:lineRule="exact"/>
        <w:ind w:firstLine="560" w:firstLineChars="200"/>
        <w:rPr>
          <w:rFonts w:hint="eastAsia" w:ascii="宋体" w:hAnsi="宋体"/>
          <w:sz w:val="28"/>
          <w:szCs w:val="28"/>
        </w:rPr>
      </w:pPr>
      <w:r>
        <w:rPr>
          <w:rFonts w:hint="eastAsia" w:ascii="宋体" w:hAnsi="宋体"/>
          <w:sz w:val="28"/>
          <w:szCs w:val="28"/>
        </w:rPr>
        <w:t>4、规划断面管线布置</w:t>
      </w:r>
    </w:p>
    <w:p w14:paraId="3816CFC0">
      <w:pPr>
        <w:spacing w:line="680" w:lineRule="exact"/>
        <w:ind w:firstLine="560" w:firstLineChars="200"/>
        <w:rPr>
          <w:rFonts w:hint="eastAsia" w:ascii="宋体" w:hAnsi="宋体"/>
          <w:sz w:val="28"/>
          <w:szCs w:val="28"/>
        </w:rPr>
      </w:pPr>
      <w:r>
        <w:rPr>
          <w:rFonts w:hint="eastAsia" w:ascii="宋体" w:hAnsi="宋体"/>
          <w:sz w:val="28"/>
          <w:szCs w:val="28"/>
        </w:rPr>
        <w:t>在一般情况下道路的西、南侧布置电力、供水、雨水管道；道路的东、北侧设电信、污水管道和燃气管道。</w:t>
      </w:r>
    </w:p>
    <w:p w14:paraId="751F1A45">
      <w:pPr>
        <w:spacing w:line="680" w:lineRule="exact"/>
        <w:ind w:firstLine="560" w:firstLineChars="200"/>
        <w:rPr>
          <w:rFonts w:hint="eastAsia" w:ascii="宋体" w:hAnsi="宋体"/>
          <w:sz w:val="28"/>
          <w:szCs w:val="28"/>
        </w:rPr>
      </w:pPr>
      <w:r>
        <w:rPr>
          <w:rFonts w:hint="eastAsia" w:ascii="宋体" w:hAnsi="宋体"/>
          <w:sz w:val="28"/>
          <w:szCs w:val="28"/>
        </w:rPr>
        <w:t>5、管线的布设应与道路或建筑红线平行，同一管线不宜自道路一侧转至另一侧。地下管线的施工宜与道路建设同步进行。</w:t>
      </w:r>
    </w:p>
    <w:p w14:paraId="2234D445">
      <w:pPr>
        <w:spacing w:line="680" w:lineRule="exact"/>
        <w:ind w:firstLine="560" w:firstLineChars="200"/>
        <w:rPr>
          <w:rFonts w:ascii="宋体" w:hAnsi="宋体"/>
          <w:sz w:val="28"/>
          <w:szCs w:val="28"/>
        </w:rPr>
      </w:pPr>
      <w:r>
        <w:rPr>
          <w:rFonts w:hint="eastAsia" w:ascii="宋体" w:hAnsi="宋体"/>
          <w:sz w:val="28"/>
          <w:szCs w:val="28"/>
        </w:rPr>
        <w:t>6、建筑红线与道路红线之间的地下空间允许市政管线占用。</w:t>
      </w:r>
    </w:p>
    <w:p w14:paraId="14FED641">
      <w:pPr>
        <w:spacing w:line="680" w:lineRule="exact"/>
        <w:ind w:firstLine="560" w:firstLineChars="200"/>
        <w:rPr>
          <w:rFonts w:hint="eastAsia" w:ascii="宋体" w:hAnsi="宋体"/>
          <w:sz w:val="28"/>
          <w:szCs w:val="28"/>
        </w:rPr>
      </w:pPr>
    </w:p>
    <w:p w14:paraId="6F86EDCE">
      <w:pPr>
        <w:pStyle w:val="3"/>
        <w:spacing w:line="700" w:lineRule="exact"/>
        <w:jc w:val="center"/>
        <w:rPr>
          <w:rFonts w:hint="eastAsia"/>
          <w:sz w:val="36"/>
        </w:rPr>
      </w:pPr>
      <w:bookmarkStart w:id="759" w:name="_Toc216520037"/>
      <w:bookmarkStart w:id="760" w:name="_Toc348965242"/>
      <w:bookmarkStart w:id="761" w:name="_Toc6394700"/>
      <w:r>
        <w:rPr>
          <w:rFonts w:hint="eastAsia"/>
          <w:sz w:val="36"/>
        </w:rPr>
        <w:t>第十一章  综合防灾规划</w:t>
      </w:r>
      <w:bookmarkEnd w:id="759"/>
      <w:bookmarkEnd w:id="760"/>
      <w:bookmarkEnd w:id="761"/>
    </w:p>
    <w:p w14:paraId="1553DC78">
      <w:pPr>
        <w:pStyle w:val="4"/>
        <w:spacing w:line="680" w:lineRule="exact"/>
        <w:rPr>
          <w:rFonts w:hint="eastAsia" w:ascii="黑体" w:eastAsia="黑体"/>
        </w:rPr>
      </w:pPr>
      <w:bookmarkStart w:id="762" w:name="_Toc6394701"/>
      <w:bookmarkStart w:id="763" w:name="_Toc216520038"/>
      <w:bookmarkStart w:id="764" w:name="_Toc348965243"/>
      <w:r>
        <w:rPr>
          <w:rFonts w:hint="eastAsia" w:ascii="黑体" w:eastAsia="黑体"/>
        </w:rPr>
        <w:t>一、防灾体系</w:t>
      </w:r>
      <w:bookmarkEnd w:id="762"/>
      <w:bookmarkEnd w:id="763"/>
      <w:bookmarkEnd w:id="764"/>
    </w:p>
    <w:p w14:paraId="4D014A71">
      <w:pPr>
        <w:spacing w:line="680" w:lineRule="exact"/>
        <w:ind w:firstLine="560" w:firstLineChars="200"/>
        <w:rPr>
          <w:rFonts w:hint="eastAsia" w:ascii="宋体" w:hAnsi="宋体"/>
          <w:sz w:val="28"/>
          <w:szCs w:val="28"/>
        </w:rPr>
      </w:pPr>
      <w:bookmarkStart w:id="765" w:name="_Toc216520039"/>
      <w:r>
        <w:rPr>
          <w:rFonts w:ascii="宋体" w:hAnsi="宋体"/>
          <w:sz w:val="28"/>
          <w:szCs w:val="28"/>
        </w:rPr>
        <w:t>规划区的防灾工作重点是防止灾害的发生，以及防止和减少发生灾害对规划区的影响。因此，防灾不仅仅指防御或防止灾害的发生，实际上应包括对灾害的监测、预防、防护、抗御、救援和灾后恢复重建等多方面工作。防灾体系的建立需要政策性措施和工程措施的密切配合，二者相互依赖、相辅相成，政策性措施是“软措施”，工程性措施是“硬措施”，防灾工作必须从政策制定和工程设施建设两方面入手，“软硬兼施、双管齐下”。</w:t>
      </w:r>
    </w:p>
    <w:p w14:paraId="001AE6BF">
      <w:pPr>
        <w:spacing w:line="680" w:lineRule="exact"/>
        <w:ind w:firstLine="560" w:firstLineChars="200"/>
        <w:rPr>
          <w:rFonts w:hint="eastAsia" w:ascii="宋体" w:hAnsi="宋体"/>
          <w:sz w:val="28"/>
          <w:szCs w:val="28"/>
        </w:rPr>
      </w:pPr>
      <w:r>
        <w:rPr>
          <w:rFonts w:ascii="宋体" w:hAnsi="宋体"/>
          <w:sz w:val="28"/>
          <w:szCs w:val="28"/>
        </w:rPr>
        <w:t>本规划</w:t>
      </w:r>
      <w:r>
        <w:rPr>
          <w:rFonts w:hint="eastAsia" w:ascii="宋体" w:hAnsi="宋体"/>
          <w:sz w:val="28"/>
          <w:szCs w:val="28"/>
        </w:rPr>
        <w:t>主要</w:t>
      </w:r>
      <w:r>
        <w:rPr>
          <w:rFonts w:ascii="宋体" w:hAnsi="宋体"/>
          <w:sz w:val="28"/>
          <w:szCs w:val="28"/>
        </w:rPr>
        <w:t>重于防灾工程设施建设的硬件部分。规划区的生态绿地、</w:t>
      </w:r>
      <w:r>
        <w:rPr>
          <w:rFonts w:hint="eastAsia" w:ascii="宋体" w:hAnsi="宋体"/>
          <w:sz w:val="28"/>
          <w:szCs w:val="28"/>
        </w:rPr>
        <w:t>公园、</w:t>
      </w:r>
      <w:r>
        <w:rPr>
          <w:rFonts w:ascii="宋体" w:hAnsi="宋体"/>
          <w:sz w:val="28"/>
          <w:szCs w:val="28"/>
        </w:rPr>
        <w:t>广场、开敝空间等旷地既是美化园区的建设设施，也是灾害发生时的临时避难场地，疏散半径为1</w:t>
      </w:r>
      <w:r>
        <w:rPr>
          <w:rFonts w:hint="eastAsia" w:ascii="宋体" w:hAnsi="宋体"/>
          <w:sz w:val="28"/>
          <w:szCs w:val="28"/>
        </w:rPr>
        <w:t>～</w:t>
      </w:r>
      <w:r>
        <w:rPr>
          <w:rFonts w:ascii="宋体" w:hAnsi="宋体"/>
          <w:sz w:val="28"/>
          <w:szCs w:val="28"/>
        </w:rPr>
        <w:t>1.5km以内。规划区主干道、快速路作为区域性疏散通道和防灾供应道及救援道，与</w:t>
      </w:r>
      <w:r>
        <w:rPr>
          <w:rFonts w:hint="eastAsia" w:ascii="宋体" w:hAnsi="宋体"/>
          <w:sz w:val="28"/>
          <w:szCs w:val="28"/>
        </w:rPr>
        <w:t>乐山</w:t>
      </w:r>
      <w:r>
        <w:rPr>
          <w:rFonts w:ascii="宋体" w:hAnsi="宋体"/>
          <w:sz w:val="28"/>
          <w:szCs w:val="28"/>
        </w:rPr>
        <w:t>市中心城</w:t>
      </w:r>
      <w:r>
        <w:rPr>
          <w:rFonts w:hint="eastAsia" w:ascii="宋体" w:hAnsi="宋体"/>
          <w:sz w:val="28"/>
          <w:szCs w:val="28"/>
        </w:rPr>
        <w:t>区</w:t>
      </w:r>
      <w:r>
        <w:rPr>
          <w:rFonts w:ascii="宋体" w:hAnsi="宋体"/>
          <w:sz w:val="28"/>
          <w:szCs w:val="28"/>
        </w:rPr>
        <w:t>路网相连形成网络，次干道和支路为</w:t>
      </w:r>
      <w:r>
        <w:rPr>
          <w:rFonts w:hint="eastAsia" w:ascii="宋体" w:hAnsi="宋体"/>
          <w:sz w:val="28"/>
          <w:szCs w:val="28"/>
        </w:rPr>
        <w:t>片</w:t>
      </w:r>
      <w:r>
        <w:rPr>
          <w:rFonts w:ascii="宋体" w:hAnsi="宋体"/>
          <w:sz w:val="28"/>
          <w:szCs w:val="28"/>
        </w:rPr>
        <w:t>区内次一级的疏散通道和防灾供应道及救援道，这些道路两侧建筑高度与道路宽度比应符合国家有关防灾要求。</w:t>
      </w:r>
    </w:p>
    <w:p w14:paraId="6EE48514">
      <w:pPr>
        <w:pStyle w:val="4"/>
        <w:spacing w:line="680" w:lineRule="exact"/>
        <w:rPr>
          <w:rFonts w:ascii="黑体" w:eastAsia="黑体"/>
        </w:rPr>
      </w:pPr>
      <w:bookmarkStart w:id="766" w:name="_Toc348965244"/>
      <w:bookmarkStart w:id="767" w:name="_Toc6394702"/>
      <w:r>
        <w:rPr>
          <w:rFonts w:hint="eastAsia" w:ascii="黑体" w:eastAsia="黑体"/>
        </w:rPr>
        <w:t>二、防洪排涝规划</w:t>
      </w:r>
      <w:bookmarkEnd w:id="765"/>
      <w:bookmarkEnd w:id="766"/>
      <w:bookmarkEnd w:id="767"/>
    </w:p>
    <w:p w14:paraId="3BF78E2D">
      <w:pPr>
        <w:spacing w:line="680" w:lineRule="exact"/>
        <w:ind w:firstLine="560" w:firstLineChars="200"/>
        <w:rPr>
          <w:rFonts w:ascii="宋体" w:hAnsi="宋体"/>
          <w:sz w:val="28"/>
          <w:szCs w:val="28"/>
        </w:rPr>
      </w:pPr>
      <w:bookmarkStart w:id="768" w:name="_Toc216520040"/>
      <w:r>
        <w:rPr>
          <w:rFonts w:hint="eastAsia" w:ascii="宋体" w:hAnsi="宋体"/>
          <w:sz w:val="28"/>
          <w:szCs w:val="28"/>
        </w:rPr>
        <w:t>规划区内岷江流域城市防洪标准规划为5</w:t>
      </w:r>
      <w:r>
        <w:rPr>
          <w:rFonts w:ascii="宋体" w:hAnsi="宋体"/>
          <w:sz w:val="28"/>
          <w:szCs w:val="28"/>
        </w:rPr>
        <w:t>0</w:t>
      </w:r>
      <w:r>
        <w:rPr>
          <w:rFonts w:hint="eastAsia" w:ascii="宋体" w:hAnsi="宋体"/>
          <w:sz w:val="28"/>
          <w:szCs w:val="28"/>
        </w:rPr>
        <w:t>年一遇，泥溪</w:t>
      </w:r>
      <w:r>
        <w:rPr>
          <w:rFonts w:ascii="宋体" w:hAnsi="宋体"/>
          <w:sz w:val="28"/>
          <w:szCs w:val="28"/>
        </w:rPr>
        <w:t>河</w:t>
      </w:r>
      <w:r>
        <w:rPr>
          <w:rFonts w:hint="eastAsia" w:ascii="宋体" w:hAnsi="宋体"/>
          <w:sz w:val="28"/>
          <w:szCs w:val="28"/>
        </w:rPr>
        <w:t>按20年一遇防洪标准设防，其他</w:t>
      </w:r>
      <w:r>
        <w:rPr>
          <w:rFonts w:ascii="宋体" w:hAnsi="宋体"/>
          <w:sz w:val="28"/>
          <w:szCs w:val="28"/>
        </w:rPr>
        <w:t>沟渠</w:t>
      </w:r>
      <w:r>
        <w:rPr>
          <w:rFonts w:hint="eastAsia" w:ascii="宋体" w:hAnsi="宋体"/>
          <w:sz w:val="28"/>
          <w:szCs w:val="28"/>
        </w:rPr>
        <w:t>排涝标准为10～20年一遇。规划区所有工程建设项目涉及防洪需以水务部门出具意见为准。</w:t>
      </w:r>
    </w:p>
    <w:p w14:paraId="6895A9E3">
      <w:pPr>
        <w:spacing w:line="680" w:lineRule="exact"/>
        <w:ind w:firstLine="560" w:firstLineChars="200"/>
        <w:rPr>
          <w:rFonts w:ascii="宋体" w:hAnsi="宋体"/>
          <w:sz w:val="28"/>
          <w:szCs w:val="28"/>
        </w:rPr>
      </w:pPr>
      <w:r>
        <w:rPr>
          <w:rFonts w:hint="eastAsia" w:ascii="宋体" w:hAnsi="宋体"/>
          <w:sz w:val="28"/>
          <w:szCs w:val="28"/>
        </w:rPr>
        <w:t>规划区岷江、泥溪</w:t>
      </w:r>
      <w:r>
        <w:rPr>
          <w:rFonts w:ascii="宋体" w:hAnsi="宋体"/>
          <w:sz w:val="28"/>
          <w:szCs w:val="28"/>
        </w:rPr>
        <w:t>河</w:t>
      </w:r>
      <w:r>
        <w:rPr>
          <w:rFonts w:hint="eastAsia" w:ascii="宋体" w:hAnsi="宋体"/>
          <w:sz w:val="28"/>
          <w:szCs w:val="28"/>
        </w:rPr>
        <w:t>及其他3条</w:t>
      </w:r>
      <w:r>
        <w:rPr>
          <w:rFonts w:ascii="宋体" w:hAnsi="宋体"/>
          <w:sz w:val="28"/>
          <w:szCs w:val="28"/>
        </w:rPr>
        <w:t>无名沟渠</w:t>
      </w:r>
      <w:r>
        <w:rPr>
          <w:rFonts w:hint="eastAsia" w:ascii="宋体" w:hAnsi="宋体"/>
          <w:sz w:val="28"/>
          <w:szCs w:val="28"/>
        </w:rPr>
        <w:t>出水口区域处于洪水影响范围内，应修建防洪排涝工程设施，消除洪水隐患。</w:t>
      </w:r>
      <w:r>
        <w:rPr>
          <w:rFonts w:ascii="宋体" w:hAnsi="宋体"/>
          <w:sz w:val="28"/>
          <w:szCs w:val="28"/>
        </w:rPr>
        <w:t>汛前河道</w:t>
      </w:r>
      <w:r>
        <w:rPr>
          <w:rFonts w:hint="eastAsia" w:ascii="宋体" w:hAnsi="宋体"/>
          <w:sz w:val="28"/>
          <w:szCs w:val="28"/>
        </w:rPr>
        <w:t>应</w:t>
      </w:r>
      <w:r>
        <w:rPr>
          <w:rFonts w:ascii="宋体" w:hAnsi="宋体"/>
          <w:sz w:val="28"/>
          <w:szCs w:val="28"/>
        </w:rPr>
        <w:t>清障，排涝管清瘀，以利安全泄洪。</w:t>
      </w:r>
    </w:p>
    <w:p w14:paraId="3043FFE8">
      <w:pPr>
        <w:spacing w:line="680" w:lineRule="exact"/>
        <w:ind w:firstLine="560" w:firstLineChars="200"/>
        <w:rPr>
          <w:rFonts w:ascii="宋体" w:hAnsi="宋体"/>
          <w:sz w:val="28"/>
          <w:szCs w:val="28"/>
        </w:rPr>
      </w:pPr>
      <w:r>
        <w:rPr>
          <w:rFonts w:hint="eastAsia" w:ascii="宋体" w:hAnsi="宋体"/>
          <w:sz w:val="28"/>
          <w:szCs w:val="28"/>
        </w:rPr>
        <w:t>结合海绵城市建设，片区内各地块在建设开发时应根据自身条件，选取合适的“渗、滞、蓄、净、用、排”设施，达到年径流总量控制率等控制指标要求，降低地块外排水量，防止城市内涝。</w:t>
      </w:r>
    </w:p>
    <w:p w14:paraId="185D92EE">
      <w:pPr>
        <w:pStyle w:val="4"/>
        <w:spacing w:line="680" w:lineRule="exact"/>
        <w:rPr>
          <w:rFonts w:hint="eastAsia" w:ascii="黑体" w:eastAsia="黑体"/>
        </w:rPr>
      </w:pPr>
      <w:bookmarkStart w:id="769" w:name="_Toc348965245"/>
      <w:bookmarkStart w:id="770" w:name="_Toc6394703"/>
      <w:r>
        <w:rPr>
          <w:rFonts w:hint="eastAsia" w:ascii="黑体" w:eastAsia="黑体"/>
        </w:rPr>
        <w:t>三、抗震规划</w:t>
      </w:r>
      <w:bookmarkEnd w:id="768"/>
      <w:bookmarkEnd w:id="769"/>
      <w:bookmarkEnd w:id="770"/>
    </w:p>
    <w:p w14:paraId="661CED02">
      <w:pPr>
        <w:spacing w:line="680" w:lineRule="exact"/>
        <w:ind w:firstLine="560" w:firstLineChars="200"/>
        <w:rPr>
          <w:rFonts w:hint="eastAsia" w:ascii="宋体" w:hAnsi="宋体"/>
          <w:sz w:val="28"/>
          <w:szCs w:val="28"/>
        </w:rPr>
      </w:pPr>
      <w:r>
        <w:rPr>
          <w:rFonts w:hint="eastAsia" w:ascii="宋体" w:hAnsi="宋体"/>
          <w:sz w:val="28"/>
          <w:szCs w:val="28"/>
        </w:rPr>
        <w:t>规划坚持“以防为主，防、抗、救相结合”的基本原则，从规划区的实际情况出发，做好防震防灾工作，提高规划区的综合抗震能力，为最大限度地减轻地震灾害损失，做好充分准备。</w:t>
      </w:r>
    </w:p>
    <w:p w14:paraId="3D5BABF5">
      <w:pPr>
        <w:spacing w:line="680" w:lineRule="exact"/>
        <w:ind w:firstLine="560" w:firstLineChars="200"/>
        <w:rPr>
          <w:rFonts w:hint="eastAsia" w:ascii="宋体" w:hAnsi="宋体"/>
          <w:sz w:val="28"/>
          <w:szCs w:val="28"/>
        </w:rPr>
      </w:pPr>
      <w:r>
        <w:rPr>
          <w:rFonts w:hint="eastAsia" w:ascii="宋体" w:hAnsi="宋体"/>
          <w:sz w:val="28"/>
          <w:szCs w:val="28"/>
        </w:rPr>
        <w:t>根据地震烈度区划，规划区抗震设防烈度按七度设防。建设工程按国家颁布的《建筑物抗震设计规范》进行抗震设计和建设。城市生命线工程及规划确定的重要建筑提高一度设防。</w:t>
      </w:r>
    </w:p>
    <w:p w14:paraId="1C7B0C09">
      <w:pPr>
        <w:spacing w:line="680" w:lineRule="exact"/>
        <w:ind w:firstLine="560" w:firstLineChars="200"/>
        <w:rPr>
          <w:rFonts w:hint="eastAsia" w:ascii="宋体" w:hAnsi="宋体"/>
          <w:sz w:val="28"/>
          <w:szCs w:val="28"/>
        </w:rPr>
      </w:pPr>
      <w:r>
        <w:rPr>
          <w:rFonts w:hint="eastAsia" w:ascii="宋体" w:hAnsi="宋体"/>
          <w:sz w:val="28"/>
          <w:szCs w:val="28"/>
        </w:rPr>
        <w:t>对易发生次生灾害的单位和部门，要进行合理的规划布局，并针对性地采取抗震加固以及预防地震火灾措施，以减少次生灾害的发生。</w:t>
      </w:r>
      <w:bookmarkStart w:id="771" w:name="_Toc216520041"/>
      <w:r>
        <w:rPr>
          <w:rFonts w:hint="eastAsia" w:ascii="宋体" w:hAnsi="宋体"/>
          <w:sz w:val="28"/>
          <w:szCs w:val="28"/>
        </w:rPr>
        <w:t>规划区内的绿地、广场、体育场、学校操场等开敞空间，作为避震疏散场地。</w:t>
      </w:r>
    </w:p>
    <w:p w14:paraId="514E4690">
      <w:pPr>
        <w:pStyle w:val="4"/>
        <w:spacing w:line="680" w:lineRule="exact"/>
        <w:rPr>
          <w:rFonts w:hint="eastAsia" w:ascii="黑体" w:eastAsia="黑体"/>
        </w:rPr>
      </w:pPr>
      <w:bookmarkStart w:id="772" w:name="_Toc348965246"/>
      <w:bookmarkStart w:id="773" w:name="_Toc6394704"/>
      <w:r>
        <w:rPr>
          <w:rFonts w:hint="eastAsia" w:ascii="黑体" w:eastAsia="黑体"/>
        </w:rPr>
        <w:t>四、消防规划</w:t>
      </w:r>
      <w:bookmarkEnd w:id="771"/>
      <w:bookmarkEnd w:id="772"/>
      <w:bookmarkEnd w:id="773"/>
    </w:p>
    <w:p w14:paraId="60D9AE57">
      <w:pPr>
        <w:spacing w:line="680" w:lineRule="exact"/>
        <w:ind w:firstLine="560" w:firstLineChars="200"/>
        <w:rPr>
          <w:rFonts w:hint="eastAsia" w:ascii="宋体" w:hAnsi="宋体"/>
          <w:sz w:val="28"/>
          <w:szCs w:val="28"/>
        </w:rPr>
      </w:pPr>
      <w:bookmarkStart w:id="774" w:name="_Toc216520042"/>
      <w:r>
        <w:rPr>
          <w:rFonts w:hint="eastAsia" w:ascii="宋体" w:hAnsi="宋体"/>
          <w:sz w:val="28"/>
          <w:szCs w:val="28"/>
        </w:rPr>
        <w:t>消防应坚持“预防为主、防消结合”的工作方针，建立健全消防建审制度。提高整体防火意识，消除火灾隐患，保护人民生命和财产的安全。</w:t>
      </w:r>
    </w:p>
    <w:p w14:paraId="628EA7E6">
      <w:pPr>
        <w:spacing w:line="680" w:lineRule="exact"/>
        <w:ind w:firstLine="560" w:firstLineChars="200"/>
        <w:rPr>
          <w:rFonts w:ascii="宋体" w:hAnsi="宋体"/>
          <w:sz w:val="28"/>
          <w:szCs w:val="28"/>
        </w:rPr>
      </w:pPr>
      <w:r>
        <w:rPr>
          <w:rFonts w:hint="eastAsia" w:ascii="宋体" w:hAnsi="宋体"/>
          <w:sz w:val="28"/>
          <w:szCs w:val="28"/>
        </w:rPr>
        <w:t>本规划区不单独设置消防站。牟子片区消防站和大佛景区消防站共同负责本规划区的消防工作。</w:t>
      </w:r>
    </w:p>
    <w:p w14:paraId="58373703">
      <w:pPr>
        <w:spacing w:line="680" w:lineRule="exact"/>
        <w:ind w:firstLine="560" w:firstLineChars="200"/>
        <w:rPr>
          <w:rFonts w:hint="eastAsia" w:ascii="宋体" w:hAnsi="宋体"/>
          <w:sz w:val="28"/>
          <w:szCs w:val="28"/>
        </w:rPr>
      </w:pPr>
      <w:r>
        <w:rPr>
          <w:rFonts w:hint="eastAsia" w:ascii="宋体" w:hAnsi="宋体"/>
          <w:sz w:val="28"/>
          <w:szCs w:val="28"/>
        </w:rPr>
        <w:t>规划结合道路交通改造，疏通片区内部支路，以供消防车通达。区内各大型建筑物四周应设置环形消防车道，各居住区内道路应满足各种消防车辆通行要求，消防通道宽度不应小于4</w:t>
      </w:r>
      <w:r>
        <w:rPr>
          <w:rFonts w:ascii="宋体" w:hAnsi="宋体"/>
          <w:sz w:val="28"/>
          <w:szCs w:val="28"/>
        </w:rPr>
        <w:t>m</w:t>
      </w:r>
      <w:r>
        <w:rPr>
          <w:rFonts w:hint="eastAsia" w:ascii="宋体" w:hAnsi="宋体"/>
          <w:sz w:val="28"/>
          <w:szCs w:val="28"/>
        </w:rPr>
        <w:t>，净高不应小于</w:t>
      </w:r>
      <w:r>
        <w:rPr>
          <w:rFonts w:ascii="宋体" w:hAnsi="宋体"/>
          <w:sz w:val="28"/>
          <w:szCs w:val="28"/>
        </w:rPr>
        <w:t>4m</w:t>
      </w:r>
      <w:r>
        <w:rPr>
          <w:rFonts w:hint="eastAsia" w:ascii="宋体" w:hAnsi="宋体"/>
          <w:sz w:val="28"/>
          <w:szCs w:val="28"/>
        </w:rPr>
        <w:t>，尽端式消防通道的回车场尺度不能小于</w:t>
      </w:r>
      <w:r>
        <w:rPr>
          <w:rFonts w:ascii="宋体" w:hAnsi="宋体"/>
          <w:sz w:val="28"/>
          <w:szCs w:val="28"/>
        </w:rPr>
        <w:t>15m×15m</w:t>
      </w:r>
      <w:r>
        <w:rPr>
          <w:rFonts w:hint="eastAsia" w:ascii="宋体" w:hAnsi="宋体"/>
          <w:sz w:val="28"/>
          <w:szCs w:val="28"/>
        </w:rPr>
        <w:t>。</w:t>
      </w:r>
    </w:p>
    <w:p w14:paraId="183B46F6">
      <w:pPr>
        <w:spacing w:line="680" w:lineRule="exact"/>
        <w:ind w:firstLine="560" w:firstLineChars="200"/>
        <w:rPr>
          <w:rFonts w:hint="eastAsia" w:ascii="宋体" w:hAnsi="宋体"/>
          <w:sz w:val="28"/>
          <w:szCs w:val="28"/>
        </w:rPr>
      </w:pPr>
      <w:r>
        <w:rPr>
          <w:rFonts w:hint="eastAsia" w:ascii="宋体" w:hAnsi="宋体"/>
          <w:sz w:val="28"/>
          <w:szCs w:val="28"/>
        </w:rPr>
        <w:t>消防给水由城市给水管网提供。在修建道路时，严格按国家防火规范规定的间距配置市政消火栓，消火栓间距</w:t>
      </w:r>
      <w:r>
        <w:rPr>
          <w:rFonts w:ascii="宋体" w:hAnsi="宋体"/>
          <w:sz w:val="28"/>
          <w:szCs w:val="28"/>
        </w:rPr>
        <w:t>≤120</w:t>
      </w:r>
      <w:r>
        <w:rPr>
          <w:rFonts w:hint="eastAsia" w:ascii="宋体" w:hAnsi="宋体"/>
          <w:sz w:val="28"/>
          <w:szCs w:val="28"/>
        </w:rPr>
        <w:t>米，并要求其尽量设置在路口或醒目位置处。</w:t>
      </w:r>
    </w:p>
    <w:p w14:paraId="5BA6B983">
      <w:pPr>
        <w:pStyle w:val="4"/>
        <w:spacing w:line="680" w:lineRule="exact"/>
        <w:rPr>
          <w:rFonts w:hint="eastAsia" w:ascii="黑体" w:eastAsia="黑体"/>
        </w:rPr>
      </w:pPr>
      <w:bookmarkStart w:id="775" w:name="_Toc6394705"/>
      <w:bookmarkStart w:id="776" w:name="_Toc348965247"/>
      <w:r>
        <w:rPr>
          <w:rFonts w:hint="eastAsia" w:ascii="黑体" w:eastAsia="黑体"/>
        </w:rPr>
        <w:t>五、人防工程规划</w:t>
      </w:r>
      <w:bookmarkEnd w:id="774"/>
      <w:bookmarkEnd w:id="775"/>
      <w:bookmarkEnd w:id="776"/>
    </w:p>
    <w:p w14:paraId="3BAE285A">
      <w:pPr>
        <w:spacing w:line="660" w:lineRule="exact"/>
        <w:ind w:firstLine="560" w:firstLineChars="200"/>
        <w:rPr>
          <w:rFonts w:ascii="宋体" w:hAnsi="宋体"/>
          <w:sz w:val="28"/>
          <w:szCs w:val="28"/>
        </w:rPr>
      </w:pPr>
      <w:r>
        <w:rPr>
          <w:rFonts w:ascii="宋体" w:hAnsi="宋体"/>
          <w:sz w:val="28"/>
          <w:szCs w:val="28"/>
        </w:rPr>
        <w:t>规划建设好</w:t>
      </w:r>
      <w:r>
        <w:rPr>
          <w:rFonts w:hint="eastAsia" w:ascii="宋体" w:hAnsi="宋体"/>
          <w:sz w:val="28"/>
          <w:szCs w:val="28"/>
        </w:rPr>
        <w:t>片</w:t>
      </w:r>
      <w:r>
        <w:rPr>
          <w:rFonts w:ascii="宋体" w:hAnsi="宋体"/>
          <w:sz w:val="28"/>
          <w:szCs w:val="28"/>
        </w:rPr>
        <w:t>区人民防空工程是任务所需，为战时防空袭、有效组织人民防空、平时为抢险、救灾服务，保护人民的生命财产安全具有极其重要的意义。</w:t>
      </w:r>
    </w:p>
    <w:p w14:paraId="13445B6B">
      <w:pPr>
        <w:spacing w:line="660" w:lineRule="exact"/>
        <w:ind w:firstLine="560" w:firstLineChars="200"/>
        <w:rPr>
          <w:rFonts w:ascii="宋体" w:hAnsi="宋体"/>
          <w:sz w:val="28"/>
          <w:szCs w:val="28"/>
        </w:rPr>
      </w:pPr>
      <w:r>
        <w:rPr>
          <w:rFonts w:ascii="宋体" w:hAnsi="宋体"/>
          <w:sz w:val="28"/>
          <w:szCs w:val="28"/>
        </w:rPr>
        <w:t>人防规划遵循“长期准备、重点建设、平战结合”的人防工作方针。结合规划区的实际</w:t>
      </w:r>
      <w:r>
        <w:rPr>
          <w:rFonts w:hint="eastAsia" w:ascii="宋体" w:hAnsi="宋体"/>
          <w:sz w:val="28"/>
          <w:szCs w:val="28"/>
        </w:rPr>
        <w:t>，</w:t>
      </w:r>
      <w:r>
        <w:rPr>
          <w:rFonts w:ascii="宋体" w:hAnsi="宋体"/>
          <w:sz w:val="28"/>
          <w:szCs w:val="28"/>
        </w:rPr>
        <w:t>以未来反侵略战争，特别是高科技条件下的防空袭斗争和平时应付各类突发性事件为出发点，有效保护人民生命财产安全，并与经济建设协调发展，与城市建设相结合。开发地下空间，合理利用土地资源，适应市场经济的需要，发挥地下空间的效益。</w:t>
      </w:r>
    </w:p>
    <w:p w14:paraId="5198C8C3">
      <w:pPr>
        <w:spacing w:line="660" w:lineRule="exact"/>
        <w:ind w:firstLine="560" w:firstLineChars="200"/>
        <w:rPr>
          <w:rFonts w:ascii="宋体" w:hAnsi="宋体"/>
          <w:sz w:val="28"/>
          <w:szCs w:val="28"/>
        </w:rPr>
      </w:pPr>
      <w:r>
        <w:rPr>
          <w:rFonts w:ascii="宋体" w:hAnsi="宋体"/>
          <w:sz w:val="28"/>
          <w:szCs w:val="28"/>
        </w:rPr>
        <w:t>应重点保护给水、电力、电信、道路、桥梁、交通枢纽、闸等生命线工程。</w:t>
      </w:r>
    </w:p>
    <w:p w14:paraId="7D45313B">
      <w:pPr>
        <w:spacing w:line="660" w:lineRule="exact"/>
        <w:ind w:firstLine="560" w:firstLineChars="200"/>
        <w:rPr>
          <w:rFonts w:ascii="宋体" w:hAnsi="宋体"/>
          <w:sz w:val="28"/>
          <w:szCs w:val="28"/>
        </w:rPr>
      </w:pPr>
      <w:r>
        <w:rPr>
          <w:rFonts w:ascii="宋体" w:hAnsi="宋体"/>
          <w:sz w:val="28"/>
          <w:szCs w:val="28"/>
        </w:rPr>
        <w:t>人防工程布局时注意面上分散，点上集中，应有重点地组成集团或群体，便于开发利用，便于连通，单建式与附建式相结合，地上地下统一安排，注意人防工程经济效益的充分发挥。</w:t>
      </w:r>
    </w:p>
    <w:p w14:paraId="013A3607">
      <w:pPr>
        <w:spacing w:line="660" w:lineRule="exact"/>
        <w:ind w:firstLine="560" w:firstLineChars="200"/>
        <w:rPr>
          <w:rFonts w:hint="eastAsia" w:ascii="宋体" w:hAnsi="宋体"/>
          <w:sz w:val="28"/>
          <w:szCs w:val="28"/>
        </w:rPr>
      </w:pPr>
      <w:r>
        <w:rPr>
          <w:rFonts w:ascii="宋体" w:hAnsi="宋体"/>
          <w:sz w:val="28"/>
          <w:szCs w:val="28"/>
        </w:rPr>
        <w:t>结合</w:t>
      </w:r>
      <w:r>
        <w:rPr>
          <w:rFonts w:hint="eastAsia" w:ascii="宋体" w:hAnsi="宋体"/>
          <w:sz w:val="28"/>
          <w:szCs w:val="28"/>
        </w:rPr>
        <w:t>岷江东岸片区</w:t>
      </w:r>
      <w:r>
        <w:rPr>
          <w:rFonts w:ascii="宋体" w:hAnsi="宋体"/>
          <w:sz w:val="28"/>
          <w:szCs w:val="28"/>
        </w:rPr>
        <w:t>开发、高层建筑、重点目标及大型建筑，修建防空地下室，作为人员掩蔽工程，人员就近掩蔽，人员掩体应以就地分散掩蔽为原则，全局适当均匀，避免过分集中。</w:t>
      </w:r>
    </w:p>
    <w:p w14:paraId="7AF76771">
      <w:pPr>
        <w:pStyle w:val="4"/>
        <w:spacing w:line="680" w:lineRule="exact"/>
        <w:rPr>
          <w:rFonts w:hint="eastAsia" w:ascii="黑体" w:eastAsia="黑体"/>
        </w:rPr>
      </w:pPr>
      <w:bookmarkStart w:id="777" w:name="_Toc216520043"/>
      <w:bookmarkStart w:id="778" w:name="_Toc6394706"/>
      <w:bookmarkStart w:id="779" w:name="_Toc348965248"/>
      <w:r>
        <w:rPr>
          <w:rFonts w:hint="eastAsia" w:ascii="黑体" w:eastAsia="黑体"/>
        </w:rPr>
        <w:t>六、</w:t>
      </w:r>
      <w:bookmarkEnd w:id="777"/>
      <w:r>
        <w:rPr>
          <w:rFonts w:hint="eastAsia" w:ascii="黑体" w:eastAsia="黑体"/>
        </w:rPr>
        <w:t>防地质灾害</w:t>
      </w:r>
      <w:bookmarkEnd w:id="778"/>
      <w:bookmarkEnd w:id="779"/>
    </w:p>
    <w:p w14:paraId="2C63BA01">
      <w:pPr>
        <w:spacing w:line="660" w:lineRule="exact"/>
        <w:ind w:firstLine="560" w:firstLineChars="200"/>
        <w:rPr>
          <w:rFonts w:hint="eastAsia" w:ascii="宋体" w:hAnsi="宋体"/>
          <w:sz w:val="28"/>
          <w:szCs w:val="28"/>
        </w:rPr>
      </w:pPr>
      <w:r>
        <w:rPr>
          <w:rFonts w:hint="eastAsia" w:ascii="宋体" w:hAnsi="宋体"/>
          <w:sz w:val="28"/>
          <w:szCs w:val="28"/>
        </w:rPr>
        <w:t>由于缺乏工程地质方面详细的资料，故规划未对灾害性工程地质问题提出相关措施，因此，在开发建设过程中，应根据工程地质勘探情况采取相应的安全防范措施，情况严重且与本规划有重大矛盾者应重新编制规划。</w:t>
      </w:r>
    </w:p>
    <w:p w14:paraId="0EA9C2FC">
      <w:pPr>
        <w:spacing w:line="660" w:lineRule="exact"/>
        <w:ind w:firstLine="560" w:firstLineChars="200"/>
        <w:rPr>
          <w:rFonts w:hint="eastAsia" w:ascii="宋体" w:hAnsi="宋体"/>
          <w:sz w:val="28"/>
          <w:szCs w:val="28"/>
        </w:rPr>
      </w:pPr>
    </w:p>
    <w:p w14:paraId="4103A076">
      <w:pPr>
        <w:pStyle w:val="3"/>
        <w:jc w:val="center"/>
        <w:rPr>
          <w:rFonts w:hint="eastAsia"/>
          <w:sz w:val="36"/>
        </w:rPr>
      </w:pPr>
      <w:bookmarkStart w:id="780" w:name="_Toc216520044"/>
      <w:bookmarkStart w:id="781" w:name="_Toc6394707"/>
      <w:bookmarkStart w:id="782" w:name="_Toc348965249"/>
      <w:r>
        <w:rPr>
          <w:rFonts w:hint="eastAsia"/>
          <w:sz w:val="36"/>
        </w:rPr>
        <w:t>第十二章  环境保护及环卫设施规划</w:t>
      </w:r>
      <w:bookmarkEnd w:id="780"/>
      <w:bookmarkEnd w:id="781"/>
      <w:bookmarkEnd w:id="782"/>
    </w:p>
    <w:p w14:paraId="3FD07FB1">
      <w:pPr>
        <w:pStyle w:val="4"/>
        <w:spacing w:line="700" w:lineRule="exact"/>
        <w:rPr>
          <w:rFonts w:ascii="黑体" w:eastAsia="黑体"/>
          <w:sz w:val="30"/>
          <w:szCs w:val="30"/>
        </w:rPr>
      </w:pPr>
      <w:bookmarkStart w:id="783" w:name="_Toc216520045"/>
      <w:bookmarkStart w:id="784" w:name="_Toc6394708"/>
      <w:bookmarkStart w:id="785" w:name="_Toc348965250"/>
      <w:r>
        <w:rPr>
          <w:rFonts w:hint="eastAsia" w:ascii="黑体" w:eastAsia="黑体"/>
          <w:sz w:val="30"/>
          <w:szCs w:val="30"/>
        </w:rPr>
        <w:t>一、环境保护规划</w:t>
      </w:r>
      <w:bookmarkEnd w:id="783"/>
      <w:bookmarkEnd w:id="784"/>
      <w:bookmarkEnd w:id="785"/>
    </w:p>
    <w:p w14:paraId="483964CE">
      <w:pPr>
        <w:spacing w:line="700" w:lineRule="exact"/>
        <w:ind w:firstLine="560" w:firstLineChars="200"/>
        <w:rPr>
          <w:rFonts w:hint="eastAsia" w:ascii="宋体" w:hAnsi="宋体"/>
          <w:sz w:val="28"/>
          <w:szCs w:val="28"/>
        </w:rPr>
      </w:pPr>
      <w:r>
        <w:rPr>
          <w:rFonts w:hint="eastAsia" w:ascii="宋体" w:hAnsi="宋体"/>
          <w:sz w:val="28"/>
          <w:szCs w:val="28"/>
        </w:rPr>
        <w:t>严格按规划要求进行各项建设，控制规划区环境质量达标和绿地系统的建设，以环境保护要求达到的各项内容和绿化强化城市环境与自然的亲近，以保证足够的绿化面积和达标环境净化空气、美化环境，形成稳定、高效的岷江东岸片区生态环境系统。</w:t>
      </w:r>
    </w:p>
    <w:p w14:paraId="2B89754F">
      <w:pPr>
        <w:spacing w:line="680" w:lineRule="exact"/>
        <w:ind w:firstLine="562" w:firstLineChars="200"/>
        <w:rPr>
          <w:rFonts w:ascii="宋体" w:hAnsi="宋体"/>
          <w:b/>
          <w:sz w:val="28"/>
          <w:szCs w:val="28"/>
        </w:rPr>
      </w:pPr>
      <w:bookmarkStart w:id="786" w:name="_Toc216520046"/>
      <w:bookmarkStart w:id="787" w:name="_Toc348965251"/>
      <w:r>
        <w:rPr>
          <w:rFonts w:hint="eastAsia" w:ascii="宋体" w:hAnsi="宋体"/>
          <w:b/>
          <w:sz w:val="28"/>
          <w:szCs w:val="28"/>
        </w:rPr>
        <w:t>（一）环境保护目标</w:t>
      </w:r>
    </w:p>
    <w:p w14:paraId="0E66C6BC">
      <w:pPr>
        <w:spacing w:line="680" w:lineRule="exact"/>
        <w:ind w:firstLine="560" w:firstLineChars="200"/>
        <w:rPr>
          <w:rFonts w:ascii="宋体" w:hAnsi="宋体"/>
          <w:sz w:val="28"/>
          <w:szCs w:val="28"/>
        </w:rPr>
      </w:pPr>
      <w:r>
        <w:rPr>
          <w:rFonts w:hint="eastAsia" w:ascii="宋体" w:hAnsi="宋体"/>
          <w:sz w:val="28"/>
          <w:szCs w:val="28"/>
        </w:rPr>
        <w:t>1、水环境保护按《地表水环境质量标准》（GB3838-2002）相关要求执行。</w:t>
      </w:r>
    </w:p>
    <w:p w14:paraId="74C03FB5">
      <w:pPr>
        <w:spacing w:line="680" w:lineRule="exact"/>
        <w:ind w:firstLine="560" w:firstLineChars="200"/>
        <w:rPr>
          <w:rFonts w:ascii="宋体" w:hAnsi="宋体"/>
          <w:sz w:val="28"/>
          <w:szCs w:val="28"/>
        </w:rPr>
      </w:pPr>
      <w:r>
        <w:rPr>
          <w:rFonts w:hint="eastAsia" w:ascii="宋体" w:hAnsi="宋体"/>
          <w:sz w:val="28"/>
          <w:szCs w:val="28"/>
        </w:rPr>
        <w:t>2、大气环境按《环境空气质量标准》（GB3095-2012）相关要求执行。</w:t>
      </w:r>
    </w:p>
    <w:p w14:paraId="51C5DC35">
      <w:pPr>
        <w:spacing w:line="680" w:lineRule="exact"/>
        <w:ind w:firstLine="560" w:firstLineChars="200"/>
        <w:rPr>
          <w:rFonts w:ascii="宋体" w:hAnsi="宋体"/>
          <w:sz w:val="28"/>
          <w:szCs w:val="28"/>
        </w:rPr>
      </w:pPr>
      <w:r>
        <w:rPr>
          <w:rFonts w:hint="eastAsia" w:ascii="宋体" w:hAnsi="宋体"/>
          <w:sz w:val="28"/>
          <w:szCs w:val="28"/>
        </w:rPr>
        <w:t>3、声学环境按《声环境质量标准》（GB3096-2008）相关要求执行。</w:t>
      </w:r>
    </w:p>
    <w:p w14:paraId="3A4E7A48">
      <w:pPr>
        <w:spacing w:line="680" w:lineRule="exact"/>
        <w:ind w:firstLine="560" w:firstLineChars="200"/>
        <w:rPr>
          <w:rFonts w:ascii="宋体" w:hAnsi="宋体"/>
          <w:sz w:val="28"/>
          <w:szCs w:val="28"/>
        </w:rPr>
      </w:pPr>
      <w:r>
        <w:rPr>
          <w:rFonts w:hint="eastAsia" w:ascii="宋体" w:hAnsi="宋体"/>
          <w:sz w:val="28"/>
          <w:szCs w:val="28"/>
        </w:rPr>
        <w:t>其他控制标准按相关环境质量标准和污染物排放标准执行。</w:t>
      </w:r>
    </w:p>
    <w:p w14:paraId="1CE8E00B">
      <w:pPr>
        <w:spacing w:line="680" w:lineRule="exact"/>
        <w:ind w:firstLine="562" w:firstLineChars="200"/>
        <w:rPr>
          <w:rFonts w:ascii="宋体" w:hAnsi="宋体"/>
          <w:b/>
          <w:sz w:val="28"/>
          <w:szCs w:val="28"/>
        </w:rPr>
      </w:pPr>
      <w:r>
        <w:rPr>
          <w:rFonts w:hint="eastAsia" w:ascii="宋体" w:hAnsi="宋体"/>
          <w:b/>
          <w:sz w:val="28"/>
          <w:szCs w:val="28"/>
        </w:rPr>
        <w:t>（二）大气环境保护</w:t>
      </w:r>
    </w:p>
    <w:p w14:paraId="5D000A2B">
      <w:pPr>
        <w:spacing w:line="680" w:lineRule="exact"/>
        <w:ind w:firstLine="560" w:firstLineChars="200"/>
        <w:rPr>
          <w:rFonts w:ascii="宋体" w:hAnsi="宋体"/>
          <w:sz w:val="28"/>
          <w:szCs w:val="28"/>
        </w:rPr>
      </w:pPr>
      <w:r>
        <w:rPr>
          <w:rFonts w:hint="eastAsia" w:ascii="宋体" w:hAnsi="宋体"/>
          <w:sz w:val="28"/>
          <w:szCs w:val="28"/>
        </w:rPr>
        <w:t>规划区内应积极发展新能源，增加生活用电比例，推广使用太阳能设施，减少生活用煤比例，降低烟尘和SO2对新区的污染。加强交通管理和控制，减少汽车尾气排放。提高绿化面积，发展植物净化，改善大气环境。规划区内大气环境功能区分为三类，其中：</w:t>
      </w:r>
    </w:p>
    <w:p w14:paraId="746C5EB9">
      <w:pPr>
        <w:spacing w:line="680" w:lineRule="exact"/>
        <w:ind w:firstLine="560" w:firstLineChars="200"/>
        <w:rPr>
          <w:rFonts w:ascii="宋体" w:hAnsi="宋体"/>
          <w:sz w:val="28"/>
          <w:szCs w:val="28"/>
        </w:rPr>
      </w:pPr>
      <w:r>
        <w:rPr>
          <w:rFonts w:hint="eastAsia" w:ascii="宋体" w:hAnsi="宋体"/>
          <w:sz w:val="28"/>
          <w:szCs w:val="28"/>
        </w:rPr>
        <w:t>一类区主要包括生态绿地、广场绿地，执行一级大气质量标准。二类区主要包括居住区、商业交通居民混合区、文化区等，执行二级大气质量标准。三类区主要包括工业区及城市交通枢纽、城市干路、轨道交通等，执行三级大气质量标准。</w:t>
      </w:r>
    </w:p>
    <w:p w14:paraId="7580C9CC">
      <w:pPr>
        <w:spacing w:line="680" w:lineRule="exact"/>
        <w:ind w:firstLine="562" w:firstLineChars="200"/>
        <w:rPr>
          <w:rFonts w:ascii="宋体" w:hAnsi="宋体"/>
          <w:b/>
          <w:sz w:val="28"/>
          <w:szCs w:val="28"/>
        </w:rPr>
      </w:pPr>
      <w:r>
        <w:rPr>
          <w:rFonts w:hint="eastAsia" w:ascii="宋体" w:hAnsi="宋体"/>
          <w:b/>
          <w:sz w:val="28"/>
          <w:szCs w:val="28"/>
        </w:rPr>
        <w:t>（三）水环境保护</w:t>
      </w:r>
    </w:p>
    <w:p w14:paraId="4A5AE759">
      <w:pPr>
        <w:spacing w:line="680" w:lineRule="exact"/>
        <w:ind w:firstLine="548" w:firstLineChars="196"/>
        <w:rPr>
          <w:rFonts w:ascii="宋体" w:hAnsi="宋体"/>
          <w:sz w:val="28"/>
          <w:szCs w:val="28"/>
        </w:rPr>
      </w:pPr>
      <w:r>
        <w:rPr>
          <w:rFonts w:hint="eastAsia" w:ascii="宋体" w:hAnsi="宋体"/>
          <w:sz w:val="28"/>
          <w:szCs w:val="28"/>
        </w:rPr>
        <w:t>规划区排水系统采用雨污分流制，严禁生活污水直接排入水体。</w:t>
      </w:r>
    </w:p>
    <w:p w14:paraId="31899A02">
      <w:pPr>
        <w:spacing w:line="680" w:lineRule="exact"/>
        <w:ind w:firstLine="548" w:firstLineChars="196"/>
        <w:rPr>
          <w:rFonts w:ascii="宋体" w:hAnsi="宋体"/>
          <w:sz w:val="28"/>
          <w:szCs w:val="28"/>
        </w:rPr>
      </w:pPr>
      <w:r>
        <w:rPr>
          <w:rFonts w:hint="eastAsia" w:ascii="宋体" w:hAnsi="宋体"/>
          <w:sz w:val="28"/>
          <w:szCs w:val="28"/>
        </w:rPr>
        <w:t>实施岷江、</w:t>
      </w:r>
      <w:r>
        <w:rPr>
          <w:rFonts w:ascii="宋体" w:hAnsi="宋体"/>
          <w:sz w:val="28"/>
          <w:szCs w:val="28"/>
        </w:rPr>
        <w:t>泥溪河</w:t>
      </w:r>
      <w:r>
        <w:rPr>
          <w:rFonts w:hint="eastAsia" w:ascii="宋体" w:hAnsi="宋体"/>
          <w:sz w:val="28"/>
          <w:szCs w:val="28"/>
        </w:rPr>
        <w:t>等主要水体的生态修复工程，提高河道的自净能力，建立流域岸边生态保护带，防止流域沿岸固体废物污染。</w:t>
      </w:r>
    </w:p>
    <w:p w14:paraId="0A55E414">
      <w:pPr>
        <w:spacing w:line="680" w:lineRule="exact"/>
        <w:ind w:firstLine="560" w:firstLineChars="200"/>
        <w:rPr>
          <w:rFonts w:ascii="宋体" w:hAnsi="宋体"/>
          <w:sz w:val="28"/>
          <w:szCs w:val="28"/>
        </w:rPr>
      </w:pPr>
      <w:r>
        <w:rPr>
          <w:rFonts w:hint="eastAsia" w:ascii="宋体" w:hAnsi="宋体"/>
          <w:sz w:val="28"/>
          <w:szCs w:val="28"/>
        </w:rPr>
        <w:t>含病原体的医疗废水、工业污水经处理达标后排入城市污水系统。</w:t>
      </w:r>
    </w:p>
    <w:p w14:paraId="31CE7A39">
      <w:pPr>
        <w:spacing w:line="680" w:lineRule="exact"/>
        <w:ind w:firstLine="560" w:firstLineChars="200"/>
        <w:rPr>
          <w:rFonts w:ascii="宋体" w:hAnsi="宋体"/>
          <w:sz w:val="28"/>
          <w:szCs w:val="28"/>
        </w:rPr>
      </w:pPr>
      <w:r>
        <w:rPr>
          <w:rFonts w:hint="eastAsia" w:ascii="宋体" w:hAnsi="宋体"/>
          <w:sz w:val="28"/>
          <w:szCs w:val="28"/>
        </w:rPr>
        <w:t>注重对水体周围植被的保护，禁止公园服务设施和径流区生活废水直接向水体排放污水。加强对水体进出口水道疏掏及管理，使水库水体适度流动，确保水体水质。其中规划区内岷江、</w:t>
      </w:r>
      <w:r>
        <w:rPr>
          <w:rFonts w:ascii="宋体" w:hAnsi="宋体"/>
          <w:sz w:val="28"/>
          <w:szCs w:val="28"/>
        </w:rPr>
        <w:t>泥溪河</w:t>
      </w:r>
      <w:r>
        <w:rPr>
          <w:rFonts w:hint="eastAsia" w:ascii="宋体" w:hAnsi="宋体"/>
          <w:sz w:val="28"/>
          <w:szCs w:val="28"/>
        </w:rPr>
        <w:t>为水污染防治控制区，执行污水综合排放一级标准。</w:t>
      </w:r>
    </w:p>
    <w:p w14:paraId="68599041">
      <w:pPr>
        <w:spacing w:line="680" w:lineRule="exact"/>
        <w:ind w:firstLine="562" w:firstLineChars="200"/>
        <w:rPr>
          <w:rFonts w:ascii="宋体" w:hAnsi="宋体"/>
          <w:b/>
          <w:sz w:val="28"/>
          <w:szCs w:val="28"/>
        </w:rPr>
      </w:pPr>
      <w:r>
        <w:rPr>
          <w:rFonts w:hint="eastAsia" w:ascii="宋体" w:hAnsi="宋体"/>
          <w:b/>
          <w:sz w:val="28"/>
          <w:szCs w:val="28"/>
        </w:rPr>
        <w:t>（四）噪声控制</w:t>
      </w:r>
    </w:p>
    <w:p w14:paraId="2BAE237F">
      <w:pPr>
        <w:spacing w:line="680" w:lineRule="exact"/>
        <w:ind w:firstLine="560" w:firstLineChars="200"/>
        <w:rPr>
          <w:rFonts w:ascii="宋体" w:hAnsi="宋体"/>
          <w:sz w:val="28"/>
          <w:szCs w:val="28"/>
        </w:rPr>
      </w:pPr>
      <w:r>
        <w:rPr>
          <w:rFonts w:hint="eastAsia" w:ascii="宋体" w:hAnsi="宋体"/>
          <w:sz w:val="28"/>
          <w:szCs w:val="28"/>
        </w:rPr>
        <w:t>控制噪声源，合理布局各功能区。在主要干路两侧建绿化林带或绿化带。强化交通管理，设定禁止鸣号区域。规划按居民文教区、一类混合区、中心区以及交通干线道路两侧划分为不同功能区，执行不同噪音控制标准。</w:t>
      </w:r>
    </w:p>
    <w:p w14:paraId="1F780923">
      <w:pPr>
        <w:spacing w:line="680" w:lineRule="exact"/>
        <w:ind w:firstLine="562" w:firstLineChars="200"/>
        <w:rPr>
          <w:rFonts w:ascii="宋体" w:hAnsi="宋体"/>
          <w:b/>
          <w:sz w:val="28"/>
          <w:szCs w:val="28"/>
        </w:rPr>
      </w:pPr>
      <w:r>
        <w:rPr>
          <w:rFonts w:hint="eastAsia" w:ascii="宋体" w:hAnsi="宋体"/>
          <w:b/>
          <w:sz w:val="28"/>
          <w:szCs w:val="28"/>
        </w:rPr>
        <w:t>（五）固体废弃物控制</w:t>
      </w:r>
    </w:p>
    <w:p w14:paraId="049F64AF">
      <w:pPr>
        <w:spacing w:line="680" w:lineRule="exact"/>
        <w:ind w:firstLine="560" w:firstLineChars="200"/>
        <w:rPr>
          <w:rFonts w:ascii="宋体" w:hAnsi="宋体"/>
          <w:sz w:val="28"/>
          <w:szCs w:val="28"/>
        </w:rPr>
      </w:pPr>
      <w:r>
        <w:rPr>
          <w:rFonts w:hint="eastAsia" w:ascii="宋体" w:hAnsi="宋体"/>
          <w:sz w:val="28"/>
          <w:szCs w:val="28"/>
        </w:rPr>
        <w:t>固体废物的污染治理以实现废物减量化和资源化为中心。</w:t>
      </w:r>
    </w:p>
    <w:p w14:paraId="3EED6C9E">
      <w:pPr>
        <w:spacing w:line="680" w:lineRule="exact"/>
        <w:ind w:firstLine="560" w:firstLineChars="200"/>
        <w:rPr>
          <w:rFonts w:ascii="宋体" w:hAnsi="宋体"/>
          <w:sz w:val="28"/>
          <w:szCs w:val="28"/>
        </w:rPr>
      </w:pPr>
      <w:r>
        <w:rPr>
          <w:rFonts w:ascii="宋体" w:hAnsi="宋体"/>
          <w:sz w:val="28"/>
          <w:szCs w:val="28"/>
        </w:rPr>
        <w:t>1</w:t>
      </w:r>
      <w:r>
        <w:rPr>
          <w:rFonts w:hint="eastAsia" w:ascii="宋体" w:hAnsi="宋体"/>
          <w:sz w:val="28"/>
          <w:szCs w:val="28"/>
        </w:rPr>
        <w:t>、严禁将有害废弃物排向水体和公共场所。</w:t>
      </w:r>
    </w:p>
    <w:p w14:paraId="4EFB8645">
      <w:pPr>
        <w:spacing w:line="680" w:lineRule="exact"/>
        <w:ind w:firstLine="560" w:firstLineChars="200"/>
        <w:rPr>
          <w:rFonts w:ascii="宋体" w:hAnsi="宋体"/>
          <w:sz w:val="28"/>
          <w:szCs w:val="28"/>
        </w:rPr>
      </w:pPr>
      <w:r>
        <w:rPr>
          <w:rFonts w:ascii="宋体" w:hAnsi="宋体"/>
          <w:sz w:val="28"/>
          <w:szCs w:val="28"/>
        </w:rPr>
        <w:t>2</w:t>
      </w:r>
      <w:r>
        <w:rPr>
          <w:rFonts w:hint="eastAsia" w:ascii="宋体" w:hAnsi="宋体"/>
          <w:sz w:val="28"/>
          <w:szCs w:val="28"/>
        </w:rPr>
        <w:t>、建立、健全对有害废弃物的监督及管理系统。</w:t>
      </w:r>
    </w:p>
    <w:p w14:paraId="0FEB92E0">
      <w:pPr>
        <w:pStyle w:val="4"/>
        <w:spacing w:line="700" w:lineRule="exact"/>
        <w:rPr>
          <w:rFonts w:ascii="黑体" w:eastAsia="黑体"/>
          <w:sz w:val="30"/>
          <w:szCs w:val="30"/>
        </w:rPr>
      </w:pPr>
      <w:bookmarkStart w:id="788" w:name="_Toc6394709"/>
      <w:r>
        <w:rPr>
          <w:rFonts w:hint="eastAsia" w:ascii="黑体" w:eastAsia="黑体"/>
          <w:sz w:val="30"/>
          <w:szCs w:val="30"/>
        </w:rPr>
        <w:t>二、环境卫生设施规划</w:t>
      </w:r>
      <w:bookmarkEnd w:id="786"/>
      <w:bookmarkEnd w:id="787"/>
      <w:bookmarkEnd w:id="788"/>
    </w:p>
    <w:p w14:paraId="16500729">
      <w:pPr>
        <w:spacing w:line="700" w:lineRule="exact"/>
        <w:ind w:firstLine="560" w:firstLineChars="200"/>
        <w:rPr>
          <w:rFonts w:hint="eastAsia" w:ascii="宋体" w:hAnsi="宋体"/>
          <w:sz w:val="28"/>
          <w:szCs w:val="28"/>
        </w:rPr>
      </w:pPr>
      <w:r>
        <w:rPr>
          <w:rFonts w:hint="eastAsia" w:ascii="宋体" w:hAnsi="宋体"/>
          <w:sz w:val="28"/>
          <w:szCs w:val="28"/>
        </w:rPr>
        <w:t>在建设和管理中合理布局，完善配套各类环卫设施，美化环境，方便使用，逐步提高环卫工作的机械化程度，防止环境污染，创建整洁的区域环境，保障人民身体健康</w:t>
      </w:r>
      <w:r>
        <w:rPr>
          <w:rFonts w:ascii="宋体" w:hAnsi="宋体"/>
          <w:sz w:val="28"/>
          <w:szCs w:val="28"/>
        </w:rPr>
        <w:t>。</w:t>
      </w:r>
    </w:p>
    <w:p w14:paraId="7CA67A1A">
      <w:pPr>
        <w:spacing w:line="700" w:lineRule="exact"/>
        <w:ind w:firstLine="560" w:firstLineChars="200"/>
        <w:rPr>
          <w:rFonts w:hint="eastAsia" w:ascii="宋体" w:hAnsi="宋体"/>
          <w:sz w:val="28"/>
          <w:szCs w:val="28"/>
        </w:rPr>
      </w:pPr>
      <w:bookmarkStart w:id="789" w:name="_Toc216520052"/>
      <w:r>
        <w:rPr>
          <w:rFonts w:hint="eastAsia" w:ascii="宋体" w:hAnsi="宋体"/>
          <w:sz w:val="28"/>
          <w:szCs w:val="28"/>
        </w:rPr>
        <w:t>居民生活垃圾量按</w:t>
      </w:r>
      <w:r>
        <w:rPr>
          <w:rFonts w:ascii="宋体" w:hAnsi="宋体"/>
          <w:sz w:val="28"/>
          <w:szCs w:val="28"/>
        </w:rPr>
        <w:t>1.</w:t>
      </w:r>
      <w:r>
        <w:rPr>
          <w:rFonts w:hint="eastAsia" w:ascii="宋体" w:hAnsi="宋体"/>
          <w:sz w:val="28"/>
          <w:szCs w:val="28"/>
        </w:rPr>
        <w:t>1公斤</w:t>
      </w:r>
      <w:r>
        <w:rPr>
          <w:rFonts w:ascii="宋体" w:hAnsi="宋体"/>
          <w:sz w:val="28"/>
          <w:szCs w:val="28"/>
        </w:rPr>
        <w:t>/</w:t>
      </w:r>
      <w:r>
        <w:rPr>
          <w:rFonts w:hint="eastAsia" w:ascii="宋体" w:hAnsi="宋体"/>
          <w:sz w:val="28"/>
          <w:szCs w:val="28"/>
        </w:rPr>
        <w:t>人·日计，垃圾日排出重量不均匀系数取1.1，居住人口变动系数取1.05，则规划区生活垃圾量为：</w:t>
      </w:r>
    </w:p>
    <w:p w14:paraId="0CA34BA0">
      <w:pPr>
        <w:spacing w:line="700" w:lineRule="exact"/>
        <w:ind w:firstLine="560" w:firstLineChars="200"/>
        <w:rPr>
          <w:rFonts w:hint="eastAsia" w:ascii="宋体" w:hAnsi="宋体"/>
          <w:sz w:val="28"/>
          <w:szCs w:val="28"/>
        </w:rPr>
      </w:pPr>
      <w:r>
        <w:rPr>
          <w:rFonts w:hint="eastAsia" w:ascii="宋体" w:hAnsi="宋体"/>
          <w:sz w:val="28"/>
          <w:szCs w:val="28"/>
        </w:rPr>
        <w:t>Q＝1.1公斤</w:t>
      </w:r>
      <w:r>
        <w:rPr>
          <w:rFonts w:ascii="宋体" w:hAnsi="宋体"/>
          <w:sz w:val="28"/>
          <w:szCs w:val="28"/>
        </w:rPr>
        <w:t>/</w:t>
      </w:r>
      <w:r>
        <w:rPr>
          <w:rFonts w:hint="eastAsia" w:ascii="宋体" w:hAnsi="宋体"/>
          <w:sz w:val="28"/>
          <w:szCs w:val="28"/>
        </w:rPr>
        <w:t>人·日×</w:t>
      </w:r>
      <w:r>
        <w:rPr>
          <w:rFonts w:ascii="宋体" w:hAnsi="宋体"/>
          <w:sz w:val="28"/>
          <w:szCs w:val="28"/>
        </w:rPr>
        <w:t>2.0</w:t>
      </w:r>
      <w:r>
        <w:rPr>
          <w:rFonts w:hint="eastAsia" w:ascii="宋体" w:hAnsi="宋体"/>
          <w:sz w:val="28"/>
          <w:szCs w:val="28"/>
        </w:rPr>
        <w:t>万人×1.1×1.05≈</w:t>
      </w:r>
      <w:r>
        <w:rPr>
          <w:rFonts w:ascii="宋体" w:hAnsi="宋体"/>
          <w:sz w:val="28"/>
          <w:szCs w:val="28"/>
        </w:rPr>
        <w:t>25</w:t>
      </w:r>
      <w:r>
        <w:rPr>
          <w:rFonts w:hint="eastAsia" w:ascii="宋体" w:hAnsi="宋体"/>
          <w:sz w:val="28"/>
          <w:szCs w:val="28"/>
        </w:rPr>
        <w:t>吨/日</w:t>
      </w:r>
    </w:p>
    <w:p w14:paraId="14F42D87">
      <w:pPr>
        <w:spacing w:line="700" w:lineRule="exact"/>
        <w:ind w:firstLine="560" w:firstLineChars="200"/>
        <w:rPr>
          <w:rFonts w:hint="eastAsia" w:ascii="宋体" w:hAnsi="宋体"/>
          <w:sz w:val="28"/>
          <w:szCs w:val="28"/>
        </w:rPr>
      </w:pPr>
      <w:r>
        <w:rPr>
          <w:rFonts w:ascii="宋体" w:hAnsi="宋体"/>
          <w:sz w:val="28"/>
          <w:szCs w:val="28"/>
        </w:rPr>
        <w:t>规划</w:t>
      </w:r>
      <w:r>
        <w:rPr>
          <w:rFonts w:hint="eastAsia" w:ascii="宋体" w:hAnsi="宋体"/>
          <w:sz w:val="28"/>
          <w:szCs w:val="28"/>
        </w:rPr>
        <w:t>在碧山路</w:t>
      </w:r>
      <w:r>
        <w:rPr>
          <w:rFonts w:ascii="宋体" w:hAnsi="宋体"/>
          <w:sz w:val="28"/>
          <w:szCs w:val="28"/>
        </w:rPr>
        <w:t>中段设置</w:t>
      </w:r>
      <w:r>
        <w:rPr>
          <w:rFonts w:hint="eastAsia" w:ascii="宋体" w:hAnsi="宋体"/>
          <w:sz w:val="28"/>
          <w:szCs w:val="28"/>
        </w:rPr>
        <w:t>小型</w:t>
      </w:r>
      <w:r>
        <w:rPr>
          <w:rFonts w:ascii="宋体" w:hAnsi="宋体"/>
          <w:sz w:val="28"/>
          <w:szCs w:val="28"/>
        </w:rPr>
        <w:t>垃圾转运站</w:t>
      </w:r>
      <w:r>
        <w:rPr>
          <w:rFonts w:hint="eastAsia" w:ascii="宋体" w:hAnsi="宋体"/>
          <w:sz w:val="28"/>
          <w:szCs w:val="28"/>
        </w:rPr>
        <w:t>1座</w:t>
      </w:r>
      <w:r>
        <w:rPr>
          <w:rFonts w:ascii="宋体" w:hAnsi="宋体"/>
          <w:sz w:val="28"/>
          <w:szCs w:val="28"/>
        </w:rPr>
        <w:t>，垃圾转运站设置在方便运输、方便收集、不影响环境和景观要求的地段。规划区内实行全封闭清运，</w:t>
      </w:r>
      <w:r>
        <w:rPr>
          <w:rFonts w:hint="eastAsia" w:ascii="宋体" w:hAnsi="宋体"/>
          <w:sz w:val="28"/>
          <w:szCs w:val="28"/>
        </w:rPr>
        <w:t>垃圾运至乐山市城市垃圾处理场地进行处理和处置</w:t>
      </w:r>
      <w:r>
        <w:rPr>
          <w:rFonts w:ascii="宋体" w:hAnsi="宋体"/>
          <w:sz w:val="28"/>
          <w:szCs w:val="28"/>
        </w:rPr>
        <w:t>。</w:t>
      </w:r>
    </w:p>
    <w:p w14:paraId="1A2E2E1A">
      <w:pPr>
        <w:spacing w:line="640" w:lineRule="exact"/>
        <w:ind w:firstLine="560" w:firstLineChars="200"/>
        <w:rPr>
          <w:rFonts w:hint="eastAsia" w:ascii="宋体" w:hAnsi="宋体"/>
          <w:sz w:val="28"/>
          <w:szCs w:val="28"/>
        </w:rPr>
      </w:pPr>
      <w:r>
        <w:rPr>
          <w:rFonts w:ascii="宋体" w:hAnsi="宋体"/>
          <w:sz w:val="28"/>
          <w:szCs w:val="28"/>
        </w:rPr>
        <w:t>规划</w:t>
      </w:r>
      <w:r>
        <w:rPr>
          <w:rFonts w:hint="eastAsia" w:ascii="宋体" w:hAnsi="宋体"/>
          <w:sz w:val="28"/>
          <w:szCs w:val="28"/>
        </w:rPr>
        <w:t>区内根据用地性质、人流密集程度，按规定间距要求</w:t>
      </w:r>
      <w:r>
        <w:rPr>
          <w:rFonts w:ascii="宋体" w:hAnsi="宋体"/>
          <w:sz w:val="28"/>
          <w:szCs w:val="28"/>
        </w:rPr>
        <w:t>设置</w:t>
      </w:r>
      <w:r>
        <w:rPr>
          <w:rFonts w:hint="eastAsia" w:ascii="宋体" w:hAnsi="宋体"/>
          <w:sz w:val="28"/>
          <w:szCs w:val="28"/>
        </w:rPr>
        <w:t>独立占地市政公厕</w:t>
      </w:r>
      <w:r>
        <w:rPr>
          <w:rFonts w:ascii="宋体" w:hAnsi="宋体"/>
          <w:sz w:val="28"/>
          <w:szCs w:val="28"/>
        </w:rPr>
        <w:t>10</w:t>
      </w:r>
      <w:r>
        <w:rPr>
          <w:rFonts w:hint="eastAsia" w:ascii="宋体" w:hAnsi="宋体"/>
          <w:sz w:val="28"/>
          <w:szCs w:val="28"/>
        </w:rPr>
        <w:t>座，同时在菜市场</w:t>
      </w:r>
      <w:r>
        <w:rPr>
          <w:rFonts w:ascii="宋体" w:hAnsi="宋体"/>
          <w:sz w:val="28"/>
          <w:szCs w:val="28"/>
        </w:rPr>
        <w:t>、停车场、加油加气站、广场、大型商场等设施</w:t>
      </w:r>
      <w:r>
        <w:rPr>
          <w:rFonts w:hint="eastAsia" w:ascii="宋体" w:hAnsi="宋体"/>
          <w:sz w:val="28"/>
          <w:szCs w:val="28"/>
        </w:rPr>
        <w:t>用地内配套建设公共厕所，每座建筑面积不小于</w:t>
      </w:r>
      <w:r>
        <w:rPr>
          <w:rFonts w:ascii="宋体" w:hAnsi="宋体"/>
          <w:sz w:val="28"/>
          <w:szCs w:val="28"/>
        </w:rPr>
        <w:t>50 m</w:t>
      </w:r>
      <w:r>
        <w:rPr>
          <w:rFonts w:ascii="宋体" w:hAnsi="宋体"/>
          <w:sz w:val="28"/>
          <w:szCs w:val="28"/>
          <w:vertAlign w:val="superscript"/>
        </w:rPr>
        <w:t>2</w:t>
      </w:r>
      <w:r>
        <w:rPr>
          <w:rFonts w:hint="eastAsia" w:ascii="宋体" w:hAnsi="宋体"/>
          <w:sz w:val="28"/>
          <w:szCs w:val="28"/>
        </w:rPr>
        <w:t>。</w:t>
      </w:r>
    </w:p>
    <w:p w14:paraId="4AF77C2E">
      <w:pPr>
        <w:spacing w:line="700" w:lineRule="exact"/>
        <w:ind w:firstLine="560" w:firstLineChars="200"/>
        <w:rPr>
          <w:rFonts w:ascii="宋体" w:hAnsi="宋体"/>
          <w:sz w:val="28"/>
          <w:szCs w:val="28"/>
        </w:rPr>
      </w:pPr>
    </w:p>
    <w:bookmarkEnd w:id="789"/>
    <w:p w14:paraId="19C361F5">
      <w:pPr>
        <w:pStyle w:val="3"/>
        <w:spacing w:line="700" w:lineRule="exact"/>
        <w:jc w:val="center"/>
        <w:rPr>
          <w:rFonts w:hint="eastAsia"/>
          <w:sz w:val="36"/>
        </w:rPr>
      </w:pPr>
      <w:bookmarkStart w:id="790" w:name="_Toc216520056"/>
      <w:bookmarkStart w:id="791" w:name="_Toc348965252"/>
      <w:bookmarkStart w:id="792" w:name="_Toc6394710"/>
      <w:r>
        <w:rPr>
          <w:rFonts w:hint="eastAsia"/>
          <w:sz w:val="36"/>
        </w:rPr>
        <w:t>第十三章  规划实施建议</w:t>
      </w:r>
      <w:bookmarkEnd w:id="790"/>
      <w:bookmarkEnd w:id="791"/>
      <w:bookmarkEnd w:id="792"/>
    </w:p>
    <w:p w14:paraId="6F96B459">
      <w:pPr>
        <w:spacing w:line="480" w:lineRule="auto"/>
        <w:ind w:firstLine="560" w:firstLineChars="200"/>
        <w:rPr>
          <w:rFonts w:ascii="宋体" w:hAnsi="宋体"/>
          <w:sz w:val="28"/>
          <w:szCs w:val="28"/>
        </w:rPr>
      </w:pPr>
      <w:r>
        <w:rPr>
          <w:rFonts w:hint="eastAsia" w:ascii="宋体" w:hAnsi="宋体"/>
          <w:sz w:val="28"/>
          <w:szCs w:val="28"/>
        </w:rPr>
        <w:t>1、本规划经批准之日起生效，任何人不得擅自改动，并由乐山市人民政府依法公布、实施，并广泛宣传规划和政策，动员广大群众人人参与规划和建设。</w:t>
      </w:r>
    </w:p>
    <w:p w14:paraId="58938685">
      <w:pPr>
        <w:spacing w:line="480" w:lineRule="auto"/>
        <w:ind w:firstLine="560" w:firstLineChars="200"/>
        <w:rPr>
          <w:rFonts w:ascii="宋体" w:hAnsi="宋体"/>
          <w:sz w:val="28"/>
          <w:szCs w:val="28"/>
        </w:rPr>
      </w:pPr>
      <w:r>
        <w:rPr>
          <w:rFonts w:hint="eastAsia" w:ascii="宋体" w:hAnsi="宋体"/>
          <w:sz w:val="28"/>
          <w:szCs w:val="28"/>
        </w:rPr>
        <w:t>2、规划范围内的土地利用和各项建设必须符合本规划，服从规划管理。规划实施中，因故必须进行重大调整和变更时，须由有相应资质单位进行调整，并报原审批部门审批。</w:t>
      </w:r>
    </w:p>
    <w:p w14:paraId="4972CFCA">
      <w:pPr>
        <w:spacing w:line="480" w:lineRule="auto"/>
        <w:ind w:firstLine="560" w:firstLineChars="200"/>
        <w:rPr>
          <w:rFonts w:ascii="宋体" w:hAnsi="宋体"/>
          <w:sz w:val="28"/>
          <w:szCs w:val="28"/>
        </w:rPr>
      </w:pPr>
      <w:r>
        <w:rPr>
          <w:rFonts w:hint="eastAsia" w:ascii="宋体" w:hAnsi="宋体"/>
          <w:sz w:val="28"/>
          <w:szCs w:val="28"/>
        </w:rPr>
        <w:t>3、任何单位和个人必须服从城市人民政府根据本规划作出的调整用地的决定。任何单位和个人不得占用道路、广场、绿地、高压供电走廊和压占地下管线进行建设。</w:t>
      </w:r>
    </w:p>
    <w:p w14:paraId="15389A9F">
      <w:pPr>
        <w:spacing w:line="480" w:lineRule="auto"/>
        <w:ind w:firstLine="560" w:firstLineChars="200"/>
        <w:rPr>
          <w:rFonts w:ascii="宋体" w:hAnsi="宋体"/>
          <w:sz w:val="28"/>
          <w:szCs w:val="28"/>
        </w:rPr>
      </w:pPr>
      <w:r>
        <w:rPr>
          <w:rFonts w:hint="eastAsia" w:ascii="宋体" w:hAnsi="宋体"/>
          <w:sz w:val="28"/>
          <w:szCs w:val="28"/>
        </w:rPr>
        <w:t>4、城市建设要着眼长远，立足当前，量力而行，突出重点，逐步分期实施。</w:t>
      </w:r>
    </w:p>
    <w:p w14:paraId="5DF323DD">
      <w:pPr>
        <w:spacing w:line="480" w:lineRule="auto"/>
        <w:ind w:firstLine="560" w:firstLineChars="200"/>
        <w:rPr>
          <w:rFonts w:hint="eastAsia" w:ascii="宋体" w:hAnsi="宋体"/>
          <w:sz w:val="28"/>
          <w:szCs w:val="28"/>
        </w:rPr>
      </w:pPr>
      <w:r>
        <w:rPr>
          <w:rFonts w:hint="eastAsia" w:ascii="宋体" w:hAnsi="宋体"/>
          <w:sz w:val="28"/>
          <w:szCs w:val="28"/>
        </w:rPr>
        <w:t>5、强化城市建设宏观控制，进一步深化规划。</w:t>
      </w:r>
      <w:r>
        <w:rPr>
          <w:rFonts w:ascii="宋体" w:hAnsi="宋体"/>
          <w:sz w:val="28"/>
          <w:szCs w:val="28"/>
        </w:rPr>
        <w:t>认真组织好修建性详细规划和修建设计，严格按照规划审批，确保</w:t>
      </w:r>
      <w:r>
        <w:rPr>
          <w:rFonts w:hint="eastAsia" w:ascii="宋体" w:hAnsi="宋体"/>
          <w:sz w:val="28"/>
          <w:szCs w:val="28"/>
        </w:rPr>
        <w:t>规划区</w:t>
      </w:r>
      <w:r>
        <w:rPr>
          <w:rFonts w:ascii="宋体" w:hAnsi="宋体"/>
          <w:sz w:val="28"/>
          <w:szCs w:val="28"/>
        </w:rPr>
        <w:t>的建设达到预期规划目标。</w:t>
      </w:r>
    </w:p>
    <w:p w14:paraId="781DA65B">
      <w:pPr>
        <w:spacing w:line="480" w:lineRule="auto"/>
        <w:ind w:firstLine="560" w:firstLineChars="200"/>
        <w:rPr>
          <w:rFonts w:ascii="宋体" w:hAnsi="宋体"/>
          <w:sz w:val="28"/>
          <w:szCs w:val="28"/>
        </w:rPr>
      </w:pPr>
      <w:r>
        <w:rPr>
          <w:rFonts w:hint="eastAsia" w:ascii="宋体" w:hAnsi="宋体"/>
          <w:sz w:val="28"/>
          <w:szCs w:val="28"/>
        </w:rPr>
        <w:t>6、对与规划意图不符的已征地，应作好工作进行置换，以实现规划所期望的城市风貌与布局结构形态。</w:t>
      </w:r>
      <w:r>
        <w:rPr>
          <w:rFonts w:ascii="宋体" w:hAnsi="宋体"/>
          <w:sz w:val="28"/>
          <w:szCs w:val="28"/>
        </w:rPr>
        <w:t xml:space="preserve"> </w:t>
      </w:r>
    </w:p>
    <w:p w14:paraId="24129C9D">
      <w:pPr>
        <w:spacing w:line="480" w:lineRule="auto"/>
        <w:ind w:firstLine="560" w:firstLineChars="200"/>
        <w:rPr>
          <w:rFonts w:ascii="宋体" w:hAnsi="宋体"/>
          <w:sz w:val="28"/>
          <w:szCs w:val="28"/>
        </w:rPr>
      </w:pPr>
      <w:r>
        <w:rPr>
          <w:rFonts w:hint="eastAsia" w:ascii="宋体" w:hAnsi="宋体"/>
          <w:sz w:val="28"/>
          <w:szCs w:val="28"/>
        </w:rPr>
        <w:t>7、规划区非城市建设用地内的农房建设应严格按照村庄规划以及新农村建设规划等相关规划要求进行建设和规划管理。</w:t>
      </w:r>
    </w:p>
    <w:p w14:paraId="279939C1">
      <w:pPr>
        <w:spacing w:line="480" w:lineRule="auto"/>
        <w:ind w:firstLine="560" w:firstLineChars="200"/>
        <w:rPr>
          <w:rFonts w:ascii="宋体" w:hAnsi="宋体"/>
          <w:sz w:val="28"/>
          <w:szCs w:val="28"/>
        </w:rPr>
      </w:pPr>
      <w:r>
        <w:rPr>
          <w:rFonts w:hint="eastAsia" w:ascii="宋体" w:hAnsi="宋体"/>
          <w:sz w:val="28"/>
          <w:szCs w:val="28"/>
        </w:rPr>
        <w:t>8、对于已经规划但目前尚无条件开发的重要建设用地要严格加以控制，不得乱作它用，可根据实际情况暂建绿地或其它与环境协调的临时服务设施作为过渡，待条件成熟时再按照规划实施。</w:t>
      </w:r>
    </w:p>
    <w:p w14:paraId="2C6569B3">
      <w:pPr>
        <w:spacing w:line="480" w:lineRule="auto"/>
        <w:ind w:firstLine="560" w:firstLineChars="200"/>
        <w:rPr>
          <w:rFonts w:ascii="宋体" w:hAnsi="宋体"/>
          <w:sz w:val="28"/>
          <w:szCs w:val="28"/>
        </w:rPr>
      </w:pPr>
      <w:r>
        <w:rPr>
          <w:rFonts w:hint="eastAsia" w:ascii="宋体" w:hAnsi="宋体"/>
          <w:sz w:val="28"/>
          <w:szCs w:val="28"/>
        </w:rPr>
        <w:t>9、加强规划法制建设，完善法律体系。以法治进行城市规划、建设和管理，提高规划的法律地位，严格查处违法占地和违法建设行为，保证本规划的实施。</w:t>
      </w:r>
    </w:p>
    <w:p w14:paraId="0B5405B8">
      <w:pPr>
        <w:spacing w:line="480" w:lineRule="auto"/>
        <w:ind w:firstLine="560" w:firstLineChars="200"/>
        <w:rPr>
          <w:rFonts w:ascii="宋体" w:hAnsi="宋体"/>
          <w:sz w:val="28"/>
          <w:szCs w:val="28"/>
        </w:rPr>
      </w:pPr>
      <w:r>
        <w:rPr>
          <w:rFonts w:hint="eastAsia" w:ascii="宋体" w:hAnsi="宋体"/>
          <w:sz w:val="28"/>
          <w:szCs w:val="28"/>
        </w:rPr>
        <w:t>10、本规划区任何建设项目都必须严格进行地质详勘和环境影响评估后，才能依程序报批建设。</w:t>
      </w:r>
    </w:p>
    <w:bookmarkEnd w:id="78"/>
    <w:bookmarkEnd w:id="79"/>
    <w:bookmarkEnd w:id="679"/>
    <w:p w14:paraId="19C2F037">
      <w:pPr>
        <w:spacing w:line="432" w:lineRule="auto"/>
        <w:ind w:firstLine="560" w:firstLineChars="200"/>
        <w:rPr>
          <w:rFonts w:hint="eastAsia" w:ascii="宋体" w:hAnsi="宋体" w:cs="宋体"/>
          <w:sz w:val="28"/>
          <w:szCs w:val="28"/>
        </w:rPr>
      </w:pPr>
    </w:p>
    <w:sectPr>
      <w:pgSz w:w="23814" w:h="16839" w:orient="landscape"/>
      <w:pgMar w:top="1440" w:right="1588" w:bottom="1440" w:left="1588" w:header="851" w:footer="992" w:gutter="0"/>
      <w:paperSrc w:first="15" w:other="15"/>
      <w:pgNumType w:start="1"/>
      <w:cols w:space="946" w:num="2"/>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华文细黑">
    <w:altName w:val="微软雅黑"/>
    <w:panose1 w:val="02010600040101010101"/>
    <w:charset w:val="86"/>
    <w:family w:val="auto"/>
    <w:pitch w:val="default"/>
    <w:sig w:usb0="00000000" w:usb1="00000000" w:usb2="00000010" w:usb3="00000000" w:csb0="0004009F" w:csb1="00000000"/>
  </w:font>
  <w:font w:name="等线">
    <w:panose1 w:val="02010600030101010101"/>
    <w:charset w:val="86"/>
    <w:family w:val="auto"/>
    <w:pitch w:val="default"/>
    <w:sig w:usb0="A00002BF" w:usb1="38CF7CFA" w:usb2="00000016" w:usb3="00000000" w:csb0="0004000F" w:csb1="00000000"/>
  </w:font>
  <w:font w:name="瀹嬩綋">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1CA66">
    <w:pPr>
      <w:pStyle w:val="25"/>
      <w:jc w:val="center"/>
    </w:pPr>
    <w:r>
      <w:fldChar w:fldCharType="begin"/>
    </w:r>
    <w:r>
      <w:instrText xml:space="preserve"> PAGE   \* MERGEFORMAT </w:instrText>
    </w:r>
    <w:r>
      <w:fldChar w:fldCharType="separate"/>
    </w:r>
    <w:r>
      <w:rPr>
        <w:lang w:val="zh-CN"/>
      </w:rPr>
      <w:t>32</w:t>
    </w:r>
    <w:r>
      <w:fldChar w:fldCharType="end"/>
    </w:r>
  </w:p>
  <w:p w14:paraId="6CD8EEDA">
    <w:pPr>
      <w:pStyle w:val="2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9B5D9">
    <w:pPr>
      <w:pStyle w:val="26"/>
    </w:pPr>
    <w:r>
      <w:rPr>
        <w:rFonts w:hint="eastAsia"/>
      </w:rPr>
      <w:t>乐山市中心城区岷江东岸片区控制性详细规划（修编）·说明书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645893"/>
    <w:multiLevelType w:val="multilevel"/>
    <w:tmpl w:val="57645893"/>
    <w:lvl w:ilvl="0" w:tentative="0">
      <w:start w:val="1"/>
      <w:numFmt w:val="chineseCountingThousand"/>
      <w:pStyle w:val="117"/>
      <w:lvlText w:val="%1、"/>
      <w:lvlJc w:val="left"/>
      <w:pPr>
        <w:tabs>
          <w:tab w:val="left" w:pos="840"/>
        </w:tabs>
        <w:ind w:left="840" w:hanging="840"/>
      </w:pPr>
      <w:rPr>
        <w:rFonts w:hint="eastAsia"/>
        <w:b/>
        <w:i w:val="0"/>
        <w:sz w:val="84"/>
        <w:szCs w:val="32"/>
      </w:rPr>
    </w:lvl>
    <w:lvl w:ilvl="1" w:tentative="0">
      <w:start w:val="1"/>
      <w:numFmt w:val="decimal"/>
      <w:pStyle w:val="118"/>
      <w:suff w:val="space"/>
      <w:lvlText w:val="%2 "/>
      <w:lvlJc w:val="left"/>
      <w:pPr>
        <w:ind w:left="0" w:firstLine="0"/>
      </w:pPr>
      <w:rPr>
        <w:rFonts w:hint="eastAsia" w:ascii="黑体" w:eastAsia="黑体"/>
        <w:sz w:val="48"/>
        <w:szCs w:val="28"/>
      </w:rPr>
    </w:lvl>
    <w:lvl w:ilvl="2" w:tentative="0">
      <w:start w:val="1"/>
      <w:numFmt w:val="decimal"/>
      <w:pStyle w:val="115"/>
      <w:suff w:val="space"/>
      <w:lvlText w:val="%2.%3 "/>
      <w:lvlJc w:val="left"/>
      <w:pPr>
        <w:ind w:left="0" w:firstLine="0"/>
      </w:pPr>
      <w:rPr>
        <w:rFonts w:hint="eastAsia" w:ascii="黑体" w:eastAsia="黑体"/>
        <w:sz w:val="32"/>
        <w:szCs w:val="24"/>
      </w:rPr>
    </w:lvl>
    <w:lvl w:ilvl="3" w:tentative="0">
      <w:start w:val="1"/>
      <w:numFmt w:val="decimal"/>
      <w:pStyle w:val="116"/>
      <w:suff w:val="space"/>
      <w:lvlText w:val="%2.%3.%4 "/>
      <w:lvlJc w:val="left"/>
      <w:pPr>
        <w:ind w:left="1260" w:firstLine="0"/>
      </w:pPr>
      <w:rPr>
        <w:rFonts w:hint="eastAsia" w:ascii="宋体" w:eastAsia="宋体"/>
        <w:b/>
        <w:i w:val="0"/>
        <w:sz w:val="30"/>
        <w:szCs w:val="21"/>
      </w:rPr>
    </w:lvl>
    <w:lvl w:ilvl="4" w:tentative="0">
      <w:start w:val="1"/>
      <w:numFmt w:val="decimal"/>
      <w:lvlText w:val="%1.%2.%3.%4.%5."/>
      <w:lvlJc w:val="left"/>
      <w:pPr>
        <w:tabs>
          <w:tab w:val="left" w:pos="1192"/>
        </w:tabs>
        <w:ind w:left="1192" w:hanging="992"/>
      </w:pPr>
      <w:rPr>
        <w:rFonts w:hint="eastAsia"/>
      </w:rPr>
    </w:lvl>
    <w:lvl w:ilvl="5" w:tentative="0">
      <w:start w:val="1"/>
      <w:numFmt w:val="decimal"/>
      <w:lvlText w:val="%1.%2.%3.%4.%5.%6."/>
      <w:lvlJc w:val="left"/>
      <w:pPr>
        <w:tabs>
          <w:tab w:val="left" w:pos="1334"/>
        </w:tabs>
        <w:ind w:left="1334" w:hanging="1134"/>
      </w:pPr>
      <w:rPr>
        <w:rFonts w:hint="eastAsia"/>
      </w:rPr>
    </w:lvl>
    <w:lvl w:ilvl="6" w:tentative="0">
      <w:start w:val="1"/>
      <w:numFmt w:val="decimal"/>
      <w:lvlText w:val="%1.%2.%3.%4.%5.%6.%7."/>
      <w:lvlJc w:val="left"/>
      <w:pPr>
        <w:tabs>
          <w:tab w:val="left" w:pos="1476"/>
        </w:tabs>
        <w:ind w:left="1476" w:hanging="1276"/>
      </w:pPr>
      <w:rPr>
        <w:rFonts w:hint="eastAsia"/>
      </w:rPr>
    </w:lvl>
    <w:lvl w:ilvl="7" w:tentative="0">
      <w:start w:val="1"/>
      <w:numFmt w:val="decimal"/>
      <w:lvlText w:val="%1.%2.%3.%4.%5.%6.%7.%8."/>
      <w:lvlJc w:val="left"/>
      <w:pPr>
        <w:tabs>
          <w:tab w:val="left" w:pos="1618"/>
        </w:tabs>
        <w:ind w:left="1618" w:hanging="1418"/>
      </w:pPr>
      <w:rPr>
        <w:rFonts w:hint="eastAsia"/>
      </w:rPr>
    </w:lvl>
    <w:lvl w:ilvl="8" w:tentative="0">
      <w:start w:val="1"/>
      <w:numFmt w:val="decimal"/>
      <w:lvlText w:val="%1.%2.%3.%4.%5.%6.%7.%8.%9."/>
      <w:lvlJc w:val="left"/>
      <w:pPr>
        <w:tabs>
          <w:tab w:val="left" w:pos="1759"/>
        </w:tabs>
        <w:ind w:left="17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4C7"/>
    <w:rsid w:val="00000706"/>
    <w:rsid w:val="0000156C"/>
    <w:rsid w:val="00001C3E"/>
    <w:rsid w:val="00003157"/>
    <w:rsid w:val="000044D9"/>
    <w:rsid w:val="00005F45"/>
    <w:rsid w:val="00006F39"/>
    <w:rsid w:val="00015066"/>
    <w:rsid w:val="000172FC"/>
    <w:rsid w:val="00017755"/>
    <w:rsid w:val="00017AA7"/>
    <w:rsid w:val="0002254B"/>
    <w:rsid w:val="00023EE1"/>
    <w:rsid w:val="000252A2"/>
    <w:rsid w:val="00025846"/>
    <w:rsid w:val="00026FF1"/>
    <w:rsid w:val="0003125C"/>
    <w:rsid w:val="000330D9"/>
    <w:rsid w:val="00033646"/>
    <w:rsid w:val="00036119"/>
    <w:rsid w:val="00036412"/>
    <w:rsid w:val="000411AB"/>
    <w:rsid w:val="000414A3"/>
    <w:rsid w:val="00043833"/>
    <w:rsid w:val="000454E7"/>
    <w:rsid w:val="00047A2C"/>
    <w:rsid w:val="00047ACB"/>
    <w:rsid w:val="00050632"/>
    <w:rsid w:val="00052D81"/>
    <w:rsid w:val="00054513"/>
    <w:rsid w:val="00057FB0"/>
    <w:rsid w:val="000606AB"/>
    <w:rsid w:val="00060DD2"/>
    <w:rsid w:val="00065DE7"/>
    <w:rsid w:val="0007053A"/>
    <w:rsid w:val="00070FD6"/>
    <w:rsid w:val="00072972"/>
    <w:rsid w:val="000740AC"/>
    <w:rsid w:val="00074C2A"/>
    <w:rsid w:val="00077F74"/>
    <w:rsid w:val="00080579"/>
    <w:rsid w:val="00080593"/>
    <w:rsid w:val="00081E88"/>
    <w:rsid w:val="00083DA3"/>
    <w:rsid w:val="00085EE1"/>
    <w:rsid w:val="00086EEB"/>
    <w:rsid w:val="000874F1"/>
    <w:rsid w:val="0009196E"/>
    <w:rsid w:val="0009412F"/>
    <w:rsid w:val="000943CF"/>
    <w:rsid w:val="00095F60"/>
    <w:rsid w:val="000A2667"/>
    <w:rsid w:val="000A39FE"/>
    <w:rsid w:val="000A4B9D"/>
    <w:rsid w:val="000A5280"/>
    <w:rsid w:val="000A5C6C"/>
    <w:rsid w:val="000A7C30"/>
    <w:rsid w:val="000B0C08"/>
    <w:rsid w:val="000B1960"/>
    <w:rsid w:val="000B20C3"/>
    <w:rsid w:val="000B6FD9"/>
    <w:rsid w:val="000C2A7F"/>
    <w:rsid w:val="000C597D"/>
    <w:rsid w:val="000C5DB0"/>
    <w:rsid w:val="000C5EE7"/>
    <w:rsid w:val="000C629E"/>
    <w:rsid w:val="000D032E"/>
    <w:rsid w:val="000D3620"/>
    <w:rsid w:val="000E0222"/>
    <w:rsid w:val="000E0AA1"/>
    <w:rsid w:val="000E1E39"/>
    <w:rsid w:val="000E361D"/>
    <w:rsid w:val="000E4DC1"/>
    <w:rsid w:val="000E61F4"/>
    <w:rsid w:val="000E6565"/>
    <w:rsid w:val="000E6964"/>
    <w:rsid w:val="000E7709"/>
    <w:rsid w:val="000E7DF1"/>
    <w:rsid w:val="000F0430"/>
    <w:rsid w:val="000F1776"/>
    <w:rsid w:val="000F1E17"/>
    <w:rsid w:val="000F24C8"/>
    <w:rsid w:val="000F32C8"/>
    <w:rsid w:val="000F367F"/>
    <w:rsid w:val="000F3EF1"/>
    <w:rsid w:val="000F45EA"/>
    <w:rsid w:val="000F609E"/>
    <w:rsid w:val="000F64C5"/>
    <w:rsid w:val="000F798B"/>
    <w:rsid w:val="000F7C71"/>
    <w:rsid w:val="00100025"/>
    <w:rsid w:val="0010051E"/>
    <w:rsid w:val="001010EF"/>
    <w:rsid w:val="00101E90"/>
    <w:rsid w:val="001022B8"/>
    <w:rsid w:val="00102444"/>
    <w:rsid w:val="00102731"/>
    <w:rsid w:val="00103D10"/>
    <w:rsid w:val="0010414F"/>
    <w:rsid w:val="001048E7"/>
    <w:rsid w:val="00104C0B"/>
    <w:rsid w:val="00105BC1"/>
    <w:rsid w:val="001068D5"/>
    <w:rsid w:val="001071B7"/>
    <w:rsid w:val="001071BF"/>
    <w:rsid w:val="0011044A"/>
    <w:rsid w:val="00110D72"/>
    <w:rsid w:val="00111DDF"/>
    <w:rsid w:val="001122FF"/>
    <w:rsid w:val="00112EF3"/>
    <w:rsid w:val="00117E54"/>
    <w:rsid w:val="00120BD5"/>
    <w:rsid w:val="00120EFA"/>
    <w:rsid w:val="0012134B"/>
    <w:rsid w:val="0012199E"/>
    <w:rsid w:val="00121C16"/>
    <w:rsid w:val="00122823"/>
    <w:rsid w:val="001238D1"/>
    <w:rsid w:val="00124405"/>
    <w:rsid w:val="00126596"/>
    <w:rsid w:val="001306DB"/>
    <w:rsid w:val="00130926"/>
    <w:rsid w:val="00133308"/>
    <w:rsid w:val="00135494"/>
    <w:rsid w:val="0013695F"/>
    <w:rsid w:val="00140385"/>
    <w:rsid w:val="00141165"/>
    <w:rsid w:val="001434C5"/>
    <w:rsid w:val="0014785B"/>
    <w:rsid w:val="001478EF"/>
    <w:rsid w:val="00147F88"/>
    <w:rsid w:val="001524C8"/>
    <w:rsid w:val="001526DF"/>
    <w:rsid w:val="00161EB2"/>
    <w:rsid w:val="00162AAB"/>
    <w:rsid w:val="00165934"/>
    <w:rsid w:val="00166B72"/>
    <w:rsid w:val="001673A2"/>
    <w:rsid w:val="00167BBF"/>
    <w:rsid w:val="00171B6F"/>
    <w:rsid w:val="0017654A"/>
    <w:rsid w:val="00176BE0"/>
    <w:rsid w:val="00180755"/>
    <w:rsid w:val="00180D0A"/>
    <w:rsid w:val="00181AB0"/>
    <w:rsid w:val="00181B64"/>
    <w:rsid w:val="00183051"/>
    <w:rsid w:val="00185ABC"/>
    <w:rsid w:val="00185E94"/>
    <w:rsid w:val="00187C5B"/>
    <w:rsid w:val="001900DA"/>
    <w:rsid w:val="00190545"/>
    <w:rsid w:val="00191203"/>
    <w:rsid w:val="0019150C"/>
    <w:rsid w:val="0019357C"/>
    <w:rsid w:val="00193EAA"/>
    <w:rsid w:val="00195B03"/>
    <w:rsid w:val="001A0AB5"/>
    <w:rsid w:val="001A0E73"/>
    <w:rsid w:val="001A24B4"/>
    <w:rsid w:val="001A54B2"/>
    <w:rsid w:val="001B0408"/>
    <w:rsid w:val="001B1FD0"/>
    <w:rsid w:val="001B2108"/>
    <w:rsid w:val="001B2852"/>
    <w:rsid w:val="001B4117"/>
    <w:rsid w:val="001B42B3"/>
    <w:rsid w:val="001B535B"/>
    <w:rsid w:val="001B562A"/>
    <w:rsid w:val="001B6D7B"/>
    <w:rsid w:val="001C1F86"/>
    <w:rsid w:val="001C225C"/>
    <w:rsid w:val="001C24AE"/>
    <w:rsid w:val="001C2C9B"/>
    <w:rsid w:val="001C37D9"/>
    <w:rsid w:val="001C42FD"/>
    <w:rsid w:val="001C5FA5"/>
    <w:rsid w:val="001D52EB"/>
    <w:rsid w:val="001D5764"/>
    <w:rsid w:val="001D579E"/>
    <w:rsid w:val="001D6A0A"/>
    <w:rsid w:val="001D72E9"/>
    <w:rsid w:val="001E0A85"/>
    <w:rsid w:val="001E36AA"/>
    <w:rsid w:val="001E38BB"/>
    <w:rsid w:val="001E5352"/>
    <w:rsid w:val="001E5B71"/>
    <w:rsid w:val="001F16C6"/>
    <w:rsid w:val="001F25A1"/>
    <w:rsid w:val="001F43F9"/>
    <w:rsid w:val="001F4909"/>
    <w:rsid w:val="001F53F4"/>
    <w:rsid w:val="0020496F"/>
    <w:rsid w:val="00210F31"/>
    <w:rsid w:val="00212116"/>
    <w:rsid w:val="002127AC"/>
    <w:rsid w:val="00212BF9"/>
    <w:rsid w:val="00220BF2"/>
    <w:rsid w:val="00220E44"/>
    <w:rsid w:val="0022164C"/>
    <w:rsid w:val="00222B4D"/>
    <w:rsid w:val="002322E4"/>
    <w:rsid w:val="00232A11"/>
    <w:rsid w:val="00233BC4"/>
    <w:rsid w:val="00235C97"/>
    <w:rsid w:val="00235E09"/>
    <w:rsid w:val="00241449"/>
    <w:rsid w:val="00241E51"/>
    <w:rsid w:val="00241F81"/>
    <w:rsid w:val="00242A5E"/>
    <w:rsid w:val="00243993"/>
    <w:rsid w:val="00244BF2"/>
    <w:rsid w:val="002461B8"/>
    <w:rsid w:val="00251273"/>
    <w:rsid w:val="00252BBF"/>
    <w:rsid w:val="00252F88"/>
    <w:rsid w:val="002536A7"/>
    <w:rsid w:val="00255D75"/>
    <w:rsid w:val="00257D7C"/>
    <w:rsid w:val="00260999"/>
    <w:rsid w:val="00262EE4"/>
    <w:rsid w:val="0026366C"/>
    <w:rsid w:val="00267BD0"/>
    <w:rsid w:val="00271FFE"/>
    <w:rsid w:val="00272D04"/>
    <w:rsid w:val="002739C8"/>
    <w:rsid w:val="00275975"/>
    <w:rsid w:val="00280FC9"/>
    <w:rsid w:val="00283247"/>
    <w:rsid w:val="002841EA"/>
    <w:rsid w:val="002846A6"/>
    <w:rsid w:val="002847B9"/>
    <w:rsid w:val="002860AB"/>
    <w:rsid w:val="0028715A"/>
    <w:rsid w:val="002879F5"/>
    <w:rsid w:val="0029116C"/>
    <w:rsid w:val="00291628"/>
    <w:rsid w:val="00292677"/>
    <w:rsid w:val="00292AB9"/>
    <w:rsid w:val="002937E6"/>
    <w:rsid w:val="00293C12"/>
    <w:rsid w:val="002A063E"/>
    <w:rsid w:val="002A0FF2"/>
    <w:rsid w:val="002A1D14"/>
    <w:rsid w:val="002A4358"/>
    <w:rsid w:val="002A648D"/>
    <w:rsid w:val="002A7B05"/>
    <w:rsid w:val="002B33AD"/>
    <w:rsid w:val="002B43E4"/>
    <w:rsid w:val="002B6FF4"/>
    <w:rsid w:val="002C0C10"/>
    <w:rsid w:val="002C23B4"/>
    <w:rsid w:val="002C2B12"/>
    <w:rsid w:val="002C4814"/>
    <w:rsid w:val="002C59BD"/>
    <w:rsid w:val="002C5DD5"/>
    <w:rsid w:val="002C7359"/>
    <w:rsid w:val="002D0149"/>
    <w:rsid w:val="002D1C65"/>
    <w:rsid w:val="002D216D"/>
    <w:rsid w:val="002D22B7"/>
    <w:rsid w:val="002D46B3"/>
    <w:rsid w:val="002D48F8"/>
    <w:rsid w:val="002D5D90"/>
    <w:rsid w:val="002D72D3"/>
    <w:rsid w:val="002D7F93"/>
    <w:rsid w:val="002E08EB"/>
    <w:rsid w:val="002E2405"/>
    <w:rsid w:val="002E2754"/>
    <w:rsid w:val="002E29D2"/>
    <w:rsid w:val="002E3A20"/>
    <w:rsid w:val="002E3D94"/>
    <w:rsid w:val="002E4753"/>
    <w:rsid w:val="002E5396"/>
    <w:rsid w:val="002E5B8C"/>
    <w:rsid w:val="002E7F63"/>
    <w:rsid w:val="002F2ABE"/>
    <w:rsid w:val="002F63D6"/>
    <w:rsid w:val="003018BB"/>
    <w:rsid w:val="00301DF1"/>
    <w:rsid w:val="00304A32"/>
    <w:rsid w:val="00304C91"/>
    <w:rsid w:val="00306140"/>
    <w:rsid w:val="003102B4"/>
    <w:rsid w:val="003112D4"/>
    <w:rsid w:val="0031254F"/>
    <w:rsid w:val="003145BC"/>
    <w:rsid w:val="003173AD"/>
    <w:rsid w:val="00320A46"/>
    <w:rsid w:val="00321107"/>
    <w:rsid w:val="003227FB"/>
    <w:rsid w:val="003232EC"/>
    <w:rsid w:val="003240EB"/>
    <w:rsid w:val="00324BED"/>
    <w:rsid w:val="00325145"/>
    <w:rsid w:val="00326593"/>
    <w:rsid w:val="003267E2"/>
    <w:rsid w:val="00327C5B"/>
    <w:rsid w:val="003303A0"/>
    <w:rsid w:val="00334588"/>
    <w:rsid w:val="00334825"/>
    <w:rsid w:val="00340924"/>
    <w:rsid w:val="00343D44"/>
    <w:rsid w:val="00343ED7"/>
    <w:rsid w:val="00344582"/>
    <w:rsid w:val="0034602B"/>
    <w:rsid w:val="00346459"/>
    <w:rsid w:val="00357B29"/>
    <w:rsid w:val="00361380"/>
    <w:rsid w:val="00361E77"/>
    <w:rsid w:val="0036272B"/>
    <w:rsid w:val="00367532"/>
    <w:rsid w:val="003716AC"/>
    <w:rsid w:val="00371BDF"/>
    <w:rsid w:val="00372D8C"/>
    <w:rsid w:val="00373AEA"/>
    <w:rsid w:val="00375626"/>
    <w:rsid w:val="003766B9"/>
    <w:rsid w:val="00380E0E"/>
    <w:rsid w:val="00381144"/>
    <w:rsid w:val="003815BF"/>
    <w:rsid w:val="0038178D"/>
    <w:rsid w:val="003818FD"/>
    <w:rsid w:val="0038234D"/>
    <w:rsid w:val="00385360"/>
    <w:rsid w:val="003856DE"/>
    <w:rsid w:val="003863AE"/>
    <w:rsid w:val="0039191E"/>
    <w:rsid w:val="003926CF"/>
    <w:rsid w:val="00392770"/>
    <w:rsid w:val="00393840"/>
    <w:rsid w:val="003A0A09"/>
    <w:rsid w:val="003A41A8"/>
    <w:rsid w:val="003A4700"/>
    <w:rsid w:val="003A4B45"/>
    <w:rsid w:val="003A5482"/>
    <w:rsid w:val="003A6426"/>
    <w:rsid w:val="003B11FF"/>
    <w:rsid w:val="003B2D7B"/>
    <w:rsid w:val="003B4D83"/>
    <w:rsid w:val="003B62B4"/>
    <w:rsid w:val="003B67FB"/>
    <w:rsid w:val="003C0A18"/>
    <w:rsid w:val="003C224F"/>
    <w:rsid w:val="003C48C5"/>
    <w:rsid w:val="003D0931"/>
    <w:rsid w:val="003D0FB2"/>
    <w:rsid w:val="003D2183"/>
    <w:rsid w:val="003D2211"/>
    <w:rsid w:val="003D2307"/>
    <w:rsid w:val="003D3A28"/>
    <w:rsid w:val="003E094E"/>
    <w:rsid w:val="003E4E63"/>
    <w:rsid w:val="003E5A6B"/>
    <w:rsid w:val="003E6F3E"/>
    <w:rsid w:val="003F0563"/>
    <w:rsid w:val="003F13D0"/>
    <w:rsid w:val="003F4234"/>
    <w:rsid w:val="003F6042"/>
    <w:rsid w:val="003F6461"/>
    <w:rsid w:val="00402113"/>
    <w:rsid w:val="004029A9"/>
    <w:rsid w:val="00402DDC"/>
    <w:rsid w:val="00404690"/>
    <w:rsid w:val="00404D45"/>
    <w:rsid w:val="00405000"/>
    <w:rsid w:val="004052A2"/>
    <w:rsid w:val="004102B0"/>
    <w:rsid w:val="004155F9"/>
    <w:rsid w:val="00417EA4"/>
    <w:rsid w:val="00420035"/>
    <w:rsid w:val="00421381"/>
    <w:rsid w:val="00421E81"/>
    <w:rsid w:val="00422F1C"/>
    <w:rsid w:val="00425D86"/>
    <w:rsid w:val="004354F0"/>
    <w:rsid w:val="0043626B"/>
    <w:rsid w:val="004362B8"/>
    <w:rsid w:val="00440540"/>
    <w:rsid w:val="0044224F"/>
    <w:rsid w:val="00443655"/>
    <w:rsid w:val="00443E87"/>
    <w:rsid w:val="00443FA8"/>
    <w:rsid w:val="00446DC2"/>
    <w:rsid w:val="00446EC4"/>
    <w:rsid w:val="00447D27"/>
    <w:rsid w:val="0045025B"/>
    <w:rsid w:val="00452631"/>
    <w:rsid w:val="00452CE3"/>
    <w:rsid w:val="004532B1"/>
    <w:rsid w:val="00453ECF"/>
    <w:rsid w:val="004544A1"/>
    <w:rsid w:val="00454CDF"/>
    <w:rsid w:val="00455DAC"/>
    <w:rsid w:val="0046134B"/>
    <w:rsid w:val="00461672"/>
    <w:rsid w:val="004650EB"/>
    <w:rsid w:val="00467891"/>
    <w:rsid w:val="0047262B"/>
    <w:rsid w:val="0047369D"/>
    <w:rsid w:val="0047488C"/>
    <w:rsid w:val="00474A97"/>
    <w:rsid w:val="0048008F"/>
    <w:rsid w:val="00480E69"/>
    <w:rsid w:val="00480F5D"/>
    <w:rsid w:val="00483C7C"/>
    <w:rsid w:val="00486DE2"/>
    <w:rsid w:val="00490997"/>
    <w:rsid w:val="00493171"/>
    <w:rsid w:val="0049498A"/>
    <w:rsid w:val="0049625D"/>
    <w:rsid w:val="004962D9"/>
    <w:rsid w:val="00496FA5"/>
    <w:rsid w:val="004A42AA"/>
    <w:rsid w:val="004A513E"/>
    <w:rsid w:val="004A6024"/>
    <w:rsid w:val="004A797B"/>
    <w:rsid w:val="004B0E57"/>
    <w:rsid w:val="004B1965"/>
    <w:rsid w:val="004B27AA"/>
    <w:rsid w:val="004B3894"/>
    <w:rsid w:val="004B59A1"/>
    <w:rsid w:val="004B59AA"/>
    <w:rsid w:val="004B75CF"/>
    <w:rsid w:val="004C05DD"/>
    <w:rsid w:val="004C6F04"/>
    <w:rsid w:val="004D07BA"/>
    <w:rsid w:val="004D103F"/>
    <w:rsid w:val="004D1775"/>
    <w:rsid w:val="004D4B8A"/>
    <w:rsid w:val="004D6CD4"/>
    <w:rsid w:val="004D754D"/>
    <w:rsid w:val="004E032B"/>
    <w:rsid w:val="004E0673"/>
    <w:rsid w:val="004E2E30"/>
    <w:rsid w:val="004E3F1E"/>
    <w:rsid w:val="004E4715"/>
    <w:rsid w:val="004E62B2"/>
    <w:rsid w:val="004E78EE"/>
    <w:rsid w:val="004F28F6"/>
    <w:rsid w:val="00500FD3"/>
    <w:rsid w:val="00502A61"/>
    <w:rsid w:val="00502C06"/>
    <w:rsid w:val="00502EB6"/>
    <w:rsid w:val="00503508"/>
    <w:rsid w:val="00505023"/>
    <w:rsid w:val="00505720"/>
    <w:rsid w:val="00506F20"/>
    <w:rsid w:val="00511333"/>
    <w:rsid w:val="00512C70"/>
    <w:rsid w:val="005139CD"/>
    <w:rsid w:val="00514037"/>
    <w:rsid w:val="00514791"/>
    <w:rsid w:val="00514AFF"/>
    <w:rsid w:val="0051634B"/>
    <w:rsid w:val="00516528"/>
    <w:rsid w:val="00516C7F"/>
    <w:rsid w:val="0051750E"/>
    <w:rsid w:val="0052243E"/>
    <w:rsid w:val="005224E4"/>
    <w:rsid w:val="00522FCE"/>
    <w:rsid w:val="00525C90"/>
    <w:rsid w:val="005368FC"/>
    <w:rsid w:val="00537B47"/>
    <w:rsid w:val="0054021A"/>
    <w:rsid w:val="00541774"/>
    <w:rsid w:val="00542B31"/>
    <w:rsid w:val="00543448"/>
    <w:rsid w:val="005456CB"/>
    <w:rsid w:val="00551CA0"/>
    <w:rsid w:val="00553CB8"/>
    <w:rsid w:val="00554BE4"/>
    <w:rsid w:val="005563D8"/>
    <w:rsid w:val="00561580"/>
    <w:rsid w:val="00561E6E"/>
    <w:rsid w:val="00562803"/>
    <w:rsid w:val="00562C0F"/>
    <w:rsid w:val="0056383D"/>
    <w:rsid w:val="00563F4F"/>
    <w:rsid w:val="005643F9"/>
    <w:rsid w:val="00565417"/>
    <w:rsid w:val="005657C4"/>
    <w:rsid w:val="00567D21"/>
    <w:rsid w:val="00571820"/>
    <w:rsid w:val="00572A1F"/>
    <w:rsid w:val="00572DAD"/>
    <w:rsid w:val="00575D2F"/>
    <w:rsid w:val="00577BFB"/>
    <w:rsid w:val="00582056"/>
    <w:rsid w:val="00582F07"/>
    <w:rsid w:val="0058468E"/>
    <w:rsid w:val="00584891"/>
    <w:rsid w:val="00587343"/>
    <w:rsid w:val="00592F4A"/>
    <w:rsid w:val="00594992"/>
    <w:rsid w:val="00595A24"/>
    <w:rsid w:val="00595F99"/>
    <w:rsid w:val="005A1B24"/>
    <w:rsid w:val="005A515B"/>
    <w:rsid w:val="005B0F73"/>
    <w:rsid w:val="005B2FFD"/>
    <w:rsid w:val="005B36A4"/>
    <w:rsid w:val="005B4221"/>
    <w:rsid w:val="005C1ED3"/>
    <w:rsid w:val="005C4340"/>
    <w:rsid w:val="005D0791"/>
    <w:rsid w:val="005D31D1"/>
    <w:rsid w:val="005D572E"/>
    <w:rsid w:val="005D785E"/>
    <w:rsid w:val="005E0C34"/>
    <w:rsid w:val="005E2A76"/>
    <w:rsid w:val="005E352F"/>
    <w:rsid w:val="005E5437"/>
    <w:rsid w:val="005E7920"/>
    <w:rsid w:val="005E7E69"/>
    <w:rsid w:val="005F0A44"/>
    <w:rsid w:val="005F16B9"/>
    <w:rsid w:val="005F3DBC"/>
    <w:rsid w:val="005F47E0"/>
    <w:rsid w:val="005F5B7D"/>
    <w:rsid w:val="005F5CC8"/>
    <w:rsid w:val="005F7C5C"/>
    <w:rsid w:val="006019B7"/>
    <w:rsid w:val="006036E4"/>
    <w:rsid w:val="00605567"/>
    <w:rsid w:val="00610389"/>
    <w:rsid w:val="00611EEC"/>
    <w:rsid w:val="00617867"/>
    <w:rsid w:val="00622A03"/>
    <w:rsid w:val="00624D13"/>
    <w:rsid w:val="00625B5C"/>
    <w:rsid w:val="006267DE"/>
    <w:rsid w:val="00626F17"/>
    <w:rsid w:val="00627169"/>
    <w:rsid w:val="0062770B"/>
    <w:rsid w:val="00627EE0"/>
    <w:rsid w:val="00634353"/>
    <w:rsid w:val="00635193"/>
    <w:rsid w:val="00635AB7"/>
    <w:rsid w:val="00635BD7"/>
    <w:rsid w:val="00637C26"/>
    <w:rsid w:val="006429E0"/>
    <w:rsid w:val="006449C9"/>
    <w:rsid w:val="00646DF7"/>
    <w:rsid w:val="00652436"/>
    <w:rsid w:val="00653686"/>
    <w:rsid w:val="00655ADE"/>
    <w:rsid w:val="00655B37"/>
    <w:rsid w:val="006569DC"/>
    <w:rsid w:val="00656C3A"/>
    <w:rsid w:val="0066000D"/>
    <w:rsid w:val="00661D2E"/>
    <w:rsid w:val="00662912"/>
    <w:rsid w:val="00662DF9"/>
    <w:rsid w:val="00666379"/>
    <w:rsid w:val="00667843"/>
    <w:rsid w:val="00674B99"/>
    <w:rsid w:val="00677722"/>
    <w:rsid w:val="00677DF7"/>
    <w:rsid w:val="00677F68"/>
    <w:rsid w:val="006848BA"/>
    <w:rsid w:val="00685ACD"/>
    <w:rsid w:val="00686EEF"/>
    <w:rsid w:val="0069014B"/>
    <w:rsid w:val="00692CFF"/>
    <w:rsid w:val="006961B9"/>
    <w:rsid w:val="006968A5"/>
    <w:rsid w:val="006972A7"/>
    <w:rsid w:val="006A1464"/>
    <w:rsid w:val="006A266C"/>
    <w:rsid w:val="006A2913"/>
    <w:rsid w:val="006A397B"/>
    <w:rsid w:val="006A4308"/>
    <w:rsid w:val="006A441F"/>
    <w:rsid w:val="006A6159"/>
    <w:rsid w:val="006B5E53"/>
    <w:rsid w:val="006B74BD"/>
    <w:rsid w:val="006B7F95"/>
    <w:rsid w:val="006C0FB2"/>
    <w:rsid w:val="006C2073"/>
    <w:rsid w:val="006C267F"/>
    <w:rsid w:val="006C2BEF"/>
    <w:rsid w:val="006C3182"/>
    <w:rsid w:val="006C3929"/>
    <w:rsid w:val="006C4C33"/>
    <w:rsid w:val="006C67B0"/>
    <w:rsid w:val="006D19AD"/>
    <w:rsid w:val="006D1AF5"/>
    <w:rsid w:val="006D40F2"/>
    <w:rsid w:val="006D4584"/>
    <w:rsid w:val="006D5903"/>
    <w:rsid w:val="006D5996"/>
    <w:rsid w:val="006D60CF"/>
    <w:rsid w:val="006D7179"/>
    <w:rsid w:val="006D73AC"/>
    <w:rsid w:val="006E0FA7"/>
    <w:rsid w:val="006E6B23"/>
    <w:rsid w:val="006F1739"/>
    <w:rsid w:val="006F17A9"/>
    <w:rsid w:val="006F30F8"/>
    <w:rsid w:val="006F3B93"/>
    <w:rsid w:val="006F460C"/>
    <w:rsid w:val="006F5EB6"/>
    <w:rsid w:val="006F6298"/>
    <w:rsid w:val="006F6CE7"/>
    <w:rsid w:val="006F7761"/>
    <w:rsid w:val="00700198"/>
    <w:rsid w:val="007005AF"/>
    <w:rsid w:val="00701A75"/>
    <w:rsid w:val="00702CE3"/>
    <w:rsid w:val="00703E0F"/>
    <w:rsid w:val="00704EFC"/>
    <w:rsid w:val="00706091"/>
    <w:rsid w:val="0071056A"/>
    <w:rsid w:val="007111B8"/>
    <w:rsid w:val="00717292"/>
    <w:rsid w:val="007216ED"/>
    <w:rsid w:val="007219D0"/>
    <w:rsid w:val="007228ED"/>
    <w:rsid w:val="0072380A"/>
    <w:rsid w:val="00723A23"/>
    <w:rsid w:val="00723B64"/>
    <w:rsid w:val="00723ED0"/>
    <w:rsid w:val="007246B4"/>
    <w:rsid w:val="00724938"/>
    <w:rsid w:val="00726048"/>
    <w:rsid w:val="00726FD3"/>
    <w:rsid w:val="00727D29"/>
    <w:rsid w:val="00727F38"/>
    <w:rsid w:val="0073151A"/>
    <w:rsid w:val="00731A96"/>
    <w:rsid w:val="00731B33"/>
    <w:rsid w:val="00731F9E"/>
    <w:rsid w:val="0073530B"/>
    <w:rsid w:val="00735CC9"/>
    <w:rsid w:val="00735EEF"/>
    <w:rsid w:val="007378F8"/>
    <w:rsid w:val="00737A10"/>
    <w:rsid w:val="007411F5"/>
    <w:rsid w:val="007414EC"/>
    <w:rsid w:val="00743621"/>
    <w:rsid w:val="00744A54"/>
    <w:rsid w:val="0075047D"/>
    <w:rsid w:val="00750780"/>
    <w:rsid w:val="00750AA6"/>
    <w:rsid w:val="00751725"/>
    <w:rsid w:val="0075360C"/>
    <w:rsid w:val="007561BA"/>
    <w:rsid w:val="00757EB0"/>
    <w:rsid w:val="00763ADE"/>
    <w:rsid w:val="00763E8F"/>
    <w:rsid w:val="00763F36"/>
    <w:rsid w:val="00766558"/>
    <w:rsid w:val="00766C47"/>
    <w:rsid w:val="00767A11"/>
    <w:rsid w:val="00770717"/>
    <w:rsid w:val="00770A1F"/>
    <w:rsid w:val="007730B9"/>
    <w:rsid w:val="007742AB"/>
    <w:rsid w:val="00775048"/>
    <w:rsid w:val="007777A0"/>
    <w:rsid w:val="0077795D"/>
    <w:rsid w:val="00777A59"/>
    <w:rsid w:val="00780667"/>
    <w:rsid w:val="0078112B"/>
    <w:rsid w:val="0078287B"/>
    <w:rsid w:val="00782C23"/>
    <w:rsid w:val="00783CEB"/>
    <w:rsid w:val="00786DD2"/>
    <w:rsid w:val="00787AC2"/>
    <w:rsid w:val="00791938"/>
    <w:rsid w:val="007946AA"/>
    <w:rsid w:val="00795EB2"/>
    <w:rsid w:val="007A183E"/>
    <w:rsid w:val="007A1A1D"/>
    <w:rsid w:val="007A26AD"/>
    <w:rsid w:val="007A6DD4"/>
    <w:rsid w:val="007B2A0F"/>
    <w:rsid w:val="007B43A3"/>
    <w:rsid w:val="007C6001"/>
    <w:rsid w:val="007C714B"/>
    <w:rsid w:val="007C7CB7"/>
    <w:rsid w:val="007D2B3E"/>
    <w:rsid w:val="007D2EA6"/>
    <w:rsid w:val="007D44E3"/>
    <w:rsid w:val="007D472E"/>
    <w:rsid w:val="007D4FA1"/>
    <w:rsid w:val="007D68C0"/>
    <w:rsid w:val="007D6FAB"/>
    <w:rsid w:val="007E00B2"/>
    <w:rsid w:val="007E6F97"/>
    <w:rsid w:val="007F0B36"/>
    <w:rsid w:val="007F15A9"/>
    <w:rsid w:val="007F7BF5"/>
    <w:rsid w:val="008017EC"/>
    <w:rsid w:val="0080296C"/>
    <w:rsid w:val="00803C82"/>
    <w:rsid w:val="00803CC3"/>
    <w:rsid w:val="00804901"/>
    <w:rsid w:val="00805411"/>
    <w:rsid w:val="00805E2D"/>
    <w:rsid w:val="00806DD4"/>
    <w:rsid w:val="008132D4"/>
    <w:rsid w:val="00813F48"/>
    <w:rsid w:val="008159CF"/>
    <w:rsid w:val="00815AA1"/>
    <w:rsid w:val="00815CF3"/>
    <w:rsid w:val="008165C6"/>
    <w:rsid w:val="00817C3B"/>
    <w:rsid w:val="008201A2"/>
    <w:rsid w:val="00821A9B"/>
    <w:rsid w:val="00822177"/>
    <w:rsid w:val="008222AD"/>
    <w:rsid w:val="00822469"/>
    <w:rsid w:val="00822842"/>
    <w:rsid w:val="00822F46"/>
    <w:rsid w:val="0082450E"/>
    <w:rsid w:val="00825C0C"/>
    <w:rsid w:val="00825F33"/>
    <w:rsid w:val="0082692F"/>
    <w:rsid w:val="008300B3"/>
    <w:rsid w:val="00831D7F"/>
    <w:rsid w:val="00832E0F"/>
    <w:rsid w:val="00833005"/>
    <w:rsid w:val="00833048"/>
    <w:rsid w:val="00836BDD"/>
    <w:rsid w:val="00836E1F"/>
    <w:rsid w:val="008372DB"/>
    <w:rsid w:val="00842FDC"/>
    <w:rsid w:val="00844221"/>
    <w:rsid w:val="00844771"/>
    <w:rsid w:val="00844B51"/>
    <w:rsid w:val="00845A85"/>
    <w:rsid w:val="008465A9"/>
    <w:rsid w:val="00847211"/>
    <w:rsid w:val="00851A6C"/>
    <w:rsid w:val="00853ADC"/>
    <w:rsid w:val="008552E9"/>
    <w:rsid w:val="00856158"/>
    <w:rsid w:val="0085656B"/>
    <w:rsid w:val="008571CC"/>
    <w:rsid w:val="0086333A"/>
    <w:rsid w:val="00864329"/>
    <w:rsid w:val="008645B9"/>
    <w:rsid w:val="00864CF4"/>
    <w:rsid w:val="00865975"/>
    <w:rsid w:val="008663ED"/>
    <w:rsid w:val="00866751"/>
    <w:rsid w:val="0087177E"/>
    <w:rsid w:val="00872429"/>
    <w:rsid w:val="00875412"/>
    <w:rsid w:val="00880F7B"/>
    <w:rsid w:val="00881CAF"/>
    <w:rsid w:val="00881CDD"/>
    <w:rsid w:val="00883429"/>
    <w:rsid w:val="00884943"/>
    <w:rsid w:val="00885247"/>
    <w:rsid w:val="00886530"/>
    <w:rsid w:val="00886FBE"/>
    <w:rsid w:val="0088717D"/>
    <w:rsid w:val="00890E32"/>
    <w:rsid w:val="00891010"/>
    <w:rsid w:val="00891C5F"/>
    <w:rsid w:val="008928B8"/>
    <w:rsid w:val="00892A65"/>
    <w:rsid w:val="00894D1C"/>
    <w:rsid w:val="008A04B0"/>
    <w:rsid w:val="008A1F12"/>
    <w:rsid w:val="008A428C"/>
    <w:rsid w:val="008A476F"/>
    <w:rsid w:val="008A4EB1"/>
    <w:rsid w:val="008A5576"/>
    <w:rsid w:val="008A65AA"/>
    <w:rsid w:val="008A7B9F"/>
    <w:rsid w:val="008B044D"/>
    <w:rsid w:val="008B06ED"/>
    <w:rsid w:val="008B37BD"/>
    <w:rsid w:val="008B57B9"/>
    <w:rsid w:val="008C0887"/>
    <w:rsid w:val="008C0B1F"/>
    <w:rsid w:val="008C4CA7"/>
    <w:rsid w:val="008C554D"/>
    <w:rsid w:val="008C64D2"/>
    <w:rsid w:val="008D3ED7"/>
    <w:rsid w:val="008D57E9"/>
    <w:rsid w:val="008D7FBB"/>
    <w:rsid w:val="008E1337"/>
    <w:rsid w:val="008E1512"/>
    <w:rsid w:val="008E384F"/>
    <w:rsid w:val="008E4212"/>
    <w:rsid w:val="008E4ED1"/>
    <w:rsid w:val="008E5D46"/>
    <w:rsid w:val="008E7D81"/>
    <w:rsid w:val="008F0083"/>
    <w:rsid w:val="008F04F8"/>
    <w:rsid w:val="008F1672"/>
    <w:rsid w:val="008F4D52"/>
    <w:rsid w:val="008F5A37"/>
    <w:rsid w:val="008F5D6A"/>
    <w:rsid w:val="008F605D"/>
    <w:rsid w:val="008F6273"/>
    <w:rsid w:val="008F62C0"/>
    <w:rsid w:val="008F69AC"/>
    <w:rsid w:val="008F6D0C"/>
    <w:rsid w:val="008F7AD9"/>
    <w:rsid w:val="009027D9"/>
    <w:rsid w:val="00903647"/>
    <w:rsid w:val="00903858"/>
    <w:rsid w:val="00904399"/>
    <w:rsid w:val="00906F28"/>
    <w:rsid w:val="00910A13"/>
    <w:rsid w:val="00910E31"/>
    <w:rsid w:val="00911186"/>
    <w:rsid w:val="00911849"/>
    <w:rsid w:val="009134D1"/>
    <w:rsid w:val="0091378D"/>
    <w:rsid w:val="00913C13"/>
    <w:rsid w:val="009219EB"/>
    <w:rsid w:val="00921F1A"/>
    <w:rsid w:val="00922200"/>
    <w:rsid w:val="00922440"/>
    <w:rsid w:val="009228A4"/>
    <w:rsid w:val="00922BD3"/>
    <w:rsid w:val="00922F15"/>
    <w:rsid w:val="00923975"/>
    <w:rsid w:val="009246FA"/>
    <w:rsid w:val="00924FB4"/>
    <w:rsid w:val="00926E2F"/>
    <w:rsid w:val="00930382"/>
    <w:rsid w:val="00930D10"/>
    <w:rsid w:val="00932C07"/>
    <w:rsid w:val="00932CA9"/>
    <w:rsid w:val="00937C1A"/>
    <w:rsid w:val="0094036A"/>
    <w:rsid w:val="009409C2"/>
    <w:rsid w:val="009410FF"/>
    <w:rsid w:val="00942610"/>
    <w:rsid w:val="00943E16"/>
    <w:rsid w:val="00946242"/>
    <w:rsid w:val="00946353"/>
    <w:rsid w:val="00947E86"/>
    <w:rsid w:val="0095027C"/>
    <w:rsid w:val="00955BF5"/>
    <w:rsid w:val="00955EDA"/>
    <w:rsid w:val="00957FD6"/>
    <w:rsid w:val="009608EA"/>
    <w:rsid w:val="00962269"/>
    <w:rsid w:val="0096242E"/>
    <w:rsid w:val="00962655"/>
    <w:rsid w:val="00962888"/>
    <w:rsid w:val="009628E1"/>
    <w:rsid w:val="009638CC"/>
    <w:rsid w:val="00963F89"/>
    <w:rsid w:val="0096411C"/>
    <w:rsid w:val="00965D4F"/>
    <w:rsid w:val="00966173"/>
    <w:rsid w:val="009661C9"/>
    <w:rsid w:val="009707E9"/>
    <w:rsid w:val="00972696"/>
    <w:rsid w:val="009736FE"/>
    <w:rsid w:val="00974FCC"/>
    <w:rsid w:val="009752C5"/>
    <w:rsid w:val="00980225"/>
    <w:rsid w:val="00980285"/>
    <w:rsid w:val="00982BBE"/>
    <w:rsid w:val="00983D3E"/>
    <w:rsid w:val="00984BF1"/>
    <w:rsid w:val="00985048"/>
    <w:rsid w:val="00987B25"/>
    <w:rsid w:val="009908B2"/>
    <w:rsid w:val="009916D3"/>
    <w:rsid w:val="0099377C"/>
    <w:rsid w:val="009939B5"/>
    <w:rsid w:val="00994327"/>
    <w:rsid w:val="009947E8"/>
    <w:rsid w:val="009973CF"/>
    <w:rsid w:val="009A09DB"/>
    <w:rsid w:val="009A10F9"/>
    <w:rsid w:val="009A1968"/>
    <w:rsid w:val="009A439D"/>
    <w:rsid w:val="009A4F1A"/>
    <w:rsid w:val="009A75C1"/>
    <w:rsid w:val="009B0A49"/>
    <w:rsid w:val="009B0DCF"/>
    <w:rsid w:val="009B344F"/>
    <w:rsid w:val="009B7A08"/>
    <w:rsid w:val="009C2E0C"/>
    <w:rsid w:val="009C3661"/>
    <w:rsid w:val="009C590A"/>
    <w:rsid w:val="009C664D"/>
    <w:rsid w:val="009C7ADD"/>
    <w:rsid w:val="009D1095"/>
    <w:rsid w:val="009D16C7"/>
    <w:rsid w:val="009D4850"/>
    <w:rsid w:val="009D53A9"/>
    <w:rsid w:val="009D7AFC"/>
    <w:rsid w:val="009D7C42"/>
    <w:rsid w:val="009D7EDE"/>
    <w:rsid w:val="009E4928"/>
    <w:rsid w:val="009E75A4"/>
    <w:rsid w:val="009F34A8"/>
    <w:rsid w:val="009F3C5F"/>
    <w:rsid w:val="009F4A11"/>
    <w:rsid w:val="009F5FE0"/>
    <w:rsid w:val="00A00FA1"/>
    <w:rsid w:val="00A04650"/>
    <w:rsid w:val="00A04692"/>
    <w:rsid w:val="00A04702"/>
    <w:rsid w:val="00A06098"/>
    <w:rsid w:val="00A10FAF"/>
    <w:rsid w:val="00A12CF7"/>
    <w:rsid w:val="00A1505E"/>
    <w:rsid w:val="00A15EA6"/>
    <w:rsid w:val="00A215D4"/>
    <w:rsid w:val="00A215D7"/>
    <w:rsid w:val="00A223C4"/>
    <w:rsid w:val="00A23241"/>
    <w:rsid w:val="00A232EF"/>
    <w:rsid w:val="00A2566F"/>
    <w:rsid w:val="00A25DE9"/>
    <w:rsid w:val="00A274F4"/>
    <w:rsid w:val="00A27A08"/>
    <w:rsid w:val="00A3201C"/>
    <w:rsid w:val="00A320EF"/>
    <w:rsid w:val="00A321B5"/>
    <w:rsid w:val="00A324E5"/>
    <w:rsid w:val="00A344C5"/>
    <w:rsid w:val="00A35DA6"/>
    <w:rsid w:val="00A36D04"/>
    <w:rsid w:val="00A40163"/>
    <w:rsid w:val="00A40698"/>
    <w:rsid w:val="00A41564"/>
    <w:rsid w:val="00A442F9"/>
    <w:rsid w:val="00A45924"/>
    <w:rsid w:val="00A508D4"/>
    <w:rsid w:val="00A50A68"/>
    <w:rsid w:val="00A5148B"/>
    <w:rsid w:val="00A56866"/>
    <w:rsid w:val="00A56C6E"/>
    <w:rsid w:val="00A57FDE"/>
    <w:rsid w:val="00A60EBF"/>
    <w:rsid w:val="00A6176C"/>
    <w:rsid w:val="00A6193F"/>
    <w:rsid w:val="00A621B9"/>
    <w:rsid w:val="00A624F6"/>
    <w:rsid w:val="00A65448"/>
    <w:rsid w:val="00A67060"/>
    <w:rsid w:val="00A714DC"/>
    <w:rsid w:val="00A718C5"/>
    <w:rsid w:val="00A7243D"/>
    <w:rsid w:val="00A7383D"/>
    <w:rsid w:val="00A73E1A"/>
    <w:rsid w:val="00A743D4"/>
    <w:rsid w:val="00A758EF"/>
    <w:rsid w:val="00A75C32"/>
    <w:rsid w:val="00A7607E"/>
    <w:rsid w:val="00A76FFB"/>
    <w:rsid w:val="00A80C3A"/>
    <w:rsid w:val="00A8159B"/>
    <w:rsid w:val="00A81CC1"/>
    <w:rsid w:val="00A8360A"/>
    <w:rsid w:val="00A83F02"/>
    <w:rsid w:val="00A86575"/>
    <w:rsid w:val="00A86C94"/>
    <w:rsid w:val="00A87EB7"/>
    <w:rsid w:val="00A91B01"/>
    <w:rsid w:val="00A91E74"/>
    <w:rsid w:val="00A93326"/>
    <w:rsid w:val="00A95605"/>
    <w:rsid w:val="00A95958"/>
    <w:rsid w:val="00A9716F"/>
    <w:rsid w:val="00A97FAD"/>
    <w:rsid w:val="00AA3FE5"/>
    <w:rsid w:val="00AA4C2B"/>
    <w:rsid w:val="00AA5614"/>
    <w:rsid w:val="00AB0380"/>
    <w:rsid w:val="00AB34AA"/>
    <w:rsid w:val="00AB415C"/>
    <w:rsid w:val="00AB5220"/>
    <w:rsid w:val="00AB6341"/>
    <w:rsid w:val="00AC10B3"/>
    <w:rsid w:val="00AC1B94"/>
    <w:rsid w:val="00AC1E97"/>
    <w:rsid w:val="00AC20DC"/>
    <w:rsid w:val="00AC22C3"/>
    <w:rsid w:val="00AC5E44"/>
    <w:rsid w:val="00AC75D0"/>
    <w:rsid w:val="00AD08BB"/>
    <w:rsid w:val="00AD14FB"/>
    <w:rsid w:val="00AD5587"/>
    <w:rsid w:val="00AD73C2"/>
    <w:rsid w:val="00AE5E21"/>
    <w:rsid w:val="00AE7307"/>
    <w:rsid w:val="00AE79E1"/>
    <w:rsid w:val="00AE7DB8"/>
    <w:rsid w:val="00AF0455"/>
    <w:rsid w:val="00AF2A52"/>
    <w:rsid w:val="00AF2F72"/>
    <w:rsid w:val="00AF344F"/>
    <w:rsid w:val="00AF4167"/>
    <w:rsid w:val="00AF7473"/>
    <w:rsid w:val="00B01027"/>
    <w:rsid w:val="00B020A2"/>
    <w:rsid w:val="00B0240F"/>
    <w:rsid w:val="00B04D93"/>
    <w:rsid w:val="00B05382"/>
    <w:rsid w:val="00B06300"/>
    <w:rsid w:val="00B069B3"/>
    <w:rsid w:val="00B06A66"/>
    <w:rsid w:val="00B06F2C"/>
    <w:rsid w:val="00B0731E"/>
    <w:rsid w:val="00B118BB"/>
    <w:rsid w:val="00B12B93"/>
    <w:rsid w:val="00B136C1"/>
    <w:rsid w:val="00B13F5C"/>
    <w:rsid w:val="00B15581"/>
    <w:rsid w:val="00B1658A"/>
    <w:rsid w:val="00B17416"/>
    <w:rsid w:val="00B200F7"/>
    <w:rsid w:val="00B212B7"/>
    <w:rsid w:val="00B21D2D"/>
    <w:rsid w:val="00B242C5"/>
    <w:rsid w:val="00B24726"/>
    <w:rsid w:val="00B266AC"/>
    <w:rsid w:val="00B26F1B"/>
    <w:rsid w:val="00B27156"/>
    <w:rsid w:val="00B27A9D"/>
    <w:rsid w:val="00B27BCA"/>
    <w:rsid w:val="00B31D1F"/>
    <w:rsid w:val="00B33599"/>
    <w:rsid w:val="00B33E5F"/>
    <w:rsid w:val="00B36C72"/>
    <w:rsid w:val="00B37DC8"/>
    <w:rsid w:val="00B4015A"/>
    <w:rsid w:val="00B40C00"/>
    <w:rsid w:val="00B41876"/>
    <w:rsid w:val="00B43538"/>
    <w:rsid w:val="00B43EFF"/>
    <w:rsid w:val="00B43F6F"/>
    <w:rsid w:val="00B44241"/>
    <w:rsid w:val="00B44C15"/>
    <w:rsid w:val="00B46BD2"/>
    <w:rsid w:val="00B4790A"/>
    <w:rsid w:val="00B51718"/>
    <w:rsid w:val="00B56FA9"/>
    <w:rsid w:val="00B574AA"/>
    <w:rsid w:val="00B576CF"/>
    <w:rsid w:val="00B579B3"/>
    <w:rsid w:val="00B57FD3"/>
    <w:rsid w:val="00B60E7E"/>
    <w:rsid w:val="00B62213"/>
    <w:rsid w:val="00B65908"/>
    <w:rsid w:val="00B66E0A"/>
    <w:rsid w:val="00B674B9"/>
    <w:rsid w:val="00B67FFB"/>
    <w:rsid w:val="00B70606"/>
    <w:rsid w:val="00B711B3"/>
    <w:rsid w:val="00B7331A"/>
    <w:rsid w:val="00B73388"/>
    <w:rsid w:val="00B741DF"/>
    <w:rsid w:val="00B80C08"/>
    <w:rsid w:val="00B837AF"/>
    <w:rsid w:val="00B85900"/>
    <w:rsid w:val="00B871D4"/>
    <w:rsid w:val="00B94AAE"/>
    <w:rsid w:val="00B975FF"/>
    <w:rsid w:val="00BA1850"/>
    <w:rsid w:val="00BA1A73"/>
    <w:rsid w:val="00BA3E24"/>
    <w:rsid w:val="00BA7C43"/>
    <w:rsid w:val="00BB094B"/>
    <w:rsid w:val="00BB0A5E"/>
    <w:rsid w:val="00BB0BEE"/>
    <w:rsid w:val="00BB34C4"/>
    <w:rsid w:val="00BB370A"/>
    <w:rsid w:val="00BB4946"/>
    <w:rsid w:val="00BB5E4C"/>
    <w:rsid w:val="00BB6E94"/>
    <w:rsid w:val="00BB7B91"/>
    <w:rsid w:val="00BC222F"/>
    <w:rsid w:val="00BC33C9"/>
    <w:rsid w:val="00BC4B42"/>
    <w:rsid w:val="00BC505C"/>
    <w:rsid w:val="00BC5761"/>
    <w:rsid w:val="00BC5913"/>
    <w:rsid w:val="00BC6574"/>
    <w:rsid w:val="00BC6662"/>
    <w:rsid w:val="00BD06A2"/>
    <w:rsid w:val="00BD1993"/>
    <w:rsid w:val="00BD201B"/>
    <w:rsid w:val="00BD201C"/>
    <w:rsid w:val="00BD5D29"/>
    <w:rsid w:val="00BD630A"/>
    <w:rsid w:val="00BD7078"/>
    <w:rsid w:val="00BD7981"/>
    <w:rsid w:val="00BE0847"/>
    <w:rsid w:val="00BE156B"/>
    <w:rsid w:val="00BE24BB"/>
    <w:rsid w:val="00BE2FF5"/>
    <w:rsid w:val="00BE3A2C"/>
    <w:rsid w:val="00BE5BEF"/>
    <w:rsid w:val="00BF2404"/>
    <w:rsid w:val="00BF32ED"/>
    <w:rsid w:val="00BF54A3"/>
    <w:rsid w:val="00BF5699"/>
    <w:rsid w:val="00BF6CA4"/>
    <w:rsid w:val="00BF7D9B"/>
    <w:rsid w:val="00C00CAF"/>
    <w:rsid w:val="00C01332"/>
    <w:rsid w:val="00C01C65"/>
    <w:rsid w:val="00C01F43"/>
    <w:rsid w:val="00C03D24"/>
    <w:rsid w:val="00C03D8B"/>
    <w:rsid w:val="00C04DD8"/>
    <w:rsid w:val="00C053AF"/>
    <w:rsid w:val="00C076E0"/>
    <w:rsid w:val="00C10E27"/>
    <w:rsid w:val="00C1101D"/>
    <w:rsid w:val="00C12176"/>
    <w:rsid w:val="00C12686"/>
    <w:rsid w:val="00C12DD9"/>
    <w:rsid w:val="00C12F7A"/>
    <w:rsid w:val="00C132BB"/>
    <w:rsid w:val="00C146C1"/>
    <w:rsid w:val="00C1484A"/>
    <w:rsid w:val="00C2181C"/>
    <w:rsid w:val="00C2194A"/>
    <w:rsid w:val="00C23B1E"/>
    <w:rsid w:val="00C23FAC"/>
    <w:rsid w:val="00C24D2B"/>
    <w:rsid w:val="00C25722"/>
    <w:rsid w:val="00C273BA"/>
    <w:rsid w:val="00C27EA6"/>
    <w:rsid w:val="00C30BAE"/>
    <w:rsid w:val="00C31468"/>
    <w:rsid w:val="00C319FC"/>
    <w:rsid w:val="00C35D33"/>
    <w:rsid w:val="00C36089"/>
    <w:rsid w:val="00C36B06"/>
    <w:rsid w:val="00C402FD"/>
    <w:rsid w:val="00C437A9"/>
    <w:rsid w:val="00C443BE"/>
    <w:rsid w:val="00C4494F"/>
    <w:rsid w:val="00C44C27"/>
    <w:rsid w:val="00C45155"/>
    <w:rsid w:val="00C4628D"/>
    <w:rsid w:val="00C50E24"/>
    <w:rsid w:val="00C51D69"/>
    <w:rsid w:val="00C52084"/>
    <w:rsid w:val="00C523FE"/>
    <w:rsid w:val="00C52C70"/>
    <w:rsid w:val="00C5312B"/>
    <w:rsid w:val="00C54A33"/>
    <w:rsid w:val="00C54BC7"/>
    <w:rsid w:val="00C55F12"/>
    <w:rsid w:val="00C57648"/>
    <w:rsid w:val="00C57C60"/>
    <w:rsid w:val="00C602D6"/>
    <w:rsid w:val="00C60467"/>
    <w:rsid w:val="00C61165"/>
    <w:rsid w:val="00C62A8C"/>
    <w:rsid w:val="00C6643C"/>
    <w:rsid w:val="00C675FB"/>
    <w:rsid w:val="00C676AE"/>
    <w:rsid w:val="00C67E62"/>
    <w:rsid w:val="00C701A1"/>
    <w:rsid w:val="00C70803"/>
    <w:rsid w:val="00C70E20"/>
    <w:rsid w:val="00C710AB"/>
    <w:rsid w:val="00C72BFE"/>
    <w:rsid w:val="00C739B9"/>
    <w:rsid w:val="00C75673"/>
    <w:rsid w:val="00C81042"/>
    <w:rsid w:val="00C814C7"/>
    <w:rsid w:val="00C86723"/>
    <w:rsid w:val="00C90838"/>
    <w:rsid w:val="00C90C2A"/>
    <w:rsid w:val="00C91F5C"/>
    <w:rsid w:val="00C94D6B"/>
    <w:rsid w:val="00CA36A0"/>
    <w:rsid w:val="00CA377A"/>
    <w:rsid w:val="00CA4ED3"/>
    <w:rsid w:val="00CA5E49"/>
    <w:rsid w:val="00CA67A2"/>
    <w:rsid w:val="00CA69D2"/>
    <w:rsid w:val="00CA7459"/>
    <w:rsid w:val="00CB113C"/>
    <w:rsid w:val="00CB26A3"/>
    <w:rsid w:val="00CB50E4"/>
    <w:rsid w:val="00CB7C6B"/>
    <w:rsid w:val="00CC0062"/>
    <w:rsid w:val="00CC1AF0"/>
    <w:rsid w:val="00CC1B87"/>
    <w:rsid w:val="00CC30AF"/>
    <w:rsid w:val="00CC53F1"/>
    <w:rsid w:val="00CC5FDC"/>
    <w:rsid w:val="00CC6237"/>
    <w:rsid w:val="00CD0573"/>
    <w:rsid w:val="00CD1738"/>
    <w:rsid w:val="00CD25A2"/>
    <w:rsid w:val="00CD41D7"/>
    <w:rsid w:val="00CD4FC0"/>
    <w:rsid w:val="00CD5843"/>
    <w:rsid w:val="00CD5D0F"/>
    <w:rsid w:val="00CD70F3"/>
    <w:rsid w:val="00CD7163"/>
    <w:rsid w:val="00CD7466"/>
    <w:rsid w:val="00CE0894"/>
    <w:rsid w:val="00CE1D60"/>
    <w:rsid w:val="00CE2997"/>
    <w:rsid w:val="00CE3505"/>
    <w:rsid w:val="00CE365C"/>
    <w:rsid w:val="00CE5083"/>
    <w:rsid w:val="00CF045B"/>
    <w:rsid w:val="00CF1669"/>
    <w:rsid w:val="00CF442C"/>
    <w:rsid w:val="00CF4BE6"/>
    <w:rsid w:val="00CF4F2C"/>
    <w:rsid w:val="00CF59CA"/>
    <w:rsid w:val="00CF73A4"/>
    <w:rsid w:val="00CF7CDC"/>
    <w:rsid w:val="00D015B9"/>
    <w:rsid w:val="00D02C5B"/>
    <w:rsid w:val="00D05EE5"/>
    <w:rsid w:val="00D06C0A"/>
    <w:rsid w:val="00D10EF9"/>
    <w:rsid w:val="00D11728"/>
    <w:rsid w:val="00D14240"/>
    <w:rsid w:val="00D15118"/>
    <w:rsid w:val="00D15E0C"/>
    <w:rsid w:val="00D167A3"/>
    <w:rsid w:val="00D16820"/>
    <w:rsid w:val="00D17A50"/>
    <w:rsid w:val="00D17BC7"/>
    <w:rsid w:val="00D2092C"/>
    <w:rsid w:val="00D20B63"/>
    <w:rsid w:val="00D240A9"/>
    <w:rsid w:val="00D245EE"/>
    <w:rsid w:val="00D24FF7"/>
    <w:rsid w:val="00D26971"/>
    <w:rsid w:val="00D2699F"/>
    <w:rsid w:val="00D30AB1"/>
    <w:rsid w:val="00D317D1"/>
    <w:rsid w:val="00D33ECA"/>
    <w:rsid w:val="00D35626"/>
    <w:rsid w:val="00D36F29"/>
    <w:rsid w:val="00D37347"/>
    <w:rsid w:val="00D37A50"/>
    <w:rsid w:val="00D41357"/>
    <w:rsid w:val="00D4162C"/>
    <w:rsid w:val="00D42423"/>
    <w:rsid w:val="00D42D8B"/>
    <w:rsid w:val="00D431B7"/>
    <w:rsid w:val="00D452EA"/>
    <w:rsid w:val="00D51FE5"/>
    <w:rsid w:val="00D522F2"/>
    <w:rsid w:val="00D52321"/>
    <w:rsid w:val="00D52DB6"/>
    <w:rsid w:val="00D533E9"/>
    <w:rsid w:val="00D54361"/>
    <w:rsid w:val="00D5478A"/>
    <w:rsid w:val="00D54BD0"/>
    <w:rsid w:val="00D54F31"/>
    <w:rsid w:val="00D55784"/>
    <w:rsid w:val="00D565E5"/>
    <w:rsid w:val="00D56B0C"/>
    <w:rsid w:val="00D57B57"/>
    <w:rsid w:val="00D61C32"/>
    <w:rsid w:val="00D63ACA"/>
    <w:rsid w:val="00D65B57"/>
    <w:rsid w:val="00D714CE"/>
    <w:rsid w:val="00D732AA"/>
    <w:rsid w:val="00D73C1A"/>
    <w:rsid w:val="00D7400C"/>
    <w:rsid w:val="00D744ED"/>
    <w:rsid w:val="00D77E12"/>
    <w:rsid w:val="00D809FF"/>
    <w:rsid w:val="00D80F8E"/>
    <w:rsid w:val="00D8264B"/>
    <w:rsid w:val="00D832FB"/>
    <w:rsid w:val="00D84956"/>
    <w:rsid w:val="00D91536"/>
    <w:rsid w:val="00D91D93"/>
    <w:rsid w:val="00D921FB"/>
    <w:rsid w:val="00D93FA6"/>
    <w:rsid w:val="00D94D0F"/>
    <w:rsid w:val="00D9708E"/>
    <w:rsid w:val="00DA0DC9"/>
    <w:rsid w:val="00DA14AD"/>
    <w:rsid w:val="00DA3D1C"/>
    <w:rsid w:val="00DA3E2C"/>
    <w:rsid w:val="00DA5F59"/>
    <w:rsid w:val="00DB0920"/>
    <w:rsid w:val="00DB27AC"/>
    <w:rsid w:val="00DB28DA"/>
    <w:rsid w:val="00DB34B1"/>
    <w:rsid w:val="00DB369A"/>
    <w:rsid w:val="00DB3C02"/>
    <w:rsid w:val="00DB485E"/>
    <w:rsid w:val="00DC3286"/>
    <w:rsid w:val="00DC4718"/>
    <w:rsid w:val="00DC788E"/>
    <w:rsid w:val="00DD1B6A"/>
    <w:rsid w:val="00DD1E03"/>
    <w:rsid w:val="00DD2123"/>
    <w:rsid w:val="00DD71E9"/>
    <w:rsid w:val="00DD76D7"/>
    <w:rsid w:val="00DE1351"/>
    <w:rsid w:val="00DE1571"/>
    <w:rsid w:val="00DE2231"/>
    <w:rsid w:val="00DE23D0"/>
    <w:rsid w:val="00DE4995"/>
    <w:rsid w:val="00DE57EC"/>
    <w:rsid w:val="00DE5E3C"/>
    <w:rsid w:val="00DE6E9C"/>
    <w:rsid w:val="00DE6F24"/>
    <w:rsid w:val="00DE7BF6"/>
    <w:rsid w:val="00DF1C85"/>
    <w:rsid w:val="00DF2F87"/>
    <w:rsid w:val="00DF45E8"/>
    <w:rsid w:val="00DF676D"/>
    <w:rsid w:val="00E01BDF"/>
    <w:rsid w:val="00E0274B"/>
    <w:rsid w:val="00E02AE3"/>
    <w:rsid w:val="00E03104"/>
    <w:rsid w:val="00E06509"/>
    <w:rsid w:val="00E13242"/>
    <w:rsid w:val="00E14036"/>
    <w:rsid w:val="00E179D8"/>
    <w:rsid w:val="00E209F5"/>
    <w:rsid w:val="00E21968"/>
    <w:rsid w:val="00E27F93"/>
    <w:rsid w:val="00E32781"/>
    <w:rsid w:val="00E338A0"/>
    <w:rsid w:val="00E3428B"/>
    <w:rsid w:val="00E373D0"/>
    <w:rsid w:val="00E41881"/>
    <w:rsid w:val="00E42C52"/>
    <w:rsid w:val="00E44B84"/>
    <w:rsid w:val="00E46694"/>
    <w:rsid w:val="00E50FDB"/>
    <w:rsid w:val="00E54A38"/>
    <w:rsid w:val="00E56D38"/>
    <w:rsid w:val="00E57E95"/>
    <w:rsid w:val="00E61BC9"/>
    <w:rsid w:val="00E62283"/>
    <w:rsid w:val="00E62528"/>
    <w:rsid w:val="00E627E9"/>
    <w:rsid w:val="00E6299F"/>
    <w:rsid w:val="00E629D4"/>
    <w:rsid w:val="00E63FDE"/>
    <w:rsid w:val="00E6557D"/>
    <w:rsid w:val="00E67467"/>
    <w:rsid w:val="00E71326"/>
    <w:rsid w:val="00E71486"/>
    <w:rsid w:val="00E736F8"/>
    <w:rsid w:val="00E7770D"/>
    <w:rsid w:val="00E779A8"/>
    <w:rsid w:val="00E804F9"/>
    <w:rsid w:val="00E81D79"/>
    <w:rsid w:val="00E838A1"/>
    <w:rsid w:val="00E83BFC"/>
    <w:rsid w:val="00E8442C"/>
    <w:rsid w:val="00E85BA7"/>
    <w:rsid w:val="00E86439"/>
    <w:rsid w:val="00E86E2B"/>
    <w:rsid w:val="00E877E1"/>
    <w:rsid w:val="00E87BCB"/>
    <w:rsid w:val="00E90398"/>
    <w:rsid w:val="00E925E3"/>
    <w:rsid w:val="00E92F2B"/>
    <w:rsid w:val="00E939E9"/>
    <w:rsid w:val="00E95C0A"/>
    <w:rsid w:val="00E96A5F"/>
    <w:rsid w:val="00E97E23"/>
    <w:rsid w:val="00EA3F85"/>
    <w:rsid w:val="00EA5DA5"/>
    <w:rsid w:val="00EA7128"/>
    <w:rsid w:val="00EA7D84"/>
    <w:rsid w:val="00EB1F66"/>
    <w:rsid w:val="00EB50C8"/>
    <w:rsid w:val="00EB5AD3"/>
    <w:rsid w:val="00EB6344"/>
    <w:rsid w:val="00EB64AC"/>
    <w:rsid w:val="00EC0B2D"/>
    <w:rsid w:val="00EC15FF"/>
    <w:rsid w:val="00EC1A0F"/>
    <w:rsid w:val="00EC501D"/>
    <w:rsid w:val="00EC57A8"/>
    <w:rsid w:val="00EC57D0"/>
    <w:rsid w:val="00EC59A9"/>
    <w:rsid w:val="00EC5EA0"/>
    <w:rsid w:val="00ED0DBA"/>
    <w:rsid w:val="00ED1D24"/>
    <w:rsid w:val="00ED29A5"/>
    <w:rsid w:val="00ED3AC6"/>
    <w:rsid w:val="00ED6462"/>
    <w:rsid w:val="00EE165F"/>
    <w:rsid w:val="00EE1873"/>
    <w:rsid w:val="00EE1ADF"/>
    <w:rsid w:val="00EE318B"/>
    <w:rsid w:val="00EE59B4"/>
    <w:rsid w:val="00EF01F1"/>
    <w:rsid w:val="00EF46BB"/>
    <w:rsid w:val="00EF7B72"/>
    <w:rsid w:val="00F00108"/>
    <w:rsid w:val="00F01B42"/>
    <w:rsid w:val="00F10020"/>
    <w:rsid w:val="00F15172"/>
    <w:rsid w:val="00F234AF"/>
    <w:rsid w:val="00F2469A"/>
    <w:rsid w:val="00F2587C"/>
    <w:rsid w:val="00F25BAB"/>
    <w:rsid w:val="00F30CD9"/>
    <w:rsid w:val="00F30DFA"/>
    <w:rsid w:val="00F312B6"/>
    <w:rsid w:val="00F31561"/>
    <w:rsid w:val="00F3260B"/>
    <w:rsid w:val="00F334D6"/>
    <w:rsid w:val="00F35F0F"/>
    <w:rsid w:val="00F369E4"/>
    <w:rsid w:val="00F37891"/>
    <w:rsid w:val="00F4175A"/>
    <w:rsid w:val="00F449A8"/>
    <w:rsid w:val="00F45578"/>
    <w:rsid w:val="00F464DF"/>
    <w:rsid w:val="00F4710A"/>
    <w:rsid w:val="00F47D15"/>
    <w:rsid w:val="00F510C2"/>
    <w:rsid w:val="00F545F2"/>
    <w:rsid w:val="00F57F06"/>
    <w:rsid w:val="00F61149"/>
    <w:rsid w:val="00F624FD"/>
    <w:rsid w:val="00F625EF"/>
    <w:rsid w:val="00F627DC"/>
    <w:rsid w:val="00F65015"/>
    <w:rsid w:val="00F655E8"/>
    <w:rsid w:val="00F66850"/>
    <w:rsid w:val="00F7182D"/>
    <w:rsid w:val="00F7208D"/>
    <w:rsid w:val="00F72407"/>
    <w:rsid w:val="00F72DCD"/>
    <w:rsid w:val="00F74B65"/>
    <w:rsid w:val="00F74E45"/>
    <w:rsid w:val="00F7507F"/>
    <w:rsid w:val="00F7585D"/>
    <w:rsid w:val="00F774CB"/>
    <w:rsid w:val="00F802F8"/>
    <w:rsid w:val="00F841D7"/>
    <w:rsid w:val="00F851A1"/>
    <w:rsid w:val="00F86864"/>
    <w:rsid w:val="00F900BA"/>
    <w:rsid w:val="00F906BD"/>
    <w:rsid w:val="00F920CE"/>
    <w:rsid w:val="00F92DCB"/>
    <w:rsid w:val="00F93C98"/>
    <w:rsid w:val="00F93F20"/>
    <w:rsid w:val="00F9482A"/>
    <w:rsid w:val="00F9617F"/>
    <w:rsid w:val="00F96DF9"/>
    <w:rsid w:val="00FA0F77"/>
    <w:rsid w:val="00FA0FF3"/>
    <w:rsid w:val="00FA1FDD"/>
    <w:rsid w:val="00FA76AD"/>
    <w:rsid w:val="00FB0065"/>
    <w:rsid w:val="00FB1161"/>
    <w:rsid w:val="00FB2D15"/>
    <w:rsid w:val="00FB4B20"/>
    <w:rsid w:val="00FB5353"/>
    <w:rsid w:val="00FB6993"/>
    <w:rsid w:val="00FB7D1A"/>
    <w:rsid w:val="00FC0611"/>
    <w:rsid w:val="00FC086E"/>
    <w:rsid w:val="00FC1398"/>
    <w:rsid w:val="00FC2710"/>
    <w:rsid w:val="00FC4F72"/>
    <w:rsid w:val="00FC5F5C"/>
    <w:rsid w:val="00FC6664"/>
    <w:rsid w:val="00FC750D"/>
    <w:rsid w:val="00FC7CF3"/>
    <w:rsid w:val="00FD2B92"/>
    <w:rsid w:val="00FD325C"/>
    <w:rsid w:val="00FD32FD"/>
    <w:rsid w:val="00FD4EE1"/>
    <w:rsid w:val="00FD57A2"/>
    <w:rsid w:val="00FD6AB5"/>
    <w:rsid w:val="00FD6BE0"/>
    <w:rsid w:val="00FE058B"/>
    <w:rsid w:val="00FE36E9"/>
    <w:rsid w:val="00FE4396"/>
    <w:rsid w:val="00FE4A37"/>
    <w:rsid w:val="00FE683B"/>
    <w:rsid w:val="00FF11BD"/>
    <w:rsid w:val="00FF1AE2"/>
    <w:rsid w:val="00FF34BA"/>
    <w:rsid w:val="00FF582A"/>
    <w:rsid w:val="00FF61D5"/>
    <w:rsid w:val="00FF71A9"/>
    <w:rsid w:val="58C92C13"/>
    <w:rsid w:val="5CDB578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0"/>
    <w:qFormat/>
    <w:uiPriority w:val="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51"/>
    <w:qFormat/>
    <w:uiPriority w:val="0"/>
    <w:pPr>
      <w:keepNext/>
      <w:keepLines/>
      <w:spacing w:before="260" w:after="260" w:line="416" w:lineRule="auto"/>
      <w:outlineLvl w:val="2"/>
    </w:pPr>
    <w:rPr>
      <w:b/>
      <w:bCs/>
      <w:sz w:val="32"/>
      <w:szCs w:val="32"/>
    </w:rPr>
  </w:style>
  <w:style w:type="character" w:default="1" w:styleId="43">
    <w:name w:val="Default Paragraph Font"/>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39"/>
    <w:pPr>
      <w:ind w:left="1260"/>
      <w:jc w:val="left"/>
    </w:pPr>
    <w:rPr>
      <w:sz w:val="18"/>
      <w:szCs w:val="18"/>
    </w:rPr>
  </w:style>
  <w:style w:type="paragraph" w:styleId="6">
    <w:name w:val="index 8"/>
    <w:basedOn w:val="1"/>
    <w:next w:val="1"/>
    <w:qFormat/>
    <w:uiPriority w:val="0"/>
    <w:pPr>
      <w:ind w:left="1680" w:hanging="210"/>
      <w:jc w:val="left"/>
    </w:pPr>
    <w:rPr>
      <w:sz w:val="18"/>
      <w:szCs w:val="18"/>
    </w:rPr>
  </w:style>
  <w:style w:type="paragraph" w:styleId="7">
    <w:name w:val="Normal Indent"/>
    <w:basedOn w:val="1"/>
    <w:qFormat/>
    <w:uiPriority w:val="0"/>
    <w:pPr>
      <w:spacing w:line="420" w:lineRule="exact"/>
      <w:ind w:firstLine="420"/>
    </w:pPr>
    <w:rPr>
      <w:sz w:val="24"/>
      <w:szCs w:val="20"/>
    </w:rPr>
  </w:style>
  <w:style w:type="paragraph" w:styleId="8">
    <w:name w:val="index 5"/>
    <w:basedOn w:val="1"/>
    <w:next w:val="1"/>
    <w:qFormat/>
    <w:uiPriority w:val="0"/>
    <w:pPr>
      <w:ind w:left="1050" w:hanging="210"/>
      <w:jc w:val="left"/>
    </w:pPr>
    <w:rPr>
      <w:sz w:val="18"/>
      <w:szCs w:val="18"/>
    </w:rPr>
  </w:style>
  <w:style w:type="paragraph" w:styleId="9">
    <w:name w:val="Document Map"/>
    <w:basedOn w:val="1"/>
    <w:link w:val="62"/>
    <w:semiHidden/>
    <w:uiPriority w:val="0"/>
    <w:pPr>
      <w:shd w:val="clear" w:color="auto" w:fill="000080"/>
    </w:pPr>
  </w:style>
  <w:style w:type="paragraph" w:styleId="10">
    <w:name w:val="annotation text"/>
    <w:basedOn w:val="1"/>
    <w:link w:val="80"/>
    <w:qFormat/>
    <w:uiPriority w:val="0"/>
    <w:pPr>
      <w:jc w:val="left"/>
    </w:pPr>
  </w:style>
  <w:style w:type="paragraph" w:styleId="11">
    <w:name w:val="index 6"/>
    <w:basedOn w:val="1"/>
    <w:next w:val="1"/>
    <w:qFormat/>
    <w:uiPriority w:val="0"/>
    <w:pPr>
      <w:ind w:left="1260" w:hanging="210"/>
      <w:jc w:val="left"/>
    </w:pPr>
    <w:rPr>
      <w:sz w:val="18"/>
      <w:szCs w:val="18"/>
    </w:rPr>
  </w:style>
  <w:style w:type="paragraph" w:styleId="12">
    <w:name w:val="Body Text 3"/>
    <w:basedOn w:val="1"/>
    <w:link w:val="122"/>
    <w:qFormat/>
    <w:uiPriority w:val="0"/>
    <w:pPr>
      <w:spacing w:after="120"/>
    </w:pPr>
    <w:rPr>
      <w:sz w:val="16"/>
      <w:szCs w:val="16"/>
    </w:rPr>
  </w:style>
  <w:style w:type="paragraph" w:styleId="13">
    <w:name w:val="Body Text"/>
    <w:basedOn w:val="1"/>
    <w:link w:val="58"/>
    <w:qFormat/>
    <w:uiPriority w:val="0"/>
    <w:pPr>
      <w:snapToGrid w:val="0"/>
      <w:spacing w:line="360" w:lineRule="auto"/>
    </w:pPr>
    <w:rPr>
      <w:sz w:val="24"/>
      <w:szCs w:val="20"/>
    </w:rPr>
  </w:style>
  <w:style w:type="paragraph" w:styleId="14">
    <w:name w:val="Body Text Indent"/>
    <w:basedOn w:val="1"/>
    <w:link w:val="52"/>
    <w:uiPriority w:val="0"/>
    <w:pPr>
      <w:ind w:firstLine="420" w:firstLineChars="200"/>
    </w:pPr>
  </w:style>
  <w:style w:type="paragraph" w:styleId="15">
    <w:name w:val="List 2"/>
    <w:basedOn w:val="1"/>
    <w:qFormat/>
    <w:uiPriority w:val="0"/>
    <w:pPr>
      <w:ind w:left="840" w:hanging="420"/>
    </w:pPr>
    <w:rPr>
      <w:szCs w:val="20"/>
    </w:rPr>
  </w:style>
  <w:style w:type="paragraph" w:styleId="16">
    <w:name w:val="index 4"/>
    <w:basedOn w:val="1"/>
    <w:next w:val="1"/>
    <w:qFormat/>
    <w:uiPriority w:val="0"/>
    <w:pPr>
      <w:ind w:left="840" w:hanging="210"/>
      <w:jc w:val="left"/>
    </w:pPr>
    <w:rPr>
      <w:sz w:val="18"/>
      <w:szCs w:val="18"/>
    </w:rPr>
  </w:style>
  <w:style w:type="paragraph" w:styleId="17">
    <w:name w:val="toc 5"/>
    <w:basedOn w:val="1"/>
    <w:next w:val="1"/>
    <w:qFormat/>
    <w:uiPriority w:val="39"/>
    <w:pPr>
      <w:ind w:left="840"/>
      <w:jc w:val="left"/>
    </w:pPr>
    <w:rPr>
      <w:sz w:val="18"/>
      <w:szCs w:val="18"/>
    </w:rPr>
  </w:style>
  <w:style w:type="paragraph" w:styleId="18">
    <w:name w:val="toc 3"/>
    <w:basedOn w:val="1"/>
    <w:next w:val="1"/>
    <w:qFormat/>
    <w:uiPriority w:val="39"/>
    <w:pPr>
      <w:ind w:left="420"/>
      <w:jc w:val="left"/>
    </w:pPr>
    <w:rPr>
      <w:i/>
      <w:iCs/>
      <w:sz w:val="20"/>
      <w:szCs w:val="20"/>
    </w:rPr>
  </w:style>
  <w:style w:type="paragraph" w:styleId="19">
    <w:name w:val="Plain Text"/>
    <w:basedOn w:val="1"/>
    <w:link w:val="57"/>
    <w:qFormat/>
    <w:uiPriority w:val="0"/>
    <w:rPr>
      <w:rFonts w:ascii="宋体" w:hAnsi="Courier New" w:cs="Courier New"/>
      <w:szCs w:val="21"/>
    </w:rPr>
  </w:style>
  <w:style w:type="paragraph" w:styleId="20">
    <w:name w:val="toc 8"/>
    <w:basedOn w:val="1"/>
    <w:next w:val="1"/>
    <w:qFormat/>
    <w:uiPriority w:val="39"/>
    <w:pPr>
      <w:ind w:left="1470"/>
      <w:jc w:val="left"/>
    </w:pPr>
    <w:rPr>
      <w:sz w:val="18"/>
      <w:szCs w:val="18"/>
    </w:rPr>
  </w:style>
  <w:style w:type="paragraph" w:styleId="21">
    <w:name w:val="index 3"/>
    <w:basedOn w:val="1"/>
    <w:next w:val="1"/>
    <w:qFormat/>
    <w:uiPriority w:val="0"/>
    <w:pPr>
      <w:ind w:left="630" w:hanging="210"/>
      <w:jc w:val="left"/>
    </w:pPr>
    <w:rPr>
      <w:sz w:val="18"/>
      <w:szCs w:val="18"/>
    </w:rPr>
  </w:style>
  <w:style w:type="paragraph" w:styleId="22">
    <w:name w:val="Date"/>
    <w:basedOn w:val="1"/>
    <w:next w:val="1"/>
    <w:link w:val="59"/>
    <w:qFormat/>
    <w:uiPriority w:val="0"/>
    <w:pPr>
      <w:ind w:left="100" w:leftChars="2500"/>
    </w:pPr>
    <w:rPr>
      <w:rFonts w:ascii="幼圆" w:eastAsia="幼圆"/>
      <w:b/>
      <w:bCs/>
      <w:sz w:val="24"/>
    </w:rPr>
  </w:style>
  <w:style w:type="paragraph" w:styleId="23">
    <w:name w:val="Body Text Indent 2"/>
    <w:basedOn w:val="1"/>
    <w:link w:val="53"/>
    <w:qFormat/>
    <w:uiPriority w:val="0"/>
    <w:pPr>
      <w:ind w:left="420" w:leftChars="200" w:firstLine="420" w:firstLineChars="200"/>
    </w:pPr>
  </w:style>
  <w:style w:type="paragraph" w:styleId="24">
    <w:name w:val="Balloon Text"/>
    <w:basedOn w:val="1"/>
    <w:link w:val="78"/>
    <w:qFormat/>
    <w:uiPriority w:val="0"/>
    <w:rPr>
      <w:sz w:val="18"/>
      <w:szCs w:val="18"/>
    </w:rPr>
  </w:style>
  <w:style w:type="paragraph" w:styleId="25">
    <w:name w:val="footer"/>
    <w:basedOn w:val="1"/>
    <w:link w:val="56"/>
    <w:qFormat/>
    <w:uiPriority w:val="0"/>
    <w:pPr>
      <w:tabs>
        <w:tab w:val="center" w:pos="4153"/>
        <w:tab w:val="right" w:pos="8306"/>
      </w:tabs>
      <w:snapToGrid w:val="0"/>
      <w:jc w:val="left"/>
    </w:pPr>
    <w:rPr>
      <w:sz w:val="18"/>
      <w:szCs w:val="18"/>
    </w:rPr>
  </w:style>
  <w:style w:type="paragraph" w:styleId="26">
    <w:name w:val="header"/>
    <w:basedOn w:val="1"/>
    <w:link w:val="55"/>
    <w:qFormat/>
    <w:uiPriority w:val="0"/>
    <w:pPr>
      <w:pBdr>
        <w:bottom w:val="single" w:color="auto" w:sz="6" w:space="1"/>
      </w:pBdr>
      <w:tabs>
        <w:tab w:val="center" w:pos="4153"/>
        <w:tab w:val="right" w:pos="8306"/>
      </w:tabs>
      <w:snapToGrid w:val="0"/>
      <w:jc w:val="center"/>
    </w:pPr>
    <w:rPr>
      <w:sz w:val="18"/>
      <w:szCs w:val="18"/>
    </w:rPr>
  </w:style>
  <w:style w:type="paragraph" w:styleId="27">
    <w:name w:val="toc 1"/>
    <w:basedOn w:val="1"/>
    <w:next w:val="1"/>
    <w:qFormat/>
    <w:uiPriority w:val="39"/>
    <w:pPr>
      <w:tabs>
        <w:tab w:val="right" w:leader="dot" w:pos="9836"/>
      </w:tabs>
      <w:spacing w:before="120" w:after="120"/>
      <w:jc w:val="left"/>
    </w:pPr>
    <w:rPr>
      <w:rFonts w:ascii="黑体" w:hAnsi="黑体" w:eastAsia="黑体"/>
      <w:b/>
      <w:bCs/>
      <w:caps/>
      <w:sz w:val="30"/>
      <w:szCs w:val="30"/>
    </w:rPr>
  </w:style>
  <w:style w:type="paragraph" w:styleId="28">
    <w:name w:val="toc 4"/>
    <w:basedOn w:val="1"/>
    <w:next w:val="1"/>
    <w:qFormat/>
    <w:uiPriority w:val="39"/>
    <w:pPr>
      <w:ind w:left="630"/>
      <w:jc w:val="left"/>
    </w:pPr>
    <w:rPr>
      <w:sz w:val="18"/>
      <w:szCs w:val="18"/>
    </w:rPr>
  </w:style>
  <w:style w:type="paragraph" w:styleId="29">
    <w:name w:val="index heading"/>
    <w:basedOn w:val="1"/>
    <w:next w:val="30"/>
    <w:qFormat/>
    <w:uiPriority w:val="0"/>
    <w:pPr>
      <w:pBdr>
        <w:top w:val="single" w:color="auto" w:sz="12" w:space="0"/>
      </w:pBdr>
      <w:spacing w:before="360" w:after="240"/>
      <w:jc w:val="left"/>
    </w:pPr>
    <w:rPr>
      <w:b/>
      <w:bCs/>
      <w:i/>
      <w:iCs/>
      <w:sz w:val="26"/>
      <w:szCs w:val="26"/>
    </w:rPr>
  </w:style>
  <w:style w:type="paragraph" w:styleId="30">
    <w:name w:val="index 1"/>
    <w:basedOn w:val="1"/>
    <w:next w:val="1"/>
    <w:qFormat/>
    <w:uiPriority w:val="0"/>
    <w:pPr>
      <w:ind w:left="210" w:hanging="210"/>
      <w:jc w:val="left"/>
    </w:pPr>
    <w:rPr>
      <w:sz w:val="18"/>
      <w:szCs w:val="18"/>
    </w:rPr>
  </w:style>
  <w:style w:type="paragraph" w:styleId="31">
    <w:name w:val="toc 6"/>
    <w:basedOn w:val="1"/>
    <w:next w:val="1"/>
    <w:qFormat/>
    <w:uiPriority w:val="39"/>
    <w:pPr>
      <w:ind w:left="1050"/>
      <w:jc w:val="left"/>
    </w:pPr>
    <w:rPr>
      <w:sz w:val="18"/>
      <w:szCs w:val="18"/>
    </w:rPr>
  </w:style>
  <w:style w:type="paragraph" w:styleId="32">
    <w:name w:val="Body Text Indent 3"/>
    <w:basedOn w:val="1"/>
    <w:link w:val="54"/>
    <w:qFormat/>
    <w:uiPriority w:val="0"/>
    <w:pPr>
      <w:spacing w:line="360" w:lineRule="auto"/>
      <w:ind w:firstLine="480"/>
    </w:pPr>
  </w:style>
  <w:style w:type="paragraph" w:styleId="33">
    <w:name w:val="index 7"/>
    <w:basedOn w:val="1"/>
    <w:next w:val="1"/>
    <w:qFormat/>
    <w:uiPriority w:val="0"/>
    <w:pPr>
      <w:ind w:left="1470" w:hanging="210"/>
      <w:jc w:val="left"/>
    </w:pPr>
    <w:rPr>
      <w:sz w:val="18"/>
      <w:szCs w:val="18"/>
    </w:rPr>
  </w:style>
  <w:style w:type="paragraph" w:styleId="34">
    <w:name w:val="index 9"/>
    <w:basedOn w:val="1"/>
    <w:next w:val="1"/>
    <w:qFormat/>
    <w:uiPriority w:val="0"/>
    <w:pPr>
      <w:ind w:left="1890" w:hanging="210"/>
      <w:jc w:val="left"/>
    </w:pPr>
    <w:rPr>
      <w:sz w:val="18"/>
      <w:szCs w:val="18"/>
    </w:rPr>
  </w:style>
  <w:style w:type="paragraph" w:styleId="35">
    <w:name w:val="toc 2"/>
    <w:basedOn w:val="1"/>
    <w:next w:val="1"/>
    <w:qFormat/>
    <w:uiPriority w:val="39"/>
    <w:pPr>
      <w:tabs>
        <w:tab w:val="right" w:leader="dot" w:pos="9836"/>
      </w:tabs>
      <w:spacing w:line="400" w:lineRule="exact"/>
      <w:ind w:left="210"/>
      <w:jc w:val="left"/>
    </w:pPr>
    <w:rPr>
      <w:rFonts w:ascii="黑体" w:hAnsi="黑体" w:eastAsia="黑体"/>
      <w:b/>
      <w:smallCaps/>
      <w:sz w:val="30"/>
      <w:szCs w:val="30"/>
    </w:rPr>
  </w:style>
  <w:style w:type="paragraph" w:styleId="36">
    <w:name w:val="toc 9"/>
    <w:basedOn w:val="1"/>
    <w:next w:val="1"/>
    <w:qFormat/>
    <w:uiPriority w:val="39"/>
    <w:pPr>
      <w:ind w:left="1680"/>
      <w:jc w:val="left"/>
    </w:pPr>
    <w:rPr>
      <w:sz w:val="18"/>
      <w:szCs w:val="18"/>
    </w:rPr>
  </w:style>
  <w:style w:type="paragraph" w:styleId="37">
    <w:name w:val="Normal (Web)"/>
    <w:basedOn w:val="1"/>
    <w:qFormat/>
    <w:uiPriority w:val="99"/>
    <w:pPr>
      <w:widowControl/>
      <w:spacing w:before="100" w:beforeAutospacing="1" w:after="100" w:afterAutospacing="1"/>
      <w:jc w:val="left"/>
    </w:pPr>
    <w:rPr>
      <w:rFonts w:ascii="宋体" w:hAnsi="宋体"/>
      <w:kern w:val="0"/>
      <w:sz w:val="24"/>
    </w:rPr>
  </w:style>
  <w:style w:type="paragraph" w:styleId="38">
    <w:name w:val="index 2"/>
    <w:basedOn w:val="1"/>
    <w:next w:val="1"/>
    <w:qFormat/>
    <w:uiPriority w:val="0"/>
    <w:pPr>
      <w:ind w:left="420" w:hanging="210"/>
      <w:jc w:val="left"/>
    </w:pPr>
    <w:rPr>
      <w:sz w:val="18"/>
      <w:szCs w:val="18"/>
    </w:rPr>
  </w:style>
  <w:style w:type="paragraph" w:styleId="39">
    <w:name w:val="annotation subject"/>
    <w:basedOn w:val="10"/>
    <w:next w:val="10"/>
    <w:link w:val="81"/>
    <w:qFormat/>
    <w:uiPriority w:val="0"/>
    <w:rPr>
      <w:b/>
      <w:bCs/>
    </w:rPr>
  </w:style>
  <w:style w:type="table" w:styleId="41">
    <w:name w:val="Table Grid"/>
    <w:basedOn w:val="40"/>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
    <w:name w:val="Table Elegant"/>
    <w:basedOn w:val="40"/>
    <w:qFormat/>
    <w:uiPriority w:val="0"/>
    <w:pPr>
      <w:widowControl w:val="0"/>
      <w:jc w:val="both"/>
    </w:pPr>
    <w:rPr>
      <w:rFonts w:ascii="Times New Roman" w:hAnsi="Times New Roman" w:eastAsia="宋体" w:cs="Times New Roman"/>
      <w:kern w:val="0"/>
      <w:sz w:val="20"/>
      <w:szCs w:val="20"/>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character" w:styleId="44">
    <w:name w:val="Strong"/>
    <w:qFormat/>
    <w:uiPriority w:val="22"/>
    <w:rPr>
      <w:rFonts w:cs="Times New Roman"/>
      <w:b/>
      <w:bCs/>
    </w:rPr>
  </w:style>
  <w:style w:type="character" w:styleId="45">
    <w:name w:val="page number"/>
    <w:basedOn w:val="43"/>
    <w:qFormat/>
    <w:uiPriority w:val="0"/>
  </w:style>
  <w:style w:type="character" w:styleId="46">
    <w:name w:val="FollowedHyperlink"/>
    <w:unhideWhenUsed/>
    <w:qFormat/>
    <w:uiPriority w:val="99"/>
    <w:rPr>
      <w:color w:val="800080"/>
      <w:u w:val="single"/>
    </w:rPr>
  </w:style>
  <w:style w:type="character" w:styleId="47">
    <w:name w:val="Hyperlink"/>
    <w:qFormat/>
    <w:uiPriority w:val="99"/>
    <w:rPr>
      <w:color w:val="0000FF"/>
      <w:u w:val="single"/>
    </w:rPr>
  </w:style>
  <w:style w:type="character" w:styleId="48">
    <w:name w:val="annotation reference"/>
    <w:qFormat/>
    <w:uiPriority w:val="0"/>
    <w:rPr>
      <w:sz w:val="21"/>
      <w:szCs w:val="21"/>
    </w:rPr>
  </w:style>
  <w:style w:type="character" w:customStyle="1" w:styleId="49">
    <w:name w:val="标题 1 Char"/>
    <w:link w:val="2"/>
    <w:qFormat/>
    <w:uiPriority w:val="0"/>
    <w:rPr>
      <w:rFonts w:ascii="Times New Roman" w:hAnsi="Times New Roman" w:eastAsia="宋体" w:cs="Times New Roman"/>
      <w:b/>
      <w:bCs/>
      <w:kern w:val="44"/>
      <w:sz w:val="44"/>
      <w:szCs w:val="44"/>
    </w:rPr>
  </w:style>
  <w:style w:type="character" w:customStyle="1" w:styleId="50">
    <w:name w:val="标题 2 Char"/>
    <w:link w:val="3"/>
    <w:qFormat/>
    <w:uiPriority w:val="99"/>
    <w:rPr>
      <w:rFonts w:ascii="Arial" w:hAnsi="Arial" w:eastAsia="黑体" w:cs="Times New Roman"/>
      <w:b/>
      <w:bCs/>
      <w:sz w:val="32"/>
      <w:szCs w:val="32"/>
    </w:rPr>
  </w:style>
  <w:style w:type="character" w:customStyle="1" w:styleId="51">
    <w:name w:val="标题 3 Char"/>
    <w:link w:val="4"/>
    <w:qFormat/>
    <w:uiPriority w:val="0"/>
    <w:rPr>
      <w:rFonts w:ascii="Times New Roman" w:hAnsi="Times New Roman" w:eastAsia="宋体" w:cs="Times New Roman"/>
      <w:b/>
      <w:bCs/>
      <w:sz w:val="32"/>
      <w:szCs w:val="32"/>
    </w:rPr>
  </w:style>
  <w:style w:type="character" w:customStyle="1" w:styleId="52">
    <w:name w:val="正文文本缩进 Char"/>
    <w:link w:val="14"/>
    <w:qFormat/>
    <w:uiPriority w:val="0"/>
    <w:rPr>
      <w:rFonts w:ascii="Times New Roman" w:hAnsi="Times New Roman" w:eastAsia="宋体" w:cs="Times New Roman"/>
      <w:szCs w:val="24"/>
    </w:rPr>
  </w:style>
  <w:style w:type="character" w:customStyle="1" w:styleId="53">
    <w:name w:val="正文文本缩进 2 Char"/>
    <w:link w:val="23"/>
    <w:qFormat/>
    <w:uiPriority w:val="0"/>
    <w:rPr>
      <w:rFonts w:ascii="Times New Roman" w:hAnsi="Times New Roman" w:eastAsia="宋体" w:cs="Times New Roman"/>
      <w:szCs w:val="24"/>
    </w:rPr>
  </w:style>
  <w:style w:type="character" w:customStyle="1" w:styleId="54">
    <w:name w:val="正文文本缩进 3 Char"/>
    <w:link w:val="32"/>
    <w:qFormat/>
    <w:uiPriority w:val="0"/>
    <w:rPr>
      <w:rFonts w:ascii="Times New Roman" w:hAnsi="Times New Roman" w:eastAsia="宋体" w:cs="Times New Roman"/>
      <w:szCs w:val="24"/>
    </w:rPr>
  </w:style>
  <w:style w:type="character" w:customStyle="1" w:styleId="55">
    <w:name w:val="页眉 Char"/>
    <w:link w:val="26"/>
    <w:qFormat/>
    <w:uiPriority w:val="99"/>
    <w:rPr>
      <w:rFonts w:ascii="Times New Roman" w:hAnsi="Times New Roman" w:eastAsia="宋体" w:cs="Times New Roman"/>
      <w:sz w:val="18"/>
      <w:szCs w:val="18"/>
    </w:rPr>
  </w:style>
  <w:style w:type="character" w:customStyle="1" w:styleId="56">
    <w:name w:val="页脚 Char"/>
    <w:link w:val="25"/>
    <w:qFormat/>
    <w:uiPriority w:val="99"/>
    <w:rPr>
      <w:rFonts w:ascii="Times New Roman" w:hAnsi="Times New Roman" w:eastAsia="宋体" w:cs="Times New Roman"/>
      <w:sz w:val="18"/>
      <w:szCs w:val="18"/>
    </w:rPr>
  </w:style>
  <w:style w:type="character" w:customStyle="1" w:styleId="57">
    <w:name w:val="纯文本 Char"/>
    <w:link w:val="19"/>
    <w:qFormat/>
    <w:uiPriority w:val="0"/>
    <w:rPr>
      <w:rFonts w:ascii="宋体" w:hAnsi="Courier New" w:eastAsia="宋体" w:cs="Courier New"/>
      <w:szCs w:val="21"/>
    </w:rPr>
  </w:style>
  <w:style w:type="character" w:customStyle="1" w:styleId="58">
    <w:name w:val="正文文本 Char"/>
    <w:link w:val="13"/>
    <w:qFormat/>
    <w:uiPriority w:val="0"/>
    <w:rPr>
      <w:rFonts w:ascii="Times New Roman" w:hAnsi="Times New Roman" w:eastAsia="宋体" w:cs="Times New Roman"/>
      <w:sz w:val="24"/>
      <w:szCs w:val="20"/>
    </w:rPr>
  </w:style>
  <w:style w:type="character" w:customStyle="1" w:styleId="59">
    <w:name w:val="日期 Char"/>
    <w:link w:val="22"/>
    <w:qFormat/>
    <w:uiPriority w:val="0"/>
    <w:rPr>
      <w:rFonts w:ascii="幼圆" w:hAnsi="Times New Roman" w:eastAsia="幼圆" w:cs="Times New Roman"/>
      <w:b/>
      <w:bCs/>
      <w:sz w:val="24"/>
      <w:szCs w:val="24"/>
    </w:rPr>
  </w:style>
  <w:style w:type="paragraph" w:customStyle="1" w:styleId="60">
    <w:name w:val="xl33"/>
    <w:basedOn w:val="1"/>
    <w:qFormat/>
    <w:uiPriority w:val="0"/>
    <w:pPr>
      <w:widowControl/>
      <w:pBdr>
        <w:left w:val="double" w:color="auto" w:sz="6"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4"/>
    </w:rPr>
  </w:style>
  <w:style w:type="paragraph" w:customStyle="1" w:styleId="61">
    <w:name w:val="xl27"/>
    <w:basedOn w:val="1"/>
    <w:qFormat/>
    <w:uiPriority w:val="0"/>
    <w:pPr>
      <w:widowControl/>
      <w:pBdr>
        <w:bottom w:val="single" w:color="auto" w:sz="4" w:space="0"/>
        <w:right w:val="single" w:color="auto" w:sz="4" w:space="0"/>
      </w:pBdr>
      <w:spacing w:before="100" w:beforeAutospacing="1" w:after="100" w:afterAutospacing="1"/>
      <w:jc w:val="center"/>
    </w:pPr>
    <w:rPr>
      <w:rFonts w:hint="eastAsia" w:ascii="幼圆" w:hAnsi="Arial Unicode MS" w:eastAsia="幼圆" w:cs="Arial Unicode MS"/>
      <w:kern w:val="0"/>
      <w:szCs w:val="21"/>
    </w:rPr>
  </w:style>
  <w:style w:type="character" w:customStyle="1" w:styleId="62">
    <w:name w:val="文档结构图 Char"/>
    <w:link w:val="9"/>
    <w:semiHidden/>
    <w:qFormat/>
    <w:uiPriority w:val="0"/>
    <w:rPr>
      <w:rFonts w:ascii="Times New Roman" w:hAnsi="Times New Roman" w:eastAsia="宋体" w:cs="Times New Roman"/>
      <w:szCs w:val="24"/>
      <w:shd w:val="clear" w:color="auto" w:fill="000080"/>
    </w:rPr>
  </w:style>
  <w:style w:type="paragraph" w:customStyle="1" w:styleId="63">
    <w:name w:val="样式1"/>
    <w:basedOn w:val="1"/>
    <w:qFormat/>
    <w:uiPriority w:val="0"/>
    <w:pPr>
      <w:spacing w:line="0" w:lineRule="atLeast"/>
    </w:pPr>
    <w:rPr>
      <w:sz w:val="12"/>
      <w:szCs w:val="20"/>
      <w:lang w:val="en-GB"/>
    </w:rPr>
  </w:style>
  <w:style w:type="paragraph" w:customStyle="1" w:styleId="64">
    <w:name w:val="样式 标题 1 + 小四 加粗 红色 左侧:  0 厘米 首行缩进:  0 厘米 段前: 0 磅 段后: 0 磅 ..."/>
    <w:basedOn w:val="2"/>
    <w:qFormat/>
    <w:uiPriority w:val="0"/>
    <w:pPr>
      <w:spacing w:before="312" w:beforeLines="100" w:after="624" w:afterLines="200" w:line="360" w:lineRule="auto"/>
      <w:jc w:val="center"/>
    </w:pPr>
    <w:rPr>
      <w:rFonts w:eastAsia="黑体" w:cs="宋体"/>
      <w:sz w:val="36"/>
      <w:szCs w:val="36"/>
    </w:rPr>
  </w:style>
  <w:style w:type="paragraph" w:customStyle="1" w:styleId="65">
    <w:name w:val="样式 标题 2 + 华文中宋 小四 加粗 红色 左侧:  0 厘米 首行缩进:  0 厘米 段前: 0 磅 段后:..."/>
    <w:basedOn w:val="3"/>
    <w:qFormat/>
    <w:uiPriority w:val="0"/>
    <w:pPr>
      <w:spacing w:before="120" w:beforeLines="50" w:after="120" w:afterLines="50" w:line="432" w:lineRule="auto"/>
    </w:pPr>
    <w:rPr>
      <w:rFonts w:ascii="黑体" w:hAnsi="宋体" w:cs="宋体"/>
    </w:rPr>
  </w:style>
  <w:style w:type="paragraph" w:customStyle="1" w:styleId="66">
    <w:name w:val="样式 标题 3 + (西文) 宋体 五号 加粗 红色 左侧:  0 厘米 首行缩进:  0 厘米 段前: 0 磅 ...3"/>
    <w:basedOn w:val="4"/>
    <w:qFormat/>
    <w:uiPriority w:val="0"/>
    <w:pPr>
      <w:spacing w:before="0" w:after="0" w:line="432" w:lineRule="auto"/>
      <w:ind w:firstLine="482" w:firstLineChars="200"/>
    </w:pPr>
    <w:rPr>
      <w:rFonts w:ascii="黑体" w:eastAsia="黑体" w:cs="宋体"/>
      <w:color w:val="C00000"/>
      <w:sz w:val="24"/>
      <w:szCs w:val="28"/>
    </w:rPr>
  </w:style>
  <w:style w:type="table" w:customStyle="1" w:styleId="67">
    <w:name w:val="网格型1"/>
    <w:basedOn w:val="40"/>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8">
    <w:name w:val="网格型2"/>
    <w:basedOn w:val="40"/>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
    <w:name w:val="网格型3"/>
    <w:basedOn w:val="40"/>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
    <w:name w:val="网格型4"/>
    <w:basedOn w:val="40"/>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1">
    <w:name w:val="表格小五"/>
    <w:basedOn w:val="1"/>
    <w:next w:val="1"/>
    <w:qFormat/>
    <w:uiPriority w:val="0"/>
    <w:pPr>
      <w:jc w:val="left"/>
    </w:pPr>
    <w:rPr>
      <w:rFonts w:ascii="Calibri" w:hAnsi="Calibri"/>
      <w:sz w:val="18"/>
      <w:szCs w:val="20"/>
    </w:rPr>
  </w:style>
  <w:style w:type="paragraph" w:customStyle="1" w:styleId="72">
    <w:name w:val="图表标题"/>
    <w:basedOn w:val="1"/>
    <w:next w:val="1"/>
    <w:qFormat/>
    <w:uiPriority w:val="0"/>
    <w:pPr>
      <w:spacing w:line="288" w:lineRule="auto"/>
      <w:jc w:val="center"/>
    </w:pPr>
    <w:rPr>
      <w:rFonts w:ascii="Calibri" w:hAnsi="Calibri" w:eastAsia="黑体"/>
      <w:sz w:val="24"/>
      <w:szCs w:val="20"/>
    </w:rPr>
  </w:style>
  <w:style w:type="paragraph" w:customStyle="1" w:styleId="73">
    <w:name w:val="Body 1"/>
    <w:qFormat/>
    <w:uiPriority w:val="0"/>
    <w:rPr>
      <w:rFonts w:ascii="Helvetica" w:hAnsi="Helvetica" w:eastAsia="Arial Unicode MS" w:cs="Times New Roman"/>
      <w:color w:val="000000"/>
      <w:sz w:val="24"/>
      <w:lang w:val="en-US" w:eastAsia="zh-CN" w:bidi="ar-SA"/>
    </w:rPr>
  </w:style>
  <w:style w:type="paragraph" w:customStyle="1" w:styleId="74">
    <w:name w:val="Char1"/>
    <w:basedOn w:val="1"/>
    <w:qFormat/>
    <w:uiPriority w:val="0"/>
    <w:rPr>
      <w:rFonts w:ascii="仿宋_GB2312" w:eastAsia="仿宋_GB2312"/>
      <w:b/>
      <w:sz w:val="32"/>
      <w:szCs w:val="32"/>
    </w:rPr>
  </w:style>
  <w:style w:type="paragraph" w:customStyle="1" w:styleId="75">
    <w:name w:val="p0"/>
    <w:basedOn w:val="1"/>
    <w:qFormat/>
    <w:uiPriority w:val="0"/>
    <w:pPr>
      <w:widowControl/>
    </w:pPr>
    <w:rPr>
      <w:kern w:val="0"/>
      <w:szCs w:val="21"/>
    </w:rPr>
  </w:style>
  <w:style w:type="paragraph" w:customStyle="1" w:styleId="76">
    <w:name w:val="样式 仿宋_GB2312 四号 灰色-80%"/>
    <w:basedOn w:val="1"/>
    <w:qFormat/>
    <w:uiPriority w:val="0"/>
    <w:pPr>
      <w:ind w:firstLine="560" w:firstLineChars="200"/>
    </w:pPr>
    <w:rPr>
      <w:rFonts w:ascii="仿宋_GB2312" w:hAnsi="??" w:cs="宋体"/>
      <w:color w:val="333333"/>
      <w:szCs w:val="20"/>
    </w:rPr>
  </w:style>
  <w:style w:type="character" w:customStyle="1" w:styleId="77">
    <w:name w:val="infodetail1"/>
    <w:qFormat/>
    <w:uiPriority w:val="0"/>
    <w:rPr>
      <w:rFonts w:cs="Times New Roman"/>
    </w:rPr>
  </w:style>
  <w:style w:type="character" w:customStyle="1" w:styleId="78">
    <w:name w:val="批注框文本 Char"/>
    <w:link w:val="24"/>
    <w:qFormat/>
    <w:uiPriority w:val="0"/>
    <w:rPr>
      <w:rFonts w:ascii="Times New Roman" w:hAnsi="Times New Roman" w:eastAsia="宋体" w:cs="Times New Roman"/>
      <w:sz w:val="18"/>
      <w:szCs w:val="18"/>
    </w:rPr>
  </w:style>
  <w:style w:type="paragraph" w:customStyle="1" w:styleId="79">
    <w:name w:val="Char"/>
    <w:basedOn w:val="1"/>
    <w:qFormat/>
    <w:uiPriority w:val="0"/>
    <w:rPr>
      <w:rFonts w:ascii="仿宋_GB2312" w:eastAsia="仿宋_GB2312"/>
      <w:b/>
      <w:sz w:val="32"/>
      <w:szCs w:val="32"/>
    </w:rPr>
  </w:style>
  <w:style w:type="character" w:customStyle="1" w:styleId="80">
    <w:name w:val="批注文字 Char"/>
    <w:link w:val="10"/>
    <w:qFormat/>
    <w:uiPriority w:val="0"/>
    <w:rPr>
      <w:rFonts w:ascii="Times New Roman" w:hAnsi="Times New Roman" w:eastAsia="宋体" w:cs="Times New Roman"/>
      <w:szCs w:val="24"/>
    </w:rPr>
  </w:style>
  <w:style w:type="character" w:customStyle="1" w:styleId="81">
    <w:name w:val="批注主题 Char"/>
    <w:link w:val="39"/>
    <w:qFormat/>
    <w:uiPriority w:val="0"/>
    <w:rPr>
      <w:rFonts w:ascii="Times New Roman" w:hAnsi="Times New Roman" w:eastAsia="宋体" w:cs="Times New Roman"/>
      <w:b/>
      <w:bCs/>
      <w:szCs w:val="24"/>
    </w:rPr>
  </w:style>
  <w:style w:type="paragraph" w:customStyle="1" w:styleId="8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83">
    <w:name w:val="文档结构图 Char1"/>
    <w:semiHidden/>
    <w:qFormat/>
    <w:uiPriority w:val="99"/>
    <w:rPr>
      <w:rFonts w:ascii="宋体" w:hAnsi="Times New Roman"/>
      <w:kern w:val="2"/>
      <w:sz w:val="18"/>
      <w:szCs w:val="18"/>
    </w:rPr>
  </w:style>
  <w:style w:type="paragraph" w:customStyle="1" w:styleId="84">
    <w:name w:val="Char2"/>
    <w:basedOn w:val="1"/>
    <w:qFormat/>
    <w:uiPriority w:val="0"/>
    <w:pPr>
      <w:snapToGrid w:val="0"/>
      <w:spacing w:line="520" w:lineRule="exact"/>
      <w:ind w:right="28" w:firstLine="200" w:firstLineChars="200"/>
      <w:jc w:val="center"/>
    </w:pPr>
    <w:rPr>
      <w:rFonts w:ascii="黑体"/>
      <w:b/>
      <w:bCs/>
      <w:color w:val="000000"/>
      <w:sz w:val="28"/>
      <w:szCs w:val="32"/>
    </w:rPr>
  </w:style>
  <w:style w:type="paragraph" w:styleId="85">
    <w:name w:val="List Paragraph"/>
    <w:basedOn w:val="1"/>
    <w:link w:val="127"/>
    <w:qFormat/>
    <w:uiPriority w:val="34"/>
    <w:pPr>
      <w:widowControl/>
      <w:ind w:firstLine="420" w:firstLineChars="200"/>
      <w:jc w:val="left"/>
    </w:pPr>
    <w:rPr>
      <w:rFonts w:ascii="宋体" w:hAnsi="宋体"/>
      <w:kern w:val="0"/>
      <w:sz w:val="24"/>
    </w:rPr>
  </w:style>
  <w:style w:type="paragraph" w:customStyle="1" w:styleId="86">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87">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88">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textAlignment w:val="center"/>
    </w:pPr>
    <w:rPr>
      <w:rFonts w:ascii="微软雅黑" w:hAnsi="微软雅黑" w:eastAsia="微软雅黑" w:cs="宋体"/>
      <w:kern w:val="0"/>
      <w:sz w:val="22"/>
      <w:szCs w:val="22"/>
    </w:rPr>
  </w:style>
  <w:style w:type="paragraph" w:customStyle="1" w:styleId="89">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textAlignment w:val="center"/>
    </w:pPr>
    <w:rPr>
      <w:rFonts w:ascii="微软雅黑" w:hAnsi="微软雅黑" w:eastAsia="微软雅黑" w:cs="宋体"/>
      <w:kern w:val="0"/>
      <w:sz w:val="22"/>
      <w:szCs w:val="22"/>
    </w:rPr>
  </w:style>
  <w:style w:type="paragraph" w:customStyle="1" w:styleId="90">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textAlignment w:val="center"/>
    </w:pPr>
    <w:rPr>
      <w:rFonts w:ascii="微软雅黑" w:hAnsi="微软雅黑" w:eastAsia="微软雅黑" w:cs="宋体"/>
      <w:kern w:val="0"/>
      <w:sz w:val="22"/>
      <w:szCs w:val="22"/>
    </w:rPr>
  </w:style>
  <w:style w:type="paragraph" w:customStyle="1" w:styleId="91">
    <w:name w:val="xl68"/>
    <w:basedOn w:val="1"/>
    <w:qFormat/>
    <w:uiPriority w:val="0"/>
    <w:pPr>
      <w:widowControl/>
      <w:spacing w:before="100" w:beforeAutospacing="1" w:after="100" w:afterAutospacing="1"/>
      <w:jc w:val="center"/>
      <w:textAlignment w:val="center"/>
    </w:pPr>
    <w:rPr>
      <w:rFonts w:ascii="微软雅黑" w:hAnsi="微软雅黑" w:eastAsia="微软雅黑" w:cs="宋体"/>
      <w:kern w:val="0"/>
      <w:sz w:val="22"/>
      <w:szCs w:val="22"/>
    </w:rPr>
  </w:style>
  <w:style w:type="paragraph" w:customStyle="1" w:styleId="92">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CD5B4"/>
      <w:spacing w:before="100" w:beforeAutospacing="1" w:after="100" w:afterAutospacing="1"/>
      <w:jc w:val="center"/>
      <w:textAlignment w:val="center"/>
    </w:pPr>
    <w:rPr>
      <w:rFonts w:ascii="微软雅黑" w:hAnsi="微软雅黑" w:eastAsia="微软雅黑" w:cs="宋体"/>
      <w:kern w:val="0"/>
      <w:sz w:val="22"/>
      <w:szCs w:val="22"/>
    </w:rPr>
  </w:style>
  <w:style w:type="paragraph" w:customStyle="1" w:styleId="93">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cs="宋体"/>
      <w:kern w:val="0"/>
      <w:sz w:val="22"/>
      <w:szCs w:val="22"/>
    </w:rPr>
  </w:style>
  <w:style w:type="paragraph" w:customStyle="1" w:styleId="9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cs="宋体"/>
      <w:kern w:val="0"/>
      <w:sz w:val="22"/>
      <w:szCs w:val="22"/>
    </w:rPr>
  </w:style>
  <w:style w:type="paragraph" w:customStyle="1" w:styleId="95">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cs="宋体"/>
      <w:kern w:val="0"/>
      <w:sz w:val="22"/>
      <w:szCs w:val="22"/>
    </w:rPr>
  </w:style>
  <w:style w:type="paragraph" w:customStyle="1" w:styleId="96">
    <w:name w:val="xl73"/>
    <w:basedOn w:val="1"/>
    <w:qFormat/>
    <w:uiPriority w:val="0"/>
    <w:pPr>
      <w:widowControl/>
      <w:spacing w:before="100" w:beforeAutospacing="1" w:after="100" w:afterAutospacing="1"/>
      <w:jc w:val="center"/>
      <w:textAlignment w:val="center"/>
    </w:pPr>
    <w:rPr>
      <w:rFonts w:ascii="宋体" w:hAnsi="宋体" w:cs="宋体"/>
      <w:kern w:val="0"/>
      <w:sz w:val="22"/>
      <w:szCs w:val="22"/>
    </w:rPr>
  </w:style>
  <w:style w:type="paragraph" w:customStyle="1" w:styleId="97">
    <w:name w:val="xl74"/>
    <w:basedOn w:val="1"/>
    <w:qFormat/>
    <w:uiPriority w:val="0"/>
    <w:pPr>
      <w:widowControl/>
      <w:pBdr>
        <w:top w:val="single" w:color="auto" w:sz="4" w:space="0"/>
        <w:left w:val="single" w:color="auto" w:sz="4" w:space="0"/>
        <w:bottom w:val="single" w:color="auto" w:sz="4" w:space="0"/>
        <w:right w:val="single" w:color="auto" w:sz="4" w:space="0"/>
      </w:pBdr>
      <w:shd w:val="clear" w:color="000000" w:fill="CCC0DA"/>
      <w:spacing w:before="100" w:beforeAutospacing="1" w:after="100" w:afterAutospacing="1"/>
      <w:jc w:val="center"/>
      <w:textAlignment w:val="center"/>
    </w:pPr>
    <w:rPr>
      <w:rFonts w:ascii="微软雅黑" w:hAnsi="微软雅黑" w:eastAsia="微软雅黑" w:cs="宋体"/>
      <w:kern w:val="0"/>
      <w:sz w:val="22"/>
      <w:szCs w:val="22"/>
    </w:rPr>
  </w:style>
  <w:style w:type="paragraph" w:customStyle="1" w:styleId="98">
    <w:name w:val="xl75"/>
    <w:basedOn w:val="1"/>
    <w:qFormat/>
    <w:uiPriority w:val="0"/>
    <w:pPr>
      <w:widowControl/>
      <w:pBdr>
        <w:top w:val="single" w:color="auto" w:sz="4" w:space="0"/>
        <w:left w:val="single" w:color="auto" w:sz="4" w:space="0"/>
        <w:bottom w:val="single" w:color="auto" w:sz="4" w:space="0"/>
        <w:right w:val="single" w:color="auto" w:sz="4" w:space="0"/>
      </w:pBdr>
      <w:shd w:val="clear" w:color="000000" w:fill="D8E4BC"/>
      <w:spacing w:before="100" w:beforeAutospacing="1" w:after="100" w:afterAutospacing="1"/>
      <w:jc w:val="center"/>
      <w:textAlignment w:val="center"/>
    </w:pPr>
    <w:rPr>
      <w:rFonts w:ascii="微软雅黑" w:hAnsi="微软雅黑" w:eastAsia="微软雅黑" w:cs="宋体"/>
      <w:kern w:val="0"/>
      <w:sz w:val="22"/>
      <w:szCs w:val="22"/>
    </w:rPr>
  </w:style>
  <w:style w:type="paragraph" w:customStyle="1" w:styleId="99">
    <w:name w:val="xl76"/>
    <w:basedOn w:val="1"/>
    <w:qFormat/>
    <w:uiPriority w:val="0"/>
    <w:pPr>
      <w:widowControl/>
      <w:spacing w:before="100" w:beforeAutospacing="1" w:after="100" w:afterAutospacing="1"/>
      <w:jc w:val="center"/>
      <w:textAlignment w:val="center"/>
    </w:pPr>
    <w:rPr>
      <w:rFonts w:ascii="宋体" w:hAnsi="宋体" w:cs="宋体"/>
      <w:kern w:val="0"/>
      <w:sz w:val="22"/>
      <w:szCs w:val="22"/>
    </w:rPr>
  </w:style>
  <w:style w:type="paragraph" w:customStyle="1" w:styleId="100">
    <w:name w:val="xl77"/>
    <w:basedOn w:val="1"/>
    <w:qFormat/>
    <w:uiPriority w:val="0"/>
    <w:pPr>
      <w:widowControl/>
      <w:spacing w:before="100" w:beforeAutospacing="1" w:after="100" w:afterAutospacing="1"/>
      <w:jc w:val="center"/>
      <w:textAlignment w:val="center"/>
    </w:pPr>
    <w:rPr>
      <w:rFonts w:ascii="宋体" w:hAnsi="宋体" w:cs="宋体"/>
      <w:kern w:val="0"/>
      <w:sz w:val="22"/>
      <w:szCs w:val="22"/>
    </w:rPr>
  </w:style>
  <w:style w:type="paragraph" w:customStyle="1" w:styleId="101">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B7DEE8"/>
      <w:spacing w:before="100" w:beforeAutospacing="1" w:after="100" w:afterAutospacing="1"/>
      <w:jc w:val="center"/>
      <w:textAlignment w:val="center"/>
    </w:pPr>
    <w:rPr>
      <w:rFonts w:ascii="微软雅黑" w:hAnsi="微软雅黑" w:eastAsia="微软雅黑" w:cs="宋体"/>
      <w:kern w:val="0"/>
      <w:sz w:val="22"/>
      <w:szCs w:val="22"/>
    </w:rPr>
  </w:style>
  <w:style w:type="paragraph" w:customStyle="1" w:styleId="102">
    <w:name w:val="表格标题样式"/>
    <w:basedOn w:val="1"/>
    <w:link w:val="103"/>
    <w:qFormat/>
    <w:uiPriority w:val="0"/>
    <w:pPr>
      <w:adjustRightInd w:val="0"/>
      <w:snapToGrid w:val="0"/>
      <w:spacing w:line="60" w:lineRule="atLeast"/>
      <w:jc w:val="center"/>
      <w:textAlignment w:val="baseline"/>
    </w:pPr>
    <w:rPr>
      <w:b/>
      <w:kern w:val="0"/>
      <w:sz w:val="20"/>
      <w:szCs w:val="18"/>
    </w:rPr>
  </w:style>
  <w:style w:type="character" w:customStyle="1" w:styleId="103">
    <w:name w:val="表格标题样式 Char"/>
    <w:link w:val="102"/>
    <w:qFormat/>
    <w:uiPriority w:val="0"/>
    <w:rPr>
      <w:rFonts w:ascii="Times New Roman" w:hAnsi="Times New Roman" w:eastAsia="宋体" w:cs="Times New Roman"/>
      <w:b/>
      <w:kern w:val="0"/>
      <w:szCs w:val="18"/>
    </w:rPr>
  </w:style>
  <w:style w:type="paragraph" w:customStyle="1" w:styleId="104">
    <w:name w:val="_Style 103"/>
    <w:basedOn w:val="2"/>
    <w:next w:val="1"/>
    <w:semiHidden/>
    <w:unhideWhenUsed/>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105">
    <w:name w:val="CM61"/>
    <w:basedOn w:val="82"/>
    <w:next w:val="82"/>
    <w:qFormat/>
    <w:uiPriority w:val="99"/>
    <w:rPr>
      <w:rFonts w:ascii="黑体" w:hAnsi="Calibri" w:eastAsia="黑体" w:cs="Times New Roman"/>
      <w:color w:val="auto"/>
    </w:rPr>
  </w:style>
  <w:style w:type="paragraph" w:customStyle="1" w:styleId="106">
    <w:name w:val="CM64"/>
    <w:basedOn w:val="82"/>
    <w:next w:val="82"/>
    <w:qFormat/>
    <w:uiPriority w:val="99"/>
    <w:rPr>
      <w:rFonts w:ascii="黑体" w:hAnsi="Calibri" w:eastAsia="黑体" w:cs="Times New Roman"/>
      <w:color w:val="auto"/>
    </w:rPr>
  </w:style>
  <w:style w:type="paragraph" w:customStyle="1" w:styleId="107">
    <w:name w:val="11111"/>
    <w:basedOn w:val="1"/>
    <w:next w:val="1"/>
    <w:qFormat/>
    <w:uiPriority w:val="0"/>
    <w:pPr>
      <w:spacing w:line="360" w:lineRule="auto"/>
      <w:ind w:firstLine="200" w:firstLineChars="200"/>
    </w:pPr>
    <w:rPr>
      <w:rFonts w:ascii="宋体" w:hAnsi="宋体" w:cs="宋体"/>
      <w:sz w:val="24"/>
    </w:rPr>
  </w:style>
  <w:style w:type="paragraph" w:customStyle="1" w:styleId="108">
    <w:name w:val="tj说明书-正文"/>
    <w:qFormat/>
    <w:uiPriority w:val="0"/>
    <w:pPr>
      <w:spacing w:line="360" w:lineRule="auto"/>
      <w:ind w:firstLine="200" w:firstLineChars="200"/>
    </w:pPr>
    <w:rPr>
      <w:rFonts w:ascii="宋体" w:hAnsi="宋体" w:eastAsia="宋体" w:cs="宋体"/>
      <w:kern w:val="2"/>
      <w:sz w:val="21"/>
      <w:lang w:val="en-US" w:eastAsia="zh-CN" w:bidi="ar-SA"/>
    </w:rPr>
  </w:style>
  <w:style w:type="paragraph" w:customStyle="1" w:styleId="109">
    <w:name w:val="CM7"/>
    <w:basedOn w:val="82"/>
    <w:next w:val="82"/>
    <w:qFormat/>
    <w:uiPriority w:val="99"/>
    <w:pPr>
      <w:spacing w:line="458" w:lineRule="atLeast"/>
    </w:pPr>
    <w:rPr>
      <w:rFonts w:ascii="黑体" w:hAnsi="Calibri" w:eastAsia="黑体" w:cs="Times New Roman"/>
      <w:color w:val="auto"/>
    </w:rPr>
  </w:style>
  <w:style w:type="paragraph" w:customStyle="1" w:styleId="110">
    <w:name w:val="CM65"/>
    <w:basedOn w:val="82"/>
    <w:next w:val="82"/>
    <w:qFormat/>
    <w:uiPriority w:val="99"/>
    <w:rPr>
      <w:rFonts w:ascii="黑体" w:hAnsi="Calibri" w:eastAsia="黑体" w:cs="Times New Roman"/>
      <w:color w:val="auto"/>
    </w:rPr>
  </w:style>
  <w:style w:type="paragraph" w:customStyle="1" w:styleId="111">
    <w:name w:val="CM30"/>
    <w:basedOn w:val="82"/>
    <w:next w:val="82"/>
    <w:qFormat/>
    <w:uiPriority w:val="99"/>
    <w:pPr>
      <w:spacing w:line="458" w:lineRule="atLeast"/>
    </w:pPr>
    <w:rPr>
      <w:rFonts w:ascii="黑体" w:hAnsi="Calibri" w:eastAsia="黑体" w:cs="Times New Roman"/>
      <w:color w:val="auto"/>
    </w:rPr>
  </w:style>
  <w:style w:type="paragraph" w:customStyle="1" w:styleId="112">
    <w:name w:val="CM18"/>
    <w:basedOn w:val="82"/>
    <w:next w:val="82"/>
    <w:qFormat/>
    <w:uiPriority w:val="99"/>
    <w:pPr>
      <w:spacing w:line="460" w:lineRule="atLeast"/>
    </w:pPr>
    <w:rPr>
      <w:rFonts w:ascii="黑体" w:hAnsi="Calibri" w:eastAsia="黑体" w:cs="Times New Roman"/>
      <w:color w:val="auto"/>
    </w:rPr>
  </w:style>
  <w:style w:type="paragraph" w:customStyle="1" w:styleId="113">
    <w:name w:val="CM63"/>
    <w:basedOn w:val="82"/>
    <w:next w:val="82"/>
    <w:qFormat/>
    <w:uiPriority w:val="99"/>
    <w:rPr>
      <w:rFonts w:ascii="黑体" w:hAnsi="Calibri" w:eastAsia="黑体" w:cs="Times New Roman"/>
      <w:color w:val="auto"/>
    </w:rPr>
  </w:style>
  <w:style w:type="paragraph" w:customStyle="1" w:styleId="114">
    <w:name w:val="CM38"/>
    <w:basedOn w:val="82"/>
    <w:next w:val="82"/>
    <w:qFormat/>
    <w:uiPriority w:val="99"/>
    <w:pPr>
      <w:spacing w:line="458" w:lineRule="atLeast"/>
    </w:pPr>
    <w:rPr>
      <w:rFonts w:ascii="黑体" w:hAnsi="Calibri" w:eastAsia="黑体" w:cs="Times New Roman"/>
      <w:color w:val="auto"/>
    </w:rPr>
  </w:style>
  <w:style w:type="paragraph" w:customStyle="1" w:styleId="115">
    <w:name w:val="tj说明书-标题3"/>
    <w:basedOn w:val="1"/>
    <w:next w:val="116"/>
    <w:link w:val="119"/>
    <w:qFormat/>
    <w:uiPriority w:val="0"/>
    <w:pPr>
      <w:numPr>
        <w:ilvl w:val="2"/>
        <w:numId w:val="1"/>
      </w:numPr>
      <w:spacing w:before="50" w:beforeLines="50" w:after="50" w:afterLines="50" w:line="360" w:lineRule="auto"/>
      <w:outlineLvl w:val="2"/>
    </w:pPr>
    <w:rPr>
      <w:rFonts w:ascii="黑体" w:hAnsi="黑体" w:eastAsia="黑体"/>
      <w:b/>
      <w:sz w:val="32"/>
    </w:rPr>
  </w:style>
  <w:style w:type="paragraph" w:customStyle="1" w:styleId="116">
    <w:name w:val="tj说明书-标题4"/>
    <w:basedOn w:val="1"/>
    <w:next w:val="108"/>
    <w:qFormat/>
    <w:uiPriority w:val="0"/>
    <w:pPr>
      <w:numPr>
        <w:ilvl w:val="3"/>
        <w:numId w:val="1"/>
      </w:numPr>
      <w:spacing w:line="360" w:lineRule="auto"/>
      <w:outlineLvl w:val="3"/>
    </w:pPr>
    <w:rPr>
      <w:rFonts w:ascii="宋体" w:hAnsi="宋体"/>
      <w:b/>
      <w:sz w:val="30"/>
    </w:rPr>
  </w:style>
  <w:style w:type="paragraph" w:customStyle="1" w:styleId="117">
    <w:name w:val="样式 tj说明书-标题1 + 段前: 2 行 段后: 1 行"/>
    <w:basedOn w:val="1"/>
    <w:qFormat/>
    <w:uiPriority w:val="0"/>
    <w:pPr>
      <w:numPr>
        <w:ilvl w:val="0"/>
        <w:numId w:val="1"/>
      </w:numPr>
      <w:spacing w:before="624" w:beforeLines="200" w:after="312" w:afterLines="100" w:line="360" w:lineRule="auto"/>
      <w:jc w:val="center"/>
      <w:outlineLvl w:val="0"/>
    </w:pPr>
    <w:rPr>
      <w:rFonts w:ascii="黑体" w:hAnsi="黑体" w:eastAsia="黑体" w:cs="宋体"/>
      <w:sz w:val="84"/>
      <w:szCs w:val="20"/>
    </w:rPr>
  </w:style>
  <w:style w:type="paragraph" w:customStyle="1" w:styleId="118">
    <w:name w:val="样式 tj说明书-标题2 + 段前: 1 行"/>
    <w:basedOn w:val="1"/>
    <w:qFormat/>
    <w:uiPriority w:val="0"/>
    <w:pPr>
      <w:numPr>
        <w:ilvl w:val="1"/>
        <w:numId w:val="1"/>
      </w:numPr>
      <w:spacing w:before="312" w:beforeLines="100" w:line="360" w:lineRule="auto"/>
      <w:outlineLvl w:val="1"/>
    </w:pPr>
    <w:rPr>
      <w:rFonts w:ascii="黑体" w:hAnsi="黑体" w:eastAsia="黑体" w:cs="宋体"/>
      <w:b/>
      <w:sz w:val="48"/>
      <w:szCs w:val="20"/>
    </w:rPr>
  </w:style>
  <w:style w:type="character" w:customStyle="1" w:styleId="119">
    <w:name w:val="tj说明书-标题3 Char"/>
    <w:link w:val="115"/>
    <w:qFormat/>
    <w:uiPriority w:val="0"/>
    <w:rPr>
      <w:rFonts w:ascii="黑体" w:hAnsi="黑体" w:eastAsia="黑体"/>
      <w:b/>
      <w:kern w:val="2"/>
      <w:sz w:val="32"/>
      <w:szCs w:val="24"/>
    </w:rPr>
  </w:style>
  <w:style w:type="character" w:customStyle="1" w:styleId="120">
    <w:name w:val="apple-converted-space"/>
    <w:basedOn w:val="43"/>
    <w:qFormat/>
    <w:uiPriority w:val="0"/>
  </w:style>
  <w:style w:type="paragraph" w:customStyle="1" w:styleId="121">
    <w:name w:val="1"/>
    <w:basedOn w:val="1"/>
    <w:qFormat/>
    <w:uiPriority w:val="0"/>
    <w:pPr>
      <w:widowControl/>
      <w:spacing w:before="100" w:beforeAutospacing="1" w:after="100" w:afterAutospacing="1"/>
      <w:jc w:val="left"/>
    </w:pPr>
    <w:rPr>
      <w:rFonts w:ascii="宋体" w:hAnsi="宋体" w:cs="宋体"/>
      <w:kern w:val="0"/>
      <w:sz w:val="24"/>
    </w:rPr>
  </w:style>
  <w:style w:type="character" w:customStyle="1" w:styleId="122">
    <w:name w:val="正文文本 3 Char"/>
    <w:link w:val="12"/>
    <w:qFormat/>
    <w:uiPriority w:val="0"/>
    <w:rPr>
      <w:rFonts w:ascii="Times New Roman" w:hAnsi="Times New Roman"/>
      <w:kern w:val="2"/>
      <w:sz w:val="16"/>
      <w:szCs w:val="16"/>
    </w:rPr>
  </w:style>
  <w:style w:type="character" w:customStyle="1" w:styleId="123">
    <w:name w:val="dc正文 Char"/>
    <w:link w:val="124"/>
    <w:qFormat/>
    <w:uiPriority w:val="0"/>
    <w:rPr>
      <w:rFonts w:ascii="宋体" w:hAnsi="宋体" w:cs="宋体"/>
      <w:kern w:val="2"/>
      <w:sz w:val="24"/>
    </w:rPr>
  </w:style>
  <w:style w:type="paragraph" w:customStyle="1" w:styleId="124">
    <w:name w:val="dc正文"/>
    <w:basedOn w:val="1"/>
    <w:link w:val="123"/>
    <w:qFormat/>
    <w:uiPriority w:val="0"/>
    <w:pPr>
      <w:spacing w:line="420" w:lineRule="exact"/>
      <w:ind w:firstLine="480" w:firstLineChars="200"/>
    </w:pPr>
    <w:rPr>
      <w:rFonts w:ascii="宋体" w:hAnsi="宋体"/>
      <w:sz w:val="24"/>
      <w:szCs w:val="20"/>
    </w:rPr>
  </w:style>
  <w:style w:type="character" w:customStyle="1" w:styleId="125">
    <w:name w:val="乐山-正文 Char1"/>
    <w:link w:val="126"/>
    <w:qFormat/>
    <w:uiPriority w:val="0"/>
    <w:rPr>
      <w:rFonts w:ascii="Arial" w:hAnsi="Arial" w:eastAsia="华文细黑"/>
      <w:kern w:val="2"/>
      <w:sz w:val="21"/>
    </w:rPr>
  </w:style>
  <w:style w:type="paragraph" w:customStyle="1" w:styleId="126">
    <w:name w:val="乐山-正文"/>
    <w:basedOn w:val="1"/>
    <w:next w:val="1"/>
    <w:link w:val="125"/>
    <w:qFormat/>
    <w:uiPriority w:val="0"/>
    <w:pPr>
      <w:spacing w:line="440" w:lineRule="exact"/>
      <w:ind w:firstLine="200" w:firstLineChars="200"/>
    </w:pPr>
    <w:rPr>
      <w:rFonts w:ascii="Arial" w:hAnsi="Arial" w:eastAsia="华文细黑"/>
      <w:szCs w:val="20"/>
    </w:rPr>
  </w:style>
  <w:style w:type="character" w:customStyle="1" w:styleId="127">
    <w:name w:val="列出段落 Char"/>
    <w:link w:val="85"/>
    <w:qFormat/>
    <w:locked/>
    <w:uiPriority w:val="34"/>
    <w:rPr>
      <w:rFonts w:ascii="宋体" w:hAnsi="宋体" w:cs="宋体"/>
      <w:sz w:val="24"/>
      <w:szCs w:val="24"/>
    </w:rPr>
  </w:style>
  <w:style w:type="character" w:customStyle="1" w:styleId="128">
    <w:name w:val="正文文本缩进 字符"/>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38</Pages>
  <Words>7678</Words>
  <Characters>8029</Characters>
  <Lines>304</Lines>
  <Paragraphs>85</Paragraphs>
  <TotalTime>1</TotalTime>
  <ScaleCrop>false</ScaleCrop>
  <LinksUpToDate>false</LinksUpToDate>
  <CharactersWithSpaces>8131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2016-01-18T07:27:00Z</dcterms:created>
  <dc:creator>gzb</dc:creator>
  <cp:lastModifiedBy>沈倦</cp:lastModifiedBy>
  <dcterms:modified xsi:type="dcterms:W3CDTF">2026-02-06T07:59:11Z</dcterms:modified>
  <cp:revision>543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eyJoZGlkIjoiMmU5ZWY0ZDg1ZDNmMWMyZmU1ZDVmNmNhOWIwNjA1MGQiLCJ1c2VySWQiOiI2MDY3NTAwNDEifQ==</vt:lpwstr>
  </property>
  <property fmtid="{D5CDD505-2E9C-101B-9397-08002B2CF9AE}" pid="3" name="KSOProductBuildVer">
    <vt:lpwstr>2052-12.1.0.24657</vt:lpwstr>
  </property>
  <property fmtid="{D5CDD505-2E9C-101B-9397-08002B2CF9AE}" pid="4" name="ICV">
    <vt:lpwstr>CDC48E7F09FE450D8B13705EB8A11FD1_13</vt:lpwstr>
  </property>
</Properties>
</file>