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A42ADDD">
      <w:pPr>
        <w:spacing w:line="680" w:lineRule="exact"/>
        <w:rPr>
          <w:rFonts w:hint="eastAsia" w:ascii="宋体" w:hAnsi="宋体"/>
          <w:b/>
          <w:bCs/>
          <w:sz w:val="32"/>
        </w:rPr>
      </w:pPr>
    </w:p>
    <w:p w14:paraId="246A0D8C">
      <w:pPr>
        <w:spacing w:line="680" w:lineRule="exact"/>
        <w:ind w:firstLine="643" w:firstLineChars="200"/>
        <w:rPr>
          <w:rFonts w:hint="eastAsia" w:ascii="宋体" w:hAnsi="宋体"/>
          <w:b/>
          <w:bCs/>
          <w:sz w:val="32"/>
        </w:rPr>
      </w:pPr>
    </w:p>
    <w:p w14:paraId="0E8BBD6D">
      <w:pPr>
        <w:spacing w:line="680" w:lineRule="exact"/>
        <w:ind w:firstLine="420" w:firstLineChars="200"/>
        <w:rPr>
          <w:rFonts w:hint="eastAsia" w:ascii="宋体" w:hAnsi="宋体"/>
          <w:b/>
          <w:bCs/>
          <w:sz w:val="32"/>
        </w:rPr>
      </w:pPr>
      <w:r>
        <w:rPr>
          <w:rFonts w:ascii="宋体" w:hAnsi="宋体"/>
          <w:lang/>
        </w:rPr>
        <w:drawing>
          <wp:anchor distT="0" distB="0" distL="114300" distR="114300" simplePos="0" relativeHeight="251659264" behindDoc="0" locked="0" layoutInCell="1" allowOverlap="1">
            <wp:simplePos x="0" y="0"/>
            <wp:positionH relativeFrom="column">
              <wp:posOffset>534670</wp:posOffset>
            </wp:positionH>
            <wp:positionV relativeFrom="paragraph">
              <wp:posOffset>317500</wp:posOffset>
            </wp:positionV>
            <wp:extent cx="6286500" cy="4670425"/>
            <wp:effectExtent l="0" t="0" r="0" b="15875"/>
            <wp:wrapSquare wrapText="bothSides"/>
            <wp:docPr id="1" name="图片 1" descr="H:\规划资质证书副本（甲级）3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H:\规划资质证书副本（甲级）34.jpg"/>
                    <pic:cNvPicPr>
                      <a:picLocks noChangeAspect="1"/>
                    </pic:cNvPicPr>
                  </pic:nvPicPr>
                  <pic:blipFill>
                    <a:blip r:embed="rId7"/>
                    <a:srcRect l="3539" r="3009"/>
                    <a:stretch>
                      <a:fillRect/>
                    </a:stretch>
                  </pic:blipFill>
                  <pic:spPr>
                    <a:xfrm>
                      <a:off x="0" y="0"/>
                      <a:ext cx="6286500" cy="4670425"/>
                    </a:xfrm>
                    <a:prstGeom prst="rect">
                      <a:avLst/>
                    </a:prstGeom>
                    <a:noFill/>
                    <a:ln>
                      <a:noFill/>
                    </a:ln>
                  </pic:spPr>
                </pic:pic>
              </a:graphicData>
            </a:graphic>
          </wp:anchor>
        </w:drawing>
      </w:r>
    </w:p>
    <w:p w14:paraId="5AE76DE2">
      <w:pPr>
        <w:spacing w:line="680" w:lineRule="exact"/>
        <w:ind w:firstLine="643" w:firstLineChars="200"/>
        <w:rPr>
          <w:rFonts w:hint="eastAsia" w:ascii="宋体" w:hAnsi="宋体"/>
          <w:b/>
          <w:bCs/>
          <w:sz w:val="32"/>
        </w:rPr>
      </w:pPr>
    </w:p>
    <w:p w14:paraId="3DFC2054">
      <w:pPr>
        <w:spacing w:line="680" w:lineRule="exact"/>
        <w:ind w:firstLine="643" w:firstLineChars="200"/>
        <w:rPr>
          <w:rFonts w:hint="eastAsia" w:ascii="宋体" w:hAnsi="宋体"/>
          <w:b/>
          <w:bCs/>
          <w:sz w:val="32"/>
        </w:rPr>
      </w:pPr>
    </w:p>
    <w:p w14:paraId="1CCF73C4">
      <w:pPr>
        <w:spacing w:line="680" w:lineRule="exact"/>
        <w:ind w:firstLine="643" w:firstLineChars="200"/>
        <w:rPr>
          <w:rFonts w:hint="eastAsia" w:ascii="宋体" w:hAnsi="宋体"/>
          <w:b/>
          <w:bCs/>
          <w:sz w:val="32"/>
        </w:rPr>
      </w:pPr>
    </w:p>
    <w:p w14:paraId="2B80B9A3">
      <w:pPr>
        <w:spacing w:line="680" w:lineRule="exact"/>
        <w:ind w:firstLine="643" w:firstLineChars="200"/>
        <w:rPr>
          <w:rFonts w:hint="eastAsia" w:ascii="宋体" w:hAnsi="宋体"/>
          <w:b/>
          <w:bCs/>
          <w:sz w:val="32"/>
        </w:rPr>
      </w:pPr>
    </w:p>
    <w:p w14:paraId="2D72E114">
      <w:pPr>
        <w:spacing w:line="680" w:lineRule="exact"/>
        <w:ind w:firstLine="643" w:firstLineChars="200"/>
        <w:rPr>
          <w:rFonts w:hint="eastAsia" w:ascii="宋体" w:hAnsi="宋体"/>
          <w:b/>
          <w:bCs/>
          <w:sz w:val="32"/>
        </w:rPr>
      </w:pPr>
    </w:p>
    <w:p w14:paraId="678FDE3D">
      <w:pPr>
        <w:spacing w:line="500" w:lineRule="exact"/>
        <w:ind w:firstLine="643" w:firstLineChars="200"/>
        <w:rPr>
          <w:rFonts w:hint="eastAsia" w:ascii="宋体" w:hAnsi="宋体"/>
          <w:b/>
          <w:bCs/>
          <w:sz w:val="32"/>
        </w:rPr>
      </w:pPr>
    </w:p>
    <w:p w14:paraId="1EA830F0">
      <w:pPr>
        <w:spacing w:line="500" w:lineRule="exact"/>
        <w:ind w:firstLine="643" w:firstLineChars="200"/>
        <w:rPr>
          <w:rFonts w:hint="eastAsia" w:ascii="宋体" w:hAnsi="宋体"/>
          <w:b/>
          <w:bCs/>
          <w:sz w:val="32"/>
        </w:rPr>
      </w:pPr>
    </w:p>
    <w:p w14:paraId="5644598A">
      <w:pPr>
        <w:spacing w:line="500" w:lineRule="exact"/>
        <w:ind w:firstLine="643" w:firstLineChars="200"/>
        <w:rPr>
          <w:rFonts w:hint="eastAsia" w:ascii="宋体" w:hAnsi="宋体"/>
          <w:b/>
          <w:bCs/>
          <w:sz w:val="32"/>
        </w:rPr>
      </w:pPr>
    </w:p>
    <w:p w14:paraId="224A2380">
      <w:pPr>
        <w:spacing w:line="500" w:lineRule="exact"/>
        <w:ind w:firstLine="643" w:firstLineChars="200"/>
        <w:rPr>
          <w:rFonts w:hint="eastAsia" w:ascii="宋体" w:hAnsi="宋体"/>
          <w:b/>
          <w:bCs/>
          <w:sz w:val="32"/>
        </w:rPr>
      </w:pPr>
    </w:p>
    <w:p w14:paraId="33422CFF">
      <w:pPr>
        <w:spacing w:line="500" w:lineRule="exact"/>
        <w:ind w:firstLine="643" w:firstLineChars="200"/>
        <w:rPr>
          <w:rFonts w:hint="eastAsia" w:ascii="宋体" w:hAnsi="宋体"/>
          <w:b/>
          <w:bCs/>
          <w:sz w:val="32"/>
        </w:rPr>
      </w:pPr>
    </w:p>
    <w:p w14:paraId="553F9C7D">
      <w:pPr>
        <w:spacing w:line="500" w:lineRule="exact"/>
        <w:ind w:firstLine="643" w:firstLineChars="200"/>
        <w:rPr>
          <w:rFonts w:hint="eastAsia" w:ascii="宋体" w:hAnsi="宋体"/>
          <w:b/>
          <w:bCs/>
          <w:sz w:val="32"/>
        </w:rPr>
      </w:pPr>
    </w:p>
    <w:p w14:paraId="4C4918FD">
      <w:pPr>
        <w:spacing w:line="500" w:lineRule="exact"/>
        <w:ind w:firstLine="643" w:firstLineChars="200"/>
        <w:rPr>
          <w:rFonts w:hint="eastAsia" w:ascii="宋体" w:hAnsi="宋体"/>
          <w:b/>
          <w:bCs/>
          <w:sz w:val="32"/>
        </w:rPr>
      </w:pPr>
    </w:p>
    <w:p w14:paraId="0EF5B611">
      <w:pPr>
        <w:spacing w:line="500" w:lineRule="exact"/>
        <w:ind w:firstLine="643" w:firstLineChars="200"/>
        <w:rPr>
          <w:rFonts w:hint="eastAsia" w:ascii="宋体" w:hAnsi="宋体"/>
          <w:b/>
          <w:bCs/>
          <w:sz w:val="32"/>
        </w:rPr>
      </w:pPr>
    </w:p>
    <w:p w14:paraId="06452ACD">
      <w:pPr>
        <w:spacing w:line="500" w:lineRule="exact"/>
        <w:ind w:firstLine="643" w:firstLineChars="200"/>
        <w:rPr>
          <w:rFonts w:hint="eastAsia" w:ascii="宋体" w:hAnsi="宋体"/>
          <w:b/>
          <w:bCs/>
          <w:sz w:val="32"/>
        </w:rPr>
      </w:pPr>
    </w:p>
    <w:p w14:paraId="58C4E2E1">
      <w:pPr>
        <w:spacing w:line="500" w:lineRule="exact"/>
        <w:ind w:firstLine="643" w:firstLineChars="200"/>
        <w:rPr>
          <w:rFonts w:hint="eastAsia" w:ascii="宋体" w:hAnsi="宋体"/>
          <w:b/>
          <w:bCs/>
          <w:sz w:val="32"/>
        </w:rPr>
      </w:pPr>
    </w:p>
    <w:p w14:paraId="036C5D6A">
      <w:pPr>
        <w:spacing w:line="500" w:lineRule="exact"/>
        <w:ind w:firstLine="643" w:firstLineChars="200"/>
        <w:rPr>
          <w:rFonts w:hint="eastAsia" w:ascii="宋体" w:hAnsi="宋体"/>
          <w:b/>
          <w:bCs/>
          <w:sz w:val="32"/>
        </w:rPr>
      </w:pPr>
    </w:p>
    <w:p w14:paraId="3B9E67AC">
      <w:pPr>
        <w:spacing w:line="500" w:lineRule="exact"/>
        <w:ind w:firstLine="643" w:firstLineChars="200"/>
        <w:rPr>
          <w:rFonts w:hint="eastAsia" w:ascii="宋体" w:hAnsi="宋体"/>
          <w:b/>
          <w:bCs/>
          <w:sz w:val="32"/>
        </w:rPr>
      </w:pPr>
    </w:p>
    <w:p w14:paraId="4BADDB62">
      <w:pPr>
        <w:spacing w:line="500" w:lineRule="exact"/>
        <w:ind w:firstLine="643" w:firstLineChars="200"/>
        <w:rPr>
          <w:rFonts w:hint="eastAsia" w:ascii="宋体" w:hAnsi="宋体"/>
          <w:b/>
          <w:bCs/>
          <w:sz w:val="32"/>
        </w:rPr>
      </w:pPr>
    </w:p>
    <w:p w14:paraId="083B6890">
      <w:pPr>
        <w:spacing w:line="500" w:lineRule="exact"/>
        <w:ind w:firstLine="643" w:firstLineChars="200"/>
        <w:rPr>
          <w:rFonts w:hint="eastAsia" w:ascii="宋体" w:hAnsi="宋体"/>
          <w:b/>
          <w:bCs/>
          <w:sz w:val="32"/>
        </w:rPr>
      </w:pPr>
    </w:p>
    <w:p w14:paraId="61851E38">
      <w:pPr>
        <w:spacing w:line="500" w:lineRule="exact"/>
        <w:ind w:firstLine="643" w:firstLineChars="200"/>
        <w:rPr>
          <w:rFonts w:hint="eastAsia" w:ascii="宋体" w:hAnsi="宋体"/>
          <w:b/>
          <w:bCs/>
          <w:sz w:val="32"/>
        </w:rPr>
      </w:pPr>
    </w:p>
    <w:p w14:paraId="3B865136">
      <w:pPr>
        <w:spacing w:line="500" w:lineRule="exact"/>
        <w:rPr>
          <w:rFonts w:hint="eastAsia" w:ascii="宋体" w:hAnsi="宋体"/>
          <w:b/>
          <w:bCs/>
          <w:sz w:val="32"/>
        </w:rPr>
      </w:pPr>
    </w:p>
    <w:p w14:paraId="755BD629">
      <w:pPr>
        <w:spacing w:line="500" w:lineRule="exact"/>
        <w:ind w:firstLine="643" w:firstLineChars="200"/>
        <w:rPr>
          <w:rFonts w:hint="eastAsia" w:ascii="宋体" w:hAnsi="宋体"/>
          <w:b/>
          <w:bCs/>
          <w:sz w:val="32"/>
        </w:rPr>
      </w:pPr>
      <w:r>
        <w:rPr>
          <w:rFonts w:hint="eastAsia" w:ascii="宋体" w:hAnsi="宋体"/>
          <w:b/>
          <w:bCs/>
          <w:sz w:val="32"/>
        </w:rPr>
        <w:t xml:space="preserve">项目名称：乐山市中心城区棉竹片区控制性详细规划                     </w:t>
      </w:r>
    </w:p>
    <w:p w14:paraId="21F3B6FB">
      <w:pPr>
        <w:spacing w:line="500" w:lineRule="exact"/>
        <w:ind w:firstLine="643" w:firstLineChars="200"/>
        <w:rPr>
          <w:rFonts w:hint="eastAsia" w:ascii="宋体" w:hAnsi="宋体"/>
          <w:b/>
          <w:bCs/>
          <w:sz w:val="32"/>
        </w:rPr>
      </w:pPr>
      <w:r>
        <w:rPr>
          <w:rFonts w:hint="eastAsia" w:ascii="宋体" w:hAnsi="宋体"/>
          <w:b/>
          <w:bCs/>
          <w:sz w:val="32"/>
        </w:rPr>
        <w:t>编制单位：乐山市城乡规划设计院</w:t>
      </w:r>
    </w:p>
    <w:p w14:paraId="570B38E8">
      <w:pPr>
        <w:spacing w:line="500" w:lineRule="exact"/>
        <w:ind w:firstLine="643" w:firstLineChars="200"/>
        <w:rPr>
          <w:rFonts w:hint="eastAsia" w:ascii="宋体" w:hAnsi="宋体"/>
          <w:b/>
          <w:bCs/>
          <w:sz w:val="32"/>
        </w:rPr>
      </w:pPr>
      <w:r>
        <w:rPr>
          <w:rFonts w:hint="eastAsia" w:ascii="宋体" w:hAnsi="宋体"/>
          <w:b/>
          <w:bCs/>
          <w:sz w:val="32"/>
        </w:rPr>
        <w:t>证书等级：甲级</w:t>
      </w:r>
    </w:p>
    <w:p w14:paraId="50DEF43F">
      <w:pPr>
        <w:spacing w:line="500" w:lineRule="exact"/>
        <w:ind w:firstLine="643" w:firstLineChars="200"/>
        <w:rPr>
          <w:rFonts w:hint="eastAsia" w:ascii="宋体" w:hAnsi="宋体"/>
          <w:b/>
          <w:bCs/>
          <w:sz w:val="32"/>
        </w:rPr>
      </w:pPr>
      <w:r>
        <w:rPr>
          <w:rFonts w:hint="eastAsia" w:ascii="宋体" w:hAnsi="宋体"/>
          <w:b/>
          <w:bCs/>
          <w:sz w:val="32"/>
        </w:rPr>
        <w:t xml:space="preserve">证书编号：[建]城规编（171406）号      </w:t>
      </w:r>
    </w:p>
    <w:p w14:paraId="1D47361C">
      <w:pPr>
        <w:spacing w:line="500" w:lineRule="exact"/>
        <w:ind w:firstLine="643" w:firstLineChars="200"/>
        <w:rPr>
          <w:rFonts w:hint="eastAsia" w:ascii="宋体" w:hAnsi="宋体"/>
          <w:bCs/>
          <w:sz w:val="32"/>
        </w:rPr>
      </w:pPr>
      <w:r>
        <w:rPr>
          <w:rFonts w:hint="eastAsia" w:ascii="宋体" w:hAnsi="宋体"/>
          <w:b/>
          <w:bCs/>
          <w:sz w:val="32"/>
        </w:rPr>
        <w:t xml:space="preserve">  </w:t>
      </w:r>
    </w:p>
    <w:p w14:paraId="43D818B3">
      <w:pPr>
        <w:spacing w:line="540" w:lineRule="exact"/>
        <w:ind w:firstLine="600" w:firstLineChars="200"/>
        <w:rPr>
          <w:rFonts w:hint="eastAsia" w:ascii="宋体" w:hAnsi="宋体"/>
          <w:sz w:val="30"/>
          <w:szCs w:val="30"/>
        </w:rPr>
      </w:pPr>
      <w:r>
        <w:rPr>
          <w:rFonts w:hint="eastAsia" w:ascii="宋体" w:hAnsi="宋体"/>
          <w:sz w:val="30"/>
          <w:szCs w:val="30"/>
        </w:rPr>
        <w:t>院          长：赖志国           高级工程师</w:t>
      </w:r>
    </w:p>
    <w:p w14:paraId="1389FFC5">
      <w:pPr>
        <w:adjustRightInd w:val="0"/>
        <w:spacing w:line="540" w:lineRule="exact"/>
        <w:ind w:firstLine="600" w:firstLineChars="200"/>
        <w:rPr>
          <w:rFonts w:hint="eastAsia" w:ascii="宋体" w:hAnsi="宋体"/>
          <w:sz w:val="30"/>
          <w:szCs w:val="30"/>
        </w:rPr>
      </w:pPr>
      <w:r>
        <w:rPr>
          <w:rFonts w:hint="eastAsia" w:ascii="宋体" w:hAnsi="宋体"/>
          <w:sz w:val="30"/>
          <w:szCs w:val="30"/>
        </w:rPr>
        <w:t>副    院    长：刘  波           高级工程师   注册规划师</w:t>
      </w:r>
    </w:p>
    <w:p w14:paraId="35C96980">
      <w:pPr>
        <w:adjustRightInd w:val="0"/>
        <w:spacing w:line="540" w:lineRule="exact"/>
        <w:ind w:firstLine="588" w:firstLineChars="196"/>
        <w:rPr>
          <w:rFonts w:hint="eastAsia" w:ascii="宋体" w:hAnsi="宋体"/>
          <w:sz w:val="30"/>
          <w:szCs w:val="30"/>
        </w:rPr>
      </w:pPr>
      <w:r>
        <w:rPr>
          <w:rFonts w:hint="eastAsia" w:ascii="宋体" w:hAnsi="宋体"/>
          <w:sz w:val="30"/>
          <w:szCs w:val="30"/>
        </w:rPr>
        <w:t>规 划 室 主 任：刘  俊           高级工程师   注册规划师</w:t>
      </w:r>
    </w:p>
    <w:p w14:paraId="39E41494">
      <w:pPr>
        <w:adjustRightInd w:val="0"/>
        <w:spacing w:line="540" w:lineRule="exact"/>
        <w:ind w:firstLine="588" w:firstLineChars="196"/>
        <w:rPr>
          <w:rFonts w:hint="eastAsia" w:ascii="宋体" w:hAnsi="宋体"/>
          <w:sz w:val="30"/>
          <w:szCs w:val="30"/>
        </w:rPr>
      </w:pPr>
      <w:r>
        <w:rPr>
          <w:rFonts w:hint="eastAsia" w:ascii="宋体" w:hAnsi="宋体"/>
          <w:sz w:val="30"/>
          <w:szCs w:val="30"/>
        </w:rPr>
        <w:t>主 任 工 程 师：赵  征           高级工程师   注册规划师</w:t>
      </w:r>
    </w:p>
    <w:p w14:paraId="7013EDBF">
      <w:pPr>
        <w:adjustRightInd w:val="0"/>
        <w:spacing w:line="540" w:lineRule="exact"/>
        <w:ind w:firstLine="588" w:firstLineChars="196"/>
        <w:rPr>
          <w:rFonts w:hint="eastAsia" w:ascii="宋体" w:hAnsi="宋体"/>
          <w:sz w:val="30"/>
          <w:szCs w:val="30"/>
        </w:rPr>
      </w:pPr>
      <w:r>
        <w:rPr>
          <w:rFonts w:hint="eastAsia" w:ascii="宋体" w:hAnsi="宋体"/>
          <w:sz w:val="30"/>
          <w:szCs w:val="30"/>
        </w:rPr>
        <w:t>项 目 负 责 人：刘  俊           高级工程师   注册规划师</w:t>
      </w:r>
    </w:p>
    <w:p w14:paraId="0DA0D88E">
      <w:pPr>
        <w:adjustRightInd w:val="0"/>
        <w:spacing w:line="540" w:lineRule="exact"/>
        <w:ind w:firstLine="588" w:firstLineChars="196"/>
        <w:rPr>
          <w:rFonts w:hint="eastAsia" w:ascii="宋体" w:hAnsi="宋体"/>
          <w:sz w:val="30"/>
          <w:szCs w:val="30"/>
        </w:rPr>
      </w:pPr>
      <w:r>
        <w:rPr>
          <w:rFonts w:hint="eastAsia" w:ascii="宋体" w:hAnsi="宋体"/>
          <w:sz w:val="30"/>
          <w:szCs w:val="30"/>
        </w:rPr>
        <w:t>参  加</w:t>
      </w:r>
      <w:r>
        <w:rPr>
          <w:rFonts w:ascii="宋体" w:hAnsi="宋体"/>
          <w:sz w:val="30"/>
          <w:szCs w:val="30"/>
        </w:rPr>
        <w:t xml:space="preserve">  </w:t>
      </w:r>
      <w:r>
        <w:rPr>
          <w:rFonts w:hint="eastAsia" w:ascii="宋体" w:hAnsi="宋体"/>
          <w:sz w:val="30"/>
          <w:szCs w:val="30"/>
        </w:rPr>
        <w:t>人</w:t>
      </w:r>
      <w:r>
        <w:rPr>
          <w:rFonts w:ascii="宋体" w:hAnsi="宋体"/>
          <w:sz w:val="30"/>
          <w:szCs w:val="30"/>
        </w:rPr>
        <w:t xml:space="preserve">  </w:t>
      </w:r>
      <w:r>
        <w:rPr>
          <w:rFonts w:hint="eastAsia" w:ascii="宋体" w:hAnsi="宋体"/>
          <w:sz w:val="30"/>
          <w:szCs w:val="30"/>
        </w:rPr>
        <w:t>员：李  婧           高级工程师   注册规划师</w:t>
      </w:r>
    </w:p>
    <w:p w14:paraId="1946D00B">
      <w:pPr>
        <w:adjustRightInd w:val="0"/>
        <w:spacing w:line="540" w:lineRule="exact"/>
        <w:ind w:firstLine="3000" w:firstLineChars="1000"/>
        <w:rPr>
          <w:rFonts w:hint="eastAsia" w:ascii="宋体" w:hAnsi="宋体"/>
          <w:sz w:val="30"/>
          <w:szCs w:val="30"/>
        </w:rPr>
      </w:pPr>
      <w:r>
        <w:rPr>
          <w:rFonts w:hint="eastAsia" w:ascii="宋体" w:hAnsi="宋体"/>
          <w:sz w:val="30"/>
          <w:szCs w:val="30"/>
        </w:rPr>
        <w:t>李  波           高级工程师</w:t>
      </w:r>
    </w:p>
    <w:p w14:paraId="575F2EEF">
      <w:pPr>
        <w:adjustRightInd w:val="0"/>
        <w:spacing w:line="540" w:lineRule="exact"/>
        <w:ind w:firstLine="3000" w:firstLineChars="1000"/>
        <w:rPr>
          <w:rFonts w:hint="eastAsia" w:ascii="宋体" w:hAnsi="宋体"/>
          <w:sz w:val="30"/>
          <w:szCs w:val="30"/>
        </w:rPr>
      </w:pPr>
      <w:r>
        <w:rPr>
          <w:rFonts w:hint="eastAsia" w:ascii="宋体" w:hAnsi="宋体"/>
          <w:sz w:val="30"/>
          <w:szCs w:val="30"/>
        </w:rPr>
        <w:t xml:space="preserve">刘  乾           高级工程师  </w:t>
      </w:r>
    </w:p>
    <w:p w14:paraId="72817355">
      <w:pPr>
        <w:adjustRightInd w:val="0"/>
        <w:spacing w:line="540" w:lineRule="exact"/>
        <w:ind w:firstLine="3000" w:firstLineChars="1000"/>
        <w:rPr>
          <w:rFonts w:hint="eastAsia" w:ascii="宋体" w:hAnsi="宋体"/>
          <w:sz w:val="30"/>
          <w:szCs w:val="30"/>
        </w:rPr>
      </w:pPr>
      <w:r>
        <w:rPr>
          <w:rFonts w:hint="eastAsia" w:ascii="宋体" w:hAnsi="宋体"/>
          <w:sz w:val="30"/>
          <w:szCs w:val="30"/>
        </w:rPr>
        <w:t xml:space="preserve">林厚宇           工程师   </w:t>
      </w:r>
      <w:r>
        <w:rPr>
          <w:rFonts w:ascii="宋体" w:hAnsi="宋体"/>
          <w:sz w:val="30"/>
          <w:szCs w:val="30"/>
        </w:rPr>
        <w:t xml:space="preserve">    </w:t>
      </w:r>
      <w:r>
        <w:rPr>
          <w:rFonts w:hint="eastAsia" w:ascii="宋体" w:hAnsi="宋体"/>
          <w:sz w:val="30"/>
          <w:szCs w:val="30"/>
        </w:rPr>
        <w:t>注册规划师</w:t>
      </w:r>
    </w:p>
    <w:p w14:paraId="2A9E14BA">
      <w:pPr>
        <w:adjustRightInd w:val="0"/>
        <w:spacing w:line="540" w:lineRule="exact"/>
        <w:ind w:firstLine="3000" w:firstLineChars="1000"/>
        <w:rPr>
          <w:rFonts w:hint="eastAsia" w:ascii="宋体" w:hAnsi="宋体"/>
          <w:sz w:val="30"/>
          <w:szCs w:val="30"/>
        </w:rPr>
      </w:pPr>
      <w:r>
        <w:rPr>
          <w:rFonts w:hint="eastAsia" w:ascii="宋体" w:hAnsi="宋体"/>
          <w:sz w:val="30"/>
          <w:szCs w:val="30"/>
        </w:rPr>
        <w:t>林  榕           工程师</w:t>
      </w:r>
    </w:p>
    <w:p w14:paraId="2B91257B">
      <w:pPr>
        <w:adjustRightInd w:val="0"/>
        <w:spacing w:line="540" w:lineRule="exact"/>
        <w:ind w:firstLine="3000" w:firstLineChars="1000"/>
        <w:rPr>
          <w:rFonts w:hint="eastAsia" w:ascii="宋体" w:hAnsi="宋体"/>
          <w:sz w:val="30"/>
          <w:szCs w:val="30"/>
        </w:rPr>
      </w:pPr>
      <w:r>
        <w:rPr>
          <w:rFonts w:hint="eastAsia" w:ascii="宋体" w:hAnsi="宋体"/>
          <w:sz w:val="30"/>
          <w:szCs w:val="30"/>
        </w:rPr>
        <w:t>毛  烨           工程师</w:t>
      </w:r>
    </w:p>
    <w:p w14:paraId="70B6DC19">
      <w:pPr>
        <w:adjustRightInd w:val="0"/>
        <w:spacing w:line="540" w:lineRule="exact"/>
        <w:ind w:firstLine="3000" w:firstLineChars="1000"/>
        <w:rPr>
          <w:rFonts w:hint="eastAsia" w:ascii="宋体" w:hAnsi="宋体"/>
          <w:sz w:val="30"/>
          <w:szCs w:val="30"/>
        </w:rPr>
      </w:pPr>
      <w:r>
        <w:rPr>
          <w:rFonts w:hint="eastAsia" w:ascii="宋体" w:hAnsi="宋体"/>
          <w:sz w:val="30"/>
          <w:szCs w:val="30"/>
        </w:rPr>
        <w:t>王  露           工程师</w:t>
      </w:r>
    </w:p>
    <w:p w14:paraId="74165943">
      <w:pPr>
        <w:adjustRightInd w:val="0"/>
        <w:spacing w:line="540" w:lineRule="exact"/>
        <w:rPr>
          <w:rFonts w:hint="eastAsia" w:ascii="宋体" w:hAnsi="宋体"/>
          <w:sz w:val="30"/>
          <w:szCs w:val="30"/>
        </w:rPr>
      </w:pPr>
      <w:r>
        <w:rPr>
          <w:rFonts w:hint="eastAsia" w:ascii="宋体" w:hAnsi="宋体"/>
          <w:sz w:val="30"/>
          <w:szCs w:val="30"/>
        </w:rPr>
        <w:t xml:space="preserve">                    袁秋艳           工程师 </w:t>
      </w:r>
    </w:p>
    <w:p w14:paraId="4BD01AE3">
      <w:pPr>
        <w:adjustRightInd w:val="0"/>
        <w:spacing w:line="540" w:lineRule="exact"/>
        <w:rPr>
          <w:rFonts w:ascii="宋体" w:hAnsi="宋体"/>
          <w:sz w:val="30"/>
          <w:szCs w:val="30"/>
        </w:rPr>
      </w:pPr>
      <w:r>
        <w:rPr>
          <w:rFonts w:hint="eastAsia" w:ascii="宋体" w:hAnsi="宋体"/>
          <w:sz w:val="30"/>
          <w:szCs w:val="30"/>
        </w:rPr>
        <w:t xml:space="preserve">                    黄  术           助理工程师</w:t>
      </w:r>
    </w:p>
    <w:p w14:paraId="2AC886FE">
      <w:pPr>
        <w:adjustRightInd w:val="0"/>
        <w:spacing w:line="540" w:lineRule="exact"/>
        <w:rPr>
          <w:rFonts w:hint="eastAsia" w:ascii="宋体" w:hAnsi="宋体"/>
          <w:sz w:val="30"/>
          <w:szCs w:val="30"/>
        </w:rPr>
      </w:pPr>
    </w:p>
    <w:p w14:paraId="606A40EE">
      <w:pPr>
        <w:adjustRightInd w:val="0"/>
        <w:spacing w:line="540" w:lineRule="exact"/>
        <w:ind w:firstLine="555" w:firstLineChars="185"/>
        <w:rPr>
          <w:rFonts w:hint="eastAsia" w:ascii="宋体" w:hAnsi="宋体"/>
          <w:sz w:val="30"/>
          <w:szCs w:val="30"/>
        </w:rPr>
      </w:pPr>
      <w:r>
        <w:rPr>
          <w:rFonts w:hint="eastAsia" w:ascii="宋体" w:hAnsi="宋体"/>
          <w:sz w:val="30"/>
          <w:szCs w:val="30"/>
        </w:rPr>
        <w:t>完成时间：20</w:t>
      </w:r>
      <w:r>
        <w:rPr>
          <w:rFonts w:ascii="宋体" w:hAnsi="宋体"/>
          <w:sz w:val="30"/>
          <w:szCs w:val="30"/>
        </w:rPr>
        <w:t>2</w:t>
      </w:r>
      <w:r>
        <w:rPr>
          <w:rFonts w:hint="eastAsia" w:ascii="宋体" w:hAnsi="宋体"/>
          <w:sz w:val="30"/>
          <w:szCs w:val="30"/>
        </w:rPr>
        <w:t>1年06月</w:t>
      </w:r>
    </w:p>
    <w:p w14:paraId="4B1E2364">
      <w:pPr>
        <w:adjustRightInd w:val="0"/>
        <w:spacing w:line="540" w:lineRule="exact"/>
        <w:ind w:firstLine="555"/>
        <w:rPr>
          <w:rFonts w:hint="eastAsia" w:ascii="宋体" w:hAnsi="宋体"/>
          <w:sz w:val="30"/>
          <w:szCs w:val="30"/>
        </w:rPr>
      </w:pPr>
      <w:r>
        <w:rPr>
          <w:rFonts w:hint="eastAsia" w:ascii="宋体" w:hAnsi="宋体"/>
          <w:sz w:val="30"/>
          <w:szCs w:val="30"/>
        </w:rPr>
        <w:t xml:space="preserve">校    核：赵征  刘俊 </w:t>
      </w:r>
    </w:p>
    <w:p w14:paraId="4024F0D7">
      <w:pPr>
        <w:adjustRightInd w:val="0"/>
        <w:spacing w:line="540" w:lineRule="exact"/>
        <w:ind w:firstLine="555"/>
        <w:rPr>
          <w:rFonts w:hint="eastAsia" w:ascii="宋体" w:hAnsi="宋体"/>
          <w:sz w:val="30"/>
          <w:szCs w:val="30"/>
        </w:rPr>
      </w:pPr>
    </w:p>
    <w:p w14:paraId="6DA7CB43">
      <w:pPr>
        <w:adjustRightInd w:val="0"/>
        <w:spacing w:line="540" w:lineRule="exact"/>
        <w:ind w:firstLine="555"/>
        <w:rPr>
          <w:rFonts w:hint="eastAsia" w:ascii="宋体" w:hAnsi="宋体"/>
          <w:sz w:val="30"/>
          <w:szCs w:val="30"/>
        </w:rPr>
        <w:sectPr>
          <w:headerReference r:id="rId3" w:type="default"/>
          <w:footerReference r:id="rId4" w:type="default"/>
          <w:footerReference r:id="rId5" w:type="even"/>
          <w:pgSz w:w="23814" w:h="16840" w:orient="landscape"/>
          <w:pgMar w:top="1985" w:right="1134" w:bottom="1701" w:left="1418" w:header="851" w:footer="992" w:gutter="0"/>
          <w:pgNumType w:start="1"/>
          <w:cols w:space="1608" w:num="2"/>
          <w:titlePg/>
          <w:docGrid w:linePitch="505" w:charSpace="-4301"/>
        </w:sectPr>
      </w:pPr>
    </w:p>
    <w:p w14:paraId="71D06E4F">
      <w:pPr>
        <w:spacing w:line="680" w:lineRule="exact"/>
        <w:jc w:val="left"/>
        <w:rPr>
          <w:rFonts w:ascii="宋体" w:hAnsi="宋体"/>
          <w:bCs/>
          <w:sz w:val="30"/>
          <w:szCs w:val="30"/>
        </w:rPr>
      </w:pPr>
      <w:r>
        <w:rPr>
          <w:rFonts w:ascii="宋体" w:hAnsi="宋体"/>
          <w:bCs/>
          <w:sz w:val="30"/>
          <w:szCs w:val="30"/>
        </w:rPr>
        <w:t>规划成果</w:t>
      </w:r>
      <w:r>
        <w:rPr>
          <w:rFonts w:hint="eastAsia" w:ascii="宋体" w:hAnsi="宋体"/>
          <w:bCs/>
          <w:sz w:val="30"/>
          <w:szCs w:val="30"/>
        </w:rPr>
        <w:t>包括</w:t>
      </w:r>
      <w:r>
        <w:rPr>
          <w:rFonts w:ascii="宋体" w:hAnsi="宋体"/>
          <w:bCs/>
          <w:sz w:val="30"/>
          <w:szCs w:val="30"/>
        </w:rPr>
        <w:t>：</w:t>
      </w:r>
    </w:p>
    <w:p w14:paraId="3969ACD1">
      <w:pPr>
        <w:spacing w:line="680" w:lineRule="exact"/>
        <w:ind w:firstLine="602" w:firstLineChars="200"/>
        <w:jc w:val="left"/>
        <w:rPr>
          <w:rFonts w:hint="eastAsia" w:ascii="宋体" w:hAnsi="宋体"/>
          <w:b/>
          <w:sz w:val="30"/>
        </w:rPr>
      </w:pPr>
      <w:r>
        <w:rPr>
          <w:rFonts w:hint="eastAsia" w:ascii="宋体" w:hAnsi="宋体"/>
          <w:b/>
          <w:sz w:val="30"/>
        </w:rPr>
        <w:t>一、规划文件</w:t>
      </w:r>
    </w:p>
    <w:p w14:paraId="3F71554F">
      <w:pPr>
        <w:spacing w:line="680" w:lineRule="exact"/>
        <w:ind w:firstLine="600" w:firstLineChars="200"/>
        <w:jc w:val="left"/>
        <w:rPr>
          <w:rFonts w:hint="eastAsia" w:ascii="宋体" w:hAnsi="宋体"/>
          <w:sz w:val="30"/>
        </w:rPr>
      </w:pPr>
      <w:r>
        <w:rPr>
          <w:rFonts w:hint="eastAsia" w:ascii="宋体" w:hAnsi="宋体"/>
          <w:sz w:val="30"/>
        </w:rPr>
        <w:t>1、乐山市中心城区棉竹片区控制性详细规划   文本</w:t>
      </w:r>
    </w:p>
    <w:p w14:paraId="76573197">
      <w:pPr>
        <w:spacing w:line="680" w:lineRule="exact"/>
        <w:ind w:firstLine="602" w:firstLineChars="200"/>
        <w:jc w:val="left"/>
        <w:rPr>
          <w:rFonts w:hint="eastAsia" w:ascii="宋体" w:hAnsi="宋体"/>
          <w:b/>
          <w:sz w:val="30"/>
        </w:rPr>
      </w:pPr>
      <w:r>
        <w:rPr>
          <w:rFonts w:hint="eastAsia" w:ascii="宋体" w:hAnsi="宋体"/>
          <w:b/>
          <w:sz w:val="30"/>
        </w:rPr>
        <w:t>二、规划图纸</w:t>
      </w:r>
    </w:p>
    <w:p w14:paraId="3662DAB8">
      <w:pPr>
        <w:spacing w:line="680" w:lineRule="exact"/>
        <w:ind w:left="596" w:leftChars="284"/>
        <w:jc w:val="left"/>
        <w:rPr>
          <w:rFonts w:hint="eastAsia" w:ascii="宋体" w:hAnsi="宋体"/>
          <w:sz w:val="30"/>
        </w:rPr>
      </w:pPr>
      <w:r>
        <w:rPr>
          <w:rFonts w:hint="eastAsia" w:ascii="宋体" w:hAnsi="宋体"/>
          <w:sz w:val="30"/>
        </w:rPr>
        <w:t xml:space="preserve">1、区位关系图                                                            </w:t>
      </w:r>
    </w:p>
    <w:p w14:paraId="16F28212">
      <w:pPr>
        <w:spacing w:line="680" w:lineRule="exact"/>
        <w:ind w:firstLine="600" w:firstLineChars="200"/>
        <w:jc w:val="left"/>
        <w:rPr>
          <w:rFonts w:hint="eastAsia" w:ascii="宋体" w:hAnsi="宋体"/>
          <w:sz w:val="30"/>
        </w:rPr>
      </w:pPr>
      <w:r>
        <w:rPr>
          <w:rFonts w:hint="eastAsia" w:ascii="宋体" w:hAnsi="宋体"/>
          <w:sz w:val="30"/>
        </w:rPr>
        <w:t>2、现状用地分析图</w:t>
      </w:r>
    </w:p>
    <w:p w14:paraId="3E8FAFFD">
      <w:pPr>
        <w:spacing w:line="680" w:lineRule="exact"/>
        <w:ind w:firstLine="600" w:firstLineChars="200"/>
        <w:jc w:val="left"/>
        <w:rPr>
          <w:rFonts w:hint="eastAsia" w:ascii="宋体" w:hAnsi="宋体"/>
          <w:sz w:val="30"/>
        </w:rPr>
      </w:pPr>
      <w:r>
        <w:rPr>
          <w:rFonts w:hint="eastAsia" w:ascii="宋体" w:hAnsi="宋体"/>
          <w:sz w:val="30"/>
        </w:rPr>
        <w:t>3、现状景观资源条件分析图</w:t>
      </w:r>
    </w:p>
    <w:p w14:paraId="37BBC55E">
      <w:pPr>
        <w:spacing w:line="680" w:lineRule="exact"/>
        <w:ind w:firstLine="600" w:firstLineChars="200"/>
        <w:jc w:val="left"/>
        <w:rPr>
          <w:rFonts w:hint="eastAsia" w:ascii="宋体" w:hAnsi="宋体"/>
          <w:sz w:val="30"/>
        </w:rPr>
      </w:pPr>
      <w:r>
        <w:rPr>
          <w:rFonts w:hint="eastAsia" w:ascii="宋体" w:hAnsi="宋体"/>
          <w:sz w:val="30"/>
        </w:rPr>
        <w:t>4、现状水系分析图</w:t>
      </w:r>
    </w:p>
    <w:p w14:paraId="7084930C">
      <w:pPr>
        <w:spacing w:line="680" w:lineRule="exact"/>
        <w:ind w:firstLine="600" w:firstLineChars="200"/>
        <w:jc w:val="left"/>
        <w:rPr>
          <w:rFonts w:hint="eastAsia" w:ascii="宋体" w:hAnsi="宋体"/>
          <w:sz w:val="30"/>
        </w:rPr>
      </w:pPr>
      <w:r>
        <w:rPr>
          <w:rFonts w:hint="eastAsia" w:ascii="宋体" w:hAnsi="宋体"/>
          <w:sz w:val="30"/>
        </w:rPr>
        <w:t>5、现状基础设施分析图</w:t>
      </w:r>
    </w:p>
    <w:p w14:paraId="1C0EA633">
      <w:pPr>
        <w:spacing w:line="680" w:lineRule="exact"/>
        <w:ind w:firstLine="600" w:firstLineChars="200"/>
        <w:jc w:val="left"/>
        <w:rPr>
          <w:rFonts w:hint="eastAsia" w:ascii="宋体" w:hAnsi="宋体"/>
          <w:sz w:val="30"/>
        </w:rPr>
      </w:pPr>
      <w:r>
        <w:rPr>
          <w:rFonts w:hint="eastAsia" w:ascii="宋体" w:hAnsi="宋体"/>
          <w:sz w:val="30"/>
        </w:rPr>
        <w:t>6、现状公共设施分析图</w:t>
      </w:r>
    </w:p>
    <w:p w14:paraId="65DEA5AA">
      <w:pPr>
        <w:spacing w:line="680" w:lineRule="exact"/>
        <w:ind w:firstLine="600" w:firstLineChars="200"/>
        <w:jc w:val="left"/>
        <w:rPr>
          <w:rFonts w:hint="eastAsia" w:ascii="宋体" w:hAnsi="宋体"/>
          <w:sz w:val="30"/>
        </w:rPr>
      </w:pPr>
      <w:r>
        <w:rPr>
          <w:rFonts w:hint="eastAsia" w:ascii="宋体" w:hAnsi="宋体"/>
          <w:sz w:val="30"/>
        </w:rPr>
        <w:t>7、现状建筑质量分析图</w:t>
      </w:r>
    </w:p>
    <w:p w14:paraId="28C9B6BF">
      <w:pPr>
        <w:spacing w:line="680" w:lineRule="exact"/>
        <w:ind w:firstLine="600" w:firstLineChars="200"/>
        <w:jc w:val="left"/>
        <w:rPr>
          <w:rFonts w:hint="eastAsia" w:ascii="宋体" w:hAnsi="宋体"/>
          <w:sz w:val="30"/>
        </w:rPr>
      </w:pPr>
      <w:r>
        <w:rPr>
          <w:rFonts w:hint="eastAsia" w:ascii="宋体" w:hAnsi="宋体"/>
          <w:sz w:val="30"/>
        </w:rPr>
        <w:t>8、场地地形分析图</w:t>
      </w:r>
    </w:p>
    <w:p w14:paraId="317E7C2A">
      <w:pPr>
        <w:spacing w:line="680" w:lineRule="exact"/>
        <w:ind w:firstLine="600" w:firstLineChars="200"/>
        <w:jc w:val="left"/>
        <w:rPr>
          <w:rFonts w:hint="eastAsia" w:ascii="宋体" w:hAnsi="宋体"/>
          <w:sz w:val="30"/>
        </w:rPr>
      </w:pPr>
      <w:r>
        <w:rPr>
          <w:rFonts w:hint="eastAsia" w:ascii="宋体" w:hAnsi="宋体"/>
          <w:sz w:val="30"/>
        </w:rPr>
        <w:t xml:space="preserve">9、用地布局规划图   </w:t>
      </w:r>
    </w:p>
    <w:p w14:paraId="0FD60B67">
      <w:pPr>
        <w:spacing w:line="680" w:lineRule="exact"/>
        <w:ind w:firstLine="600" w:firstLineChars="200"/>
        <w:jc w:val="left"/>
        <w:rPr>
          <w:rFonts w:hint="eastAsia" w:ascii="宋体" w:hAnsi="宋体"/>
          <w:sz w:val="30"/>
        </w:rPr>
      </w:pPr>
      <w:r>
        <w:rPr>
          <w:rFonts w:hint="eastAsia" w:ascii="宋体" w:hAnsi="宋体"/>
          <w:sz w:val="30"/>
        </w:rPr>
        <w:t>10、功能结构规划图</w:t>
      </w:r>
    </w:p>
    <w:p w14:paraId="0C5F1202">
      <w:pPr>
        <w:spacing w:line="680" w:lineRule="exact"/>
        <w:ind w:firstLine="600" w:firstLineChars="200"/>
        <w:jc w:val="left"/>
        <w:rPr>
          <w:rFonts w:hint="eastAsia" w:ascii="宋体" w:hAnsi="宋体"/>
          <w:sz w:val="30"/>
        </w:rPr>
      </w:pPr>
      <w:r>
        <w:rPr>
          <w:rFonts w:hint="eastAsia" w:ascii="宋体" w:hAnsi="宋体"/>
          <w:sz w:val="30"/>
        </w:rPr>
        <w:t>11、道路交通规划图</w:t>
      </w:r>
    </w:p>
    <w:p w14:paraId="39726344">
      <w:pPr>
        <w:spacing w:line="680" w:lineRule="exact"/>
        <w:ind w:firstLine="600" w:firstLineChars="200"/>
        <w:jc w:val="left"/>
        <w:rPr>
          <w:rFonts w:hint="eastAsia" w:ascii="宋体" w:hAnsi="宋体"/>
          <w:sz w:val="30"/>
        </w:rPr>
      </w:pPr>
      <w:r>
        <w:rPr>
          <w:rFonts w:hint="eastAsia" w:ascii="宋体" w:hAnsi="宋体"/>
          <w:sz w:val="30"/>
        </w:rPr>
        <w:t>12、绿地</w:t>
      </w:r>
      <w:r>
        <w:rPr>
          <w:rFonts w:ascii="宋体" w:hAnsi="宋体"/>
          <w:sz w:val="30"/>
        </w:rPr>
        <w:t>景观</w:t>
      </w:r>
      <w:r>
        <w:rPr>
          <w:rFonts w:hint="eastAsia" w:ascii="宋体" w:hAnsi="宋体"/>
          <w:sz w:val="30"/>
        </w:rPr>
        <w:t>系统规划图</w:t>
      </w:r>
    </w:p>
    <w:p w14:paraId="0A3B7D0B">
      <w:pPr>
        <w:spacing w:line="680" w:lineRule="exact"/>
        <w:ind w:firstLine="600" w:firstLineChars="200"/>
        <w:jc w:val="left"/>
        <w:rPr>
          <w:rFonts w:ascii="宋体" w:hAnsi="宋体"/>
          <w:sz w:val="30"/>
        </w:rPr>
      </w:pPr>
      <w:r>
        <w:rPr>
          <w:rFonts w:hint="eastAsia" w:ascii="宋体" w:hAnsi="宋体"/>
          <w:sz w:val="30"/>
        </w:rPr>
        <w:t>1</w:t>
      </w:r>
      <w:r>
        <w:rPr>
          <w:rFonts w:ascii="宋体" w:hAnsi="宋体"/>
          <w:sz w:val="30"/>
        </w:rPr>
        <w:t>3</w:t>
      </w:r>
      <w:r>
        <w:rPr>
          <w:rFonts w:hint="eastAsia" w:ascii="宋体" w:hAnsi="宋体"/>
          <w:sz w:val="30"/>
        </w:rPr>
        <w:t>、慢行交通规划图</w:t>
      </w:r>
    </w:p>
    <w:p w14:paraId="55CDFC9C">
      <w:pPr>
        <w:spacing w:line="680" w:lineRule="exact"/>
        <w:ind w:firstLine="600" w:firstLineChars="200"/>
        <w:jc w:val="left"/>
        <w:rPr>
          <w:rFonts w:hint="eastAsia" w:ascii="宋体" w:hAnsi="宋体"/>
          <w:sz w:val="30"/>
        </w:rPr>
      </w:pPr>
      <w:r>
        <w:rPr>
          <w:rFonts w:hint="eastAsia" w:ascii="宋体" w:hAnsi="宋体"/>
          <w:sz w:val="30"/>
        </w:rPr>
        <w:t>1</w:t>
      </w:r>
      <w:r>
        <w:rPr>
          <w:rFonts w:ascii="宋体" w:hAnsi="宋体"/>
          <w:sz w:val="30"/>
        </w:rPr>
        <w:t>4</w:t>
      </w:r>
      <w:r>
        <w:rPr>
          <w:rFonts w:hint="eastAsia" w:ascii="宋体" w:hAnsi="宋体"/>
          <w:sz w:val="30"/>
        </w:rPr>
        <w:t>、地块编码索引图</w:t>
      </w:r>
    </w:p>
    <w:p w14:paraId="77B854BF">
      <w:pPr>
        <w:spacing w:line="680" w:lineRule="exact"/>
        <w:ind w:firstLine="600" w:firstLineChars="200"/>
        <w:jc w:val="left"/>
        <w:rPr>
          <w:rFonts w:hint="eastAsia" w:ascii="宋体" w:hAnsi="宋体"/>
          <w:sz w:val="30"/>
        </w:rPr>
      </w:pPr>
      <w:r>
        <w:rPr>
          <w:rFonts w:hint="eastAsia" w:ascii="宋体" w:hAnsi="宋体"/>
          <w:sz w:val="30"/>
        </w:rPr>
        <w:t>1</w:t>
      </w:r>
      <w:r>
        <w:rPr>
          <w:rFonts w:ascii="宋体" w:hAnsi="宋体"/>
          <w:sz w:val="30"/>
        </w:rPr>
        <w:t>5</w:t>
      </w:r>
      <w:r>
        <w:rPr>
          <w:rFonts w:hint="eastAsia" w:ascii="宋体" w:hAnsi="宋体"/>
          <w:sz w:val="30"/>
        </w:rPr>
        <w:t>、四线控制规划图</w:t>
      </w:r>
    </w:p>
    <w:p w14:paraId="7CB0DEC5">
      <w:pPr>
        <w:spacing w:line="680" w:lineRule="exact"/>
        <w:ind w:firstLine="600" w:firstLineChars="200"/>
        <w:jc w:val="left"/>
        <w:rPr>
          <w:rFonts w:hint="eastAsia" w:ascii="宋体" w:hAnsi="宋体"/>
          <w:sz w:val="30"/>
        </w:rPr>
      </w:pPr>
      <w:r>
        <w:rPr>
          <w:rFonts w:hint="eastAsia" w:ascii="宋体" w:hAnsi="宋体"/>
          <w:sz w:val="30"/>
        </w:rPr>
        <w:t>1</w:t>
      </w:r>
      <w:r>
        <w:rPr>
          <w:rFonts w:ascii="宋体" w:hAnsi="宋体"/>
          <w:sz w:val="30"/>
        </w:rPr>
        <w:t>6</w:t>
      </w:r>
      <w:r>
        <w:rPr>
          <w:rFonts w:hint="eastAsia" w:ascii="宋体" w:hAnsi="宋体"/>
          <w:sz w:val="30"/>
        </w:rPr>
        <w:t>、公用管理与公共服务设施规划图</w:t>
      </w:r>
    </w:p>
    <w:p w14:paraId="783A00D3">
      <w:pPr>
        <w:spacing w:line="680" w:lineRule="exact"/>
        <w:ind w:firstLine="600" w:firstLineChars="200"/>
        <w:jc w:val="left"/>
        <w:rPr>
          <w:rFonts w:hint="eastAsia" w:ascii="宋体" w:hAnsi="宋体"/>
          <w:sz w:val="30"/>
        </w:rPr>
      </w:pPr>
      <w:r>
        <w:rPr>
          <w:rFonts w:hint="eastAsia" w:ascii="宋体" w:hAnsi="宋体"/>
          <w:sz w:val="30"/>
        </w:rPr>
        <w:t>1</w:t>
      </w:r>
      <w:r>
        <w:rPr>
          <w:rFonts w:ascii="宋体" w:hAnsi="宋体"/>
          <w:sz w:val="30"/>
        </w:rPr>
        <w:t>7</w:t>
      </w:r>
      <w:r>
        <w:rPr>
          <w:rFonts w:hint="eastAsia" w:ascii="宋体" w:hAnsi="宋体"/>
          <w:sz w:val="30"/>
        </w:rPr>
        <w:t xml:space="preserve">、开发强度控制规划图   </w:t>
      </w:r>
    </w:p>
    <w:p w14:paraId="1DDB66BE">
      <w:pPr>
        <w:spacing w:line="680" w:lineRule="exact"/>
        <w:ind w:firstLine="600" w:firstLineChars="200"/>
        <w:jc w:val="left"/>
        <w:rPr>
          <w:rFonts w:ascii="宋体" w:hAnsi="宋体"/>
          <w:sz w:val="30"/>
        </w:rPr>
      </w:pPr>
      <w:r>
        <w:rPr>
          <w:rFonts w:hint="eastAsia" w:ascii="宋体" w:hAnsi="宋体"/>
          <w:sz w:val="30"/>
        </w:rPr>
        <w:t>1</w:t>
      </w:r>
      <w:r>
        <w:rPr>
          <w:rFonts w:ascii="宋体" w:hAnsi="宋体"/>
          <w:sz w:val="30"/>
        </w:rPr>
        <w:t>8</w:t>
      </w:r>
      <w:r>
        <w:rPr>
          <w:rFonts w:hint="eastAsia" w:ascii="宋体" w:hAnsi="宋体"/>
          <w:sz w:val="30"/>
        </w:rPr>
        <w:t>、城市设计导引图</w:t>
      </w:r>
    </w:p>
    <w:p w14:paraId="121DB8D9">
      <w:pPr>
        <w:spacing w:line="680" w:lineRule="exact"/>
        <w:ind w:firstLine="600" w:firstLineChars="200"/>
        <w:jc w:val="left"/>
        <w:rPr>
          <w:rFonts w:ascii="宋体" w:hAnsi="宋体"/>
          <w:sz w:val="30"/>
        </w:rPr>
      </w:pPr>
      <w:r>
        <w:rPr>
          <w:rFonts w:ascii="宋体" w:hAnsi="宋体"/>
          <w:sz w:val="30"/>
        </w:rPr>
        <w:t>19</w:t>
      </w:r>
      <w:r>
        <w:rPr>
          <w:rFonts w:hint="eastAsia" w:ascii="宋体" w:hAnsi="宋体"/>
          <w:sz w:val="30"/>
        </w:rPr>
        <w:t>、道路工程规划图</w:t>
      </w:r>
    </w:p>
    <w:p w14:paraId="0BCD5F61">
      <w:pPr>
        <w:spacing w:line="680" w:lineRule="exact"/>
        <w:ind w:firstLine="600" w:firstLineChars="200"/>
        <w:jc w:val="left"/>
        <w:rPr>
          <w:rFonts w:ascii="宋体" w:hAnsi="宋体"/>
          <w:sz w:val="30"/>
        </w:rPr>
      </w:pPr>
      <w:r>
        <w:rPr>
          <w:rFonts w:hint="eastAsia" w:ascii="宋体" w:hAnsi="宋体"/>
          <w:sz w:val="30"/>
        </w:rPr>
        <w:t>2</w:t>
      </w:r>
      <w:r>
        <w:rPr>
          <w:rFonts w:ascii="宋体" w:hAnsi="宋体"/>
          <w:sz w:val="30"/>
        </w:rPr>
        <w:t>0</w:t>
      </w:r>
      <w:r>
        <w:rPr>
          <w:rFonts w:hint="eastAsia" w:ascii="宋体" w:hAnsi="宋体"/>
          <w:sz w:val="30"/>
        </w:rPr>
        <w:t>、竖向工程规划图</w:t>
      </w:r>
    </w:p>
    <w:p w14:paraId="31E2B079">
      <w:pPr>
        <w:spacing w:line="680" w:lineRule="exact"/>
        <w:ind w:firstLine="600" w:firstLineChars="200"/>
        <w:jc w:val="left"/>
        <w:rPr>
          <w:rFonts w:hint="eastAsia" w:ascii="宋体" w:hAnsi="宋体"/>
          <w:sz w:val="30"/>
        </w:rPr>
      </w:pPr>
      <w:r>
        <w:rPr>
          <w:rFonts w:hint="eastAsia" w:ascii="宋体" w:hAnsi="宋体"/>
          <w:sz w:val="30"/>
        </w:rPr>
        <w:t>2</w:t>
      </w:r>
      <w:r>
        <w:rPr>
          <w:rFonts w:ascii="宋体" w:hAnsi="宋体"/>
          <w:sz w:val="30"/>
        </w:rPr>
        <w:t>1</w:t>
      </w:r>
      <w:r>
        <w:rPr>
          <w:rFonts w:hint="eastAsia" w:ascii="宋体" w:hAnsi="宋体"/>
          <w:sz w:val="30"/>
        </w:rPr>
        <w:t>、给水工程规划图</w:t>
      </w:r>
    </w:p>
    <w:p w14:paraId="2965BCD8">
      <w:pPr>
        <w:spacing w:line="680" w:lineRule="exact"/>
        <w:ind w:firstLine="600" w:firstLineChars="200"/>
        <w:jc w:val="left"/>
        <w:rPr>
          <w:rFonts w:hint="eastAsia" w:ascii="宋体" w:hAnsi="宋体"/>
          <w:sz w:val="30"/>
        </w:rPr>
      </w:pPr>
      <w:r>
        <w:rPr>
          <w:rFonts w:hint="eastAsia" w:ascii="宋体" w:hAnsi="宋体"/>
          <w:sz w:val="30"/>
        </w:rPr>
        <w:t>2</w:t>
      </w:r>
      <w:r>
        <w:rPr>
          <w:rFonts w:ascii="宋体" w:hAnsi="宋体"/>
          <w:sz w:val="30"/>
        </w:rPr>
        <w:t>2</w:t>
      </w:r>
      <w:r>
        <w:rPr>
          <w:rFonts w:hint="eastAsia" w:ascii="宋体" w:hAnsi="宋体"/>
          <w:sz w:val="30"/>
        </w:rPr>
        <w:t xml:space="preserve">、雨水工程规划图  </w:t>
      </w:r>
    </w:p>
    <w:p w14:paraId="1294CE70">
      <w:pPr>
        <w:spacing w:line="680" w:lineRule="exact"/>
        <w:ind w:firstLine="600" w:firstLineChars="200"/>
        <w:jc w:val="left"/>
        <w:rPr>
          <w:rFonts w:hint="eastAsia" w:ascii="宋体" w:hAnsi="宋体"/>
          <w:sz w:val="30"/>
        </w:rPr>
      </w:pPr>
      <w:r>
        <w:rPr>
          <w:rFonts w:hint="eastAsia" w:ascii="宋体" w:hAnsi="宋体"/>
          <w:sz w:val="30"/>
        </w:rPr>
        <w:t>2</w:t>
      </w:r>
      <w:r>
        <w:rPr>
          <w:rFonts w:ascii="宋体" w:hAnsi="宋体"/>
          <w:sz w:val="30"/>
        </w:rPr>
        <w:t>3</w:t>
      </w:r>
      <w:r>
        <w:rPr>
          <w:rFonts w:hint="eastAsia" w:ascii="宋体" w:hAnsi="宋体"/>
          <w:sz w:val="30"/>
        </w:rPr>
        <w:t>、污水工程规划图</w:t>
      </w:r>
    </w:p>
    <w:p w14:paraId="723F382C">
      <w:pPr>
        <w:spacing w:line="680" w:lineRule="exact"/>
        <w:ind w:firstLine="600" w:firstLineChars="200"/>
        <w:jc w:val="left"/>
        <w:rPr>
          <w:rFonts w:hint="eastAsia" w:ascii="宋体" w:hAnsi="宋体"/>
          <w:sz w:val="30"/>
        </w:rPr>
      </w:pPr>
      <w:r>
        <w:rPr>
          <w:rFonts w:hint="eastAsia" w:ascii="宋体" w:hAnsi="宋体"/>
          <w:sz w:val="30"/>
        </w:rPr>
        <w:t>2</w:t>
      </w:r>
      <w:r>
        <w:rPr>
          <w:rFonts w:ascii="宋体" w:hAnsi="宋体"/>
          <w:sz w:val="30"/>
        </w:rPr>
        <w:t>4</w:t>
      </w:r>
      <w:r>
        <w:rPr>
          <w:rFonts w:hint="eastAsia" w:ascii="宋体" w:hAnsi="宋体"/>
          <w:sz w:val="30"/>
        </w:rPr>
        <w:t>、电力工程规划图</w:t>
      </w:r>
    </w:p>
    <w:p w14:paraId="76CD7B5B">
      <w:pPr>
        <w:spacing w:line="680" w:lineRule="exact"/>
        <w:ind w:firstLine="600" w:firstLineChars="200"/>
        <w:jc w:val="left"/>
        <w:rPr>
          <w:rFonts w:hint="eastAsia" w:ascii="宋体" w:hAnsi="宋体"/>
          <w:sz w:val="30"/>
        </w:rPr>
      </w:pPr>
      <w:r>
        <w:rPr>
          <w:rFonts w:hint="eastAsia" w:ascii="宋体" w:hAnsi="宋体"/>
          <w:sz w:val="30"/>
        </w:rPr>
        <w:t>2</w:t>
      </w:r>
      <w:r>
        <w:rPr>
          <w:rFonts w:ascii="宋体" w:hAnsi="宋体"/>
          <w:sz w:val="30"/>
        </w:rPr>
        <w:t>5</w:t>
      </w:r>
      <w:r>
        <w:rPr>
          <w:rFonts w:hint="eastAsia" w:ascii="宋体" w:hAnsi="宋体"/>
          <w:sz w:val="30"/>
        </w:rPr>
        <w:t>、电讯工程规划图</w:t>
      </w:r>
    </w:p>
    <w:p w14:paraId="1B0AFDDA">
      <w:pPr>
        <w:spacing w:line="680" w:lineRule="exact"/>
        <w:ind w:firstLine="600" w:firstLineChars="200"/>
        <w:jc w:val="left"/>
        <w:rPr>
          <w:rFonts w:hint="eastAsia" w:ascii="宋体" w:hAnsi="宋体"/>
          <w:sz w:val="30"/>
        </w:rPr>
      </w:pPr>
      <w:r>
        <w:rPr>
          <w:rFonts w:hint="eastAsia" w:ascii="宋体" w:hAnsi="宋体"/>
          <w:sz w:val="30"/>
        </w:rPr>
        <w:t>2</w:t>
      </w:r>
      <w:r>
        <w:rPr>
          <w:rFonts w:ascii="宋体" w:hAnsi="宋体"/>
          <w:sz w:val="30"/>
        </w:rPr>
        <w:t>6</w:t>
      </w:r>
      <w:r>
        <w:rPr>
          <w:rFonts w:hint="eastAsia" w:ascii="宋体" w:hAnsi="宋体"/>
          <w:sz w:val="30"/>
        </w:rPr>
        <w:t>、燃气工程规划图</w:t>
      </w:r>
    </w:p>
    <w:p w14:paraId="0773506D">
      <w:pPr>
        <w:spacing w:line="680" w:lineRule="exact"/>
        <w:ind w:firstLine="600" w:firstLineChars="200"/>
        <w:jc w:val="left"/>
        <w:rPr>
          <w:rFonts w:hint="eastAsia" w:ascii="宋体" w:hAnsi="宋体"/>
          <w:sz w:val="30"/>
        </w:rPr>
      </w:pPr>
      <w:r>
        <w:rPr>
          <w:rFonts w:hint="eastAsia" w:ascii="宋体" w:hAnsi="宋体"/>
          <w:sz w:val="30"/>
        </w:rPr>
        <w:t>2</w:t>
      </w:r>
      <w:r>
        <w:rPr>
          <w:rFonts w:ascii="宋体" w:hAnsi="宋体"/>
          <w:sz w:val="30"/>
        </w:rPr>
        <w:t>7</w:t>
      </w:r>
      <w:r>
        <w:rPr>
          <w:rFonts w:hint="eastAsia" w:ascii="宋体" w:hAnsi="宋体"/>
          <w:sz w:val="30"/>
        </w:rPr>
        <w:t>、环保环卫设施规划图</w:t>
      </w:r>
    </w:p>
    <w:p w14:paraId="0D2FBA34">
      <w:pPr>
        <w:spacing w:line="680" w:lineRule="exact"/>
        <w:ind w:firstLine="600" w:firstLineChars="200"/>
        <w:jc w:val="left"/>
        <w:rPr>
          <w:rFonts w:hint="eastAsia" w:ascii="宋体" w:hAnsi="宋体"/>
          <w:sz w:val="30"/>
        </w:rPr>
      </w:pPr>
      <w:r>
        <w:rPr>
          <w:rFonts w:hint="eastAsia" w:ascii="宋体" w:hAnsi="宋体"/>
          <w:sz w:val="30"/>
        </w:rPr>
        <w:t>2</w:t>
      </w:r>
      <w:r>
        <w:rPr>
          <w:rFonts w:ascii="宋体" w:hAnsi="宋体"/>
          <w:sz w:val="30"/>
        </w:rPr>
        <w:t>8</w:t>
      </w:r>
      <w:r>
        <w:rPr>
          <w:rFonts w:hint="eastAsia" w:ascii="宋体" w:hAnsi="宋体"/>
          <w:sz w:val="30"/>
        </w:rPr>
        <w:t xml:space="preserve">、综合防灾规划图 </w:t>
      </w:r>
    </w:p>
    <w:p w14:paraId="72E0D39A">
      <w:pPr>
        <w:spacing w:line="680" w:lineRule="exact"/>
        <w:ind w:firstLine="602" w:firstLineChars="200"/>
        <w:jc w:val="left"/>
        <w:rPr>
          <w:rFonts w:hint="eastAsia" w:ascii="宋体" w:hAnsi="宋体"/>
          <w:b/>
          <w:sz w:val="30"/>
        </w:rPr>
      </w:pPr>
      <w:r>
        <w:rPr>
          <w:rFonts w:hint="eastAsia" w:ascii="宋体" w:hAnsi="宋体"/>
          <w:b/>
          <w:sz w:val="30"/>
        </w:rPr>
        <w:t>三、管理单元详细图则</w:t>
      </w:r>
    </w:p>
    <w:p w14:paraId="6AA5D87F">
      <w:pPr>
        <w:spacing w:line="680" w:lineRule="exact"/>
        <w:ind w:firstLine="602" w:firstLineChars="200"/>
        <w:jc w:val="left"/>
        <w:rPr>
          <w:rFonts w:hint="eastAsia" w:ascii="宋体" w:hAnsi="宋体"/>
          <w:b/>
          <w:sz w:val="30"/>
        </w:rPr>
      </w:pPr>
      <w:r>
        <w:rPr>
          <w:rFonts w:hint="eastAsia" w:ascii="宋体" w:hAnsi="宋体"/>
          <w:b/>
          <w:sz w:val="30"/>
        </w:rPr>
        <w:t>四、附件</w:t>
      </w:r>
    </w:p>
    <w:p w14:paraId="2BD8DC4F">
      <w:pPr>
        <w:spacing w:line="680" w:lineRule="exact"/>
        <w:ind w:firstLine="600" w:firstLineChars="200"/>
        <w:jc w:val="left"/>
        <w:rPr>
          <w:rFonts w:hint="eastAsia" w:ascii="宋体" w:hAnsi="宋体"/>
          <w:sz w:val="30"/>
        </w:rPr>
      </w:pPr>
      <w:r>
        <w:rPr>
          <w:rFonts w:hint="eastAsia" w:ascii="宋体" w:hAnsi="宋体"/>
          <w:sz w:val="30"/>
        </w:rPr>
        <w:t>乐山市中心城区棉竹片区控制性详细规划  说明书</w:t>
      </w:r>
    </w:p>
    <w:p w14:paraId="3FCF4DD1">
      <w:pPr>
        <w:spacing w:line="680" w:lineRule="exact"/>
        <w:ind w:firstLine="600" w:firstLineChars="200"/>
        <w:jc w:val="left"/>
        <w:rPr>
          <w:rFonts w:hint="eastAsia" w:ascii="宋体" w:hAnsi="宋体"/>
          <w:sz w:val="30"/>
        </w:rPr>
      </w:pPr>
    </w:p>
    <w:p w14:paraId="23CC174C">
      <w:pPr>
        <w:spacing w:line="680" w:lineRule="exact"/>
        <w:jc w:val="left"/>
        <w:rPr>
          <w:rFonts w:hint="eastAsia" w:ascii="宋体" w:hAnsi="宋体"/>
          <w:sz w:val="30"/>
        </w:rPr>
        <w:sectPr>
          <w:pgSz w:w="23814" w:h="16840" w:orient="landscape"/>
          <w:pgMar w:top="1985" w:right="1134" w:bottom="1701" w:left="1418" w:header="851" w:footer="992" w:gutter="0"/>
          <w:pgNumType w:start="1"/>
          <w:cols w:space="1260" w:num="2"/>
          <w:titlePg/>
          <w:docGrid w:linePitch="505" w:charSpace="-4301"/>
        </w:sectPr>
      </w:pPr>
    </w:p>
    <w:p w14:paraId="72B394D1">
      <w:pPr>
        <w:spacing w:line="360" w:lineRule="auto"/>
        <w:rPr>
          <w:rFonts w:hint="eastAsia" w:ascii="宋体" w:hAnsi="宋体"/>
          <w:b/>
          <w:bCs/>
          <w:sz w:val="72"/>
          <w:szCs w:val="72"/>
        </w:rPr>
      </w:pPr>
    </w:p>
    <w:p w14:paraId="79DB43E6">
      <w:pPr>
        <w:spacing w:line="360" w:lineRule="auto"/>
        <w:jc w:val="center"/>
        <w:rPr>
          <w:rFonts w:hint="eastAsia" w:ascii="宋体" w:hAnsi="宋体"/>
          <w:b/>
          <w:bCs/>
          <w:sz w:val="72"/>
          <w:szCs w:val="72"/>
        </w:rPr>
      </w:pPr>
      <w:r>
        <w:rPr>
          <w:rFonts w:hint="eastAsia" w:ascii="宋体" w:hAnsi="宋体"/>
          <w:b/>
          <w:bCs/>
          <w:sz w:val="72"/>
          <w:szCs w:val="72"/>
        </w:rPr>
        <w:t>乐山市中心城区棉竹片区控制性详细规划</w:t>
      </w:r>
    </w:p>
    <w:p w14:paraId="04227A26">
      <w:pPr>
        <w:spacing w:line="600" w:lineRule="exact"/>
        <w:rPr>
          <w:rFonts w:hint="eastAsia" w:ascii="宋体" w:hAnsi="宋体"/>
          <w:sz w:val="30"/>
        </w:rPr>
      </w:pPr>
    </w:p>
    <w:p w14:paraId="6FCB191B">
      <w:pPr>
        <w:spacing w:line="600" w:lineRule="exact"/>
        <w:rPr>
          <w:rFonts w:hint="eastAsia" w:ascii="宋体" w:hAnsi="宋体"/>
          <w:b/>
          <w:bCs/>
          <w:sz w:val="52"/>
          <w:szCs w:val="52"/>
        </w:rPr>
      </w:pPr>
      <w:r>
        <w:rPr>
          <w:rFonts w:hint="eastAsia" w:ascii="宋体" w:hAnsi="宋体"/>
          <w:sz w:val="30"/>
        </w:rPr>
        <w:t xml:space="preserve">                                                                                       </w:t>
      </w:r>
    </w:p>
    <w:p w14:paraId="7CA6678A">
      <w:pPr>
        <w:spacing w:line="600" w:lineRule="exact"/>
        <w:rPr>
          <w:rFonts w:hint="eastAsia" w:ascii="宋体" w:hAnsi="宋体"/>
          <w:sz w:val="30"/>
        </w:rPr>
      </w:pPr>
    </w:p>
    <w:p w14:paraId="04EF04B8">
      <w:pPr>
        <w:spacing w:line="600" w:lineRule="exact"/>
        <w:rPr>
          <w:rFonts w:hint="eastAsia" w:ascii="宋体" w:hAnsi="宋体"/>
          <w:sz w:val="30"/>
        </w:rPr>
      </w:pPr>
    </w:p>
    <w:p w14:paraId="66F36652">
      <w:pPr>
        <w:spacing w:line="600" w:lineRule="exact"/>
        <w:rPr>
          <w:rFonts w:hint="eastAsia" w:ascii="宋体" w:hAnsi="宋体"/>
          <w:sz w:val="30"/>
        </w:rPr>
      </w:pPr>
    </w:p>
    <w:p w14:paraId="4950A2BB">
      <w:pPr>
        <w:pStyle w:val="3"/>
        <w:spacing w:line="1180" w:lineRule="exact"/>
        <w:jc w:val="center"/>
        <w:rPr>
          <w:rFonts w:hint="eastAsia" w:ascii="宋体" w:hAnsi="宋体" w:eastAsia="宋体"/>
          <w:sz w:val="96"/>
        </w:rPr>
      </w:pPr>
      <w:bookmarkStart w:id="0" w:name="_Toc218939015"/>
      <w:bookmarkStart w:id="1" w:name="_Toc222888782"/>
      <w:bookmarkStart w:id="2" w:name="_Toc339373877"/>
      <w:bookmarkStart w:id="3" w:name="_Toc339373730"/>
      <w:r>
        <w:rPr>
          <w:rFonts w:hint="eastAsia" w:ascii="宋体" w:hAnsi="宋体" w:eastAsia="宋体"/>
          <w:sz w:val="96"/>
        </w:rPr>
        <w:t>文  本</w:t>
      </w:r>
      <w:bookmarkEnd w:id="0"/>
      <w:bookmarkEnd w:id="1"/>
      <w:bookmarkEnd w:id="2"/>
      <w:bookmarkEnd w:id="3"/>
    </w:p>
    <w:p w14:paraId="7C5691DD">
      <w:pPr>
        <w:spacing w:line="600" w:lineRule="exact"/>
        <w:rPr>
          <w:rFonts w:hint="eastAsia" w:ascii="宋体" w:hAnsi="宋体"/>
          <w:sz w:val="30"/>
        </w:rPr>
      </w:pPr>
    </w:p>
    <w:p w14:paraId="02F6D2C1">
      <w:pPr>
        <w:spacing w:line="600" w:lineRule="exact"/>
        <w:rPr>
          <w:rFonts w:hint="eastAsia" w:ascii="宋体" w:hAnsi="宋体"/>
          <w:sz w:val="30"/>
        </w:rPr>
      </w:pPr>
    </w:p>
    <w:p w14:paraId="084339B6">
      <w:pPr>
        <w:spacing w:line="600" w:lineRule="exact"/>
        <w:rPr>
          <w:rFonts w:hint="eastAsia" w:ascii="宋体" w:hAnsi="宋体"/>
          <w:sz w:val="30"/>
        </w:rPr>
      </w:pPr>
    </w:p>
    <w:p w14:paraId="00FF1622">
      <w:pPr>
        <w:spacing w:line="600" w:lineRule="exact"/>
        <w:rPr>
          <w:rFonts w:hint="eastAsia" w:ascii="宋体" w:hAnsi="宋体"/>
          <w:sz w:val="30"/>
        </w:rPr>
      </w:pPr>
    </w:p>
    <w:p w14:paraId="2AABBC3C">
      <w:pPr>
        <w:spacing w:line="600" w:lineRule="exact"/>
        <w:jc w:val="center"/>
        <w:rPr>
          <w:rFonts w:hint="eastAsia" w:ascii="宋体" w:hAnsi="宋体"/>
          <w:sz w:val="30"/>
        </w:rPr>
      </w:pPr>
    </w:p>
    <w:p w14:paraId="12D85601">
      <w:pPr>
        <w:spacing w:line="600" w:lineRule="exact"/>
        <w:jc w:val="center"/>
        <w:rPr>
          <w:rFonts w:ascii="宋体" w:hAnsi="宋体"/>
          <w:sz w:val="30"/>
        </w:rPr>
      </w:pPr>
    </w:p>
    <w:p w14:paraId="0E47F6A6">
      <w:pPr>
        <w:spacing w:line="600" w:lineRule="exact"/>
        <w:jc w:val="center"/>
        <w:rPr>
          <w:rFonts w:hint="eastAsia" w:ascii="宋体" w:hAnsi="宋体"/>
          <w:sz w:val="44"/>
        </w:rPr>
      </w:pPr>
      <w:r>
        <w:rPr>
          <w:rFonts w:hint="eastAsia" w:ascii="宋体" w:hAnsi="宋体"/>
          <w:sz w:val="44"/>
        </w:rPr>
        <w:t>乐山市城乡规划设计院  2021</w:t>
      </w:r>
    </w:p>
    <w:p w14:paraId="52357A5F">
      <w:pPr>
        <w:spacing w:line="600" w:lineRule="exact"/>
        <w:jc w:val="center"/>
        <w:rPr>
          <w:rFonts w:hint="eastAsia" w:ascii="宋体" w:hAnsi="宋体"/>
          <w:sz w:val="48"/>
        </w:rPr>
      </w:pPr>
      <w:r>
        <w:rPr>
          <w:rFonts w:ascii="宋体" w:hAnsi="宋体"/>
          <w:sz w:val="48"/>
        </w:rPr>
        <w:t xml:space="preserve"> </w:t>
      </w:r>
    </w:p>
    <w:p w14:paraId="0D0CF95D">
      <w:pPr>
        <w:spacing w:line="680" w:lineRule="exact"/>
        <w:jc w:val="center"/>
        <w:rPr>
          <w:rFonts w:hint="eastAsia" w:ascii="宋体" w:hAnsi="宋体"/>
          <w:sz w:val="48"/>
        </w:rPr>
        <w:sectPr>
          <w:pgSz w:w="23814" w:h="16840" w:orient="landscape"/>
          <w:pgMar w:top="1985" w:right="1134" w:bottom="1701" w:left="1418" w:header="851" w:footer="992" w:gutter="0"/>
          <w:pgNumType w:start="1"/>
          <w:cols w:space="420" w:num="1"/>
          <w:titlePg/>
          <w:docGrid w:linePitch="505" w:charSpace="-4301"/>
        </w:sectPr>
      </w:pPr>
    </w:p>
    <w:p w14:paraId="2AB5C9D3">
      <w:pPr>
        <w:pStyle w:val="3"/>
        <w:spacing w:line="680" w:lineRule="exact"/>
        <w:jc w:val="center"/>
        <w:rPr>
          <w:rFonts w:ascii="宋体" w:hAnsi="宋体" w:eastAsia="宋体"/>
          <w:lang/>
        </w:rPr>
      </w:pPr>
      <w:bookmarkStart w:id="4" w:name="_Toc216147482"/>
      <w:bookmarkStart w:id="5" w:name="_Toc222888783"/>
      <w:bookmarkStart w:id="6" w:name="_Toc216519997"/>
      <w:bookmarkStart w:id="7" w:name="_Toc339373731"/>
      <w:bookmarkStart w:id="8" w:name="_Toc218939016"/>
      <w:bookmarkStart w:id="9" w:name="_Toc339373878"/>
      <w:r>
        <w:rPr>
          <w:rFonts w:hint="eastAsia" w:ascii="宋体" w:hAnsi="宋体" w:eastAsia="宋体"/>
          <w:sz w:val="44"/>
        </w:rPr>
        <w:t>目    录</w:t>
      </w:r>
      <w:bookmarkEnd w:id="4"/>
      <w:bookmarkEnd w:id="5"/>
      <w:bookmarkEnd w:id="6"/>
      <w:bookmarkEnd w:id="7"/>
      <w:bookmarkEnd w:id="8"/>
      <w:bookmarkEnd w:id="9"/>
      <w:r>
        <w:rPr>
          <w:rFonts w:hint="eastAsia" w:ascii="宋体" w:hAnsi="宋体" w:eastAsia="宋体"/>
          <w:b w:val="0"/>
          <w:sz w:val="30"/>
          <w:szCs w:val="30"/>
        </w:rPr>
        <w:fldChar w:fldCharType="begin"/>
      </w:r>
      <w:r>
        <w:rPr>
          <w:rFonts w:hint="eastAsia" w:ascii="宋体" w:hAnsi="宋体" w:eastAsia="宋体"/>
          <w:b w:val="0"/>
          <w:sz w:val="30"/>
          <w:szCs w:val="30"/>
        </w:rPr>
        <w:instrText xml:space="preserve"> TOC  \* MERGEFORMAT </w:instrText>
      </w:r>
      <w:r>
        <w:rPr>
          <w:rFonts w:hint="eastAsia" w:ascii="宋体" w:hAnsi="宋体" w:eastAsia="宋体"/>
          <w:b w:val="0"/>
          <w:sz w:val="30"/>
          <w:szCs w:val="30"/>
        </w:rPr>
        <w:fldChar w:fldCharType="separate"/>
      </w:r>
    </w:p>
    <w:p w14:paraId="5910E78F">
      <w:pPr>
        <w:pStyle w:val="14"/>
        <w:rPr>
          <w:b w:val="0"/>
          <w:sz w:val="21"/>
          <w:szCs w:val="24"/>
        </w:rPr>
      </w:pPr>
      <w:r>
        <w:rPr>
          <w:rFonts w:hint="eastAsia"/>
        </w:rPr>
        <w:t>第一章</w:t>
      </w:r>
      <w:r>
        <w:t xml:space="preserve">  </w:t>
      </w:r>
      <w:r>
        <w:rPr>
          <w:rFonts w:hint="eastAsia"/>
        </w:rPr>
        <w:t>总</w:t>
      </w:r>
      <w:r>
        <w:t xml:space="preserve">  </w:t>
      </w:r>
      <w:r>
        <w:rPr>
          <w:rFonts w:hint="eastAsia"/>
        </w:rPr>
        <w:t>则</w:t>
      </w:r>
      <w:r>
        <w:tab/>
      </w:r>
      <w:r>
        <w:fldChar w:fldCharType="begin"/>
      </w:r>
      <w:r>
        <w:instrText xml:space="preserve"> PAGEREF _Toc339373879 \h </w:instrText>
      </w:r>
      <w:r>
        <w:fldChar w:fldCharType="separate"/>
      </w:r>
      <w:r>
        <w:t>1</w:t>
      </w:r>
      <w:r>
        <w:fldChar w:fldCharType="end"/>
      </w:r>
    </w:p>
    <w:p w14:paraId="460B0522">
      <w:pPr>
        <w:pStyle w:val="14"/>
        <w:rPr>
          <w:b w:val="0"/>
          <w:sz w:val="21"/>
          <w:szCs w:val="24"/>
        </w:rPr>
      </w:pPr>
      <w:r>
        <w:rPr>
          <w:rFonts w:hint="eastAsia"/>
        </w:rPr>
        <w:t>第二章</w:t>
      </w:r>
      <w:r>
        <w:t xml:space="preserve">  </w:t>
      </w:r>
      <w:r>
        <w:rPr>
          <w:rFonts w:hint="eastAsia"/>
        </w:rPr>
        <w:t>功能定位及规模</w:t>
      </w:r>
      <w:r>
        <w:tab/>
      </w:r>
      <w:r>
        <w:fldChar w:fldCharType="begin"/>
      </w:r>
      <w:r>
        <w:instrText xml:space="preserve"> PAGEREF _Toc339373880 \h </w:instrText>
      </w:r>
      <w:r>
        <w:fldChar w:fldCharType="separate"/>
      </w:r>
      <w:r>
        <w:t>2</w:t>
      </w:r>
      <w:r>
        <w:fldChar w:fldCharType="end"/>
      </w:r>
    </w:p>
    <w:p w14:paraId="2FA06FE8">
      <w:pPr>
        <w:pStyle w:val="14"/>
        <w:rPr>
          <w:b w:val="0"/>
          <w:sz w:val="21"/>
          <w:szCs w:val="24"/>
        </w:rPr>
      </w:pPr>
      <w:r>
        <w:rPr>
          <w:rFonts w:hint="eastAsia"/>
        </w:rPr>
        <w:t>第三章</w:t>
      </w:r>
      <w:r>
        <w:t xml:space="preserve">  </w:t>
      </w:r>
      <w:r>
        <w:rPr>
          <w:rFonts w:hint="eastAsia"/>
        </w:rPr>
        <w:t>空间结构与用地布局规划</w:t>
      </w:r>
      <w:r>
        <w:tab/>
      </w:r>
      <w:r>
        <w:fldChar w:fldCharType="begin"/>
      </w:r>
      <w:r>
        <w:instrText xml:space="preserve"> PAGEREF _Toc339373881 \h </w:instrText>
      </w:r>
      <w:r>
        <w:fldChar w:fldCharType="separate"/>
      </w:r>
      <w:r>
        <w:t>2</w:t>
      </w:r>
      <w:r>
        <w:fldChar w:fldCharType="end"/>
      </w:r>
    </w:p>
    <w:p w14:paraId="564ECEAC">
      <w:pPr>
        <w:pStyle w:val="14"/>
        <w:rPr>
          <w:b w:val="0"/>
          <w:sz w:val="21"/>
          <w:szCs w:val="24"/>
        </w:rPr>
      </w:pPr>
      <w:r>
        <w:rPr>
          <w:rFonts w:hint="eastAsia"/>
        </w:rPr>
        <w:t>第四章</w:t>
      </w:r>
      <w:r>
        <w:t xml:space="preserve">  </w:t>
      </w:r>
      <w:r>
        <w:rPr>
          <w:rFonts w:hint="eastAsia"/>
        </w:rPr>
        <w:t>土地利用规划控制</w:t>
      </w:r>
      <w:r>
        <w:tab/>
      </w:r>
      <w:r>
        <w:fldChar w:fldCharType="begin"/>
      </w:r>
      <w:r>
        <w:instrText xml:space="preserve"> PAGEREF _Toc339373882 \h </w:instrText>
      </w:r>
      <w:r>
        <w:fldChar w:fldCharType="separate"/>
      </w:r>
      <w:r>
        <w:t>3</w:t>
      </w:r>
      <w:r>
        <w:fldChar w:fldCharType="end"/>
      </w:r>
    </w:p>
    <w:p w14:paraId="5C3C9D33">
      <w:pPr>
        <w:pStyle w:val="14"/>
        <w:rPr>
          <w:b w:val="0"/>
          <w:sz w:val="21"/>
          <w:szCs w:val="24"/>
        </w:rPr>
      </w:pPr>
      <w:r>
        <w:rPr>
          <w:rFonts w:hint="eastAsia"/>
        </w:rPr>
        <w:t>第五章</w:t>
      </w:r>
      <w:r>
        <w:t xml:space="preserve">  </w:t>
      </w:r>
      <w:r>
        <w:rPr>
          <w:rFonts w:hint="eastAsia"/>
        </w:rPr>
        <w:t>绿地及景观系统规划</w:t>
      </w:r>
      <w:r>
        <w:tab/>
      </w:r>
      <w:r>
        <w:rPr>
          <w:rFonts w:hint="eastAsia"/>
        </w:rPr>
        <w:t>4</w:t>
      </w:r>
    </w:p>
    <w:p w14:paraId="62B28349">
      <w:pPr>
        <w:pStyle w:val="14"/>
        <w:rPr>
          <w:b w:val="0"/>
          <w:sz w:val="21"/>
          <w:szCs w:val="24"/>
        </w:rPr>
      </w:pPr>
      <w:r>
        <w:rPr>
          <w:rFonts w:hint="eastAsia"/>
        </w:rPr>
        <w:t>第六章</w:t>
      </w:r>
      <w:r>
        <w:t xml:space="preserve">  </w:t>
      </w:r>
      <w:r>
        <w:rPr>
          <w:rFonts w:hint="eastAsia"/>
        </w:rPr>
        <w:t>道路交通及竖向规划</w:t>
      </w:r>
      <w:r>
        <w:tab/>
      </w:r>
      <w:r>
        <w:fldChar w:fldCharType="begin"/>
      </w:r>
      <w:r>
        <w:instrText xml:space="preserve"> PAGEREF _Toc339373885 \h </w:instrText>
      </w:r>
      <w:r>
        <w:fldChar w:fldCharType="separate"/>
      </w:r>
      <w:r>
        <w:t>5</w:t>
      </w:r>
      <w:r>
        <w:fldChar w:fldCharType="end"/>
      </w:r>
    </w:p>
    <w:p w14:paraId="078C214C">
      <w:pPr>
        <w:pStyle w:val="14"/>
        <w:rPr>
          <w:b w:val="0"/>
          <w:sz w:val="21"/>
          <w:szCs w:val="24"/>
        </w:rPr>
      </w:pPr>
      <w:r>
        <w:rPr>
          <w:rFonts w:hint="eastAsia"/>
        </w:rPr>
        <w:t>第七章</w:t>
      </w:r>
      <w:r>
        <w:t xml:space="preserve">  </w:t>
      </w:r>
      <w:r>
        <w:rPr>
          <w:rFonts w:hint="eastAsia"/>
        </w:rPr>
        <w:t>市政管线工程规划</w:t>
      </w:r>
      <w:r>
        <w:tab/>
      </w:r>
      <w:r>
        <w:fldChar w:fldCharType="begin"/>
      </w:r>
      <w:r>
        <w:instrText xml:space="preserve"> PAGEREF _Toc339373886 \h </w:instrText>
      </w:r>
      <w:r>
        <w:fldChar w:fldCharType="separate"/>
      </w:r>
      <w:r>
        <w:t>6</w:t>
      </w:r>
      <w:r>
        <w:fldChar w:fldCharType="end"/>
      </w:r>
    </w:p>
    <w:p w14:paraId="6F772FEC">
      <w:pPr>
        <w:pStyle w:val="14"/>
        <w:rPr>
          <w:b w:val="0"/>
          <w:sz w:val="21"/>
          <w:szCs w:val="24"/>
        </w:rPr>
      </w:pPr>
      <w:r>
        <w:rPr>
          <w:rFonts w:hint="eastAsia"/>
        </w:rPr>
        <w:t>第八章</w:t>
      </w:r>
      <w:r>
        <w:t xml:space="preserve">  </w:t>
      </w:r>
      <w:r>
        <w:rPr>
          <w:rFonts w:hint="eastAsia"/>
        </w:rPr>
        <w:t>综合防灾规划</w:t>
      </w:r>
      <w:r>
        <w:tab/>
      </w:r>
      <w:r>
        <w:fldChar w:fldCharType="begin"/>
      </w:r>
      <w:r>
        <w:instrText xml:space="preserve"> PAGEREF _Toc339373887 \h </w:instrText>
      </w:r>
      <w:r>
        <w:fldChar w:fldCharType="separate"/>
      </w:r>
      <w:r>
        <w:t>7</w:t>
      </w:r>
      <w:r>
        <w:fldChar w:fldCharType="end"/>
      </w:r>
    </w:p>
    <w:p w14:paraId="55AE8CC5">
      <w:pPr>
        <w:pStyle w:val="14"/>
        <w:rPr>
          <w:b w:val="0"/>
          <w:sz w:val="21"/>
          <w:szCs w:val="24"/>
        </w:rPr>
      </w:pPr>
      <w:r>
        <w:rPr>
          <w:rFonts w:hint="eastAsia"/>
        </w:rPr>
        <w:t>第九章</w:t>
      </w:r>
      <w:r>
        <w:t xml:space="preserve">  </w:t>
      </w:r>
      <w:r>
        <w:rPr>
          <w:rFonts w:hint="eastAsia"/>
        </w:rPr>
        <w:t>环境保护及环卫设施规划</w:t>
      </w:r>
      <w:r>
        <w:tab/>
      </w:r>
      <w:r>
        <w:fldChar w:fldCharType="begin"/>
      </w:r>
      <w:r>
        <w:instrText xml:space="preserve"> PAGEREF _Toc339373888 \h </w:instrText>
      </w:r>
      <w:r>
        <w:fldChar w:fldCharType="separate"/>
      </w:r>
      <w:r>
        <w:t>8</w:t>
      </w:r>
      <w:r>
        <w:fldChar w:fldCharType="end"/>
      </w:r>
    </w:p>
    <w:p w14:paraId="15BDA5DD">
      <w:pPr>
        <w:pStyle w:val="14"/>
        <w:rPr>
          <w:b w:val="0"/>
          <w:sz w:val="21"/>
          <w:szCs w:val="24"/>
        </w:rPr>
      </w:pPr>
      <w:r>
        <w:rPr>
          <w:rFonts w:hint="eastAsia"/>
        </w:rPr>
        <w:t>第十章</w:t>
      </w:r>
      <w:r>
        <w:t xml:space="preserve">  </w:t>
      </w:r>
      <w:r>
        <w:rPr>
          <w:rFonts w:hint="eastAsia"/>
        </w:rPr>
        <w:t>附</w:t>
      </w:r>
      <w:r>
        <w:t xml:space="preserve">  </w:t>
      </w:r>
      <w:r>
        <w:rPr>
          <w:rFonts w:hint="eastAsia"/>
        </w:rPr>
        <w:t>则</w:t>
      </w:r>
      <w:r>
        <w:tab/>
      </w:r>
      <w:r>
        <w:fldChar w:fldCharType="begin"/>
      </w:r>
      <w:r>
        <w:instrText xml:space="preserve"> PAGEREF _Toc339373889 \h </w:instrText>
      </w:r>
      <w:r>
        <w:fldChar w:fldCharType="separate"/>
      </w:r>
      <w:r>
        <w:t>9</w:t>
      </w:r>
      <w:r>
        <w:fldChar w:fldCharType="end"/>
      </w:r>
    </w:p>
    <w:p w14:paraId="7F0BEB8A">
      <w:pPr>
        <w:pStyle w:val="14"/>
        <w:rPr>
          <w:b w:val="0"/>
          <w:sz w:val="21"/>
          <w:szCs w:val="24"/>
        </w:rPr>
      </w:pPr>
      <w:r>
        <w:rPr>
          <w:rFonts w:hint="eastAsia"/>
        </w:rPr>
        <w:t>附表一</w:t>
      </w:r>
      <w:r>
        <w:t xml:space="preserve">  </w:t>
      </w:r>
      <w:r>
        <w:rPr>
          <w:rFonts w:hint="eastAsia"/>
        </w:rPr>
        <w:t>城市建设用地分类汇总表</w:t>
      </w:r>
      <w:r>
        <w:tab/>
      </w:r>
      <w:r>
        <w:fldChar w:fldCharType="begin"/>
      </w:r>
      <w:r>
        <w:instrText xml:space="preserve"> PAGEREF _Toc339373890 \h </w:instrText>
      </w:r>
      <w:r>
        <w:fldChar w:fldCharType="separate"/>
      </w:r>
      <w:r>
        <w:t>10</w:t>
      </w:r>
      <w:r>
        <w:fldChar w:fldCharType="end"/>
      </w:r>
    </w:p>
    <w:p w14:paraId="27F92E40">
      <w:pPr>
        <w:pStyle w:val="14"/>
        <w:rPr>
          <w:rFonts w:hint="eastAsia"/>
        </w:rPr>
      </w:pPr>
      <w:r>
        <w:rPr>
          <w:rFonts w:hint="eastAsia"/>
        </w:rPr>
        <w:t>附表二</w:t>
      </w:r>
      <w:r>
        <w:t xml:space="preserve"> </w:t>
      </w:r>
      <w:r>
        <w:rPr>
          <w:rFonts w:hint="eastAsia"/>
        </w:rPr>
        <w:t xml:space="preserve"> 城乡用地分类汇总表</w:t>
      </w:r>
      <w:r>
        <w:tab/>
      </w:r>
      <w:r>
        <w:fldChar w:fldCharType="begin"/>
      </w:r>
      <w:r>
        <w:instrText xml:space="preserve"> PAGEREF _Toc339373891 \h </w:instrText>
      </w:r>
      <w:r>
        <w:fldChar w:fldCharType="separate"/>
      </w:r>
      <w:r>
        <w:t>10</w:t>
      </w:r>
      <w:r>
        <w:fldChar w:fldCharType="end"/>
      </w:r>
    </w:p>
    <w:p w14:paraId="0CBA9885">
      <w:pPr>
        <w:rPr>
          <w:rFonts w:hint="eastAsia" w:ascii="宋体" w:hAnsi="宋体"/>
          <w:lang/>
        </w:rPr>
      </w:pPr>
    </w:p>
    <w:p w14:paraId="31CC3E7E">
      <w:pPr>
        <w:rPr>
          <w:rFonts w:hint="eastAsia" w:ascii="宋体" w:hAnsi="宋体"/>
          <w:lang/>
        </w:rPr>
      </w:pPr>
    </w:p>
    <w:p w14:paraId="365A78C2">
      <w:pPr>
        <w:rPr>
          <w:rFonts w:hint="eastAsia" w:ascii="宋体" w:hAnsi="宋体"/>
          <w:lang/>
        </w:rPr>
      </w:pPr>
    </w:p>
    <w:p w14:paraId="17D78595">
      <w:pPr>
        <w:rPr>
          <w:rFonts w:hint="eastAsia" w:ascii="宋体" w:hAnsi="宋体"/>
          <w:lang/>
        </w:rPr>
      </w:pPr>
    </w:p>
    <w:p w14:paraId="0542054B">
      <w:pPr>
        <w:rPr>
          <w:rFonts w:hint="eastAsia" w:ascii="宋体" w:hAnsi="宋体"/>
          <w:lang/>
        </w:rPr>
      </w:pPr>
    </w:p>
    <w:p w14:paraId="45FF55C5">
      <w:pPr>
        <w:rPr>
          <w:rFonts w:hint="eastAsia" w:ascii="宋体" w:hAnsi="宋体"/>
          <w:lang/>
        </w:rPr>
      </w:pPr>
    </w:p>
    <w:p w14:paraId="13962A2B">
      <w:pPr>
        <w:rPr>
          <w:rFonts w:hint="eastAsia" w:ascii="宋体" w:hAnsi="宋体"/>
          <w:lang/>
        </w:rPr>
      </w:pPr>
    </w:p>
    <w:p w14:paraId="60F651A3">
      <w:pPr>
        <w:rPr>
          <w:rFonts w:hint="eastAsia" w:ascii="宋体" w:hAnsi="宋体"/>
          <w:lang/>
        </w:rPr>
      </w:pPr>
    </w:p>
    <w:p w14:paraId="764D0FFE">
      <w:pPr>
        <w:rPr>
          <w:rFonts w:hint="eastAsia" w:ascii="宋体" w:hAnsi="宋体"/>
          <w:lang/>
        </w:rPr>
      </w:pPr>
    </w:p>
    <w:p w14:paraId="380A4B2C">
      <w:pPr>
        <w:rPr>
          <w:rFonts w:hint="eastAsia" w:ascii="宋体" w:hAnsi="宋体"/>
          <w:lang/>
        </w:rPr>
      </w:pPr>
    </w:p>
    <w:p w14:paraId="314D209B">
      <w:pPr>
        <w:rPr>
          <w:rFonts w:hint="eastAsia" w:ascii="宋体" w:hAnsi="宋体"/>
          <w:lang/>
        </w:rPr>
      </w:pPr>
    </w:p>
    <w:p w14:paraId="3F4F1A65">
      <w:pPr>
        <w:rPr>
          <w:rFonts w:hint="eastAsia" w:ascii="宋体" w:hAnsi="宋体"/>
          <w:lang/>
        </w:rPr>
      </w:pPr>
    </w:p>
    <w:p w14:paraId="64947CE3">
      <w:pPr>
        <w:rPr>
          <w:rFonts w:hint="eastAsia" w:ascii="宋体" w:hAnsi="宋体"/>
          <w:lang/>
        </w:rPr>
      </w:pPr>
    </w:p>
    <w:p w14:paraId="69A61B2E">
      <w:pPr>
        <w:rPr>
          <w:rFonts w:hint="eastAsia" w:ascii="宋体" w:hAnsi="宋体"/>
          <w:lang/>
        </w:rPr>
      </w:pPr>
    </w:p>
    <w:p w14:paraId="322A9899">
      <w:pPr>
        <w:rPr>
          <w:rFonts w:hint="eastAsia" w:ascii="宋体" w:hAnsi="宋体"/>
          <w:lang/>
        </w:rPr>
      </w:pPr>
    </w:p>
    <w:p w14:paraId="5450AF35">
      <w:pPr>
        <w:rPr>
          <w:rFonts w:hint="eastAsia" w:ascii="宋体" w:hAnsi="宋体"/>
          <w:lang/>
        </w:rPr>
      </w:pPr>
    </w:p>
    <w:p w14:paraId="05924F07">
      <w:pPr>
        <w:rPr>
          <w:rFonts w:hint="eastAsia" w:ascii="宋体" w:hAnsi="宋体"/>
          <w:lang/>
        </w:rPr>
      </w:pPr>
    </w:p>
    <w:p w14:paraId="474983EE">
      <w:pPr>
        <w:rPr>
          <w:rFonts w:hint="eastAsia" w:ascii="宋体" w:hAnsi="宋体"/>
          <w:lang/>
        </w:rPr>
      </w:pPr>
    </w:p>
    <w:p w14:paraId="3B9F94E9">
      <w:pPr>
        <w:rPr>
          <w:rFonts w:hint="eastAsia" w:ascii="宋体" w:hAnsi="宋体"/>
          <w:lang/>
        </w:rPr>
      </w:pPr>
    </w:p>
    <w:p w14:paraId="745DC7DD">
      <w:pPr>
        <w:rPr>
          <w:rFonts w:hint="eastAsia" w:ascii="宋体" w:hAnsi="宋体"/>
          <w:lang/>
        </w:rPr>
      </w:pPr>
    </w:p>
    <w:p w14:paraId="1CDC7616">
      <w:pPr>
        <w:rPr>
          <w:rFonts w:hint="eastAsia" w:ascii="宋体" w:hAnsi="宋体"/>
          <w:lang/>
        </w:rPr>
      </w:pPr>
    </w:p>
    <w:p w14:paraId="417E4168">
      <w:pPr>
        <w:rPr>
          <w:rFonts w:hint="eastAsia" w:ascii="宋体" w:hAnsi="宋体"/>
          <w:lang/>
        </w:rPr>
      </w:pPr>
    </w:p>
    <w:p w14:paraId="6F6B1AA2">
      <w:pPr>
        <w:rPr>
          <w:rFonts w:hint="eastAsia" w:ascii="宋体" w:hAnsi="宋体"/>
          <w:lang/>
        </w:rPr>
      </w:pPr>
    </w:p>
    <w:p w14:paraId="3B204E4B">
      <w:pPr>
        <w:pStyle w:val="3"/>
        <w:spacing w:line="720" w:lineRule="exact"/>
        <w:jc w:val="center"/>
        <w:rPr>
          <w:rFonts w:ascii="宋体" w:hAnsi="宋体" w:eastAsia="宋体"/>
          <w:b w:val="0"/>
          <w:sz w:val="30"/>
          <w:szCs w:val="30"/>
        </w:rPr>
        <w:sectPr>
          <w:pgSz w:w="23814" w:h="16840" w:orient="landscape"/>
          <w:pgMar w:top="1985" w:right="1134" w:bottom="1701" w:left="1418" w:header="851" w:footer="992" w:gutter="0"/>
          <w:pgNumType w:start="1"/>
          <w:cols w:space="1786" w:num="2"/>
          <w:titlePg/>
          <w:docGrid w:linePitch="505" w:charSpace="-4301"/>
        </w:sectPr>
      </w:pPr>
      <w:r>
        <w:rPr>
          <w:rFonts w:hint="eastAsia" w:ascii="宋体" w:hAnsi="宋体" w:eastAsia="宋体"/>
          <w:b w:val="0"/>
          <w:sz w:val="30"/>
          <w:szCs w:val="30"/>
        </w:rPr>
        <w:fldChar w:fldCharType="end"/>
      </w:r>
    </w:p>
    <w:p w14:paraId="21D4AF65">
      <w:pPr>
        <w:pStyle w:val="3"/>
        <w:spacing w:line="720" w:lineRule="exact"/>
        <w:jc w:val="center"/>
        <w:rPr>
          <w:rFonts w:hint="eastAsia" w:ascii="宋体" w:hAnsi="宋体" w:eastAsia="宋体"/>
          <w:sz w:val="36"/>
          <w:szCs w:val="36"/>
        </w:rPr>
      </w:pPr>
      <w:bookmarkStart w:id="10" w:name="_Toc339373879"/>
      <w:r>
        <w:rPr>
          <w:rFonts w:hint="eastAsia" w:ascii="宋体" w:hAnsi="宋体" w:eastAsia="宋体"/>
          <w:sz w:val="36"/>
          <w:szCs w:val="36"/>
        </w:rPr>
        <w:t>第一章  总  则</w:t>
      </w:r>
      <w:bookmarkEnd w:id="10"/>
    </w:p>
    <w:p w14:paraId="0CEBB09A">
      <w:pPr>
        <w:spacing w:line="680" w:lineRule="exact"/>
        <w:ind w:firstLine="600" w:firstLineChars="200"/>
        <w:rPr>
          <w:rFonts w:hint="eastAsia" w:ascii="宋体" w:hAnsi="宋体"/>
          <w:sz w:val="30"/>
        </w:rPr>
      </w:pPr>
      <w:r>
        <w:rPr>
          <w:rFonts w:ascii="宋体" w:hAnsi="宋体"/>
          <w:bCs/>
          <w:sz w:val="30"/>
        </w:rPr>
        <w:t>第一条</w:t>
      </w:r>
      <w:r>
        <w:rPr>
          <w:rFonts w:hint="eastAsia" w:ascii="宋体" w:hAnsi="宋体"/>
          <w:bCs/>
          <w:sz w:val="30"/>
        </w:rPr>
        <w:t xml:space="preserve">  </w:t>
      </w:r>
      <w:r>
        <w:rPr>
          <w:rFonts w:hint="eastAsia" w:ascii="宋体" w:hAnsi="宋体"/>
          <w:sz w:val="30"/>
        </w:rPr>
        <w:t>规划目的</w:t>
      </w:r>
    </w:p>
    <w:p w14:paraId="5AAD5233">
      <w:pPr>
        <w:spacing w:line="680" w:lineRule="exact"/>
        <w:ind w:firstLine="600" w:firstLineChars="200"/>
        <w:rPr>
          <w:rFonts w:hint="eastAsia" w:ascii="宋体" w:hAnsi="宋体"/>
          <w:bCs/>
          <w:sz w:val="30"/>
        </w:rPr>
      </w:pPr>
      <w:r>
        <w:rPr>
          <w:rFonts w:hint="eastAsia" w:ascii="宋体" w:hAnsi="宋体"/>
          <w:bCs/>
          <w:sz w:val="30"/>
        </w:rPr>
        <w:t>为贯彻落实乐山市城市总体规划，</w:t>
      </w:r>
      <w:r>
        <w:rPr>
          <w:rFonts w:ascii="宋体" w:hAnsi="宋体"/>
          <w:bCs/>
          <w:sz w:val="30"/>
        </w:rPr>
        <w:t>推进</w:t>
      </w:r>
      <w:r>
        <w:rPr>
          <w:rFonts w:hint="eastAsia" w:ascii="宋体" w:hAnsi="宋体"/>
          <w:bCs/>
          <w:sz w:val="30"/>
        </w:rPr>
        <w:t>乐山市中心城区棉竹片区的</w:t>
      </w:r>
      <w:r>
        <w:rPr>
          <w:rFonts w:ascii="宋体" w:hAnsi="宋体"/>
          <w:bCs/>
          <w:sz w:val="30"/>
        </w:rPr>
        <w:t>发展，</w:t>
      </w:r>
      <w:r>
        <w:rPr>
          <w:rFonts w:hint="eastAsia" w:ascii="宋体" w:hAnsi="宋体"/>
          <w:sz w:val="30"/>
        </w:rPr>
        <w:t>合理引导其开发与建设，</w:t>
      </w:r>
      <w:r>
        <w:rPr>
          <w:rFonts w:hint="eastAsia" w:ascii="宋体" w:hAnsi="宋体"/>
          <w:bCs/>
          <w:sz w:val="30"/>
        </w:rPr>
        <w:t>适应规划管理的需要，</w:t>
      </w:r>
      <w:r>
        <w:rPr>
          <w:rFonts w:hint="eastAsia" w:ascii="宋体" w:hAnsi="宋体"/>
          <w:sz w:val="30"/>
        </w:rPr>
        <w:t>特编制《乐山市中心城区棉竹片区控制性详细规划》（以下简称“本规划”），并制定本规划文本。</w:t>
      </w:r>
    </w:p>
    <w:p w14:paraId="29F26490">
      <w:pPr>
        <w:spacing w:line="680" w:lineRule="exact"/>
        <w:ind w:firstLine="600" w:firstLineChars="200"/>
        <w:rPr>
          <w:rFonts w:hint="eastAsia" w:ascii="宋体" w:hAnsi="宋体"/>
          <w:sz w:val="30"/>
        </w:rPr>
      </w:pPr>
      <w:r>
        <w:rPr>
          <w:rFonts w:ascii="宋体" w:hAnsi="宋体"/>
          <w:bCs/>
          <w:sz w:val="30"/>
        </w:rPr>
        <w:t>第二条</w:t>
      </w:r>
      <w:r>
        <w:rPr>
          <w:rFonts w:hint="eastAsia" w:ascii="宋体" w:hAnsi="宋体"/>
          <w:bCs/>
          <w:sz w:val="30"/>
        </w:rPr>
        <w:t xml:space="preserve">  </w:t>
      </w:r>
      <w:r>
        <w:rPr>
          <w:rFonts w:hint="eastAsia" w:ascii="宋体" w:hAnsi="宋体"/>
          <w:sz w:val="30"/>
        </w:rPr>
        <w:t>规划作用</w:t>
      </w:r>
    </w:p>
    <w:p w14:paraId="2043A467">
      <w:pPr>
        <w:spacing w:line="680" w:lineRule="exact"/>
        <w:ind w:firstLine="600" w:firstLineChars="200"/>
        <w:rPr>
          <w:rFonts w:hint="eastAsia" w:ascii="宋体" w:hAnsi="宋体"/>
          <w:sz w:val="30"/>
        </w:rPr>
      </w:pPr>
      <w:r>
        <w:rPr>
          <w:rFonts w:ascii="宋体" w:hAnsi="宋体"/>
          <w:bCs/>
          <w:sz w:val="30"/>
        </w:rPr>
        <w:t>本文本是</w:t>
      </w:r>
      <w:r>
        <w:rPr>
          <w:rFonts w:hint="eastAsia" w:ascii="宋体" w:hAnsi="宋体"/>
          <w:sz w:val="30"/>
        </w:rPr>
        <w:t>乐山市中心城区棉竹片区</w:t>
      </w:r>
      <w:r>
        <w:rPr>
          <w:rFonts w:ascii="宋体" w:hAnsi="宋体"/>
          <w:bCs/>
          <w:sz w:val="30"/>
        </w:rPr>
        <w:t>的建设指导性文件，</w:t>
      </w:r>
      <w:r>
        <w:rPr>
          <w:rFonts w:hint="eastAsia" w:ascii="宋体" w:hAnsi="宋体"/>
          <w:sz w:val="30"/>
        </w:rPr>
        <w:t>是规划行政主管部门作出规划行政许可，实施规划管理的依据</w:t>
      </w:r>
      <w:r>
        <w:rPr>
          <w:rFonts w:ascii="宋体" w:hAnsi="宋体"/>
          <w:sz w:val="30"/>
        </w:rPr>
        <w:t>。</w:t>
      </w:r>
    </w:p>
    <w:p w14:paraId="2FB0412B">
      <w:pPr>
        <w:spacing w:line="680" w:lineRule="exact"/>
        <w:ind w:firstLine="600" w:firstLineChars="200"/>
        <w:rPr>
          <w:rFonts w:hint="eastAsia" w:ascii="宋体" w:hAnsi="宋体"/>
          <w:sz w:val="30"/>
        </w:rPr>
      </w:pPr>
      <w:r>
        <w:rPr>
          <w:rFonts w:ascii="宋体" w:hAnsi="宋体"/>
          <w:bCs/>
          <w:sz w:val="30"/>
        </w:rPr>
        <w:t>第三条</w:t>
      </w:r>
      <w:r>
        <w:rPr>
          <w:rFonts w:hint="eastAsia" w:ascii="宋体" w:hAnsi="宋体"/>
          <w:bCs/>
          <w:sz w:val="30"/>
        </w:rPr>
        <w:t xml:space="preserve">  </w:t>
      </w:r>
      <w:r>
        <w:rPr>
          <w:rFonts w:hint="eastAsia" w:ascii="宋体" w:hAnsi="宋体"/>
          <w:sz w:val="30"/>
        </w:rPr>
        <w:t>适用范围</w:t>
      </w:r>
    </w:p>
    <w:p w14:paraId="4E68913C">
      <w:pPr>
        <w:spacing w:line="680" w:lineRule="exact"/>
        <w:ind w:firstLine="600" w:firstLineChars="200"/>
        <w:rPr>
          <w:rFonts w:hint="eastAsia" w:ascii="宋体" w:hAnsi="宋体"/>
          <w:sz w:val="30"/>
        </w:rPr>
      </w:pPr>
      <w:r>
        <w:rPr>
          <w:rFonts w:hint="eastAsia" w:ascii="宋体" w:hAnsi="宋体"/>
          <w:sz w:val="30"/>
        </w:rPr>
        <w:t>本文本适用于乐山市中心城区棉竹片区</w:t>
      </w:r>
      <w:r>
        <w:rPr>
          <w:rFonts w:ascii="宋体" w:hAnsi="宋体"/>
          <w:sz w:val="30"/>
        </w:rPr>
        <w:t>1374.</w:t>
      </w:r>
      <w:r>
        <w:rPr>
          <w:rFonts w:hint="eastAsia" w:ascii="宋体" w:hAnsi="宋体"/>
          <w:sz w:val="30"/>
        </w:rPr>
        <w:t>88公顷规划范围内各地块的规划与建设管理控制，不作施工依据。</w:t>
      </w:r>
    </w:p>
    <w:p w14:paraId="484FD732">
      <w:pPr>
        <w:spacing w:line="680" w:lineRule="exact"/>
        <w:ind w:firstLine="600" w:firstLineChars="200"/>
        <w:rPr>
          <w:rFonts w:hint="eastAsia" w:ascii="宋体" w:hAnsi="宋体"/>
          <w:sz w:val="30"/>
        </w:rPr>
      </w:pPr>
      <w:r>
        <w:rPr>
          <w:rFonts w:ascii="宋体" w:hAnsi="宋体"/>
          <w:bCs/>
          <w:sz w:val="30"/>
        </w:rPr>
        <w:t>第四条</w:t>
      </w:r>
      <w:r>
        <w:rPr>
          <w:rFonts w:hint="eastAsia" w:ascii="宋体" w:hAnsi="宋体"/>
          <w:bCs/>
          <w:sz w:val="30"/>
        </w:rPr>
        <w:t xml:space="preserve">  </w:t>
      </w:r>
      <w:r>
        <w:rPr>
          <w:rFonts w:ascii="宋体" w:hAnsi="宋体"/>
          <w:sz w:val="30"/>
        </w:rPr>
        <w:t>成果和法律定位</w:t>
      </w:r>
    </w:p>
    <w:p w14:paraId="3498BF03">
      <w:pPr>
        <w:spacing w:line="680" w:lineRule="exact"/>
        <w:ind w:firstLine="600" w:firstLineChars="200"/>
        <w:rPr>
          <w:rFonts w:hint="eastAsia" w:ascii="宋体" w:hAnsi="宋体"/>
          <w:sz w:val="30"/>
        </w:rPr>
      </w:pPr>
      <w:r>
        <w:rPr>
          <w:rFonts w:hint="eastAsia" w:ascii="宋体" w:hAnsi="宋体"/>
          <w:sz w:val="30"/>
        </w:rPr>
        <w:t>本规划成果包括文本、图表、说明书以及各种必要的技术研究资料。文本和图表一并使用，具备同等法律效力。</w:t>
      </w:r>
    </w:p>
    <w:p w14:paraId="24B28050">
      <w:pPr>
        <w:spacing w:line="680" w:lineRule="exact"/>
        <w:ind w:firstLine="600" w:firstLineChars="200"/>
        <w:rPr>
          <w:rFonts w:hint="eastAsia" w:ascii="宋体" w:hAnsi="宋体"/>
          <w:sz w:val="30"/>
        </w:rPr>
      </w:pPr>
      <w:r>
        <w:rPr>
          <w:rFonts w:hint="eastAsia" w:ascii="宋体" w:hAnsi="宋体"/>
          <w:bCs/>
          <w:sz w:val="30"/>
        </w:rPr>
        <w:t>第五条</w:t>
      </w:r>
      <w:r>
        <w:rPr>
          <w:rFonts w:hint="eastAsia" w:ascii="宋体" w:hAnsi="宋体"/>
          <w:sz w:val="30"/>
        </w:rPr>
        <w:t xml:space="preserve">  规划依据</w:t>
      </w:r>
    </w:p>
    <w:p w14:paraId="1444B2ED">
      <w:pPr>
        <w:spacing w:line="660" w:lineRule="exact"/>
        <w:ind w:firstLine="570"/>
        <w:rPr>
          <w:rFonts w:hint="eastAsia" w:ascii="宋体" w:hAnsi="宋体"/>
          <w:sz w:val="30"/>
        </w:rPr>
      </w:pPr>
      <w:r>
        <w:rPr>
          <w:rFonts w:ascii="宋体" w:hAnsi="宋体"/>
          <w:sz w:val="30"/>
        </w:rPr>
        <w:t>1</w:t>
      </w:r>
      <w:r>
        <w:rPr>
          <w:rFonts w:hint="eastAsia" w:ascii="宋体" w:hAnsi="宋体"/>
          <w:sz w:val="30"/>
        </w:rPr>
        <w:t>、《中华人民共和国城乡规划法》（20</w:t>
      </w:r>
      <w:r>
        <w:rPr>
          <w:rFonts w:ascii="宋体" w:hAnsi="宋体"/>
          <w:sz w:val="30"/>
        </w:rPr>
        <w:t>19</w:t>
      </w:r>
      <w:r>
        <w:rPr>
          <w:rFonts w:hint="eastAsia" w:ascii="宋体" w:hAnsi="宋体"/>
          <w:sz w:val="30"/>
        </w:rPr>
        <w:t>）；</w:t>
      </w:r>
    </w:p>
    <w:p w14:paraId="36CE89B1">
      <w:pPr>
        <w:spacing w:line="640" w:lineRule="exact"/>
        <w:ind w:firstLine="570"/>
        <w:rPr>
          <w:rFonts w:hint="eastAsia" w:ascii="宋体" w:hAnsi="宋体" w:cs="宋体"/>
          <w:bCs/>
          <w:kern w:val="0"/>
          <w:sz w:val="30"/>
          <w:szCs w:val="30"/>
        </w:rPr>
      </w:pPr>
      <w:r>
        <w:rPr>
          <w:rFonts w:hint="eastAsia" w:ascii="宋体" w:hAnsi="宋体" w:cs="宋体"/>
          <w:bCs/>
          <w:kern w:val="0"/>
          <w:sz w:val="30"/>
          <w:szCs w:val="30"/>
        </w:rPr>
        <w:t>2、《四川省城乡规划条例》（2011）；</w:t>
      </w:r>
    </w:p>
    <w:p w14:paraId="0687B748">
      <w:pPr>
        <w:spacing w:line="640" w:lineRule="exact"/>
        <w:ind w:firstLine="600" w:firstLineChars="200"/>
        <w:rPr>
          <w:rFonts w:hint="eastAsia" w:ascii="宋体" w:hAnsi="宋体"/>
          <w:sz w:val="30"/>
        </w:rPr>
      </w:pPr>
      <w:r>
        <w:rPr>
          <w:rFonts w:hint="eastAsia" w:ascii="宋体" w:hAnsi="宋体"/>
          <w:sz w:val="30"/>
        </w:rPr>
        <w:t>3、《城市规划编制办法》（2005）；</w:t>
      </w:r>
    </w:p>
    <w:p w14:paraId="73A8B134">
      <w:pPr>
        <w:spacing w:line="640" w:lineRule="exact"/>
        <w:ind w:firstLine="570"/>
        <w:rPr>
          <w:rFonts w:hint="eastAsia" w:ascii="宋体" w:hAnsi="宋体"/>
          <w:sz w:val="30"/>
          <w:szCs w:val="28"/>
        </w:rPr>
      </w:pPr>
      <w:r>
        <w:rPr>
          <w:rFonts w:hint="eastAsia" w:ascii="宋体" w:hAnsi="宋体"/>
          <w:sz w:val="30"/>
        </w:rPr>
        <w:t>4、</w:t>
      </w:r>
      <w:r>
        <w:rPr>
          <w:rFonts w:hint="eastAsia" w:ascii="宋体" w:hAnsi="宋体"/>
          <w:sz w:val="30"/>
          <w:szCs w:val="28"/>
        </w:rPr>
        <w:t>《城市用地分类与规划建设用地标准》（</w:t>
      </w:r>
      <w:r>
        <w:rPr>
          <w:rFonts w:ascii="宋体" w:hAnsi="宋体"/>
          <w:sz w:val="30"/>
          <w:szCs w:val="28"/>
        </w:rPr>
        <w:t>GB</w:t>
      </w:r>
      <w:r>
        <w:rPr>
          <w:rFonts w:hint="eastAsia" w:ascii="宋体" w:hAnsi="宋体"/>
          <w:sz w:val="30"/>
          <w:szCs w:val="28"/>
        </w:rPr>
        <w:t>50137-2011）；</w:t>
      </w:r>
    </w:p>
    <w:p w14:paraId="31423F06">
      <w:pPr>
        <w:spacing w:line="640" w:lineRule="exact"/>
        <w:ind w:firstLine="570"/>
        <w:rPr>
          <w:rFonts w:hint="eastAsia" w:ascii="宋体" w:hAnsi="宋体"/>
          <w:sz w:val="30"/>
        </w:rPr>
      </w:pPr>
      <w:r>
        <w:rPr>
          <w:rFonts w:hint="eastAsia" w:ascii="宋体" w:hAnsi="宋体"/>
          <w:sz w:val="30"/>
        </w:rPr>
        <w:t>5、《城市道路交通设计规范》（GB50220-95）；</w:t>
      </w:r>
    </w:p>
    <w:p w14:paraId="3F6AC14F">
      <w:pPr>
        <w:spacing w:line="640" w:lineRule="exact"/>
        <w:ind w:firstLine="570"/>
        <w:rPr>
          <w:rFonts w:hint="eastAsia" w:ascii="宋体" w:hAnsi="宋体"/>
          <w:sz w:val="30"/>
        </w:rPr>
      </w:pPr>
      <w:r>
        <w:rPr>
          <w:rFonts w:hint="eastAsia" w:ascii="宋体" w:hAnsi="宋体"/>
          <w:sz w:val="30"/>
        </w:rPr>
        <w:t>6、《城市用地竖向规划规范》（CJJ83-2016）；</w:t>
      </w:r>
    </w:p>
    <w:p w14:paraId="0ADD55E4">
      <w:pPr>
        <w:spacing w:line="640" w:lineRule="exact"/>
        <w:ind w:firstLine="570"/>
        <w:rPr>
          <w:rFonts w:hint="eastAsia" w:ascii="宋体" w:hAnsi="宋体"/>
          <w:sz w:val="30"/>
        </w:rPr>
      </w:pPr>
      <w:r>
        <w:rPr>
          <w:rFonts w:hint="eastAsia" w:ascii="宋体" w:hAnsi="宋体"/>
          <w:sz w:val="30"/>
        </w:rPr>
        <w:t>7、</w:t>
      </w:r>
      <w:r>
        <w:rPr>
          <w:rFonts w:ascii="宋体" w:hAnsi="宋体"/>
          <w:sz w:val="30"/>
        </w:rPr>
        <w:t>《</w:t>
      </w:r>
      <w:r>
        <w:rPr>
          <w:rFonts w:hint="eastAsia" w:ascii="宋体" w:hAnsi="宋体"/>
          <w:sz w:val="30"/>
        </w:rPr>
        <w:t>城市居住区规划设计标准</w:t>
      </w:r>
      <w:r>
        <w:rPr>
          <w:rFonts w:ascii="宋体" w:hAnsi="宋体"/>
          <w:sz w:val="30"/>
        </w:rPr>
        <w:t>》</w:t>
      </w:r>
      <w:r>
        <w:rPr>
          <w:rFonts w:hint="eastAsia" w:ascii="宋体" w:hAnsi="宋体"/>
          <w:sz w:val="30"/>
        </w:rPr>
        <w:t>（GB50180-2018）；</w:t>
      </w:r>
    </w:p>
    <w:p w14:paraId="646FF314">
      <w:pPr>
        <w:spacing w:line="640" w:lineRule="exact"/>
        <w:ind w:firstLine="570"/>
        <w:rPr>
          <w:rFonts w:hint="eastAsia" w:ascii="宋体" w:hAnsi="宋体"/>
          <w:sz w:val="30"/>
        </w:rPr>
      </w:pPr>
      <w:r>
        <w:rPr>
          <w:rFonts w:hint="eastAsia" w:ascii="宋体" w:hAnsi="宋体"/>
          <w:sz w:val="30"/>
        </w:rPr>
        <w:t>8、《城市规划强制性内容暂行规定》（2002）；</w:t>
      </w:r>
    </w:p>
    <w:p w14:paraId="2F6F9AF4">
      <w:pPr>
        <w:spacing w:line="640" w:lineRule="exact"/>
        <w:ind w:firstLine="570"/>
        <w:rPr>
          <w:rFonts w:hint="eastAsia" w:ascii="宋体" w:hAnsi="宋体" w:cs="宋体"/>
          <w:bCs/>
          <w:kern w:val="0"/>
          <w:sz w:val="30"/>
          <w:szCs w:val="30"/>
        </w:rPr>
      </w:pPr>
      <w:r>
        <w:rPr>
          <w:rFonts w:hint="eastAsia" w:ascii="宋体" w:hAnsi="宋体"/>
          <w:sz w:val="30"/>
        </w:rPr>
        <w:t>9、《</w:t>
      </w:r>
      <w:r>
        <w:rPr>
          <w:rFonts w:hint="eastAsia" w:ascii="宋体" w:hAnsi="宋体" w:cs="宋体"/>
          <w:bCs/>
          <w:kern w:val="0"/>
          <w:sz w:val="30"/>
          <w:szCs w:val="30"/>
        </w:rPr>
        <w:t>城市、镇控制性详细规划编制审批办法》（2011）；</w:t>
      </w:r>
    </w:p>
    <w:p w14:paraId="46B4F036">
      <w:pPr>
        <w:spacing w:line="640" w:lineRule="exact"/>
        <w:ind w:firstLine="570"/>
        <w:rPr>
          <w:rFonts w:hint="eastAsia" w:ascii="宋体" w:hAnsi="宋体" w:cs="宋体"/>
          <w:bCs/>
          <w:kern w:val="0"/>
          <w:sz w:val="30"/>
          <w:szCs w:val="30"/>
        </w:rPr>
      </w:pPr>
      <w:r>
        <w:rPr>
          <w:rFonts w:hint="eastAsia" w:ascii="宋体" w:hAnsi="宋体" w:cs="宋体"/>
          <w:bCs/>
          <w:kern w:val="0"/>
          <w:sz w:val="30"/>
          <w:szCs w:val="30"/>
        </w:rPr>
        <w:t>10、</w:t>
      </w:r>
      <w:r>
        <w:rPr>
          <w:rFonts w:hint="eastAsia" w:ascii="宋体" w:hAnsi="宋体"/>
          <w:sz w:val="30"/>
        </w:rPr>
        <w:t>《乐山市城市总体规划2011-2030》（2017修改版）；</w:t>
      </w:r>
    </w:p>
    <w:p w14:paraId="04153CE9">
      <w:pPr>
        <w:spacing w:line="640" w:lineRule="exact"/>
        <w:ind w:firstLine="570"/>
        <w:rPr>
          <w:rFonts w:hint="eastAsia" w:ascii="宋体" w:hAnsi="宋体"/>
          <w:sz w:val="30"/>
          <w:szCs w:val="28"/>
        </w:rPr>
      </w:pPr>
      <w:r>
        <w:rPr>
          <w:rFonts w:ascii="宋体" w:hAnsi="宋体"/>
          <w:sz w:val="30"/>
          <w:szCs w:val="28"/>
        </w:rPr>
        <w:t>1</w:t>
      </w:r>
      <w:r>
        <w:rPr>
          <w:rFonts w:hint="eastAsia" w:ascii="宋体" w:hAnsi="宋体"/>
          <w:sz w:val="30"/>
          <w:szCs w:val="28"/>
        </w:rPr>
        <w:t>1、《乐山市土地利用总体规划》(2006-2020)；</w:t>
      </w:r>
    </w:p>
    <w:p w14:paraId="67C26CD5">
      <w:pPr>
        <w:spacing w:line="640" w:lineRule="exact"/>
        <w:ind w:firstLine="570"/>
        <w:rPr>
          <w:rFonts w:hint="eastAsia" w:ascii="宋体" w:hAnsi="宋体"/>
          <w:sz w:val="30"/>
        </w:rPr>
      </w:pPr>
      <w:r>
        <w:rPr>
          <w:rFonts w:hint="eastAsia" w:ascii="宋体" w:hAnsi="宋体"/>
          <w:sz w:val="30"/>
        </w:rPr>
        <w:t>12、国家及四川省相关规范、标准和规定；</w:t>
      </w:r>
    </w:p>
    <w:p w14:paraId="59F7733A">
      <w:pPr>
        <w:spacing w:line="640" w:lineRule="exact"/>
        <w:ind w:firstLine="570"/>
        <w:rPr>
          <w:rFonts w:hint="eastAsia" w:ascii="宋体" w:hAnsi="宋体"/>
          <w:sz w:val="30"/>
        </w:rPr>
      </w:pPr>
      <w:r>
        <w:rPr>
          <w:rFonts w:ascii="宋体" w:hAnsi="宋体"/>
          <w:sz w:val="30"/>
        </w:rPr>
        <w:t>1</w:t>
      </w:r>
      <w:r>
        <w:rPr>
          <w:rFonts w:hint="eastAsia" w:ascii="宋体" w:hAnsi="宋体"/>
          <w:sz w:val="30"/>
        </w:rPr>
        <w:t>3、相关专项规划及现状基础资料。</w:t>
      </w:r>
    </w:p>
    <w:p w14:paraId="44B66EFA">
      <w:pPr>
        <w:spacing w:line="680" w:lineRule="exact"/>
        <w:ind w:firstLine="588" w:firstLineChars="196"/>
        <w:rPr>
          <w:rFonts w:hint="eastAsia" w:ascii="宋体" w:hAnsi="宋体"/>
          <w:sz w:val="30"/>
          <w:szCs w:val="28"/>
        </w:rPr>
      </w:pPr>
      <w:r>
        <w:rPr>
          <w:rFonts w:hint="eastAsia" w:ascii="宋体" w:hAnsi="宋体"/>
          <w:bCs/>
          <w:sz w:val="30"/>
        </w:rPr>
        <w:t xml:space="preserve">第六条  </w:t>
      </w:r>
      <w:r>
        <w:rPr>
          <w:rFonts w:hint="eastAsia" w:ascii="宋体" w:hAnsi="宋体"/>
          <w:sz w:val="30"/>
        </w:rPr>
        <w:t>规划原则</w:t>
      </w:r>
    </w:p>
    <w:p w14:paraId="5BFF6CB4">
      <w:pPr>
        <w:spacing w:line="680" w:lineRule="exact"/>
        <w:ind w:firstLine="570"/>
        <w:rPr>
          <w:rFonts w:hint="eastAsia" w:ascii="宋体" w:hAnsi="宋体"/>
          <w:sz w:val="30"/>
        </w:rPr>
      </w:pPr>
      <w:r>
        <w:rPr>
          <w:rFonts w:hint="eastAsia" w:ascii="宋体" w:hAnsi="宋体"/>
          <w:sz w:val="30"/>
        </w:rPr>
        <w:t>1、整体和谐性原则;</w:t>
      </w:r>
    </w:p>
    <w:p w14:paraId="0FBF39DB">
      <w:pPr>
        <w:spacing w:line="680" w:lineRule="exact"/>
        <w:ind w:firstLine="570"/>
        <w:rPr>
          <w:rFonts w:hint="eastAsia" w:ascii="宋体" w:hAnsi="宋体"/>
          <w:sz w:val="30"/>
        </w:rPr>
      </w:pPr>
      <w:r>
        <w:rPr>
          <w:rFonts w:ascii="宋体" w:hAnsi="宋体"/>
          <w:sz w:val="30"/>
        </w:rPr>
        <w:t>2</w:t>
      </w:r>
      <w:r>
        <w:rPr>
          <w:rFonts w:hint="eastAsia" w:ascii="宋体" w:hAnsi="宋体"/>
          <w:sz w:val="30"/>
        </w:rPr>
        <w:t>、多元复合化原则;</w:t>
      </w:r>
    </w:p>
    <w:p w14:paraId="1C36AB82">
      <w:pPr>
        <w:spacing w:line="680" w:lineRule="exact"/>
        <w:ind w:firstLine="570"/>
        <w:rPr>
          <w:rFonts w:hint="eastAsia" w:ascii="宋体" w:hAnsi="宋体"/>
          <w:sz w:val="30"/>
        </w:rPr>
      </w:pPr>
      <w:r>
        <w:rPr>
          <w:rFonts w:hint="eastAsia" w:ascii="宋体" w:hAnsi="宋体"/>
          <w:sz w:val="30"/>
        </w:rPr>
        <w:t>3、生态可持续原则;</w:t>
      </w:r>
    </w:p>
    <w:p w14:paraId="39597DEB">
      <w:pPr>
        <w:spacing w:line="680" w:lineRule="exact"/>
        <w:ind w:firstLine="570"/>
        <w:rPr>
          <w:rFonts w:hint="eastAsia" w:ascii="宋体" w:hAnsi="宋体"/>
          <w:sz w:val="30"/>
        </w:rPr>
      </w:pPr>
      <w:r>
        <w:rPr>
          <w:rFonts w:hint="eastAsia" w:ascii="宋体" w:hAnsi="宋体"/>
          <w:sz w:val="30"/>
        </w:rPr>
        <w:t>4、弹性可操作原则;</w:t>
      </w:r>
    </w:p>
    <w:p w14:paraId="06229C1B">
      <w:pPr>
        <w:spacing w:line="680" w:lineRule="exact"/>
        <w:ind w:firstLine="588" w:firstLineChars="196"/>
        <w:rPr>
          <w:rFonts w:hint="eastAsia" w:ascii="宋体" w:hAnsi="宋体"/>
          <w:sz w:val="30"/>
        </w:rPr>
      </w:pPr>
      <w:r>
        <w:rPr>
          <w:rFonts w:hint="eastAsia" w:ascii="宋体" w:hAnsi="宋体"/>
          <w:bCs/>
          <w:sz w:val="30"/>
        </w:rPr>
        <w:t>第七条</w:t>
      </w:r>
      <w:r>
        <w:rPr>
          <w:rFonts w:hint="eastAsia" w:ascii="宋体" w:hAnsi="宋体"/>
          <w:sz w:val="30"/>
        </w:rPr>
        <w:t xml:space="preserve"> 规划指导思想</w:t>
      </w:r>
    </w:p>
    <w:p w14:paraId="6535D604">
      <w:pPr>
        <w:spacing w:line="640" w:lineRule="exact"/>
        <w:ind w:firstLine="600" w:firstLineChars="200"/>
        <w:rPr>
          <w:rFonts w:hint="eastAsia" w:ascii="宋体" w:hAnsi="宋体"/>
          <w:sz w:val="30"/>
        </w:rPr>
      </w:pPr>
      <w:r>
        <w:rPr>
          <w:rFonts w:hint="eastAsia" w:ascii="宋体" w:hAnsi="宋体"/>
          <w:sz w:val="30"/>
        </w:rPr>
        <w:t xml:space="preserve">1、参照市场开发规律，弹性配置相应的用地功能和道路设施，以保证规划实施具有较好的可操作性；同时注重分期建设和经济平衡，以保证开发的连续性和规划实施的时序完整性。 </w:t>
      </w:r>
    </w:p>
    <w:p w14:paraId="1A593288">
      <w:pPr>
        <w:spacing w:line="640" w:lineRule="exact"/>
        <w:ind w:firstLine="600" w:firstLineChars="200"/>
        <w:rPr>
          <w:rFonts w:hint="eastAsia" w:ascii="宋体" w:hAnsi="宋体"/>
          <w:sz w:val="30"/>
        </w:rPr>
      </w:pPr>
      <w:r>
        <w:rPr>
          <w:rFonts w:hint="eastAsia" w:ascii="宋体" w:hAnsi="宋体"/>
          <w:sz w:val="30"/>
        </w:rPr>
        <w:t>2、逐步加强片区基础设施以及公共服务设施配套建设，完善片区城市公共服务职能，提高城市品质，展示城市新区时代风貌。</w:t>
      </w:r>
    </w:p>
    <w:p w14:paraId="68E6AFCA">
      <w:pPr>
        <w:spacing w:line="640" w:lineRule="exact"/>
        <w:ind w:firstLine="600" w:firstLineChars="200"/>
        <w:rPr>
          <w:rFonts w:hint="eastAsia" w:ascii="宋体" w:hAnsi="宋体"/>
          <w:sz w:val="30"/>
        </w:rPr>
      </w:pPr>
      <w:r>
        <w:rPr>
          <w:rFonts w:hint="eastAsia" w:ascii="宋体" w:hAnsi="宋体"/>
          <w:sz w:val="30"/>
        </w:rPr>
        <w:t>3、发挥棉竹片区山水湿地生态等优势，强化居住、休闲、康养功能，建设乐山“乐北滨湖公园城、山水迎宾门户区”。</w:t>
      </w:r>
    </w:p>
    <w:p w14:paraId="7AD98141">
      <w:pPr>
        <w:spacing w:line="640" w:lineRule="exact"/>
        <w:ind w:firstLine="600" w:firstLineChars="200"/>
        <w:rPr>
          <w:rFonts w:ascii="宋体" w:hAnsi="宋体"/>
          <w:sz w:val="30"/>
        </w:rPr>
      </w:pPr>
      <w:r>
        <w:rPr>
          <w:rFonts w:hint="eastAsia" w:ascii="宋体" w:hAnsi="宋体"/>
          <w:sz w:val="30"/>
        </w:rPr>
        <w:t>4、加强城市水系调蓄功能，实现生态环境修复、城市排洪排涝、水敏感设计、天然河道整理、海绵城市等生态功能的构建，维护城市生态安全格局。</w:t>
      </w:r>
    </w:p>
    <w:p w14:paraId="637621C4">
      <w:pPr>
        <w:spacing w:line="640" w:lineRule="exact"/>
        <w:ind w:firstLine="600" w:firstLineChars="200"/>
        <w:rPr>
          <w:rFonts w:hint="eastAsia" w:ascii="宋体" w:hAnsi="宋体"/>
          <w:sz w:val="30"/>
        </w:rPr>
      </w:pPr>
      <w:r>
        <w:rPr>
          <w:rFonts w:hint="eastAsia" w:ascii="宋体" w:hAnsi="宋体"/>
          <w:bCs/>
          <w:sz w:val="30"/>
        </w:rPr>
        <w:t>第八条</w:t>
      </w:r>
      <w:r>
        <w:rPr>
          <w:rFonts w:hint="eastAsia" w:ascii="宋体" w:hAnsi="宋体"/>
          <w:sz w:val="30"/>
        </w:rPr>
        <w:t xml:space="preserve">  执行主体和管理权限</w:t>
      </w:r>
    </w:p>
    <w:p w14:paraId="225921ED">
      <w:pPr>
        <w:spacing w:line="640" w:lineRule="exact"/>
        <w:ind w:firstLine="600" w:firstLineChars="200"/>
        <w:rPr>
          <w:rFonts w:hint="eastAsia" w:ascii="宋体" w:hAnsi="宋体"/>
          <w:sz w:val="30"/>
        </w:rPr>
      </w:pPr>
      <w:r>
        <w:rPr>
          <w:rFonts w:hint="eastAsia" w:ascii="宋体" w:hAnsi="宋体"/>
          <w:sz w:val="30"/>
        </w:rPr>
        <w:t>本规划由乐山市人民政府组织实施，乐山市规划行政主管部门依法按照本规划进行规划管理。</w:t>
      </w:r>
    </w:p>
    <w:p w14:paraId="0C024809">
      <w:pPr>
        <w:spacing w:line="640" w:lineRule="exact"/>
        <w:ind w:firstLine="723" w:firstLineChars="241"/>
        <w:rPr>
          <w:rFonts w:hint="eastAsia" w:ascii="宋体" w:hAnsi="宋体"/>
          <w:sz w:val="30"/>
        </w:rPr>
      </w:pPr>
      <w:r>
        <w:rPr>
          <w:rFonts w:hint="eastAsia" w:ascii="宋体" w:hAnsi="宋体"/>
          <w:bCs/>
          <w:sz w:val="30"/>
        </w:rPr>
        <w:t>第九条</w:t>
      </w:r>
      <w:r>
        <w:rPr>
          <w:rFonts w:hint="eastAsia" w:ascii="宋体" w:hAnsi="宋体"/>
          <w:sz w:val="30"/>
        </w:rPr>
        <w:t xml:space="preserve">  强制性规划内容</w:t>
      </w:r>
    </w:p>
    <w:p w14:paraId="74A221C4">
      <w:pPr>
        <w:spacing w:line="640" w:lineRule="exact"/>
        <w:ind w:firstLine="723" w:firstLineChars="241"/>
        <w:rPr>
          <w:rFonts w:hint="eastAsia" w:ascii="宋体" w:hAnsi="宋体"/>
          <w:sz w:val="30"/>
          <w:szCs w:val="30"/>
          <w:u w:val="single"/>
        </w:rPr>
      </w:pPr>
      <w:r>
        <w:rPr>
          <w:rFonts w:hint="eastAsia" w:ascii="宋体" w:hAnsi="宋体"/>
          <w:sz w:val="30"/>
          <w:szCs w:val="30"/>
          <w:u w:val="single"/>
        </w:rPr>
        <w:t>本规划中规定的土地使用性质、容积率、建筑密度、建筑限高、绿地率、基础设施和公共服务设施配套规定为强制性内容，强制性规划内容为字体加下划线部分。规划的强制性内容不得随意调整，如需修改控制性详细规划，应当依照《中华人民共和国城乡规划法》相关规定执行控制性详细规划修改程序。</w:t>
      </w:r>
    </w:p>
    <w:p w14:paraId="5CAF8857">
      <w:pPr>
        <w:spacing w:line="640" w:lineRule="exact"/>
        <w:ind w:firstLine="600" w:firstLineChars="200"/>
        <w:rPr>
          <w:rFonts w:hint="eastAsia" w:ascii="宋体" w:hAnsi="宋体"/>
          <w:bCs/>
          <w:sz w:val="30"/>
        </w:rPr>
      </w:pPr>
      <w:r>
        <w:rPr>
          <w:rFonts w:ascii="宋体" w:hAnsi="宋体"/>
          <w:bCs/>
          <w:sz w:val="30"/>
        </w:rPr>
        <w:t>第</w:t>
      </w:r>
      <w:r>
        <w:rPr>
          <w:rFonts w:hint="eastAsia" w:ascii="宋体" w:hAnsi="宋体"/>
          <w:bCs/>
          <w:sz w:val="30"/>
        </w:rPr>
        <w:t>十</w:t>
      </w:r>
      <w:r>
        <w:rPr>
          <w:rFonts w:ascii="宋体" w:hAnsi="宋体"/>
          <w:bCs/>
          <w:sz w:val="30"/>
        </w:rPr>
        <w:t>条 </w:t>
      </w:r>
      <w:r>
        <w:rPr>
          <w:rFonts w:hint="eastAsia" w:ascii="宋体" w:hAnsi="宋体"/>
          <w:bCs/>
          <w:sz w:val="30"/>
        </w:rPr>
        <w:t>其它</w:t>
      </w:r>
    </w:p>
    <w:p w14:paraId="14385B3B">
      <w:pPr>
        <w:spacing w:line="640" w:lineRule="exact"/>
        <w:ind w:firstLine="600" w:firstLineChars="200"/>
        <w:rPr>
          <w:rFonts w:hint="eastAsia" w:ascii="宋体" w:hAnsi="宋体"/>
          <w:bCs/>
          <w:sz w:val="30"/>
        </w:rPr>
      </w:pPr>
      <w:r>
        <w:rPr>
          <w:rFonts w:ascii="宋体" w:hAnsi="宋体"/>
          <w:bCs/>
          <w:sz w:val="30"/>
        </w:rPr>
        <w:t>本文本未涉及的指标及内容应符合国家、</w:t>
      </w:r>
      <w:r>
        <w:rPr>
          <w:rFonts w:hint="eastAsia" w:ascii="宋体" w:hAnsi="宋体"/>
          <w:bCs/>
          <w:sz w:val="30"/>
        </w:rPr>
        <w:t>四川</w:t>
      </w:r>
      <w:r>
        <w:rPr>
          <w:rFonts w:ascii="宋体" w:hAnsi="宋体"/>
          <w:bCs/>
          <w:sz w:val="30"/>
        </w:rPr>
        <w:t>省</w:t>
      </w:r>
      <w:r>
        <w:rPr>
          <w:rFonts w:hint="eastAsia" w:ascii="宋体" w:hAnsi="宋体"/>
          <w:bCs/>
          <w:sz w:val="30"/>
        </w:rPr>
        <w:t>相关法规</w:t>
      </w:r>
      <w:r>
        <w:rPr>
          <w:rFonts w:ascii="宋体" w:hAnsi="宋体"/>
          <w:bCs/>
          <w:sz w:val="30"/>
        </w:rPr>
        <w:t>、标准及</w:t>
      </w:r>
      <w:r>
        <w:rPr>
          <w:rFonts w:hint="eastAsia" w:ascii="宋体" w:hAnsi="宋体"/>
          <w:bCs/>
          <w:sz w:val="30"/>
        </w:rPr>
        <w:t>现行</w:t>
      </w:r>
      <w:r>
        <w:rPr>
          <w:rFonts w:hint="eastAsia" w:ascii="宋体" w:hAnsi="宋体"/>
          <w:sz w:val="30"/>
        </w:rPr>
        <w:t>《乐山市城市规划管理技术规定》</w:t>
      </w:r>
      <w:r>
        <w:rPr>
          <w:rFonts w:hint="eastAsia" w:ascii="宋体" w:hAnsi="宋体"/>
          <w:bCs/>
          <w:sz w:val="30"/>
        </w:rPr>
        <w:t>。</w:t>
      </w:r>
    </w:p>
    <w:p w14:paraId="416719CE">
      <w:pPr>
        <w:pStyle w:val="3"/>
        <w:spacing w:line="640" w:lineRule="exact"/>
        <w:jc w:val="center"/>
        <w:rPr>
          <w:rFonts w:hint="eastAsia" w:ascii="宋体" w:hAnsi="宋体" w:eastAsia="宋体"/>
          <w:sz w:val="36"/>
          <w:szCs w:val="36"/>
        </w:rPr>
      </w:pPr>
      <w:bookmarkStart w:id="11" w:name="_Toc339373880"/>
      <w:r>
        <w:rPr>
          <w:rFonts w:hint="eastAsia" w:ascii="宋体" w:hAnsi="宋体" w:eastAsia="宋体"/>
          <w:sz w:val="36"/>
          <w:szCs w:val="36"/>
        </w:rPr>
        <w:t>第二章  功能定位及规模</w:t>
      </w:r>
      <w:bookmarkEnd w:id="11"/>
    </w:p>
    <w:p w14:paraId="6C860573">
      <w:pPr>
        <w:spacing w:line="640" w:lineRule="exact"/>
        <w:ind w:firstLine="600" w:firstLineChars="200"/>
        <w:rPr>
          <w:rFonts w:hint="eastAsia" w:ascii="宋体" w:hAnsi="宋体"/>
          <w:sz w:val="30"/>
        </w:rPr>
      </w:pPr>
      <w:r>
        <w:rPr>
          <w:rFonts w:hint="eastAsia" w:ascii="宋体" w:hAnsi="宋体"/>
          <w:sz w:val="30"/>
        </w:rPr>
        <w:t>第十一条 功能定位</w:t>
      </w:r>
    </w:p>
    <w:p w14:paraId="3B68FBF8">
      <w:pPr>
        <w:spacing w:line="640" w:lineRule="exact"/>
        <w:ind w:firstLine="594" w:firstLineChars="198"/>
        <w:rPr>
          <w:rFonts w:hint="eastAsia" w:ascii="宋体" w:hAnsi="宋体"/>
          <w:bCs/>
          <w:sz w:val="30"/>
        </w:rPr>
      </w:pPr>
      <w:r>
        <w:rPr>
          <w:rFonts w:hint="eastAsia" w:ascii="宋体" w:hAnsi="宋体"/>
          <w:bCs/>
          <w:sz w:val="30"/>
        </w:rPr>
        <w:t>集文化旅游、滨水休闲、商业贸易、高端居住等多功能于一体的“乐北滨湖公园城，山水迎宾门户区”。</w:t>
      </w:r>
    </w:p>
    <w:p w14:paraId="1B60E27E">
      <w:pPr>
        <w:spacing w:line="640" w:lineRule="exact"/>
        <w:ind w:firstLine="600" w:firstLineChars="200"/>
        <w:rPr>
          <w:rFonts w:hint="eastAsia" w:ascii="宋体" w:hAnsi="宋体"/>
          <w:sz w:val="30"/>
        </w:rPr>
      </w:pPr>
      <w:r>
        <w:rPr>
          <w:rFonts w:hint="eastAsia" w:ascii="宋体" w:hAnsi="宋体"/>
          <w:sz w:val="30"/>
        </w:rPr>
        <w:t>第十二条  规划范围及规模</w:t>
      </w:r>
    </w:p>
    <w:p w14:paraId="545DB9EF">
      <w:pPr>
        <w:spacing w:line="600" w:lineRule="exact"/>
        <w:ind w:firstLine="600" w:firstLineChars="200"/>
        <w:rPr>
          <w:rFonts w:ascii="宋体" w:hAnsi="宋体"/>
          <w:bCs/>
          <w:sz w:val="30"/>
          <w:szCs w:val="30"/>
        </w:rPr>
      </w:pPr>
      <w:r>
        <w:rPr>
          <w:rFonts w:hint="eastAsia" w:ascii="宋体" w:hAnsi="宋体"/>
          <w:bCs/>
          <w:sz w:val="30"/>
          <w:szCs w:val="30"/>
        </w:rPr>
        <w:t>1、用地范围及规模:片区西临青衣江,东至成绵乐城际铁路、北靠绕城高速，南以通棉路为界，规划面积1374.88公顷，其中城乡居民点建设用地650.67公顷，区域交通设施用地76.94，水域及农林用地647.27公顷。</w:t>
      </w:r>
    </w:p>
    <w:p w14:paraId="32FFCF6F">
      <w:pPr>
        <w:spacing w:line="640" w:lineRule="exact"/>
        <w:ind w:firstLine="600" w:firstLineChars="200"/>
        <w:rPr>
          <w:rFonts w:hint="eastAsia" w:ascii="宋体" w:hAnsi="宋体"/>
          <w:sz w:val="30"/>
          <w:szCs w:val="28"/>
        </w:rPr>
      </w:pPr>
      <w:r>
        <w:rPr>
          <w:rFonts w:hint="eastAsia" w:ascii="宋体" w:hAnsi="宋体"/>
          <w:bCs/>
          <w:sz w:val="30"/>
          <w:szCs w:val="30"/>
        </w:rPr>
        <w:t>2、人口规模:</w:t>
      </w:r>
      <w:r>
        <w:rPr>
          <w:rFonts w:hint="eastAsia" w:ascii="宋体" w:hAnsi="宋体"/>
          <w:sz w:val="30"/>
          <w:szCs w:val="30"/>
        </w:rPr>
        <w:t>规划居住人口</w:t>
      </w:r>
      <w:r>
        <w:rPr>
          <w:rFonts w:ascii="宋体" w:hAnsi="宋体"/>
          <w:sz w:val="30"/>
          <w:szCs w:val="30"/>
        </w:rPr>
        <w:t>4.9</w:t>
      </w:r>
      <w:r>
        <w:rPr>
          <w:rFonts w:hint="eastAsia" w:ascii="宋体" w:hAnsi="宋体"/>
          <w:sz w:val="30"/>
          <w:szCs w:val="30"/>
        </w:rPr>
        <w:t>万人</w:t>
      </w:r>
      <w:r>
        <w:rPr>
          <w:rFonts w:hint="eastAsia" w:ascii="宋体" w:hAnsi="宋体"/>
          <w:sz w:val="30"/>
          <w:szCs w:val="28"/>
        </w:rPr>
        <w:t>。</w:t>
      </w:r>
    </w:p>
    <w:p w14:paraId="77F26A10">
      <w:pPr>
        <w:pStyle w:val="3"/>
        <w:spacing w:line="720" w:lineRule="exact"/>
        <w:jc w:val="center"/>
        <w:rPr>
          <w:rFonts w:hint="eastAsia" w:ascii="宋体" w:hAnsi="宋体" w:eastAsia="宋体"/>
          <w:b w:val="0"/>
          <w:sz w:val="36"/>
          <w:szCs w:val="36"/>
        </w:rPr>
      </w:pPr>
      <w:bookmarkStart w:id="12" w:name="_Toc339373881"/>
      <w:r>
        <w:rPr>
          <w:rFonts w:hint="eastAsia" w:ascii="宋体" w:hAnsi="宋体" w:eastAsia="宋体"/>
          <w:b w:val="0"/>
          <w:sz w:val="36"/>
          <w:szCs w:val="36"/>
        </w:rPr>
        <w:t>第三章  空间结构与用地布局规划</w:t>
      </w:r>
      <w:bookmarkEnd w:id="12"/>
    </w:p>
    <w:p w14:paraId="5318601F">
      <w:pPr>
        <w:spacing w:line="680" w:lineRule="exact"/>
        <w:ind w:firstLine="600" w:firstLineChars="200"/>
        <w:rPr>
          <w:rFonts w:hint="eastAsia" w:ascii="宋体" w:hAnsi="宋体"/>
          <w:bCs/>
          <w:sz w:val="30"/>
          <w:szCs w:val="30"/>
        </w:rPr>
      </w:pPr>
      <w:r>
        <w:rPr>
          <w:rFonts w:hint="eastAsia" w:ascii="宋体" w:hAnsi="宋体"/>
          <w:bCs/>
          <w:sz w:val="30"/>
          <w:szCs w:val="30"/>
        </w:rPr>
        <w:t>第十三条  空间结构</w:t>
      </w:r>
    </w:p>
    <w:p w14:paraId="0E61475B">
      <w:pPr>
        <w:spacing w:line="680" w:lineRule="exact"/>
        <w:ind w:firstLine="450" w:firstLineChars="150"/>
        <w:rPr>
          <w:rFonts w:ascii="宋体" w:hAnsi="宋体"/>
          <w:sz w:val="30"/>
        </w:rPr>
      </w:pPr>
      <w:r>
        <w:rPr>
          <w:rFonts w:hint="eastAsia" w:ascii="宋体" w:hAnsi="宋体"/>
          <w:sz w:val="30"/>
        </w:rPr>
        <w:t>规划以促进城市有机生长为目标，公园城市塑造为导向，形成“一环四组团、四廊携众心”的总体结构。</w:t>
      </w:r>
    </w:p>
    <w:p w14:paraId="70B989A4">
      <w:pPr>
        <w:spacing w:line="680" w:lineRule="exact"/>
        <w:ind w:firstLine="300" w:firstLineChars="100"/>
        <w:rPr>
          <w:rFonts w:hint="eastAsia" w:ascii="宋体" w:hAnsi="宋体"/>
          <w:sz w:val="30"/>
        </w:rPr>
      </w:pPr>
      <w:r>
        <w:rPr>
          <w:rFonts w:hint="eastAsia" w:ascii="宋体" w:hAnsi="宋体"/>
          <w:sz w:val="30"/>
        </w:rPr>
        <w:t xml:space="preserve">  </w:t>
      </w:r>
      <w:r>
        <w:rPr>
          <w:rFonts w:hint="eastAsia" w:ascii="宋体" w:hAnsi="宋体"/>
          <w:bCs/>
          <w:sz w:val="30"/>
          <w:szCs w:val="30"/>
        </w:rPr>
        <w:t>第十四条  居住用地规划</w:t>
      </w:r>
    </w:p>
    <w:p w14:paraId="50532C9B">
      <w:pPr>
        <w:spacing w:line="600" w:lineRule="exact"/>
        <w:ind w:firstLine="450" w:firstLineChars="150"/>
        <w:rPr>
          <w:rFonts w:hint="eastAsia" w:ascii="宋体" w:hAnsi="宋体"/>
          <w:sz w:val="28"/>
          <w:szCs w:val="28"/>
        </w:rPr>
      </w:pPr>
      <w:r>
        <w:rPr>
          <w:rFonts w:hint="eastAsia" w:ascii="宋体" w:hAnsi="宋体"/>
          <w:sz w:val="30"/>
        </w:rPr>
        <w:t>规划居住用地224.41公顷，占城市建设总用地的34.49％，片区内规划配置独立幼儿园</w:t>
      </w:r>
      <w:r>
        <w:rPr>
          <w:rFonts w:ascii="宋体" w:hAnsi="宋体"/>
          <w:sz w:val="30"/>
        </w:rPr>
        <w:t>5</w:t>
      </w:r>
      <w:r>
        <w:rPr>
          <w:rFonts w:hint="eastAsia" w:ascii="宋体" w:hAnsi="宋体"/>
          <w:sz w:val="30"/>
        </w:rPr>
        <w:t>所，每所幼儿园用地面积要求≥</w:t>
      </w:r>
      <w:r>
        <w:rPr>
          <w:rFonts w:ascii="宋体" w:hAnsi="宋体"/>
          <w:sz w:val="30"/>
        </w:rPr>
        <w:t>550</w:t>
      </w:r>
      <w:r>
        <w:rPr>
          <w:rFonts w:hint="eastAsia" w:ascii="宋体" w:hAnsi="宋体"/>
          <w:sz w:val="30"/>
        </w:rPr>
        <w:t>0㎡。另外片区内规划</w:t>
      </w:r>
      <w:r>
        <w:rPr>
          <w:rFonts w:ascii="宋体" w:hAnsi="宋体"/>
          <w:sz w:val="30"/>
        </w:rPr>
        <w:t>2</w:t>
      </w:r>
      <w:r>
        <w:rPr>
          <w:rFonts w:hint="eastAsia" w:ascii="宋体" w:hAnsi="宋体"/>
          <w:sz w:val="30"/>
        </w:rPr>
        <w:t>处社区服务中心，包含社区卫生服务、社区养老以及社区文化、综合健身场所等功能设施，每处社区中心用地面积要求≥</w:t>
      </w:r>
      <w:r>
        <w:rPr>
          <w:rFonts w:ascii="宋体" w:hAnsi="宋体"/>
          <w:sz w:val="30"/>
        </w:rPr>
        <w:t>4</w:t>
      </w:r>
      <w:r>
        <w:rPr>
          <w:rFonts w:hint="eastAsia" w:ascii="宋体" w:hAnsi="宋体"/>
          <w:sz w:val="30"/>
        </w:rPr>
        <w:t>000㎡。</w:t>
      </w:r>
    </w:p>
    <w:p w14:paraId="58E79386">
      <w:pPr>
        <w:spacing w:line="680" w:lineRule="exact"/>
        <w:ind w:firstLine="600" w:firstLineChars="200"/>
        <w:rPr>
          <w:rFonts w:hint="eastAsia" w:ascii="宋体" w:hAnsi="宋体"/>
          <w:sz w:val="30"/>
        </w:rPr>
      </w:pPr>
      <w:r>
        <w:rPr>
          <w:rFonts w:hint="eastAsia" w:ascii="宋体" w:hAnsi="宋体"/>
          <w:sz w:val="30"/>
        </w:rPr>
        <w:t>第十五条  公共管理与公共服务用地规划</w:t>
      </w:r>
    </w:p>
    <w:p w14:paraId="39E4F7A6">
      <w:pPr>
        <w:spacing w:line="560" w:lineRule="exact"/>
        <w:ind w:firstLine="450" w:firstLineChars="150"/>
        <w:rPr>
          <w:rFonts w:hint="eastAsia" w:ascii="宋体" w:hAnsi="宋体"/>
          <w:sz w:val="30"/>
          <w:szCs w:val="30"/>
        </w:rPr>
      </w:pPr>
      <w:r>
        <w:rPr>
          <w:rFonts w:hint="eastAsia" w:ascii="宋体" w:hAnsi="宋体"/>
          <w:sz w:val="30"/>
          <w:szCs w:val="30"/>
        </w:rPr>
        <w:t>规划区内的公共管理与公共服务设施用地面积48.7公顷，占城市建设总用地的</w:t>
      </w:r>
      <w:r>
        <w:rPr>
          <w:rFonts w:ascii="宋体" w:hAnsi="宋体"/>
          <w:sz w:val="30"/>
          <w:szCs w:val="30"/>
        </w:rPr>
        <w:t>7.</w:t>
      </w:r>
      <w:r>
        <w:rPr>
          <w:rFonts w:hint="eastAsia" w:ascii="宋体" w:hAnsi="宋体"/>
          <w:sz w:val="30"/>
          <w:szCs w:val="30"/>
        </w:rPr>
        <w:t>48%。其中：</w:t>
      </w:r>
    </w:p>
    <w:p w14:paraId="532FE850">
      <w:pPr>
        <w:spacing w:line="680" w:lineRule="exact"/>
        <w:ind w:firstLine="588" w:firstLineChars="196"/>
        <w:rPr>
          <w:rFonts w:hint="eastAsia" w:ascii="宋体" w:hAnsi="宋体"/>
          <w:sz w:val="30"/>
        </w:rPr>
      </w:pPr>
      <w:r>
        <w:rPr>
          <w:rFonts w:hint="eastAsia" w:ascii="宋体" w:hAnsi="宋体"/>
          <w:sz w:val="30"/>
        </w:rPr>
        <w:t>1、行政办公用地1.74公顷；</w:t>
      </w:r>
    </w:p>
    <w:p w14:paraId="5EA9702A">
      <w:pPr>
        <w:spacing w:line="680" w:lineRule="exact"/>
        <w:ind w:left="149" w:leftChars="71" w:firstLine="450" w:firstLineChars="150"/>
        <w:rPr>
          <w:rFonts w:hint="eastAsia" w:ascii="宋体" w:hAnsi="宋体"/>
          <w:sz w:val="30"/>
        </w:rPr>
      </w:pPr>
      <w:r>
        <w:rPr>
          <w:rFonts w:ascii="宋体" w:hAnsi="宋体"/>
          <w:sz w:val="30"/>
        </w:rPr>
        <w:t>2</w:t>
      </w:r>
      <w:r>
        <w:rPr>
          <w:rFonts w:hint="eastAsia" w:ascii="宋体" w:hAnsi="宋体"/>
          <w:sz w:val="30"/>
        </w:rPr>
        <w:t>、教育科研用地31.35公顷:中学1处（包括初中和高中）、小学2处，九年学校</w:t>
      </w:r>
      <w:r>
        <w:rPr>
          <w:rFonts w:ascii="宋体" w:hAnsi="宋体"/>
          <w:sz w:val="30"/>
        </w:rPr>
        <w:t>2</w:t>
      </w:r>
      <w:r>
        <w:rPr>
          <w:rFonts w:hint="eastAsia" w:ascii="宋体" w:hAnsi="宋体"/>
          <w:sz w:val="30"/>
        </w:rPr>
        <w:t>处；</w:t>
      </w:r>
    </w:p>
    <w:p w14:paraId="0030F507">
      <w:pPr>
        <w:spacing w:line="680" w:lineRule="exact"/>
        <w:ind w:firstLine="588" w:firstLineChars="196"/>
        <w:rPr>
          <w:rFonts w:hint="eastAsia" w:ascii="宋体" w:hAnsi="宋体"/>
          <w:sz w:val="30"/>
        </w:rPr>
      </w:pPr>
      <w:r>
        <w:rPr>
          <w:rFonts w:ascii="宋体" w:hAnsi="宋体"/>
          <w:sz w:val="30"/>
        </w:rPr>
        <w:t>3</w:t>
      </w:r>
      <w:r>
        <w:rPr>
          <w:rFonts w:hint="eastAsia" w:ascii="宋体" w:hAnsi="宋体"/>
          <w:sz w:val="30"/>
        </w:rPr>
        <w:t>、体育用地5.0公顷：居住区级体育中心2处；</w:t>
      </w:r>
    </w:p>
    <w:p w14:paraId="1F19191B">
      <w:pPr>
        <w:spacing w:line="680" w:lineRule="exact"/>
        <w:ind w:firstLine="588" w:firstLineChars="196"/>
        <w:rPr>
          <w:rFonts w:hint="eastAsia" w:ascii="宋体" w:hAnsi="宋体"/>
          <w:sz w:val="30"/>
        </w:rPr>
      </w:pPr>
      <w:r>
        <w:rPr>
          <w:rFonts w:ascii="宋体" w:hAnsi="宋体"/>
          <w:sz w:val="30"/>
        </w:rPr>
        <w:t>4</w:t>
      </w:r>
      <w:r>
        <w:rPr>
          <w:rFonts w:hint="eastAsia" w:ascii="宋体" w:hAnsi="宋体"/>
          <w:sz w:val="30"/>
        </w:rPr>
        <w:t>、医疗卫生用地</w:t>
      </w:r>
      <w:r>
        <w:rPr>
          <w:rFonts w:ascii="宋体" w:hAnsi="宋体"/>
          <w:sz w:val="30"/>
        </w:rPr>
        <w:t>8.63</w:t>
      </w:r>
      <w:r>
        <w:rPr>
          <w:rFonts w:hint="eastAsia" w:ascii="宋体" w:hAnsi="宋体"/>
          <w:sz w:val="30"/>
        </w:rPr>
        <w:t>公顷；</w:t>
      </w:r>
    </w:p>
    <w:p w14:paraId="18772C1C">
      <w:pPr>
        <w:spacing w:line="680" w:lineRule="exact"/>
        <w:ind w:firstLine="588" w:firstLineChars="196"/>
        <w:rPr>
          <w:rFonts w:hint="eastAsia" w:ascii="宋体" w:hAnsi="宋体"/>
          <w:sz w:val="30"/>
        </w:rPr>
      </w:pPr>
      <w:r>
        <w:rPr>
          <w:rFonts w:ascii="宋体" w:hAnsi="宋体"/>
          <w:sz w:val="30"/>
        </w:rPr>
        <w:t>5</w:t>
      </w:r>
      <w:r>
        <w:rPr>
          <w:rFonts w:hint="eastAsia" w:ascii="宋体" w:hAnsi="宋体"/>
          <w:sz w:val="30"/>
        </w:rPr>
        <w:t>、社会福利用地1.98公顷。</w:t>
      </w:r>
    </w:p>
    <w:p w14:paraId="4C07F46B">
      <w:pPr>
        <w:spacing w:line="680" w:lineRule="exact"/>
        <w:ind w:firstLine="600" w:firstLineChars="200"/>
        <w:rPr>
          <w:rFonts w:hint="eastAsia" w:ascii="宋体" w:hAnsi="宋体"/>
          <w:sz w:val="30"/>
        </w:rPr>
      </w:pPr>
      <w:r>
        <w:rPr>
          <w:rFonts w:hint="eastAsia" w:ascii="宋体" w:hAnsi="宋体"/>
          <w:sz w:val="30"/>
        </w:rPr>
        <w:t xml:space="preserve">第十六条 商业服务业设施用地规划 </w:t>
      </w:r>
    </w:p>
    <w:p w14:paraId="64BB0A49">
      <w:pPr>
        <w:spacing w:line="680" w:lineRule="exact"/>
        <w:ind w:firstLine="600" w:firstLineChars="200"/>
        <w:rPr>
          <w:rFonts w:hint="eastAsia" w:ascii="宋体" w:hAnsi="宋体"/>
          <w:sz w:val="30"/>
        </w:rPr>
      </w:pPr>
      <w:r>
        <w:rPr>
          <w:rFonts w:hint="eastAsia" w:ascii="宋体" w:hAnsi="宋体"/>
          <w:sz w:val="30"/>
        </w:rPr>
        <w:t>片区规划商业服务业设施用地共52.46公顷，占建设用地8.06</w:t>
      </w:r>
      <w:r>
        <w:rPr>
          <w:rFonts w:ascii="宋体" w:hAnsi="宋体"/>
          <w:sz w:val="30"/>
        </w:rPr>
        <w:t>%</w:t>
      </w:r>
      <w:r>
        <w:rPr>
          <w:rFonts w:hint="eastAsia" w:ascii="宋体" w:hAnsi="宋体"/>
          <w:sz w:val="30"/>
        </w:rPr>
        <w:t>，其中：</w:t>
      </w:r>
    </w:p>
    <w:p w14:paraId="5E028088">
      <w:pPr>
        <w:spacing w:line="680" w:lineRule="exact"/>
        <w:ind w:firstLine="588" w:firstLineChars="196"/>
        <w:rPr>
          <w:rFonts w:hint="eastAsia" w:ascii="宋体" w:hAnsi="宋体"/>
          <w:sz w:val="30"/>
        </w:rPr>
      </w:pPr>
      <w:r>
        <w:rPr>
          <w:rFonts w:hint="eastAsia" w:ascii="宋体" w:hAnsi="宋体"/>
          <w:sz w:val="30"/>
        </w:rPr>
        <w:t>1、商业用地47.03公顷，规划独立用地农贸市场</w:t>
      </w:r>
      <w:r>
        <w:rPr>
          <w:rFonts w:ascii="宋体" w:hAnsi="宋体"/>
          <w:sz w:val="30"/>
        </w:rPr>
        <w:t>5</w:t>
      </w:r>
      <w:r>
        <w:rPr>
          <w:rFonts w:hint="eastAsia" w:ascii="宋体" w:hAnsi="宋体"/>
          <w:sz w:val="30"/>
        </w:rPr>
        <w:t>处；</w:t>
      </w:r>
    </w:p>
    <w:p w14:paraId="3B85471E">
      <w:pPr>
        <w:spacing w:line="680" w:lineRule="exact"/>
        <w:ind w:firstLine="588" w:firstLineChars="196"/>
        <w:rPr>
          <w:rFonts w:hint="eastAsia" w:ascii="宋体" w:hAnsi="宋体"/>
          <w:sz w:val="30"/>
        </w:rPr>
      </w:pPr>
      <w:r>
        <w:rPr>
          <w:rFonts w:hint="eastAsia" w:ascii="宋体" w:hAnsi="宋体"/>
          <w:sz w:val="30"/>
        </w:rPr>
        <w:t>2、娱乐康体用地3.01公顷；</w:t>
      </w:r>
    </w:p>
    <w:p w14:paraId="3272B22D">
      <w:pPr>
        <w:spacing w:line="680" w:lineRule="exact"/>
        <w:ind w:firstLine="588" w:firstLineChars="196"/>
        <w:rPr>
          <w:rFonts w:hint="eastAsia" w:ascii="宋体" w:hAnsi="宋体"/>
          <w:sz w:val="30"/>
        </w:rPr>
      </w:pPr>
      <w:r>
        <w:rPr>
          <w:rFonts w:ascii="宋体" w:hAnsi="宋体"/>
          <w:sz w:val="30"/>
        </w:rPr>
        <w:t>3</w:t>
      </w:r>
      <w:r>
        <w:rPr>
          <w:rFonts w:hint="eastAsia" w:ascii="宋体" w:hAnsi="宋体"/>
          <w:sz w:val="30"/>
        </w:rPr>
        <w:t>、公共设施营业网点用地2.42公顷。</w:t>
      </w:r>
    </w:p>
    <w:p w14:paraId="241A552F">
      <w:pPr>
        <w:spacing w:line="680" w:lineRule="exact"/>
        <w:ind w:firstLine="567" w:firstLineChars="189"/>
        <w:rPr>
          <w:rFonts w:hint="eastAsia" w:ascii="宋体" w:hAnsi="宋体"/>
          <w:sz w:val="30"/>
        </w:rPr>
      </w:pPr>
      <w:r>
        <w:rPr>
          <w:rFonts w:hint="eastAsia" w:ascii="宋体" w:hAnsi="宋体"/>
          <w:sz w:val="30"/>
        </w:rPr>
        <w:t>第十七条  道路与交通设施用地规划</w:t>
      </w:r>
    </w:p>
    <w:p w14:paraId="6ADBF381">
      <w:pPr>
        <w:spacing w:line="640" w:lineRule="exact"/>
        <w:ind w:firstLine="600" w:firstLineChars="200"/>
        <w:rPr>
          <w:rFonts w:hint="eastAsia" w:ascii="宋体" w:hAnsi="宋体"/>
          <w:sz w:val="30"/>
          <w:szCs w:val="30"/>
          <w:u w:val="single"/>
        </w:rPr>
      </w:pPr>
      <w:r>
        <w:rPr>
          <w:rFonts w:hint="eastAsia" w:ascii="宋体" w:hAnsi="宋体"/>
          <w:sz w:val="30"/>
        </w:rPr>
        <w:t>片区内规划城市道路用地134.14公顷，其中交通枢纽用地2.95公顷，交通场站用地0.83公顷，含公交首末站1处，公共设施以及公共绿地原则上均应设置地下社会停车场。</w:t>
      </w:r>
    </w:p>
    <w:p w14:paraId="479555A4">
      <w:pPr>
        <w:pStyle w:val="29"/>
        <w:spacing w:line="680" w:lineRule="exact"/>
        <w:ind w:firstLine="600"/>
        <w:rPr>
          <w:rFonts w:hint="eastAsia" w:ascii="宋体" w:hAnsi="宋体"/>
          <w:sz w:val="30"/>
        </w:rPr>
      </w:pPr>
      <w:r>
        <w:rPr>
          <w:rFonts w:hint="eastAsia" w:ascii="宋体" w:hAnsi="宋体"/>
          <w:sz w:val="30"/>
        </w:rPr>
        <w:t>第十八条 公用设施用地规划</w:t>
      </w:r>
    </w:p>
    <w:p w14:paraId="290C56B3">
      <w:pPr>
        <w:pStyle w:val="29"/>
        <w:spacing w:line="680" w:lineRule="exact"/>
        <w:ind w:firstLine="600"/>
        <w:rPr>
          <w:rFonts w:ascii="宋体" w:hAnsi="宋体"/>
          <w:sz w:val="30"/>
          <w:szCs w:val="30"/>
          <w:u w:val="single"/>
        </w:rPr>
      </w:pPr>
      <w:r>
        <w:rPr>
          <w:rFonts w:hint="eastAsia" w:ascii="宋体" w:hAnsi="宋体"/>
          <w:sz w:val="30"/>
        </w:rPr>
        <w:t>规划公用设施用地3.54公顷，占城市建设总用地的0.54</w:t>
      </w:r>
      <w:r>
        <w:rPr>
          <w:rFonts w:ascii="宋体" w:hAnsi="宋体"/>
          <w:sz w:val="30"/>
        </w:rPr>
        <w:t>%</w:t>
      </w:r>
      <w:r>
        <w:rPr>
          <w:rFonts w:hint="eastAsia" w:ascii="宋体" w:hAnsi="宋体"/>
          <w:sz w:val="30"/>
        </w:rPr>
        <w:t>。其中：</w:t>
      </w:r>
      <w:r>
        <w:rPr>
          <w:rFonts w:hint="eastAsia" w:ascii="宋体" w:hAnsi="宋体"/>
          <w:sz w:val="30"/>
          <w:szCs w:val="30"/>
          <w:u w:val="single"/>
        </w:rPr>
        <w:t>规划110KV变电站3处、消防站2处、燃气门站1处、垃圾转运站</w:t>
      </w:r>
      <w:r>
        <w:rPr>
          <w:rFonts w:ascii="宋体" w:hAnsi="宋体"/>
          <w:sz w:val="30"/>
          <w:szCs w:val="30"/>
          <w:u w:val="single"/>
        </w:rPr>
        <w:t>1</w:t>
      </w:r>
      <w:r>
        <w:rPr>
          <w:rFonts w:hint="eastAsia" w:ascii="宋体" w:hAnsi="宋体"/>
          <w:sz w:val="30"/>
          <w:szCs w:val="30"/>
          <w:u w:val="single"/>
        </w:rPr>
        <w:t>处。</w:t>
      </w:r>
    </w:p>
    <w:p w14:paraId="356FCAF2">
      <w:pPr>
        <w:spacing w:line="680" w:lineRule="exact"/>
        <w:ind w:firstLine="588" w:firstLineChars="196"/>
        <w:rPr>
          <w:rFonts w:hint="eastAsia" w:ascii="宋体" w:hAnsi="宋体"/>
          <w:sz w:val="30"/>
        </w:rPr>
      </w:pPr>
      <w:r>
        <w:rPr>
          <w:rFonts w:hint="eastAsia" w:ascii="宋体" w:hAnsi="宋体"/>
          <w:sz w:val="30"/>
        </w:rPr>
        <w:t>第十九条 物流仓储用地</w:t>
      </w:r>
    </w:p>
    <w:p w14:paraId="308BCDC9">
      <w:pPr>
        <w:spacing w:line="680" w:lineRule="exact"/>
        <w:ind w:firstLine="588" w:firstLineChars="196"/>
        <w:rPr>
          <w:rFonts w:hint="eastAsia" w:ascii="宋体" w:hAnsi="宋体"/>
          <w:sz w:val="30"/>
        </w:rPr>
      </w:pPr>
      <w:r>
        <w:rPr>
          <w:rFonts w:hint="eastAsia" w:ascii="宋体" w:hAnsi="宋体"/>
          <w:sz w:val="30"/>
        </w:rPr>
        <w:t>片区西北部规划一类仓储物流用地一处，总面积</w:t>
      </w:r>
      <w:r>
        <w:rPr>
          <w:rFonts w:ascii="宋体" w:hAnsi="宋体"/>
          <w:sz w:val="30"/>
        </w:rPr>
        <w:t>20.67</w:t>
      </w:r>
      <w:r>
        <w:rPr>
          <w:rFonts w:hint="eastAsia" w:ascii="宋体" w:hAnsi="宋体"/>
          <w:sz w:val="30"/>
        </w:rPr>
        <w:t>公顷。</w:t>
      </w:r>
    </w:p>
    <w:p w14:paraId="76AAF244">
      <w:pPr>
        <w:spacing w:line="680" w:lineRule="exact"/>
        <w:ind w:firstLine="588" w:firstLineChars="196"/>
        <w:rPr>
          <w:rFonts w:ascii="宋体" w:hAnsi="宋体"/>
          <w:sz w:val="30"/>
        </w:rPr>
      </w:pPr>
      <w:r>
        <w:rPr>
          <w:rFonts w:hint="eastAsia" w:ascii="宋体" w:hAnsi="宋体"/>
          <w:sz w:val="30"/>
        </w:rPr>
        <w:t>第二十条 绿地与广场用地</w:t>
      </w:r>
    </w:p>
    <w:p w14:paraId="10806450">
      <w:pPr>
        <w:spacing w:line="680" w:lineRule="exact"/>
        <w:ind w:firstLine="588" w:firstLineChars="196"/>
        <w:rPr>
          <w:rFonts w:hint="eastAsia" w:ascii="宋体" w:hAnsi="宋体"/>
          <w:sz w:val="30"/>
        </w:rPr>
      </w:pPr>
      <w:r>
        <w:rPr>
          <w:rFonts w:hint="eastAsia" w:ascii="宋体" w:hAnsi="宋体"/>
          <w:sz w:val="30"/>
        </w:rPr>
        <w:t>规划各类绿地与广场用地165.7公顷，其中公园绿地163.78公顷，防护绿地1.67公顷，广场用地</w:t>
      </w:r>
      <w:r>
        <w:rPr>
          <w:rFonts w:ascii="宋体" w:hAnsi="宋体"/>
          <w:sz w:val="30"/>
        </w:rPr>
        <w:t>0.</w:t>
      </w:r>
      <w:r>
        <w:rPr>
          <w:rFonts w:hint="eastAsia" w:ascii="宋体" w:hAnsi="宋体"/>
          <w:sz w:val="30"/>
        </w:rPr>
        <w:t>25公顷。</w:t>
      </w:r>
    </w:p>
    <w:p w14:paraId="6B449E8D">
      <w:pPr>
        <w:pStyle w:val="3"/>
        <w:spacing w:line="720" w:lineRule="exact"/>
        <w:jc w:val="center"/>
        <w:rPr>
          <w:rFonts w:hint="eastAsia" w:ascii="宋体" w:hAnsi="宋体" w:eastAsia="宋体"/>
          <w:sz w:val="36"/>
          <w:szCs w:val="36"/>
        </w:rPr>
      </w:pPr>
      <w:bookmarkStart w:id="13" w:name="_Toc339373882"/>
      <w:r>
        <w:rPr>
          <w:rFonts w:hint="eastAsia" w:ascii="宋体" w:hAnsi="宋体" w:eastAsia="宋体"/>
          <w:sz w:val="36"/>
          <w:szCs w:val="36"/>
        </w:rPr>
        <w:t xml:space="preserve">第四章  </w:t>
      </w:r>
      <w:bookmarkStart w:id="14" w:name="_Toc222888787"/>
      <w:r>
        <w:rPr>
          <w:rFonts w:hint="eastAsia" w:ascii="宋体" w:hAnsi="宋体" w:eastAsia="宋体"/>
          <w:sz w:val="36"/>
          <w:szCs w:val="36"/>
        </w:rPr>
        <w:t>土地利用规划控制</w:t>
      </w:r>
      <w:bookmarkEnd w:id="13"/>
      <w:bookmarkEnd w:id="14"/>
    </w:p>
    <w:p w14:paraId="7D74E565">
      <w:pPr>
        <w:spacing w:line="680" w:lineRule="exact"/>
        <w:ind w:firstLine="600" w:firstLineChars="200"/>
        <w:rPr>
          <w:rFonts w:hint="eastAsia" w:ascii="宋体" w:hAnsi="宋体"/>
          <w:bCs/>
          <w:sz w:val="30"/>
          <w:szCs w:val="30"/>
        </w:rPr>
      </w:pPr>
      <w:r>
        <w:rPr>
          <w:rFonts w:hint="eastAsia" w:ascii="宋体" w:hAnsi="宋体"/>
          <w:sz w:val="30"/>
        </w:rPr>
        <w:t xml:space="preserve">第二十一条 </w:t>
      </w:r>
      <w:r>
        <w:rPr>
          <w:rFonts w:ascii="宋体" w:hAnsi="宋体"/>
          <w:bCs/>
          <w:sz w:val="30"/>
        </w:rPr>
        <w:t>土地使用性质分类</w:t>
      </w:r>
      <w:r>
        <w:rPr>
          <w:rFonts w:hint="eastAsia" w:ascii="宋体" w:hAnsi="宋体"/>
          <w:bCs/>
          <w:sz w:val="30"/>
        </w:rPr>
        <w:t>和代码标准</w:t>
      </w:r>
    </w:p>
    <w:p w14:paraId="2A97E064">
      <w:pPr>
        <w:spacing w:line="680" w:lineRule="exact"/>
        <w:ind w:firstLine="600" w:firstLineChars="200"/>
        <w:rPr>
          <w:rFonts w:hint="eastAsia" w:ascii="宋体" w:hAnsi="宋体"/>
          <w:bCs/>
          <w:sz w:val="30"/>
          <w:szCs w:val="30"/>
        </w:rPr>
      </w:pPr>
      <w:r>
        <w:rPr>
          <w:rFonts w:hint="eastAsia" w:ascii="宋体" w:hAnsi="宋体"/>
          <w:bCs/>
          <w:sz w:val="30"/>
          <w:szCs w:val="30"/>
        </w:rPr>
        <w:t xml:space="preserve"> </w:t>
      </w:r>
      <w:r>
        <w:rPr>
          <w:rFonts w:ascii="宋体" w:hAnsi="宋体"/>
          <w:bCs/>
          <w:sz w:val="30"/>
          <w:szCs w:val="30"/>
        </w:rPr>
        <w:t>规划区内土地使用性质分类和代码</w:t>
      </w:r>
      <w:r>
        <w:rPr>
          <w:rFonts w:hint="eastAsia" w:ascii="宋体" w:hAnsi="宋体"/>
          <w:bCs/>
          <w:sz w:val="30"/>
          <w:szCs w:val="30"/>
        </w:rPr>
        <w:t>按</w:t>
      </w:r>
      <w:r>
        <w:rPr>
          <w:rFonts w:hint="eastAsia" w:ascii="宋体" w:hAnsi="宋体"/>
          <w:sz w:val="30"/>
          <w:szCs w:val="28"/>
        </w:rPr>
        <w:t>《城市用地分类与规划建设用地标准》（</w:t>
      </w:r>
      <w:r>
        <w:rPr>
          <w:rFonts w:ascii="宋体" w:hAnsi="宋体"/>
          <w:sz w:val="30"/>
          <w:szCs w:val="28"/>
        </w:rPr>
        <w:t>GB</w:t>
      </w:r>
      <w:r>
        <w:rPr>
          <w:rFonts w:hint="eastAsia" w:ascii="宋体" w:hAnsi="宋体"/>
          <w:sz w:val="30"/>
          <w:szCs w:val="28"/>
        </w:rPr>
        <w:t>50137-2011）</w:t>
      </w:r>
      <w:r>
        <w:rPr>
          <w:rFonts w:hint="eastAsia" w:ascii="宋体" w:hAnsi="宋体"/>
          <w:bCs/>
          <w:sz w:val="30"/>
          <w:szCs w:val="30"/>
        </w:rPr>
        <w:t>进行划分</w:t>
      </w:r>
      <w:r>
        <w:rPr>
          <w:rFonts w:ascii="宋体" w:hAnsi="宋体"/>
          <w:bCs/>
          <w:sz w:val="30"/>
          <w:szCs w:val="30"/>
        </w:rPr>
        <w:t>。本规划用地性质一般划分至中类，</w:t>
      </w:r>
      <w:r>
        <w:rPr>
          <w:rFonts w:hint="eastAsia" w:ascii="宋体" w:hAnsi="宋体"/>
          <w:bCs/>
          <w:sz w:val="30"/>
          <w:szCs w:val="30"/>
        </w:rPr>
        <w:t>其它相关</w:t>
      </w:r>
      <w:r>
        <w:rPr>
          <w:rFonts w:ascii="宋体" w:hAnsi="宋体"/>
          <w:bCs/>
          <w:sz w:val="30"/>
          <w:szCs w:val="30"/>
        </w:rPr>
        <w:t>服务设施</w:t>
      </w:r>
      <w:r>
        <w:rPr>
          <w:rFonts w:hint="eastAsia" w:ascii="宋体" w:hAnsi="宋体"/>
          <w:bCs/>
          <w:sz w:val="30"/>
          <w:szCs w:val="30"/>
        </w:rPr>
        <w:t>用地、公用设施用地</w:t>
      </w:r>
      <w:r>
        <w:rPr>
          <w:rFonts w:ascii="宋体" w:hAnsi="宋体"/>
          <w:bCs/>
          <w:sz w:val="30"/>
          <w:szCs w:val="30"/>
        </w:rPr>
        <w:t>划分至小类。</w:t>
      </w:r>
    </w:p>
    <w:p w14:paraId="29099653">
      <w:pPr>
        <w:pStyle w:val="5"/>
        <w:spacing w:line="680" w:lineRule="exact"/>
        <w:ind w:firstLine="600"/>
        <w:rPr>
          <w:rFonts w:hint="eastAsia"/>
          <w:bCs/>
          <w:szCs w:val="30"/>
        </w:rPr>
      </w:pPr>
      <w:r>
        <w:rPr>
          <w:rFonts w:hint="eastAsia"/>
          <w:bCs/>
          <w:szCs w:val="30"/>
        </w:rPr>
        <w:t>第二十二条  管理单元划分及土地开发强度控制</w:t>
      </w:r>
    </w:p>
    <w:p w14:paraId="487DCC46">
      <w:pPr>
        <w:pStyle w:val="5"/>
        <w:spacing w:line="680" w:lineRule="exact"/>
        <w:ind w:firstLine="600"/>
        <w:rPr>
          <w:rFonts w:hint="eastAsia"/>
          <w:bCs/>
          <w:szCs w:val="30"/>
        </w:rPr>
      </w:pPr>
      <w:r>
        <w:rPr>
          <w:rFonts w:hint="eastAsia"/>
          <w:bCs/>
          <w:szCs w:val="30"/>
        </w:rPr>
        <w:t>控规管理单元原则上按1个居住区（3-5万人）的用地范围进行划定（因周边路网、水系等要素原因可适当缩小规模），对包括容积率在内的开发强度、市政及公共服务设施等进行总体协调控制；在控规调整时须以市政及公共服务设施容量等为参照。现状合法的土地用途及指标与控制性详细规划不符的，在其土地使用权有效期内可继续保持其原有合法用途及指标。</w:t>
      </w:r>
      <w:r>
        <w:rPr>
          <w:rFonts w:hint="eastAsia"/>
          <w:u w:val="single"/>
        </w:rPr>
        <w:t>在土地开发强度上针对不同区域和用地类型，对容积率和建筑密度实行上限控制</w:t>
      </w:r>
      <w:r>
        <w:rPr>
          <w:rFonts w:hint="eastAsia"/>
          <w:i/>
        </w:rPr>
        <w:t xml:space="preserve">。 </w:t>
      </w:r>
    </w:p>
    <w:p w14:paraId="393A0C77">
      <w:pPr>
        <w:spacing w:line="680" w:lineRule="exact"/>
        <w:ind w:firstLine="600" w:firstLineChars="200"/>
        <w:jc w:val="left"/>
        <w:rPr>
          <w:rFonts w:hint="eastAsia" w:ascii="宋体" w:hAnsi="宋体"/>
          <w:sz w:val="30"/>
        </w:rPr>
      </w:pPr>
      <w:r>
        <w:rPr>
          <w:rFonts w:hint="eastAsia" w:ascii="宋体" w:hAnsi="宋体"/>
          <w:sz w:val="30"/>
        </w:rPr>
        <w:t>第二十三条 建筑控制</w:t>
      </w:r>
    </w:p>
    <w:p w14:paraId="65E9A104">
      <w:pPr>
        <w:spacing w:line="680" w:lineRule="exact"/>
        <w:ind w:firstLine="600" w:firstLineChars="200"/>
        <w:jc w:val="left"/>
        <w:rPr>
          <w:rFonts w:hint="eastAsia" w:ascii="宋体" w:hAnsi="宋体"/>
          <w:sz w:val="30"/>
          <w:u w:val="single"/>
        </w:rPr>
      </w:pPr>
      <w:r>
        <w:rPr>
          <w:rFonts w:hint="eastAsia" w:ascii="宋体" w:hAnsi="宋体"/>
          <w:sz w:val="30"/>
          <w:szCs w:val="30"/>
          <w:u w:val="single"/>
        </w:rPr>
        <w:t>建筑间距、建筑退界的规划控制均按照《乐山市城市规划管理技术规定》相关内容执行。建筑高度控制除了按照规划图则相关内容执行外，还应同时满足其他专项规划管理控制要求。</w:t>
      </w:r>
    </w:p>
    <w:p w14:paraId="1E331334">
      <w:pPr>
        <w:spacing w:line="680" w:lineRule="exact"/>
        <w:ind w:left="600"/>
        <w:rPr>
          <w:rFonts w:hint="eastAsia" w:ascii="宋体" w:hAnsi="宋体"/>
          <w:bCs/>
          <w:sz w:val="30"/>
        </w:rPr>
      </w:pPr>
      <w:bookmarkStart w:id="15" w:name="_Toc148082092"/>
      <w:bookmarkStart w:id="16" w:name="_Toc292529862"/>
      <w:bookmarkStart w:id="17" w:name="_Toc237441476"/>
      <w:r>
        <w:rPr>
          <w:rFonts w:hint="eastAsia" w:ascii="宋体" w:hAnsi="宋体"/>
          <w:bCs/>
          <w:sz w:val="30"/>
        </w:rPr>
        <w:t>第二十四条 土地使用兼容性控制</w:t>
      </w:r>
      <w:bookmarkEnd w:id="15"/>
      <w:bookmarkEnd w:id="16"/>
      <w:bookmarkEnd w:id="17"/>
    </w:p>
    <w:p w14:paraId="2F6ECA84">
      <w:pPr>
        <w:spacing w:line="680" w:lineRule="exact"/>
        <w:ind w:left="600"/>
        <w:rPr>
          <w:rFonts w:hint="eastAsia" w:ascii="宋体" w:hAnsi="宋体"/>
          <w:bCs/>
          <w:sz w:val="30"/>
          <w:szCs w:val="30"/>
        </w:rPr>
      </w:pPr>
      <w:r>
        <w:rPr>
          <w:rFonts w:hint="eastAsia" w:ascii="宋体" w:hAnsi="宋体"/>
          <w:bCs/>
          <w:sz w:val="30"/>
          <w:szCs w:val="30"/>
        </w:rPr>
        <w:t>建筑的改建、扩建和新建，其使用性质应同所在地块的土地使用性质相符。</w:t>
      </w:r>
    </w:p>
    <w:p w14:paraId="3A473A31">
      <w:pPr>
        <w:spacing w:line="680" w:lineRule="exact"/>
        <w:ind w:left="601" w:leftChars="286" w:firstLine="600" w:firstLineChars="200"/>
        <w:rPr>
          <w:rFonts w:hint="eastAsia" w:ascii="宋体" w:hAnsi="宋体"/>
          <w:bCs/>
          <w:sz w:val="30"/>
          <w:szCs w:val="30"/>
        </w:rPr>
      </w:pPr>
      <w:r>
        <w:rPr>
          <w:rFonts w:hint="eastAsia" w:ascii="宋体" w:hAnsi="宋体"/>
          <w:bCs/>
          <w:sz w:val="30"/>
          <w:szCs w:val="30"/>
        </w:rPr>
        <w:t>1.选择性兼容，在土地出让或者划拨前，由城乡规划主管部门选定一项用地性质及其对应的规划指标进行管理，选择性兼容地块可混合兼容。</w:t>
      </w:r>
    </w:p>
    <w:p w14:paraId="28D25F6B">
      <w:pPr>
        <w:spacing w:line="680" w:lineRule="exact"/>
        <w:ind w:left="601" w:leftChars="286" w:firstLine="600" w:firstLineChars="200"/>
        <w:rPr>
          <w:rFonts w:hint="eastAsia" w:ascii="宋体" w:hAnsi="宋体"/>
          <w:bCs/>
          <w:sz w:val="30"/>
          <w:szCs w:val="30"/>
        </w:rPr>
      </w:pPr>
      <w:r>
        <w:rPr>
          <w:rFonts w:hint="eastAsia" w:ascii="宋体" w:hAnsi="宋体"/>
          <w:bCs/>
          <w:sz w:val="30"/>
          <w:szCs w:val="30"/>
        </w:rPr>
        <w:t>2.混合性兼容，图则中明确了兼容性和兼容比例要求的地块应严格按照图则执行。图则中未明确兼容比例要求的地块，应按以下要求实施：</w:t>
      </w:r>
    </w:p>
    <w:p w14:paraId="019FE1DF">
      <w:pPr>
        <w:spacing w:line="680" w:lineRule="exact"/>
        <w:ind w:left="601" w:leftChars="286" w:firstLine="600" w:firstLineChars="200"/>
        <w:rPr>
          <w:rFonts w:hint="eastAsia" w:ascii="宋体" w:hAnsi="宋体"/>
          <w:bCs/>
          <w:sz w:val="30"/>
          <w:szCs w:val="30"/>
        </w:rPr>
      </w:pPr>
      <w:r>
        <w:rPr>
          <w:rFonts w:hint="eastAsia" w:ascii="宋体" w:hAnsi="宋体"/>
          <w:bCs/>
          <w:sz w:val="30"/>
          <w:szCs w:val="30"/>
        </w:rPr>
        <w:t>居住为主要用地性质的，住宅计容建筑面积应大于规划用地总计容建筑面积的50%，小于或者等于规划用地总计容建筑面积的90%；商业服务业设施为主要用地性质的，住宅计容建筑面积应大于或者等于规划用地总计容建筑面积的10%，小于规划用地总计容建筑面积的50%</w:t>
      </w:r>
    </w:p>
    <w:p w14:paraId="35DB92A3">
      <w:pPr>
        <w:spacing w:line="680" w:lineRule="exact"/>
        <w:ind w:left="601" w:leftChars="286" w:firstLine="600" w:firstLineChars="200"/>
        <w:rPr>
          <w:rFonts w:hint="eastAsia" w:ascii="宋体" w:hAnsi="宋体"/>
          <w:bCs/>
          <w:sz w:val="30"/>
          <w:szCs w:val="30"/>
        </w:rPr>
      </w:pPr>
      <w:r>
        <w:rPr>
          <w:rFonts w:hint="eastAsia" w:ascii="宋体" w:hAnsi="宋体"/>
          <w:bCs/>
          <w:sz w:val="30"/>
          <w:szCs w:val="30"/>
        </w:rPr>
        <w:t>未明确规定的各类用地适建范围按照《乐山市城市规划管理技术规定》相关内容执行。</w:t>
      </w:r>
    </w:p>
    <w:p w14:paraId="49E60DC5">
      <w:pPr>
        <w:spacing w:line="680" w:lineRule="exact"/>
        <w:ind w:firstLine="600" w:firstLineChars="200"/>
        <w:rPr>
          <w:rFonts w:hint="eastAsia" w:ascii="宋体" w:hAnsi="宋体"/>
          <w:bCs/>
          <w:sz w:val="30"/>
        </w:rPr>
      </w:pPr>
      <w:r>
        <w:rPr>
          <w:rFonts w:hint="eastAsia" w:ascii="宋体" w:hAnsi="宋体"/>
          <w:bCs/>
          <w:sz w:val="30"/>
        </w:rPr>
        <w:t>第二十五条 地块停车泊位控制</w:t>
      </w:r>
    </w:p>
    <w:p w14:paraId="12490C9B">
      <w:pPr>
        <w:spacing w:line="680" w:lineRule="exact"/>
        <w:ind w:firstLine="1200" w:firstLineChars="400"/>
        <w:rPr>
          <w:rFonts w:hint="eastAsia" w:ascii="宋体" w:hAnsi="宋体"/>
          <w:sz w:val="30"/>
          <w:szCs w:val="30"/>
        </w:rPr>
      </w:pPr>
      <w:r>
        <w:rPr>
          <w:rFonts w:hint="eastAsia" w:ascii="宋体" w:hAnsi="宋体"/>
          <w:sz w:val="30"/>
        </w:rPr>
        <w:t>配建标准按照现行《乐山市城市规划管理技术规定》</w:t>
      </w:r>
      <w:r>
        <w:rPr>
          <w:rFonts w:hint="eastAsia" w:ascii="宋体" w:hAnsi="宋体"/>
          <w:sz w:val="30"/>
          <w:szCs w:val="30"/>
        </w:rPr>
        <w:t>执行。</w:t>
      </w:r>
    </w:p>
    <w:p w14:paraId="2BBAD68A">
      <w:pPr>
        <w:spacing w:line="680" w:lineRule="exact"/>
        <w:ind w:left="600"/>
        <w:rPr>
          <w:rFonts w:hint="eastAsia" w:ascii="宋体" w:hAnsi="宋体"/>
          <w:bCs/>
          <w:sz w:val="30"/>
        </w:rPr>
      </w:pPr>
      <w:r>
        <w:rPr>
          <w:rFonts w:hint="eastAsia" w:ascii="宋体" w:hAnsi="宋体"/>
          <w:bCs/>
          <w:sz w:val="30"/>
        </w:rPr>
        <w:t>第二十六条 禁止机动车开口位置和方向控制</w:t>
      </w:r>
    </w:p>
    <w:p w14:paraId="02994FE6">
      <w:pPr>
        <w:pStyle w:val="5"/>
        <w:spacing w:line="680" w:lineRule="exact"/>
        <w:ind w:firstLine="600"/>
        <w:rPr>
          <w:rFonts w:hint="eastAsia"/>
        </w:rPr>
      </w:pPr>
      <w:r>
        <w:rPr>
          <w:rFonts w:hint="eastAsia"/>
        </w:rPr>
        <w:t>禁止机动车开口位置和方向的确定主要考虑城市道路交通的安全和顺畅，并合理引导地块内部交通。本规划规定地块机动车出入口位置至道路交叉口路沿石切点距离，原则上应符合以下标准：（1）主干道交叉口≥60米；（2）次干道交叉口≥40米；（3）支路交叉口≥20米。</w:t>
      </w:r>
    </w:p>
    <w:p w14:paraId="26220268">
      <w:pPr>
        <w:spacing w:line="680" w:lineRule="exact"/>
        <w:ind w:firstLine="750" w:firstLineChars="250"/>
        <w:rPr>
          <w:rFonts w:hint="eastAsia" w:ascii="宋体" w:hAnsi="宋体"/>
          <w:bCs/>
          <w:sz w:val="30"/>
        </w:rPr>
      </w:pPr>
      <w:r>
        <w:rPr>
          <w:rFonts w:hint="eastAsia" w:ascii="宋体" w:hAnsi="宋体"/>
          <w:bCs/>
          <w:sz w:val="30"/>
        </w:rPr>
        <w:t>第二十七条 道路红线控制</w:t>
      </w:r>
    </w:p>
    <w:p w14:paraId="7442BBF0">
      <w:pPr>
        <w:pStyle w:val="5"/>
        <w:spacing w:line="680" w:lineRule="exact"/>
        <w:ind w:firstLine="600"/>
        <w:rPr>
          <w:rFonts w:hint="eastAsia"/>
          <w:u w:val="single"/>
        </w:rPr>
      </w:pPr>
      <w:r>
        <w:rPr>
          <w:rFonts w:hint="eastAsia"/>
          <w:u w:val="single"/>
        </w:rPr>
        <w:t>1、道路红线是指规划道路的路幅边界线，红线内土地不得进行任何与道路功能不相符合的建设活动。</w:t>
      </w:r>
    </w:p>
    <w:p w14:paraId="7C850408">
      <w:pPr>
        <w:pStyle w:val="5"/>
        <w:spacing w:line="680" w:lineRule="exact"/>
        <w:ind w:firstLine="600"/>
        <w:rPr>
          <w:rFonts w:hint="eastAsia"/>
          <w:u w:val="single"/>
        </w:rPr>
      </w:pPr>
      <w:r>
        <w:rPr>
          <w:rFonts w:hint="eastAsia"/>
          <w:u w:val="single"/>
        </w:rPr>
        <w:t>2、规划范围内的城市主、次干路依据规划严格执行。</w:t>
      </w:r>
    </w:p>
    <w:p w14:paraId="217E9DD7">
      <w:pPr>
        <w:spacing w:line="680" w:lineRule="exact"/>
        <w:ind w:firstLine="600" w:firstLineChars="200"/>
        <w:rPr>
          <w:rFonts w:hint="eastAsia" w:ascii="宋体" w:hAnsi="宋体"/>
          <w:bCs/>
          <w:sz w:val="30"/>
        </w:rPr>
      </w:pPr>
      <w:r>
        <w:rPr>
          <w:rFonts w:hint="eastAsia" w:ascii="宋体" w:hAnsi="宋体"/>
          <w:bCs/>
          <w:sz w:val="30"/>
        </w:rPr>
        <w:t>第二十八条 绿化绿线控制</w:t>
      </w:r>
    </w:p>
    <w:p w14:paraId="6AE315DF">
      <w:pPr>
        <w:spacing w:line="680" w:lineRule="exact"/>
        <w:ind w:firstLine="600" w:firstLineChars="200"/>
        <w:rPr>
          <w:rFonts w:ascii="宋体" w:hAnsi="宋体"/>
          <w:sz w:val="30"/>
          <w:szCs w:val="30"/>
          <w:u w:val="single"/>
        </w:rPr>
      </w:pPr>
      <w:r>
        <w:rPr>
          <w:rFonts w:hint="eastAsia" w:ascii="宋体" w:hAnsi="宋体"/>
          <w:sz w:val="30"/>
          <w:szCs w:val="30"/>
          <w:u w:val="single"/>
        </w:rPr>
        <w:t>规划区内的城市绿线控制主要包括：公园绿地、防护绿地等。片区内城市绿线规划控制严格按照《城市绿线管理办法》之规定执行。</w:t>
      </w:r>
    </w:p>
    <w:p w14:paraId="08C9FEF4">
      <w:pPr>
        <w:spacing w:line="680" w:lineRule="exact"/>
        <w:ind w:left="600"/>
        <w:rPr>
          <w:rFonts w:hint="eastAsia" w:ascii="宋体" w:hAnsi="宋体"/>
          <w:bCs/>
          <w:sz w:val="30"/>
        </w:rPr>
      </w:pPr>
      <w:r>
        <w:rPr>
          <w:rFonts w:hint="eastAsia" w:ascii="宋体" w:hAnsi="宋体"/>
          <w:bCs/>
          <w:sz w:val="30"/>
        </w:rPr>
        <w:t>第二十九条 水域蓝线控制</w:t>
      </w:r>
    </w:p>
    <w:p w14:paraId="619B3904">
      <w:pPr>
        <w:spacing w:line="680" w:lineRule="exact"/>
        <w:ind w:firstLine="600" w:firstLineChars="200"/>
        <w:rPr>
          <w:rFonts w:ascii="宋体" w:hAnsi="宋体"/>
          <w:sz w:val="30"/>
          <w:szCs w:val="30"/>
          <w:u w:val="single"/>
        </w:rPr>
      </w:pPr>
      <w:r>
        <w:rPr>
          <w:rFonts w:hint="eastAsia" w:ascii="宋体" w:hAnsi="宋体"/>
          <w:sz w:val="30"/>
          <w:szCs w:val="30"/>
          <w:u w:val="single"/>
        </w:rPr>
        <w:t>片区内城市蓝线控制线主要</w:t>
      </w:r>
      <w:r>
        <w:rPr>
          <w:rFonts w:hint="eastAsia" w:ascii="宋体" w:hAnsi="宋体"/>
          <w:sz w:val="30"/>
          <w:szCs w:val="30"/>
          <w:u w:val="single"/>
          <w:lang w:val="en-US" w:eastAsia="zh-CN"/>
        </w:rPr>
        <w:t>牵涉</w:t>
      </w:r>
      <w:r>
        <w:rPr>
          <w:rFonts w:hint="eastAsia" w:ascii="宋体" w:hAnsi="宋体"/>
          <w:sz w:val="30"/>
          <w:szCs w:val="30"/>
          <w:u w:val="single"/>
        </w:rPr>
        <w:t>到青衣江与</w:t>
      </w:r>
      <w:r>
        <w:rPr>
          <w:rFonts w:ascii="宋体" w:hAnsi="宋体"/>
          <w:sz w:val="30"/>
          <w:szCs w:val="30"/>
          <w:u w:val="single"/>
        </w:rPr>
        <w:t>竹公溪</w:t>
      </w:r>
      <w:r>
        <w:rPr>
          <w:rFonts w:hint="eastAsia" w:ascii="宋体" w:hAnsi="宋体"/>
          <w:sz w:val="30"/>
          <w:szCs w:val="30"/>
          <w:u w:val="single"/>
        </w:rPr>
        <w:t>。片区内城市蓝线规划控制严格按照《城市蓝线管理办法》之规定执行。</w:t>
      </w:r>
    </w:p>
    <w:p w14:paraId="5C8065E7">
      <w:pPr>
        <w:spacing w:line="680" w:lineRule="exact"/>
        <w:ind w:left="600"/>
        <w:rPr>
          <w:rFonts w:hint="eastAsia" w:ascii="宋体" w:hAnsi="宋体"/>
          <w:bCs/>
          <w:sz w:val="30"/>
        </w:rPr>
      </w:pPr>
      <w:r>
        <w:rPr>
          <w:rFonts w:hint="eastAsia" w:ascii="宋体" w:hAnsi="宋体"/>
          <w:bCs/>
          <w:sz w:val="30"/>
        </w:rPr>
        <w:t>第三十条 基础</w:t>
      </w:r>
      <w:bookmarkStart w:id="79" w:name="_GoBack"/>
      <w:bookmarkEnd w:id="79"/>
      <w:r>
        <w:rPr>
          <w:rFonts w:hint="eastAsia" w:ascii="宋体" w:hAnsi="宋体"/>
          <w:bCs/>
          <w:sz w:val="30"/>
        </w:rPr>
        <w:t>设施黄线控制</w:t>
      </w:r>
    </w:p>
    <w:p w14:paraId="22DA22EB">
      <w:pPr>
        <w:spacing w:line="680" w:lineRule="exact"/>
        <w:ind w:firstLine="450" w:firstLineChars="150"/>
        <w:rPr>
          <w:rFonts w:hint="eastAsia" w:ascii="宋体" w:hAnsi="宋体"/>
          <w:sz w:val="30"/>
          <w:szCs w:val="30"/>
          <w:u w:val="single"/>
        </w:rPr>
      </w:pPr>
      <w:r>
        <w:rPr>
          <w:rFonts w:hint="eastAsia" w:ascii="宋体" w:hAnsi="宋体"/>
          <w:sz w:val="30"/>
          <w:szCs w:val="30"/>
          <w:u w:val="single"/>
        </w:rPr>
        <w:t>片区内城市黄线规划控制严格按照《城市黄线管理办法》之规定执行。</w:t>
      </w:r>
    </w:p>
    <w:p w14:paraId="52B25785">
      <w:pPr>
        <w:tabs>
          <w:tab w:val="left" w:pos="8280"/>
        </w:tabs>
        <w:spacing w:line="680" w:lineRule="exact"/>
        <w:ind w:right="-31" w:firstLine="588" w:firstLineChars="196"/>
        <w:rPr>
          <w:rFonts w:hint="eastAsia" w:ascii="宋体" w:hAnsi="宋体"/>
          <w:sz w:val="30"/>
          <w:szCs w:val="30"/>
        </w:rPr>
      </w:pPr>
      <w:r>
        <w:rPr>
          <w:rFonts w:hint="eastAsia" w:ascii="宋体" w:hAnsi="宋体"/>
          <w:sz w:val="30"/>
          <w:szCs w:val="30"/>
        </w:rPr>
        <w:t>第三十一条 城市紫线控制</w:t>
      </w:r>
    </w:p>
    <w:p w14:paraId="6B846697">
      <w:pPr>
        <w:spacing w:line="680" w:lineRule="exact"/>
        <w:ind w:firstLine="450" w:firstLineChars="150"/>
        <w:rPr>
          <w:rFonts w:hint="eastAsia" w:ascii="宋体" w:hAnsi="宋体"/>
          <w:sz w:val="30"/>
          <w:szCs w:val="30"/>
        </w:rPr>
      </w:pPr>
      <w:r>
        <w:rPr>
          <w:rFonts w:hint="eastAsia" w:ascii="宋体" w:hAnsi="宋体"/>
          <w:sz w:val="30"/>
          <w:szCs w:val="30"/>
        </w:rPr>
        <w:t>片区内不涉及历史文化街区等紫线管控区域。</w:t>
      </w:r>
    </w:p>
    <w:p w14:paraId="6ADD3543">
      <w:pPr>
        <w:pStyle w:val="3"/>
        <w:spacing w:line="720" w:lineRule="exact"/>
        <w:jc w:val="center"/>
        <w:rPr>
          <w:rFonts w:hint="eastAsia" w:ascii="宋体" w:hAnsi="宋体" w:eastAsia="宋体"/>
          <w:sz w:val="36"/>
          <w:szCs w:val="36"/>
        </w:rPr>
      </w:pPr>
      <w:bookmarkStart w:id="18" w:name="_Toc222888789"/>
      <w:bookmarkStart w:id="19" w:name="_Toc339373884"/>
      <w:r>
        <w:rPr>
          <w:rFonts w:hint="eastAsia" w:ascii="宋体" w:hAnsi="宋体" w:eastAsia="宋体"/>
          <w:sz w:val="36"/>
          <w:szCs w:val="36"/>
        </w:rPr>
        <w:t>第五章  绿地及景观</w:t>
      </w:r>
      <w:bookmarkEnd w:id="18"/>
      <w:r>
        <w:rPr>
          <w:rFonts w:hint="eastAsia" w:ascii="宋体" w:hAnsi="宋体" w:eastAsia="宋体"/>
          <w:sz w:val="36"/>
          <w:szCs w:val="36"/>
        </w:rPr>
        <w:t>系统规划</w:t>
      </w:r>
      <w:bookmarkEnd w:id="19"/>
    </w:p>
    <w:p w14:paraId="771C4C87">
      <w:pPr>
        <w:spacing w:line="640" w:lineRule="exact"/>
        <w:ind w:firstLine="600" w:firstLineChars="200"/>
        <w:rPr>
          <w:rFonts w:hint="eastAsia" w:ascii="宋体" w:hAnsi="宋体"/>
          <w:sz w:val="30"/>
          <w:szCs w:val="30"/>
          <w:u w:val="single"/>
        </w:rPr>
      </w:pPr>
      <w:r>
        <w:rPr>
          <w:rFonts w:hint="eastAsia" w:ascii="宋体" w:hAnsi="宋体"/>
          <w:sz w:val="30"/>
          <w:szCs w:val="30"/>
        </w:rPr>
        <w:t xml:space="preserve">第三十二条  </w:t>
      </w:r>
      <w:r>
        <w:rPr>
          <w:rFonts w:hint="eastAsia" w:ascii="宋体" w:hAnsi="宋体"/>
          <w:sz w:val="30"/>
          <w:szCs w:val="30"/>
          <w:u w:val="single"/>
        </w:rPr>
        <w:t>规划区内绿地包括公园绿地、防护绿地，片区开发建设时均不得侵占，其中规划公园绿地163.78公顷，防护绿地</w:t>
      </w:r>
      <w:r>
        <w:rPr>
          <w:rFonts w:ascii="宋体" w:hAnsi="宋体"/>
          <w:sz w:val="30"/>
          <w:szCs w:val="30"/>
          <w:u w:val="single"/>
        </w:rPr>
        <w:t>1.</w:t>
      </w:r>
      <w:r>
        <w:rPr>
          <w:rFonts w:hint="eastAsia" w:ascii="宋体" w:hAnsi="宋体"/>
          <w:sz w:val="30"/>
          <w:szCs w:val="30"/>
          <w:u w:val="single"/>
        </w:rPr>
        <w:t>67公顷。</w:t>
      </w:r>
    </w:p>
    <w:p w14:paraId="146B0136">
      <w:pPr>
        <w:spacing w:line="640" w:lineRule="exact"/>
        <w:ind w:firstLine="600" w:firstLineChars="200"/>
        <w:rPr>
          <w:rFonts w:hint="eastAsia" w:ascii="宋体" w:hAnsi="宋体"/>
          <w:sz w:val="30"/>
        </w:rPr>
      </w:pPr>
      <w:r>
        <w:rPr>
          <w:rFonts w:hint="eastAsia" w:ascii="宋体" w:hAnsi="宋体"/>
          <w:sz w:val="30"/>
          <w:szCs w:val="30"/>
        </w:rPr>
        <w:t>第三十三条</w:t>
      </w:r>
      <w:r>
        <w:rPr>
          <w:rFonts w:hint="eastAsia" w:ascii="宋体" w:hAnsi="宋体"/>
          <w:sz w:val="30"/>
        </w:rPr>
        <w:t xml:space="preserve"> 各地块建设绿地率一般不应低于30%，为美化环境，应充分利用各种有利条件，尽可能增加绿化面积。</w:t>
      </w:r>
      <w:bookmarkStart w:id="20" w:name="_Toc222888790"/>
    </w:p>
    <w:p w14:paraId="624C700E">
      <w:pPr>
        <w:spacing w:line="680" w:lineRule="exact"/>
        <w:ind w:firstLine="482"/>
        <w:rPr>
          <w:rFonts w:hint="eastAsia" w:ascii="宋体" w:hAnsi="宋体"/>
          <w:sz w:val="30"/>
          <w:szCs w:val="30"/>
        </w:rPr>
      </w:pPr>
      <w:r>
        <w:rPr>
          <w:rFonts w:hint="eastAsia" w:ascii="宋体" w:hAnsi="宋体"/>
          <w:sz w:val="30"/>
          <w:szCs w:val="30"/>
        </w:rPr>
        <w:t>第三十四条 绿化控制</w:t>
      </w:r>
    </w:p>
    <w:p w14:paraId="049B2B96">
      <w:pPr>
        <w:spacing w:line="640" w:lineRule="exact"/>
        <w:ind w:firstLine="482"/>
        <w:rPr>
          <w:rFonts w:hint="eastAsia" w:ascii="宋体" w:hAnsi="宋体"/>
          <w:sz w:val="30"/>
        </w:rPr>
      </w:pPr>
      <w:r>
        <w:rPr>
          <w:rFonts w:hint="eastAsia" w:ascii="宋体" w:hAnsi="宋体"/>
          <w:sz w:val="30"/>
        </w:rPr>
        <w:t>规划区内绿地包括公园绿地、防护绿地均不得侵占。公园绿地及防护绿地按相关规范进行设置，在满足绿地率要求下可布局相邻地块出入口。</w:t>
      </w:r>
    </w:p>
    <w:p w14:paraId="3BF0BAA9">
      <w:pPr>
        <w:spacing w:line="640" w:lineRule="exact"/>
        <w:ind w:firstLine="482"/>
        <w:rPr>
          <w:rFonts w:hint="eastAsia" w:ascii="宋体" w:hAnsi="宋体"/>
          <w:sz w:val="30"/>
          <w:szCs w:val="30"/>
        </w:rPr>
      </w:pPr>
      <w:r>
        <w:rPr>
          <w:rFonts w:hint="eastAsia" w:ascii="宋体" w:hAnsi="宋体"/>
          <w:sz w:val="30"/>
          <w:szCs w:val="30"/>
        </w:rPr>
        <w:t>第三十五条  景观系统结构</w:t>
      </w:r>
    </w:p>
    <w:bookmarkEnd w:id="20"/>
    <w:p w14:paraId="05220398">
      <w:pPr>
        <w:spacing w:line="640" w:lineRule="exact"/>
        <w:rPr>
          <w:rFonts w:hint="eastAsia" w:ascii="宋体" w:hAnsi="宋体"/>
          <w:sz w:val="30"/>
        </w:rPr>
      </w:pPr>
      <w:bookmarkStart w:id="21" w:name="_Toc339373885"/>
      <w:r>
        <w:rPr>
          <w:rFonts w:hint="eastAsia" w:ascii="宋体" w:hAnsi="宋体"/>
          <w:sz w:val="30"/>
        </w:rPr>
        <w:t xml:space="preserve">    以生态基底为立足点，构建青山与蓝湖大格局，营造湿地与新城融合体，形成“点</w:t>
      </w:r>
      <w:r>
        <w:rPr>
          <w:rFonts w:ascii="宋体" w:hAnsi="宋体"/>
          <w:sz w:val="30"/>
        </w:rPr>
        <w:t>-</w:t>
      </w:r>
      <w:r>
        <w:rPr>
          <w:rFonts w:hint="eastAsia" w:ascii="宋体" w:hAnsi="宋体"/>
          <w:sz w:val="30"/>
        </w:rPr>
        <w:t>线</w:t>
      </w:r>
      <w:r>
        <w:rPr>
          <w:rFonts w:ascii="宋体" w:hAnsi="宋体"/>
          <w:sz w:val="30"/>
        </w:rPr>
        <w:t>-</w:t>
      </w:r>
      <w:r>
        <w:rPr>
          <w:rFonts w:hint="eastAsia" w:ascii="宋体" w:hAnsi="宋体"/>
          <w:sz w:val="30"/>
        </w:rPr>
        <w:t>片</w:t>
      </w:r>
      <w:r>
        <w:rPr>
          <w:rFonts w:ascii="宋体" w:hAnsi="宋体"/>
          <w:sz w:val="30"/>
        </w:rPr>
        <w:t>-</w:t>
      </w:r>
      <w:r>
        <w:rPr>
          <w:rFonts w:hint="eastAsia" w:ascii="宋体" w:hAnsi="宋体"/>
          <w:sz w:val="30"/>
        </w:rPr>
        <w:t>网”的景观系统。</w:t>
      </w:r>
    </w:p>
    <w:p w14:paraId="587D5711">
      <w:pPr>
        <w:spacing w:line="640" w:lineRule="exact"/>
        <w:rPr>
          <w:rFonts w:hint="eastAsia" w:ascii="宋体" w:hAnsi="宋体"/>
          <w:sz w:val="30"/>
          <w:szCs w:val="30"/>
        </w:rPr>
      </w:pPr>
      <w:r>
        <w:rPr>
          <w:rFonts w:hint="eastAsia" w:ascii="宋体" w:hAnsi="宋体"/>
          <w:sz w:val="30"/>
        </w:rPr>
        <w:t xml:space="preserve">  </w:t>
      </w:r>
      <w:r>
        <w:rPr>
          <w:rFonts w:hint="eastAsia" w:ascii="宋体" w:hAnsi="宋体"/>
          <w:sz w:val="30"/>
          <w:szCs w:val="30"/>
        </w:rPr>
        <w:t xml:space="preserve"> 第三十六条   城市设计引导</w:t>
      </w:r>
    </w:p>
    <w:p w14:paraId="1F40E08A">
      <w:pPr>
        <w:spacing w:line="640" w:lineRule="exact"/>
        <w:rPr>
          <w:rFonts w:hint="eastAsia" w:ascii="宋体" w:hAnsi="宋体"/>
          <w:sz w:val="30"/>
        </w:rPr>
      </w:pPr>
      <w:r>
        <w:rPr>
          <w:rFonts w:hint="eastAsia" w:ascii="宋体" w:hAnsi="宋体"/>
          <w:sz w:val="30"/>
        </w:rPr>
        <w:t xml:space="preserve">    通过街区形态引导、廊道控制和界面控制来实现片区城市设计体系。</w:t>
      </w:r>
    </w:p>
    <w:p w14:paraId="459B93FA">
      <w:pPr>
        <w:pStyle w:val="3"/>
        <w:spacing w:line="720" w:lineRule="exact"/>
        <w:jc w:val="center"/>
        <w:rPr>
          <w:rFonts w:hint="eastAsia" w:ascii="宋体" w:hAnsi="宋体" w:eastAsia="宋体"/>
          <w:sz w:val="36"/>
          <w:szCs w:val="36"/>
        </w:rPr>
      </w:pPr>
      <w:r>
        <w:rPr>
          <w:rFonts w:hint="eastAsia" w:ascii="宋体" w:hAnsi="宋体" w:eastAsia="宋体"/>
          <w:sz w:val="36"/>
          <w:szCs w:val="36"/>
        </w:rPr>
        <w:t>第六章  道路交通及竖向规划</w:t>
      </w:r>
      <w:bookmarkEnd w:id="21"/>
    </w:p>
    <w:p w14:paraId="0A3B05B0">
      <w:pPr>
        <w:spacing w:line="680" w:lineRule="exact"/>
        <w:ind w:firstLine="600" w:firstLineChars="200"/>
        <w:rPr>
          <w:rFonts w:hint="eastAsia" w:ascii="宋体" w:hAnsi="宋体"/>
          <w:bCs/>
          <w:sz w:val="30"/>
          <w:szCs w:val="30"/>
        </w:rPr>
      </w:pPr>
      <w:r>
        <w:rPr>
          <w:rFonts w:hint="eastAsia" w:ascii="宋体" w:hAnsi="宋体"/>
          <w:bCs/>
          <w:sz w:val="30"/>
          <w:szCs w:val="30"/>
        </w:rPr>
        <w:t>第三十七条 对外交通规划</w:t>
      </w:r>
    </w:p>
    <w:p w14:paraId="5D55D856">
      <w:pPr>
        <w:spacing w:line="680" w:lineRule="exact"/>
        <w:ind w:firstLine="600" w:firstLineChars="200"/>
        <w:rPr>
          <w:rFonts w:hint="eastAsia" w:ascii="宋体" w:hAnsi="宋体"/>
          <w:sz w:val="30"/>
          <w:szCs w:val="30"/>
        </w:rPr>
      </w:pPr>
      <w:r>
        <w:rPr>
          <w:rFonts w:hint="eastAsia" w:ascii="宋体" w:hAnsi="宋体"/>
          <w:sz w:val="30"/>
          <w:szCs w:val="30"/>
        </w:rPr>
        <w:t>1、铁路</w:t>
      </w:r>
    </w:p>
    <w:p w14:paraId="2E9AF5DF">
      <w:pPr>
        <w:spacing w:line="680" w:lineRule="exact"/>
        <w:ind w:firstLine="600" w:firstLineChars="200"/>
        <w:rPr>
          <w:rFonts w:ascii="宋体" w:hAnsi="宋体"/>
          <w:sz w:val="30"/>
          <w:szCs w:val="30"/>
        </w:rPr>
      </w:pPr>
      <w:r>
        <w:rPr>
          <w:rFonts w:hint="eastAsia" w:ascii="宋体" w:hAnsi="宋体"/>
          <w:sz w:val="30"/>
          <w:szCs w:val="30"/>
        </w:rPr>
        <w:t>成绵乐城际铁路和成贵铁路从棉竹片区东部穿过，片区紧邻铁路客运站所在的青江片区。</w:t>
      </w:r>
    </w:p>
    <w:p w14:paraId="3DB2BB14">
      <w:pPr>
        <w:spacing w:line="680" w:lineRule="exact"/>
        <w:ind w:firstLine="600" w:firstLineChars="200"/>
        <w:rPr>
          <w:rFonts w:hint="eastAsia" w:ascii="宋体" w:hAnsi="宋体"/>
          <w:sz w:val="30"/>
          <w:szCs w:val="30"/>
        </w:rPr>
      </w:pPr>
      <w:r>
        <w:rPr>
          <w:rFonts w:hint="eastAsia" w:ascii="宋体" w:hAnsi="宋体"/>
          <w:sz w:val="30"/>
          <w:szCs w:val="30"/>
        </w:rPr>
        <w:t>2、高速公路</w:t>
      </w:r>
    </w:p>
    <w:p w14:paraId="61CA9EF9">
      <w:pPr>
        <w:spacing w:line="680" w:lineRule="exact"/>
        <w:ind w:firstLine="585"/>
        <w:rPr>
          <w:rFonts w:hint="eastAsia" w:ascii="宋体" w:hAnsi="宋体"/>
          <w:sz w:val="30"/>
          <w:szCs w:val="30"/>
        </w:rPr>
      </w:pPr>
      <w:r>
        <w:rPr>
          <w:rFonts w:hint="eastAsia" w:ascii="宋体" w:hAnsi="宋体"/>
          <w:sz w:val="30"/>
          <w:szCs w:val="30"/>
        </w:rPr>
        <w:t>规划区内高速公路主要有西侧成乐高速和北侧绕城高速。</w:t>
      </w:r>
    </w:p>
    <w:p w14:paraId="4C56B99D">
      <w:pPr>
        <w:spacing w:line="680" w:lineRule="exact"/>
        <w:ind w:firstLine="585"/>
        <w:rPr>
          <w:rFonts w:hint="eastAsia" w:ascii="宋体" w:hAnsi="宋体"/>
          <w:sz w:val="30"/>
          <w:szCs w:val="30"/>
        </w:rPr>
      </w:pPr>
      <w:r>
        <w:rPr>
          <w:rFonts w:hint="eastAsia" w:ascii="宋体" w:hAnsi="宋体"/>
          <w:sz w:val="30"/>
          <w:szCs w:val="30"/>
        </w:rPr>
        <w:t>3、快速路</w:t>
      </w:r>
    </w:p>
    <w:p w14:paraId="65D75651">
      <w:pPr>
        <w:spacing w:line="680" w:lineRule="exact"/>
        <w:ind w:firstLine="585"/>
        <w:rPr>
          <w:rFonts w:hint="eastAsia" w:ascii="宋体" w:hAnsi="宋体"/>
          <w:sz w:val="30"/>
          <w:szCs w:val="30"/>
        </w:rPr>
      </w:pPr>
      <w:r>
        <w:rPr>
          <w:rFonts w:hint="eastAsia" w:ascii="宋体" w:hAnsi="宋体"/>
          <w:sz w:val="30"/>
          <w:szCs w:val="30"/>
        </w:rPr>
        <w:t>规划区北侧乐峨快速路与南侧通棉快速路。</w:t>
      </w:r>
    </w:p>
    <w:p w14:paraId="542874CE">
      <w:pPr>
        <w:spacing w:line="680" w:lineRule="exact"/>
        <w:ind w:firstLine="600" w:firstLineChars="200"/>
        <w:rPr>
          <w:rFonts w:hint="eastAsia" w:ascii="宋体" w:hAnsi="宋体"/>
          <w:bCs/>
          <w:sz w:val="30"/>
          <w:szCs w:val="30"/>
        </w:rPr>
      </w:pPr>
      <w:r>
        <w:rPr>
          <w:rFonts w:hint="eastAsia" w:ascii="宋体" w:hAnsi="宋体"/>
          <w:bCs/>
          <w:sz w:val="30"/>
          <w:szCs w:val="30"/>
        </w:rPr>
        <w:t xml:space="preserve">第三十八条 </w:t>
      </w:r>
      <w:r>
        <w:rPr>
          <w:rFonts w:hint="eastAsia" w:ascii="宋体" w:hAnsi="宋体"/>
          <w:sz w:val="30"/>
        </w:rPr>
        <w:t>道路等级规划控制</w:t>
      </w:r>
    </w:p>
    <w:p w14:paraId="206D697B">
      <w:pPr>
        <w:spacing w:line="680" w:lineRule="exact"/>
        <w:ind w:firstLine="600" w:firstLineChars="200"/>
        <w:rPr>
          <w:rFonts w:hint="eastAsia" w:ascii="宋体" w:hAnsi="宋体"/>
          <w:sz w:val="30"/>
          <w:szCs w:val="30"/>
        </w:rPr>
      </w:pPr>
      <w:r>
        <w:rPr>
          <w:rFonts w:hint="eastAsia" w:ascii="宋体" w:hAnsi="宋体"/>
          <w:sz w:val="30"/>
          <w:szCs w:val="30"/>
        </w:rPr>
        <w:t>规划区内道路规划为主干道、次干道、支路三个等级。</w:t>
      </w:r>
    </w:p>
    <w:p w14:paraId="5CB3E205">
      <w:pPr>
        <w:spacing w:line="680" w:lineRule="exact"/>
        <w:ind w:firstLine="600" w:firstLineChars="200"/>
        <w:rPr>
          <w:rFonts w:hint="eastAsia" w:ascii="宋体" w:hAnsi="宋体"/>
          <w:sz w:val="30"/>
          <w:szCs w:val="30"/>
        </w:rPr>
      </w:pPr>
      <w:r>
        <w:rPr>
          <w:rFonts w:hint="eastAsia" w:ascii="宋体" w:hAnsi="宋体"/>
          <w:sz w:val="30"/>
          <w:szCs w:val="30"/>
        </w:rPr>
        <w:t>1、主干道：规划形成“三横三纵”的主干道结构，红线宽度一般为40—60 米。其中嘉瑞大道规划红线宽度为60</w:t>
      </w:r>
      <w:r>
        <w:rPr>
          <w:rFonts w:ascii="宋体" w:hAnsi="宋体"/>
          <w:sz w:val="30"/>
          <w:szCs w:val="30"/>
        </w:rPr>
        <w:t>-70</w:t>
      </w:r>
      <w:r>
        <w:rPr>
          <w:rFonts w:hint="eastAsia" w:ascii="宋体" w:hAnsi="宋体"/>
          <w:sz w:val="30"/>
          <w:szCs w:val="30"/>
        </w:rPr>
        <w:t>米，为兼顾景观和交通通达性，规划对嘉瑞大道进行节点立体化</w:t>
      </w:r>
      <w:r>
        <w:rPr>
          <w:rFonts w:ascii="宋体" w:hAnsi="宋体"/>
          <w:sz w:val="30"/>
          <w:szCs w:val="30"/>
        </w:rPr>
        <w:t>交通</w:t>
      </w:r>
      <w:r>
        <w:rPr>
          <w:rFonts w:hint="eastAsia" w:ascii="宋体" w:hAnsi="宋体"/>
          <w:sz w:val="30"/>
          <w:szCs w:val="30"/>
        </w:rPr>
        <w:t>改造。</w:t>
      </w:r>
    </w:p>
    <w:p w14:paraId="429065FC">
      <w:pPr>
        <w:spacing w:line="680" w:lineRule="exact"/>
        <w:ind w:firstLine="450" w:firstLineChars="150"/>
        <w:rPr>
          <w:rFonts w:ascii="宋体" w:hAnsi="宋体"/>
          <w:sz w:val="30"/>
          <w:szCs w:val="30"/>
        </w:rPr>
      </w:pPr>
      <w:r>
        <w:rPr>
          <w:rFonts w:hint="eastAsia" w:ascii="宋体" w:hAnsi="宋体"/>
          <w:sz w:val="30"/>
          <w:szCs w:val="30"/>
        </w:rPr>
        <w:t xml:space="preserve"> 2、次干道：道路红线宽度30-</w:t>
      </w:r>
      <w:r>
        <w:rPr>
          <w:rFonts w:ascii="宋体" w:hAnsi="宋体"/>
          <w:sz w:val="30"/>
          <w:szCs w:val="30"/>
        </w:rPr>
        <w:t>4</w:t>
      </w:r>
      <w:r>
        <w:rPr>
          <w:rFonts w:hint="eastAsia" w:ascii="宋体" w:hAnsi="宋体"/>
          <w:sz w:val="30"/>
          <w:szCs w:val="30"/>
        </w:rPr>
        <w:t>0米。</w:t>
      </w:r>
    </w:p>
    <w:p w14:paraId="2001708B">
      <w:pPr>
        <w:spacing w:line="640" w:lineRule="exact"/>
        <w:ind w:firstLine="600" w:firstLineChars="200"/>
        <w:rPr>
          <w:rFonts w:hint="eastAsia" w:ascii="宋体" w:hAnsi="宋体"/>
          <w:sz w:val="30"/>
          <w:szCs w:val="30"/>
        </w:rPr>
      </w:pPr>
      <w:r>
        <w:rPr>
          <w:rFonts w:hint="eastAsia" w:ascii="宋体" w:hAnsi="宋体"/>
          <w:sz w:val="30"/>
          <w:szCs w:val="30"/>
        </w:rPr>
        <w:t>3、支路：主要连接规划区内部各功能区及次干道，为内部交通服务，道路红线控制宽度</w:t>
      </w:r>
      <w:r>
        <w:rPr>
          <w:rFonts w:ascii="宋体" w:hAnsi="宋体"/>
          <w:sz w:val="30"/>
          <w:szCs w:val="30"/>
        </w:rPr>
        <w:t>30</w:t>
      </w:r>
      <w:r>
        <w:rPr>
          <w:rFonts w:hint="eastAsia" w:ascii="宋体" w:hAnsi="宋体"/>
          <w:sz w:val="30"/>
          <w:szCs w:val="30"/>
        </w:rPr>
        <w:t>米及以下。</w:t>
      </w:r>
    </w:p>
    <w:p w14:paraId="24D84C09">
      <w:pPr>
        <w:spacing w:line="640" w:lineRule="exact"/>
        <w:ind w:firstLine="600" w:firstLineChars="200"/>
        <w:rPr>
          <w:rFonts w:hint="eastAsia" w:ascii="宋体" w:hAnsi="宋体"/>
        </w:rPr>
      </w:pPr>
      <w:r>
        <w:rPr>
          <w:rFonts w:hint="eastAsia" w:ascii="宋体" w:hAnsi="宋体"/>
          <w:bCs/>
          <w:sz w:val="30"/>
          <w:szCs w:val="30"/>
        </w:rPr>
        <w:t>第三十九条  公共交通场站规划</w:t>
      </w:r>
    </w:p>
    <w:p w14:paraId="6F860FB8">
      <w:pPr>
        <w:spacing w:line="640" w:lineRule="exact"/>
        <w:ind w:firstLine="600" w:firstLineChars="200"/>
        <w:rPr>
          <w:rFonts w:hint="eastAsia" w:ascii="宋体" w:hAnsi="宋体"/>
          <w:sz w:val="30"/>
          <w:szCs w:val="30"/>
        </w:rPr>
      </w:pPr>
      <w:r>
        <w:rPr>
          <w:rFonts w:hint="eastAsia" w:ascii="宋体" w:hAnsi="宋体"/>
          <w:sz w:val="30"/>
          <w:szCs w:val="30"/>
        </w:rPr>
        <w:t>规划公交首末站1处，位于规划区西南部，占地面积0.83公顷。</w:t>
      </w:r>
    </w:p>
    <w:p w14:paraId="058458BA">
      <w:pPr>
        <w:spacing w:line="680" w:lineRule="exact"/>
        <w:ind w:firstLine="600" w:firstLineChars="200"/>
        <w:rPr>
          <w:rFonts w:hint="eastAsia" w:ascii="宋体" w:hAnsi="宋体"/>
          <w:sz w:val="30"/>
          <w:szCs w:val="30"/>
        </w:rPr>
      </w:pPr>
      <w:r>
        <w:rPr>
          <w:rFonts w:hint="eastAsia" w:ascii="宋体" w:hAnsi="宋体"/>
          <w:bCs/>
          <w:sz w:val="30"/>
          <w:szCs w:val="30"/>
        </w:rPr>
        <w:t>第四十条 公共停车场规划</w:t>
      </w:r>
    </w:p>
    <w:p w14:paraId="549E43CD">
      <w:pPr>
        <w:spacing w:line="600" w:lineRule="exact"/>
        <w:ind w:firstLine="600" w:firstLineChars="200"/>
        <w:rPr>
          <w:rFonts w:hint="eastAsia" w:ascii="宋体" w:hAnsi="宋体"/>
          <w:sz w:val="30"/>
        </w:rPr>
      </w:pPr>
      <w:r>
        <w:rPr>
          <w:rFonts w:hint="eastAsia" w:ascii="宋体" w:hAnsi="宋体"/>
          <w:sz w:val="30"/>
        </w:rPr>
        <w:t>结合</w:t>
      </w:r>
      <w:r>
        <w:rPr>
          <w:rFonts w:ascii="宋体" w:hAnsi="宋体"/>
          <w:sz w:val="30"/>
        </w:rPr>
        <w:t>片区地势高差</w:t>
      </w:r>
      <w:r>
        <w:rPr>
          <w:rFonts w:hint="eastAsia" w:ascii="宋体" w:hAnsi="宋体"/>
          <w:sz w:val="30"/>
        </w:rPr>
        <w:t>，充分</w:t>
      </w:r>
      <w:r>
        <w:rPr>
          <w:rFonts w:ascii="宋体" w:hAnsi="宋体"/>
          <w:sz w:val="30"/>
        </w:rPr>
        <w:t>利用</w:t>
      </w:r>
      <w:r>
        <w:rPr>
          <w:rFonts w:hint="eastAsia" w:ascii="宋体" w:hAnsi="宋体"/>
          <w:sz w:val="30"/>
        </w:rPr>
        <w:t>地下</w:t>
      </w:r>
      <w:r>
        <w:rPr>
          <w:rFonts w:ascii="宋体" w:hAnsi="宋体"/>
          <w:sz w:val="30"/>
        </w:rPr>
        <w:t>空间，</w:t>
      </w:r>
      <w:r>
        <w:rPr>
          <w:rFonts w:hint="eastAsia" w:ascii="宋体" w:hAnsi="宋体"/>
          <w:sz w:val="30"/>
        </w:rPr>
        <w:t>在公共设施集中的区域规划必要的地下配建停车场。</w:t>
      </w:r>
    </w:p>
    <w:p w14:paraId="145693A3">
      <w:pPr>
        <w:spacing w:line="600" w:lineRule="exact"/>
        <w:ind w:firstLine="600" w:firstLineChars="200"/>
        <w:rPr>
          <w:rFonts w:hint="eastAsia" w:ascii="宋体" w:hAnsi="宋体"/>
          <w:sz w:val="30"/>
        </w:rPr>
      </w:pPr>
      <w:r>
        <w:rPr>
          <w:rFonts w:hint="eastAsia" w:ascii="宋体" w:hAnsi="宋体"/>
          <w:bCs/>
          <w:sz w:val="30"/>
        </w:rPr>
        <w:t>第四十一条</w:t>
      </w:r>
      <w:r>
        <w:rPr>
          <w:rFonts w:hint="eastAsia" w:ascii="宋体" w:hAnsi="宋体"/>
          <w:sz w:val="30"/>
        </w:rPr>
        <w:t xml:space="preserve">    </w:t>
      </w:r>
      <w:r>
        <w:rPr>
          <w:rFonts w:hint="eastAsia" w:ascii="宋体" w:hAnsi="宋体"/>
          <w:sz w:val="30"/>
          <w:szCs w:val="30"/>
        </w:rPr>
        <w:t>规划地面形式</w:t>
      </w:r>
    </w:p>
    <w:p w14:paraId="1EEF4FCE">
      <w:pPr>
        <w:spacing w:line="600" w:lineRule="exact"/>
        <w:ind w:firstLine="588" w:firstLineChars="196"/>
        <w:rPr>
          <w:rFonts w:hint="eastAsia" w:ascii="宋体" w:hAnsi="宋体"/>
          <w:sz w:val="30"/>
          <w:szCs w:val="30"/>
        </w:rPr>
      </w:pPr>
      <w:r>
        <w:rPr>
          <w:rFonts w:hint="eastAsia" w:ascii="宋体" w:hAnsi="宋体"/>
          <w:sz w:val="30"/>
        </w:rPr>
        <w:t>根据规划区的地形特点及规划用地性质、功能等因素，地面规划</w:t>
      </w:r>
      <w:r>
        <w:rPr>
          <w:rFonts w:hint="eastAsia" w:ascii="宋体" w:hAnsi="宋体"/>
          <w:sz w:val="30"/>
          <w:szCs w:val="30"/>
        </w:rPr>
        <w:t>主要采用“平坡+台阶”</w:t>
      </w:r>
      <w:r>
        <w:rPr>
          <w:rFonts w:ascii="宋体" w:hAnsi="宋体"/>
          <w:sz w:val="30"/>
          <w:szCs w:val="30"/>
        </w:rPr>
        <w:t>结合的方</w:t>
      </w:r>
      <w:r>
        <w:rPr>
          <w:rFonts w:hint="eastAsia" w:ascii="宋体" w:hAnsi="宋体"/>
          <w:sz w:val="30"/>
          <w:szCs w:val="30"/>
        </w:rPr>
        <w:t>式。</w:t>
      </w:r>
    </w:p>
    <w:p w14:paraId="1DE26D8D">
      <w:pPr>
        <w:spacing w:line="720" w:lineRule="exact"/>
        <w:ind w:firstLine="600" w:firstLineChars="200"/>
        <w:rPr>
          <w:rFonts w:hint="eastAsia" w:ascii="宋体" w:hAnsi="宋体"/>
          <w:bCs/>
          <w:sz w:val="30"/>
        </w:rPr>
      </w:pPr>
      <w:r>
        <w:rPr>
          <w:rFonts w:hint="eastAsia" w:ascii="宋体" w:hAnsi="宋体"/>
          <w:bCs/>
          <w:sz w:val="30"/>
        </w:rPr>
        <w:t>第四十二条</w:t>
      </w:r>
      <w:r>
        <w:rPr>
          <w:rFonts w:hint="eastAsia" w:ascii="宋体" w:hAnsi="宋体"/>
          <w:sz w:val="30"/>
        </w:rPr>
        <w:t xml:space="preserve">  </w:t>
      </w:r>
      <w:r>
        <w:rPr>
          <w:rFonts w:hint="eastAsia" w:ascii="宋体" w:hAnsi="宋体"/>
          <w:bCs/>
          <w:sz w:val="30"/>
        </w:rPr>
        <w:t>竖向与道路、场地排水</w:t>
      </w:r>
    </w:p>
    <w:p w14:paraId="5363A9E0">
      <w:pPr>
        <w:spacing w:line="600" w:lineRule="exact"/>
        <w:ind w:firstLine="588" w:firstLineChars="196"/>
        <w:rPr>
          <w:rFonts w:hint="eastAsia" w:ascii="宋体" w:hAnsi="宋体"/>
          <w:sz w:val="30"/>
          <w:szCs w:val="30"/>
        </w:rPr>
      </w:pPr>
      <w:r>
        <w:rPr>
          <w:rFonts w:hint="eastAsia" w:ascii="宋体" w:hAnsi="宋体"/>
          <w:sz w:val="30"/>
          <w:szCs w:val="30"/>
        </w:rPr>
        <w:t>综合协调道路、场地、排水管道、排洪河道之间的高程关系。规划以嘉瑞大道为分界线，主要分为南、</w:t>
      </w:r>
      <w:r>
        <w:rPr>
          <w:rFonts w:ascii="宋体" w:hAnsi="宋体"/>
          <w:sz w:val="30"/>
          <w:szCs w:val="30"/>
        </w:rPr>
        <w:t>北</w:t>
      </w:r>
      <w:r>
        <w:rPr>
          <w:rFonts w:hint="eastAsia" w:ascii="宋体" w:hAnsi="宋体"/>
          <w:sz w:val="30"/>
          <w:szCs w:val="30"/>
        </w:rPr>
        <w:t>两个排水区域。雨水受纳水体为青衣江、竹公溪。</w:t>
      </w:r>
    </w:p>
    <w:p w14:paraId="4DB37AEE">
      <w:pPr>
        <w:spacing w:line="600" w:lineRule="exact"/>
        <w:ind w:firstLine="588" w:firstLineChars="196"/>
        <w:rPr>
          <w:rFonts w:hint="eastAsia" w:ascii="宋体" w:hAnsi="宋体"/>
          <w:bCs/>
          <w:sz w:val="30"/>
        </w:rPr>
      </w:pPr>
      <w:r>
        <w:rPr>
          <w:rFonts w:hint="eastAsia" w:ascii="宋体" w:hAnsi="宋体"/>
          <w:bCs/>
          <w:sz w:val="30"/>
        </w:rPr>
        <w:t>第四十三条  综合管廊规划</w:t>
      </w:r>
    </w:p>
    <w:p w14:paraId="0FB515C9">
      <w:pPr>
        <w:spacing w:line="600" w:lineRule="exact"/>
        <w:ind w:firstLine="588" w:firstLineChars="196"/>
        <w:rPr>
          <w:rFonts w:hint="eastAsia" w:ascii="宋体" w:hAnsi="宋体"/>
          <w:sz w:val="30"/>
          <w:szCs w:val="30"/>
        </w:rPr>
      </w:pPr>
      <w:r>
        <w:rPr>
          <w:rFonts w:hint="eastAsia" w:ascii="宋体" w:hAnsi="宋体"/>
          <w:sz w:val="30"/>
          <w:szCs w:val="30"/>
        </w:rPr>
        <w:t>规划区条件满足时宜建设综合管廊，管廊布局形式主要为A型和C型。其中A型综合管廊主要考虑布置棉竹片区的嘉瑞大道、</w:t>
      </w:r>
      <w:r>
        <w:rPr>
          <w:rFonts w:ascii="宋体" w:hAnsi="宋体"/>
          <w:sz w:val="30"/>
          <w:szCs w:val="30"/>
        </w:rPr>
        <w:t>竹中路、新竹路</w:t>
      </w:r>
      <w:r>
        <w:rPr>
          <w:rFonts w:hint="eastAsia" w:ascii="宋体" w:hAnsi="宋体"/>
          <w:sz w:val="30"/>
          <w:szCs w:val="30"/>
        </w:rPr>
        <w:t>等主干路，C型综合管廊布置在其余主次干道上。根据棉竹片区实际情况，雨水、污水管网单独设置，不进入综合管廊。</w:t>
      </w:r>
    </w:p>
    <w:p w14:paraId="44DA6FD5">
      <w:pPr>
        <w:pStyle w:val="3"/>
        <w:spacing w:line="720" w:lineRule="exact"/>
        <w:jc w:val="center"/>
        <w:rPr>
          <w:rFonts w:hint="eastAsia" w:ascii="宋体" w:hAnsi="宋体" w:eastAsia="宋体"/>
          <w:sz w:val="36"/>
          <w:szCs w:val="36"/>
        </w:rPr>
      </w:pPr>
      <w:bookmarkStart w:id="22" w:name="_Toc339373886"/>
      <w:r>
        <w:rPr>
          <w:rFonts w:hint="eastAsia" w:ascii="宋体" w:hAnsi="宋体" w:eastAsia="宋体"/>
          <w:sz w:val="36"/>
          <w:szCs w:val="36"/>
        </w:rPr>
        <w:t>第七章</w:t>
      </w:r>
      <w:r>
        <w:rPr>
          <w:rFonts w:ascii="宋体" w:hAnsi="宋体" w:eastAsia="宋体"/>
          <w:sz w:val="36"/>
          <w:szCs w:val="36"/>
        </w:rPr>
        <w:t xml:space="preserve">  </w:t>
      </w:r>
      <w:r>
        <w:rPr>
          <w:rFonts w:hint="eastAsia" w:ascii="宋体" w:hAnsi="宋体" w:eastAsia="宋体"/>
          <w:sz w:val="36"/>
          <w:szCs w:val="36"/>
        </w:rPr>
        <w:t>市政管线工程规划</w:t>
      </w:r>
      <w:bookmarkEnd w:id="22"/>
    </w:p>
    <w:p w14:paraId="4E8FF795">
      <w:pPr>
        <w:spacing w:line="680" w:lineRule="exact"/>
        <w:ind w:firstLine="600" w:firstLineChars="200"/>
        <w:rPr>
          <w:rFonts w:hint="eastAsia" w:ascii="宋体" w:hAnsi="宋体"/>
          <w:sz w:val="30"/>
          <w:szCs w:val="30"/>
        </w:rPr>
      </w:pPr>
      <w:r>
        <w:rPr>
          <w:rFonts w:hint="eastAsia" w:ascii="宋体" w:hAnsi="宋体"/>
          <w:bCs/>
          <w:sz w:val="30"/>
          <w:szCs w:val="30"/>
        </w:rPr>
        <w:t>第四十四条</w:t>
      </w:r>
      <w:r>
        <w:rPr>
          <w:rFonts w:hint="eastAsia" w:ascii="宋体" w:hAnsi="宋体"/>
          <w:sz w:val="30"/>
          <w:szCs w:val="30"/>
        </w:rPr>
        <w:t xml:space="preserve">  给水工程规划</w:t>
      </w:r>
    </w:p>
    <w:p w14:paraId="1424957D">
      <w:pPr>
        <w:spacing w:line="600" w:lineRule="exact"/>
        <w:ind w:firstLine="588" w:firstLineChars="196"/>
        <w:rPr>
          <w:rFonts w:hint="eastAsia" w:ascii="宋体" w:hAnsi="宋体"/>
          <w:sz w:val="30"/>
          <w:szCs w:val="30"/>
        </w:rPr>
      </w:pPr>
      <w:r>
        <w:rPr>
          <w:rFonts w:hint="eastAsia" w:ascii="宋体" w:hAnsi="宋体"/>
          <w:sz w:val="30"/>
          <w:szCs w:val="30"/>
        </w:rPr>
        <w:t>1、棉竹片区由第三水厂及第五水厂共同供水，预测规划区最</w:t>
      </w:r>
      <w:r>
        <w:rPr>
          <w:rFonts w:ascii="宋体" w:hAnsi="宋体"/>
          <w:sz w:val="30"/>
          <w:szCs w:val="30"/>
        </w:rPr>
        <w:t>高</w:t>
      </w:r>
      <w:r>
        <w:rPr>
          <w:rFonts w:hint="eastAsia" w:ascii="宋体" w:hAnsi="宋体"/>
          <w:sz w:val="30"/>
          <w:szCs w:val="30"/>
        </w:rPr>
        <w:t>用水总量约为3.2万吨/日。</w:t>
      </w:r>
    </w:p>
    <w:p w14:paraId="5DE6E859">
      <w:pPr>
        <w:spacing w:line="600" w:lineRule="exact"/>
        <w:ind w:firstLine="588" w:firstLineChars="196"/>
        <w:rPr>
          <w:rFonts w:hint="eastAsia" w:ascii="宋体" w:hAnsi="宋体"/>
          <w:sz w:val="30"/>
          <w:szCs w:val="30"/>
        </w:rPr>
      </w:pPr>
      <w:r>
        <w:rPr>
          <w:rFonts w:hint="eastAsia" w:ascii="宋体" w:hAnsi="宋体"/>
          <w:sz w:val="30"/>
          <w:szCs w:val="30"/>
        </w:rPr>
        <w:t>2、规划区采用环状与树枝状相结合方的供水管网布置方式，以提高规划区的供水安全可靠性。</w:t>
      </w:r>
    </w:p>
    <w:p w14:paraId="76C5388D">
      <w:pPr>
        <w:pStyle w:val="23"/>
        <w:spacing w:line="680" w:lineRule="exact"/>
        <w:ind w:firstLine="600" w:firstLineChars="200"/>
        <w:rPr>
          <w:rFonts w:hint="eastAsia" w:ascii="宋体" w:hAnsi="宋体"/>
          <w:sz w:val="30"/>
          <w:szCs w:val="30"/>
        </w:rPr>
      </w:pPr>
      <w:r>
        <w:rPr>
          <w:rFonts w:hint="eastAsia" w:ascii="宋体" w:hAnsi="宋体"/>
          <w:sz w:val="30"/>
          <w:szCs w:val="30"/>
        </w:rPr>
        <w:t>第四十五条  排水工程规划</w:t>
      </w:r>
    </w:p>
    <w:p w14:paraId="05CFF5C9">
      <w:pPr>
        <w:pStyle w:val="23"/>
        <w:spacing w:line="680" w:lineRule="exact"/>
        <w:ind w:firstLine="600" w:firstLineChars="200"/>
        <w:rPr>
          <w:rFonts w:hint="eastAsia" w:ascii="宋体" w:hAnsi="宋体"/>
          <w:sz w:val="30"/>
          <w:szCs w:val="24"/>
        </w:rPr>
      </w:pPr>
      <w:r>
        <w:rPr>
          <w:rFonts w:hint="eastAsia" w:ascii="宋体" w:hAnsi="宋体"/>
          <w:sz w:val="30"/>
          <w:szCs w:val="30"/>
        </w:rPr>
        <w:t>1、</w:t>
      </w:r>
      <w:r>
        <w:rPr>
          <w:rFonts w:hint="eastAsia" w:ascii="宋体" w:hAnsi="宋体"/>
          <w:sz w:val="30"/>
          <w:szCs w:val="24"/>
        </w:rPr>
        <w:t>排水体制</w:t>
      </w:r>
    </w:p>
    <w:p w14:paraId="42DA0F55">
      <w:pPr>
        <w:spacing w:line="680" w:lineRule="exact"/>
        <w:ind w:firstLine="600" w:firstLineChars="200"/>
        <w:rPr>
          <w:rFonts w:hint="eastAsia" w:ascii="宋体" w:hAnsi="宋体"/>
          <w:sz w:val="30"/>
          <w:u w:val="single"/>
        </w:rPr>
      </w:pPr>
      <w:r>
        <w:rPr>
          <w:rFonts w:hint="eastAsia" w:ascii="宋体" w:hAnsi="宋体"/>
          <w:sz w:val="30"/>
          <w:u w:val="single"/>
        </w:rPr>
        <w:t>规划采用雨污分流的排水体制。</w:t>
      </w:r>
    </w:p>
    <w:p w14:paraId="30DCA5AE">
      <w:pPr>
        <w:spacing w:line="680" w:lineRule="exact"/>
        <w:ind w:firstLine="600" w:firstLineChars="200"/>
        <w:rPr>
          <w:rFonts w:hint="eastAsia" w:ascii="宋体" w:hAnsi="宋体"/>
          <w:sz w:val="30"/>
        </w:rPr>
      </w:pPr>
      <w:r>
        <w:rPr>
          <w:rFonts w:hint="eastAsia" w:ascii="宋体" w:hAnsi="宋体"/>
          <w:sz w:val="30"/>
        </w:rPr>
        <w:t>2、雨水系统</w:t>
      </w:r>
    </w:p>
    <w:p w14:paraId="7E2A59CB">
      <w:pPr>
        <w:spacing w:line="680" w:lineRule="exact"/>
        <w:rPr>
          <w:rFonts w:hint="eastAsia" w:ascii="宋体" w:hAnsi="宋体"/>
          <w:sz w:val="30"/>
        </w:rPr>
      </w:pPr>
      <w:r>
        <w:rPr>
          <w:rFonts w:hint="eastAsia" w:ascii="宋体" w:hAnsi="宋体"/>
          <w:sz w:val="30"/>
        </w:rPr>
        <w:t xml:space="preserve">     规划区内的雨水主干管根据汇水区域沿片区主要道路敷设，规划区内的雨水管管径为D</w:t>
      </w:r>
      <w:r>
        <w:rPr>
          <w:rFonts w:ascii="宋体" w:hAnsi="宋体"/>
          <w:sz w:val="30"/>
        </w:rPr>
        <w:t>6</w:t>
      </w:r>
      <w:r>
        <w:rPr>
          <w:rFonts w:hint="eastAsia" w:ascii="宋体" w:hAnsi="宋体"/>
          <w:sz w:val="30"/>
        </w:rPr>
        <w:t>00～D1</w:t>
      </w:r>
      <w:r>
        <w:rPr>
          <w:rFonts w:ascii="宋体" w:hAnsi="宋体"/>
          <w:sz w:val="30"/>
        </w:rPr>
        <w:t>5</w:t>
      </w:r>
      <w:r>
        <w:rPr>
          <w:rFonts w:hint="eastAsia" w:ascii="宋体" w:hAnsi="宋体"/>
          <w:sz w:val="30"/>
        </w:rPr>
        <w:t>00。</w:t>
      </w:r>
    </w:p>
    <w:p w14:paraId="17C0931E">
      <w:pPr>
        <w:spacing w:line="680" w:lineRule="exact"/>
        <w:ind w:firstLine="750" w:firstLineChars="250"/>
        <w:rPr>
          <w:rFonts w:hint="eastAsia" w:ascii="宋体" w:hAnsi="宋体"/>
          <w:sz w:val="30"/>
        </w:rPr>
      </w:pPr>
      <w:r>
        <w:rPr>
          <w:rFonts w:hint="eastAsia" w:ascii="宋体" w:hAnsi="宋体"/>
          <w:sz w:val="30"/>
        </w:rPr>
        <w:t>3、污水系统</w:t>
      </w:r>
    </w:p>
    <w:p w14:paraId="5279B1D4">
      <w:pPr>
        <w:spacing w:line="680" w:lineRule="exact"/>
        <w:ind w:firstLine="600" w:firstLineChars="200"/>
        <w:rPr>
          <w:rFonts w:hint="eastAsia" w:ascii="宋体" w:hAnsi="宋体"/>
          <w:sz w:val="30"/>
        </w:rPr>
      </w:pPr>
      <w:r>
        <w:rPr>
          <w:rFonts w:hint="eastAsia" w:ascii="宋体" w:hAnsi="宋体"/>
          <w:sz w:val="30"/>
        </w:rPr>
        <w:t>片区内最高污水量为2.7万吨/日。规划区的污水排放原则上为重力排放，局部排水</w:t>
      </w:r>
      <w:r>
        <w:rPr>
          <w:rFonts w:ascii="宋体" w:hAnsi="宋体"/>
          <w:sz w:val="30"/>
        </w:rPr>
        <w:t>困难</w:t>
      </w:r>
      <w:r>
        <w:rPr>
          <w:rFonts w:hint="eastAsia" w:ascii="宋体" w:hAnsi="宋体"/>
          <w:sz w:val="30"/>
        </w:rPr>
        <w:t>地段</w:t>
      </w:r>
      <w:r>
        <w:rPr>
          <w:rFonts w:ascii="宋体" w:hAnsi="宋体"/>
          <w:sz w:val="30"/>
        </w:rPr>
        <w:t>可</w:t>
      </w:r>
      <w:r>
        <w:rPr>
          <w:rFonts w:hint="eastAsia" w:ascii="宋体" w:hAnsi="宋体"/>
          <w:sz w:val="30"/>
        </w:rPr>
        <w:t>设置提升泵站。污水干管顺自然地形坡度沿规划道路布置。本片区污水管管径为D</w:t>
      </w:r>
      <w:r>
        <w:rPr>
          <w:rFonts w:ascii="宋体" w:hAnsi="宋体"/>
          <w:sz w:val="30"/>
        </w:rPr>
        <w:t>5</w:t>
      </w:r>
      <w:r>
        <w:rPr>
          <w:rFonts w:hint="eastAsia" w:ascii="宋体" w:hAnsi="宋体"/>
          <w:sz w:val="30"/>
        </w:rPr>
        <w:t>00～D1</w:t>
      </w:r>
      <w:r>
        <w:rPr>
          <w:rFonts w:ascii="宋体" w:hAnsi="宋体"/>
          <w:sz w:val="30"/>
        </w:rPr>
        <w:t>0</w:t>
      </w:r>
      <w:r>
        <w:rPr>
          <w:rFonts w:hint="eastAsia" w:ascii="宋体" w:hAnsi="宋体"/>
          <w:sz w:val="30"/>
        </w:rPr>
        <w:t>00。</w:t>
      </w:r>
    </w:p>
    <w:p w14:paraId="054277F8">
      <w:pPr>
        <w:spacing w:line="680" w:lineRule="exact"/>
        <w:ind w:firstLine="573"/>
        <w:rPr>
          <w:rFonts w:hint="eastAsia" w:ascii="宋体" w:hAnsi="宋体"/>
          <w:sz w:val="30"/>
        </w:rPr>
      </w:pPr>
      <w:r>
        <w:rPr>
          <w:rFonts w:hint="eastAsia" w:ascii="宋体" w:hAnsi="宋体"/>
          <w:sz w:val="30"/>
        </w:rPr>
        <w:t>第四十六条 电力工程规划</w:t>
      </w:r>
    </w:p>
    <w:p w14:paraId="6D2A4413">
      <w:pPr>
        <w:spacing w:line="680" w:lineRule="exact"/>
        <w:ind w:firstLine="600" w:firstLineChars="200"/>
        <w:rPr>
          <w:rFonts w:hint="eastAsia" w:ascii="宋体" w:hAnsi="宋体"/>
          <w:sz w:val="30"/>
        </w:rPr>
      </w:pPr>
      <w:r>
        <w:rPr>
          <w:rFonts w:hint="eastAsia" w:ascii="宋体" w:hAnsi="宋体"/>
          <w:sz w:val="30"/>
        </w:rPr>
        <w:t>1、用电负荷预测</w:t>
      </w:r>
    </w:p>
    <w:p w14:paraId="7BEFDFF4">
      <w:pPr>
        <w:spacing w:line="680" w:lineRule="exact"/>
        <w:ind w:firstLine="600" w:firstLineChars="200"/>
        <w:rPr>
          <w:rFonts w:hint="eastAsia" w:ascii="宋体" w:hAnsi="宋体"/>
          <w:sz w:val="30"/>
        </w:rPr>
      </w:pPr>
      <w:r>
        <w:rPr>
          <w:rFonts w:hint="eastAsia" w:ascii="宋体" w:hAnsi="宋体"/>
          <w:sz w:val="30"/>
        </w:rPr>
        <w:t>本规划区用电负荷按照国家相关分类综合用地负荷指标进行测算，用电负荷为126.23</w:t>
      </w:r>
      <w:r>
        <w:rPr>
          <w:rFonts w:ascii="宋体" w:hAnsi="宋体"/>
          <w:sz w:val="30"/>
        </w:rPr>
        <w:t>MW</w:t>
      </w:r>
      <w:r>
        <w:rPr>
          <w:rFonts w:hint="eastAsia" w:ascii="宋体" w:hAnsi="宋体"/>
          <w:sz w:val="30"/>
        </w:rPr>
        <w:t>。</w:t>
      </w:r>
    </w:p>
    <w:p w14:paraId="590E65A1">
      <w:pPr>
        <w:spacing w:line="680" w:lineRule="exact"/>
        <w:ind w:firstLine="600" w:firstLineChars="200"/>
        <w:rPr>
          <w:rFonts w:hint="eastAsia" w:ascii="宋体" w:hAnsi="宋体"/>
          <w:sz w:val="30"/>
        </w:rPr>
      </w:pPr>
      <w:r>
        <w:rPr>
          <w:rFonts w:hint="eastAsia" w:ascii="宋体" w:hAnsi="宋体"/>
          <w:sz w:val="30"/>
        </w:rPr>
        <w:t>2、电源及变电站</w:t>
      </w:r>
    </w:p>
    <w:p w14:paraId="76766458">
      <w:pPr>
        <w:spacing w:line="640" w:lineRule="exact"/>
        <w:ind w:firstLine="600" w:firstLineChars="200"/>
        <w:rPr>
          <w:rFonts w:hint="eastAsia" w:ascii="宋体" w:hAnsi="宋体"/>
          <w:sz w:val="30"/>
        </w:rPr>
      </w:pPr>
      <w:r>
        <w:rPr>
          <w:rFonts w:hint="eastAsia" w:ascii="宋体" w:hAnsi="宋体"/>
          <w:sz w:val="30"/>
        </w:rPr>
        <w:t>规划新建3座110kv变电站，电源引自青江</w:t>
      </w:r>
      <w:r>
        <w:rPr>
          <w:rFonts w:ascii="宋体" w:hAnsi="宋体"/>
          <w:sz w:val="30"/>
        </w:rPr>
        <w:t>片区</w:t>
      </w:r>
      <w:r>
        <w:rPr>
          <w:rFonts w:hint="eastAsia" w:ascii="宋体" w:hAnsi="宋体"/>
          <w:sz w:val="30"/>
        </w:rPr>
        <w:t>范坝变电站，片区南部和北部各新增一处开闭所。</w:t>
      </w:r>
    </w:p>
    <w:p w14:paraId="6AEEF431">
      <w:pPr>
        <w:spacing w:line="680" w:lineRule="exact"/>
        <w:ind w:firstLine="450" w:firstLineChars="150"/>
        <w:rPr>
          <w:rFonts w:hint="eastAsia" w:ascii="宋体" w:hAnsi="宋体"/>
          <w:sz w:val="30"/>
        </w:rPr>
      </w:pPr>
      <w:r>
        <w:rPr>
          <w:rFonts w:hint="eastAsia" w:ascii="宋体" w:hAnsi="宋体"/>
          <w:sz w:val="30"/>
        </w:rPr>
        <w:t>3、线路规划</w:t>
      </w:r>
    </w:p>
    <w:p w14:paraId="10CE578A">
      <w:pPr>
        <w:pStyle w:val="28"/>
        <w:spacing w:line="680" w:lineRule="exact"/>
        <w:rPr>
          <w:rFonts w:hint="eastAsia" w:ascii="宋体" w:hAnsi="宋体" w:eastAsia="宋体" w:cs="Times New Roman"/>
          <w:color w:val="auto"/>
          <w:kern w:val="2"/>
          <w:sz w:val="30"/>
        </w:rPr>
      </w:pPr>
      <w:r>
        <w:rPr>
          <w:rFonts w:hint="eastAsia" w:ascii="宋体" w:hAnsi="宋体" w:eastAsia="宋体" w:cs="Times New Roman"/>
          <w:color w:val="auto"/>
          <w:kern w:val="2"/>
          <w:sz w:val="30"/>
        </w:rPr>
        <w:t xml:space="preserve">   由</w:t>
      </w:r>
      <w:r>
        <w:rPr>
          <w:rFonts w:ascii="宋体" w:hAnsi="宋体" w:eastAsia="宋体" w:cs="Times New Roman"/>
          <w:color w:val="auto"/>
          <w:kern w:val="2"/>
          <w:sz w:val="30"/>
        </w:rPr>
        <w:t>110kV</w:t>
      </w:r>
      <w:r>
        <w:rPr>
          <w:rFonts w:hint="eastAsia" w:ascii="宋体" w:hAnsi="宋体" w:eastAsia="宋体" w:cs="Times New Roman"/>
          <w:color w:val="auto"/>
          <w:kern w:val="2"/>
          <w:sz w:val="30"/>
        </w:rPr>
        <w:t>变电站出</w:t>
      </w:r>
      <w:r>
        <w:rPr>
          <w:rFonts w:ascii="宋体" w:hAnsi="宋体" w:eastAsia="宋体" w:cs="Times New Roman"/>
          <w:color w:val="auto"/>
          <w:kern w:val="2"/>
          <w:sz w:val="30"/>
        </w:rPr>
        <w:t>10kV</w:t>
      </w:r>
      <w:r>
        <w:rPr>
          <w:rFonts w:hint="eastAsia" w:ascii="宋体" w:hAnsi="宋体" w:eastAsia="宋体" w:cs="Times New Roman"/>
          <w:color w:val="auto"/>
          <w:kern w:val="2"/>
          <w:sz w:val="30"/>
        </w:rPr>
        <w:t>电力线接入各</w:t>
      </w:r>
      <w:r>
        <w:rPr>
          <w:rFonts w:ascii="宋体" w:hAnsi="宋体" w:eastAsia="宋体" w:cs="Times New Roman"/>
          <w:color w:val="auto"/>
          <w:kern w:val="2"/>
          <w:sz w:val="30"/>
        </w:rPr>
        <w:t>10kV</w:t>
      </w:r>
      <w:r>
        <w:rPr>
          <w:rFonts w:hint="eastAsia" w:ascii="宋体" w:hAnsi="宋体" w:eastAsia="宋体" w:cs="Times New Roman"/>
          <w:color w:val="auto"/>
          <w:kern w:val="2"/>
          <w:sz w:val="30"/>
        </w:rPr>
        <w:t>变配电站（变压器）或开闭所。</w:t>
      </w:r>
      <w:r>
        <w:rPr>
          <w:rFonts w:ascii="宋体" w:hAnsi="宋体" w:eastAsia="宋体" w:cs="Times New Roman"/>
          <w:color w:val="auto"/>
          <w:kern w:val="2"/>
          <w:sz w:val="30"/>
        </w:rPr>
        <w:t xml:space="preserve"> </w:t>
      </w:r>
    </w:p>
    <w:p w14:paraId="6D682D3C">
      <w:pPr>
        <w:spacing w:line="680" w:lineRule="exact"/>
        <w:ind w:firstLine="573"/>
        <w:rPr>
          <w:rFonts w:hint="eastAsia" w:ascii="宋体" w:hAnsi="宋体"/>
          <w:bCs/>
          <w:sz w:val="30"/>
          <w:szCs w:val="30"/>
        </w:rPr>
      </w:pPr>
      <w:r>
        <w:rPr>
          <w:rFonts w:hint="eastAsia" w:ascii="宋体" w:hAnsi="宋体"/>
          <w:bCs/>
          <w:sz w:val="30"/>
          <w:szCs w:val="30"/>
        </w:rPr>
        <w:t>第四十七条 电信、邮政及广播电视工程规划</w:t>
      </w:r>
    </w:p>
    <w:p w14:paraId="259E6CB3">
      <w:pPr>
        <w:spacing w:line="680" w:lineRule="exact"/>
        <w:ind w:firstLine="600" w:firstLineChars="200"/>
        <w:rPr>
          <w:rFonts w:hint="eastAsia" w:ascii="宋体" w:hAnsi="宋体"/>
          <w:sz w:val="30"/>
        </w:rPr>
      </w:pPr>
      <w:r>
        <w:rPr>
          <w:rFonts w:hint="eastAsia" w:ascii="宋体" w:hAnsi="宋体"/>
          <w:sz w:val="30"/>
        </w:rPr>
        <w:t>1、邮政设施规划</w:t>
      </w:r>
    </w:p>
    <w:p w14:paraId="2E77F77F">
      <w:pPr>
        <w:spacing w:line="680" w:lineRule="exact"/>
        <w:ind w:firstLine="600" w:firstLineChars="200"/>
        <w:rPr>
          <w:rFonts w:hint="eastAsia" w:ascii="宋体" w:hAnsi="宋体"/>
          <w:sz w:val="30"/>
        </w:rPr>
      </w:pPr>
      <w:r>
        <w:rPr>
          <w:rFonts w:hint="eastAsia" w:ascii="宋体" w:hAnsi="宋体"/>
          <w:sz w:val="30"/>
        </w:rPr>
        <w:t>各居住小区根据实际需求设邮政服务代办点，以满足规划区居民邮政服务需求。</w:t>
      </w:r>
    </w:p>
    <w:p w14:paraId="0FE02AA8">
      <w:pPr>
        <w:spacing w:line="680" w:lineRule="exact"/>
        <w:ind w:firstLine="600" w:firstLineChars="200"/>
        <w:rPr>
          <w:rFonts w:hint="eastAsia" w:ascii="宋体" w:hAnsi="宋体"/>
          <w:sz w:val="30"/>
        </w:rPr>
      </w:pPr>
      <w:r>
        <w:rPr>
          <w:rFonts w:hint="eastAsia" w:ascii="宋体" w:hAnsi="宋体"/>
          <w:sz w:val="30"/>
        </w:rPr>
        <w:t>2、电信工程规划</w:t>
      </w:r>
    </w:p>
    <w:p w14:paraId="13853C8D">
      <w:pPr>
        <w:spacing w:line="680" w:lineRule="exact"/>
        <w:ind w:firstLine="600" w:firstLineChars="200"/>
        <w:rPr>
          <w:rFonts w:hint="eastAsia" w:ascii="宋体" w:hAnsi="宋体"/>
          <w:sz w:val="30"/>
        </w:rPr>
      </w:pPr>
      <w:r>
        <w:rPr>
          <w:rFonts w:hint="eastAsia" w:ascii="宋体" w:hAnsi="宋体"/>
          <w:sz w:val="30"/>
        </w:rPr>
        <w:t>预测规划区电话装机数</w:t>
      </w:r>
      <w:r>
        <w:rPr>
          <w:rFonts w:ascii="宋体" w:hAnsi="宋体"/>
          <w:sz w:val="30"/>
        </w:rPr>
        <w:t>3.92</w:t>
      </w:r>
      <w:r>
        <w:rPr>
          <w:rFonts w:hint="eastAsia" w:ascii="宋体" w:hAnsi="宋体"/>
          <w:sz w:val="30"/>
        </w:rPr>
        <w:t xml:space="preserve">万部。各居住小区根据实际需求设置电信服务代办点，规划电信线路主要采用管道电缆方式，全部下地敷设。 </w:t>
      </w:r>
    </w:p>
    <w:p w14:paraId="2B160F59">
      <w:pPr>
        <w:spacing w:line="680" w:lineRule="exact"/>
        <w:ind w:firstLine="600" w:firstLineChars="200"/>
        <w:rPr>
          <w:rFonts w:hint="eastAsia" w:ascii="宋体" w:hAnsi="宋体"/>
          <w:sz w:val="30"/>
        </w:rPr>
      </w:pPr>
      <w:r>
        <w:rPr>
          <w:rFonts w:hint="eastAsia" w:ascii="宋体" w:hAnsi="宋体"/>
          <w:sz w:val="30"/>
        </w:rPr>
        <w:t>3、广播电视工程规划</w:t>
      </w:r>
    </w:p>
    <w:p w14:paraId="67717C4C">
      <w:pPr>
        <w:spacing w:line="680" w:lineRule="exact"/>
        <w:ind w:firstLine="600" w:firstLineChars="200"/>
        <w:rPr>
          <w:rFonts w:hint="eastAsia" w:ascii="宋体" w:hAnsi="宋体"/>
          <w:sz w:val="30"/>
        </w:rPr>
      </w:pPr>
      <w:r>
        <w:rPr>
          <w:rFonts w:hint="eastAsia" w:ascii="宋体" w:hAnsi="宋体"/>
          <w:sz w:val="30"/>
        </w:rPr>
        <w:t>预测规划区共需约</w:t>
      </w:r>
      <w:r>
        <w:rPr>
          <w:rFonts w:ascii="宋体" w:hAnsi="宋体"/>
          <w:sz w:val="30"/>
        </w:rPr>
        <w:t>1.68</w:t>
      </w:r>
      <w:r>
        <w:rPr>
          <w:rFonts w:hint="eastAsia" w:ascii="宋体" w:hAnsi="宋体"/>
          <w:sz w:val="30"/>
        </w:rPr>
        <w:t>万对接线。</w:t>
      </w:r>
      <w:r>
        <w:rPr>
          <w:rFonts w:ascii="宋体" w:hAnsi="宋体"/>
          <w:sz w:val="30"/>
        </w:rPr>
        <w:t>广播电视主干线路采用光缆埋地敷设</w:t>
      </w:r>
      <w:r>
        <w:rPr>
          <w:rFonts w:hint="eastAsia" w:ascii="宋体" w:hAnsi="宋体"/>
          <w:sz w:val="30"/>
        </w:rPr>
        <w:t>，</w:t>
      </w:r>
      <w:r>
        <w:rPr>
          <w:rFonts w:ascii="宋体" w:hAnsi="宋体"/>
          <w:sz w:val="30"/>
        </w:rPr>
        <w:t>电信线路同程敷设(单独留</w:t>
      </w:r>
      <w:r>
        <w:rPr>
          <w:rFonts w:hint="eastAsia" w:ascii="宋体" w:hAnsi="宋体"/>
          <w:sz w:val="30"/>
        </w:rPr>
        <w:t>1</w:t>
      </w:r>
      <w:r>
        <w:rPr>
          <w:rFonts w:ascii="宋体" w:hAnsi="宋体"/>
          <w:sz w:val="30"/>
        </w:rPr>
        <w:t>孔)</w:t>
      </w:r>
      <w:r>
        <w:rPr>
          <w:rFonts w:hint="eastAsia" w:ascii="宋体" w:hAnsi="宋体"/>
          <w:sz w:val="30"/>
        </w:rPr>
        <w:t xml:space="preserve">。 </w:t>
      </w:r>
    </w:p>
    <w:p w14:paraId="72165613">
      <w:pPr>
        <w:spacing w:line="680" w:lineRule="exact"/>
        <w:ind w:firstLine="600" w:firstLineChars="200"/>
        <w:rPr>
          <w:rFonts w:hint="eastAsia" w:ascii="宋体" w:hAnsi="宋体"/>
          <w:sz w:val="30"/>
          <w:szCs w:val="30"/>
        </w:rPr>
      </w:pPr>
      <w:r>
        <w:rPr>
          <w:rFonts w:hint="eastAsia" w:ascii="宋体" w:hAnsi="宋体"/>
          <w:sz w:val="30"/>
          <w:szCs w:val="30"/>
        </w:rPr>
        <w:t>第四十八条 燃气工程规划</w:t>
      </w:r>
    </w:p>
    <w:p w14:paraId="6C482255">
      <w:pPr>
        <w:spacing w:line="680" w:lineRule="exact"/>
        <w:ind w:firstLine="600" w:firstLineChars="200"/>
        <w:rPr>
          <w:rFonts w:hint="eastAsia" w:ascii="宋体" w:hAnsi="宋体"/>
          <w:sz w:val="30"/>
          <w:szCs w:val="30"/>
        </w:rPr>
      </w:pPr>
      <w:r>
        <w:rPr>
          <w:rFonts w:hint="eastAsia" w:ascii="宋体" w:hAnsi="宋体"/>
          <w:sz w:val="30"/>
          <w:szCs w:val="30"/>
        </w:rPr>
        <w:t>1、用气量预测</w:t>
      </w:r>
    </w:p>
    <w:p w14:paraId="42E87FED">
      <w:pPr>
        <w:spacing w:line="680" w:lineRule="exact"/>
        <w:ind w:firstLine="750" w:firstLineChars="250"/>
        <w:rPr>
          <w:rFonts w:hint="eastAsia" w:ascii="宋体" w:hAnsi="宋体"/>
          <w:sz w:val="30"/>
          <w:szCs w:val="30"/>
        </w:rPr>
      </w:pPr>
      <w:r>
        <w:rPr>
          <w:rFonts w:hint="eastAsia" w:ascii="宋体" w:hAnsi="宋体"/>
          <w:sz w:val="30"/>
          <w:szCs w:val="30"/>
        </w:rPr>
        <w:t>棉竹片区内总用气量为</w:t>
      </w:r>
      <w:r>
        <w:rPr>
          <w:rFonts w:ascii="宋体" w:hAnsi="宋体"/>
          <w:sz w:val="30"/>
          <w:szCs w:val="30"/>
        </w:rPr>
        <w:t>2.42</w:t>
      </w:r>
      <w:r>
        <w:rPr>
          <w:rFonts w:hint="eastAsia" w:ascii="宋体" w:hAnsi="宋体"/>
          <w:sz w:val="30"/>
          <w:szCs w:val="30"/>
        </w:rPr>
        <w:t>万m³/日。</w:t>
      </w:r>
    </w:p>
    <w:p w14:paraId="6848240C">
      <w:pPr>
        <w:spacing w:line="680" w:lineRule="exact"/>
        <w:ind w:firstLine="600" w:firstLineChars="200"/>
        <w:rPr>
          <w:rFonts w:hint="eastAsia" w:ascii="宋体" w:hAnsi="宋体"/>
          <w:sz w:val="30"/>
          <w:szCs w:val="30"/>
        </w:rPr>
      </w:pPr>
      <w:r>
        <w:rPr>
          <w:rFonts w:hint="eastAsia" w:ascii="宋体" w:hAnsi="宋体"/>
          <w:sz w:val="30"/>
          <w:szCs w:val="30"/>
        </w:rPr>
        <w:t>2、燃气设施规划：片区规划燃气门站一处。</w:t>
      </w:r>
    </w:p>
    <w:p w14:paraId="01ADDBA6">
      <w:pPr>
        <w:spacing w:line="680" w:lineRule="exact"/>
        <w:ind w:firstLine="600" w:firstLineChars="200"/>
        <w:rPr>
          <w:rFonts w:hint="eastAsia" w:ascii="宋体" w:hAnsi="宋体"/>
          <w:sz w:val="30"/>
        </w:rPr>
      </w:pPr>
      <w:r>
        <w:rPr>
          <w:rFonts w:hint="eastAsia" w:ascii="宋体" w:hAnsi="宋体"/>
          <w:sz w:val="30"/>
        </w:rPr>
        <w:t>3、燃气管网布置</w:t>
      </w:r>
    </w:p>
    <w:p w14:paraId="16D62254">
      <w:pPr>
        <w:spacing w:line="680" w:lineRule="exact"/>
        <w:ind w:firstLine="573"/>
        <w:rPr>
          <w:rFonts w:hint="eastAsia" w:ascii="宋体" w:hAnsi="宋体"/>
          <w:sz w:val="30"/>
        </w:rPr>
      </w:pPr>
      <w:r>
        <w:rPr>
          <w:rFonts w:hint="eastAsia" w:ascii="宋体" w:hAnsi="宋体"/>
          <w:sz w:val="30"/>
        </w:rPr>
        <w:t>配气管网采用中压一级的供气方式。居住用地、公共设施用地及普通用气企业采用中压配气方式，由调压箱调成低压后供用户使用。</w:t>
      </w:r>
    </w:p>
    <w:p w14:paraId="2E47D1A9">
      <w:pPr>
        <w:spacing w:line="680" w:lineRule="exact"/>
        <w:ind w:firstLine="600" w:firstLineChars="200"/>
        <w:rPr>
          <w:rFonts w:hint="eastAsia" w:ascii="宋体" w:hAnsi="宋体"/>
          <w:sz w:val="30"/>
          <w:szCs w:val="30"/>
        </w:rPr>
      </w:pPr>
      <w:r>
        <w:rPr>
          <w:rFonts w:hint="eastAsia" w:ascii="宋体" w:hAnsi="宋体"/>
          <w:bCs/>
          <w:sz w:val="30"/>
          <w:szCs w:val="30"/>
        </w:rPr>
        <w:t xml:space="preserve">第四十九条 </w:t>
      </w:r>
      <w:r>
        <w:rPr>
          <w:rFonts w:hint="eastAsia" w:ascii="宋体" w:hAnsi="宋体"/>
          <w:sz w:val="30"/>
          <w:szCs w:val="30"/>
        </w:rPr>
        <w:t xml:space="preserve"> 管线综合规划</w:t>
      </w:r>
    </w:p>
    <w:p w14:paraId="1F76B915">
      <w:pPr>
        <w:spacing w:line="680" w:lineRule="exact"/>
        <w:ind w:firstLine="600" w:firstLineChars="200"/>
        <w:rPr>
          <w:rFonts w:hint="eastAsia" w:ascii="宋体" w:hAnsi="宋体"/>
          <w:sz w:val="30"/>
        </w:rPr>
      </w:pPr>
      <w:r>
        <w:rPr>
          <w:rFonts w:hint="eastAsia" w:ascii="宋体" w:hAnsi="宋体"/>
          <w:sz w:val="30"/>
        </w:rPr>
        <w:t>1、从道路红线向道路中心线方向，工程管线平面综合一般情况下的布置顺序宜为：电力电缆、电信电缆、燃气配气、给水配水、雨水、污水。</w:t>
      </w:r>
    </w:p>
    <w:p w14:paraId="7D744CD8">
      <w:pPr>
        <w:spacing w:line="680" w:lineRule="exact"/>
        <w:ind w:firstLine="600" w:firstLineChars="200"/>
        <w:rPr>
          <w:rFonts w:hint="eastAsia" w:ascii="宋体" w:hAnsi="宋体"/>
          <w:sz w:val="30"/>
        </w:rPr>
      </w:pPr>
      <w:r>
        <w:rPr>
          <w:rFonts w:hint="eastAsia" w:ascii="宋体" w:hAnsi="宋体"/>
          <w:sz w:val="30"/>
        </w:rPr>
        <w:t>2、电力浅沟在穿越道路时，应作结构处理以解决随车荷载问题，尽量避免加大埋深方式，以减少管线在交叉口的碰撞矛盾。</w:t>
      </w:r>
    </w:p>
    <w:p w14:paraId="26B7016E">
      <w:pPr>
        <w:spacing w:line="680" w:lineRule="exact"/>
        <w:ind w:firstLine="600" w:firstLineChars="200"/>
        <w:rPr>
          <w:rFonts w:hint="eastAsia" w:ascii="宋体" w:hAnsi="宋体"/>
          <w:sz w:val="30"/>
        </w:rPr>
      </w:pPr>
      <w:r>
        <w:rPr>
          <w:rFonts w:hint="eastAsia" w:ascii="宋体" w:hAnsi="宋体"/>
          <w:sz w:val="30"/>
        </w:rPr>
        <w:t>3、在各种管道设计和实施中，管道高程出现矛盾，一般按下面原则解决：</w:t>
      </w:r>
    </w:p>
    <w:p w14:paraId="476D4D71">
      <w:pPr>
        <w:spacing w:line="680" w:lineRule="exact"/>
        <w:ind w:firstLine="600" w:firstLineChars="200"/>
        <w:rPr>
          <w:rFonts w:hint="eastAsia" w:ascii="宋体" w:hAnsi="宋体"/>
          <w:sz w:val="30"/>
        </w:rPr>
      </w:pPr>
      <w:r>
        <w:rPr>
          <w:rFonts w:ascii="宋体" w:hAnsi="宋体"/>
          <w:sz w:val="30"/>
        </w:rPr>
        <w:t>①</w:t>
      </w:r>
      <w:r>
        <w:rPr>
          <w:rFonts w:hint="eastAsia" w:ascii="宋体" w:hAnsi="宋体"/>
          <w:sz w:val="30"/>
        </w:rPr>
        <w:t>压力管让自流管；</w:t>
      </w:r>
    </w:p>
    <w:p w14:paraId="00AA424D">
      <w:pPr>
        <w:spacing w:line="680" w:lineRule="exact"/>
        <w:ind w:firstLine="600" w:firstLineChars="200"/>
        <w:rPr>
          <w:rFonts w:hint="eastAsia" w:ascii="宋体" w:hAnsi="宋体"/>
          <w:sz w:val="30"/>
        </w:rPr>
      </w:pPr>
      <w:r>
        <w:rPr>
          <w:rFonts w:ascii="宋体" w:hAnsi="宋体"/>
          <w:sz w:val="30"/>
        </w:rPr>
        <w:t>②</w:t>
      </w:r>
      <w:r>
        <w:rPr>
          <w:rFonts w:hint="eastAsia" w:ascii="宋体" w:hAnsi="宋体"/>
          <w:sz w:val="30"/>
        </w:rPr>
        <w:t>管径小的让管径大的；</w:t>
      </w:r>
    </w:p>
    <w:p w14:paraId="604F2B73">
      <w:pPr>
        <w:spacing w:line="680" w:lineRule="exact"/>
        <w:ind w:firstLine="600" w:firstLineChars="200"/>
        <w:rPr>
          <w:rFonts w:hint="eastAsia" w:ascii="宋体" w:hAnsi="宋体"/>
          <w:sz w:val="30"/>
        </w:rPr>
      </w:pPr>
      <w:r>
        <w:rPr>
          <w:rFonts w:ascii="宋体" w:hAnsi="宋体"/>
          <w:sz w:val="30"/>
        </w:rPr>
        <w:t>③</w:t>
      </w:r>
      <w:r>
        <w:rPr>
          <w:rFonts w:hint="eastAsia" w:ascii="宋体" w:hAnsi="宋体"/>
          <w:sz w:val="30"/>
        </w:rPr>
        <w:t>易弯曲的让不易弯曲的；</w:t>
      </w:r>
    </w:p>
    <w:p w14:paraId="2275F3B9">
      <w:pPr>
        <w:spacing w:line="680" w:lineRule="exact"/>
        <w:ind w:firstLine="600" w:firstLineChars="200"/>
        <w:rPr>
          <w:rFonts w:hint="eastAsia" w:ascii="宋体" w:hAnsi="宋体"/>
          <w:sz w:val="30"/>
        </w:rPr>
      </w:pPr>
      <w:r>
        <w:rPr>
          <w:rFonts w:hint="eastAsia" w:ascii="宋体" w:hAnsi="宋体"/>
          <w:sz w:val="30"/>
        </w:rPr>
        <w:t>④临时性的让永久性的；</w:t>
      </w:r>
    </w:p>
    <w:p w14:paraId="47A2D072">
      <w:pPr>
        <w:spacing w:line="680" w:lineRule="exact"/>
        <w:ind w:firstLine="600" w:firstLineChars="200"/>
        <w:rPr>
          <w:rFonts w:hint="eastAsia" w:ascii="宋体" w:hAnsi="宋体"/>
          <w:sz w:val="30"/>
        </w:rPr>
      </w:pPr>
      <w:r>
        <w:rPr>
          <w:rFonts w:ascii="宋体" w:hAnsi="宋体"/>
          <w:sz w:val="30"/>
        </w:rPr>
        <w:t>⑤</w:t>
      </w:r>
      <w:r>
        <w:rPr>
          <w:rFonts w:hint="eastAsia" w:ascii="宋体" w:hAnsi="宋体"/>
          <w:sz w:val="30"/>
        </w:rPr>
        <w:t>工程量小的让工程量大的；</w:t>
      </w:r>
    </w:p>
    <w:p w14:paraId="741976AE">
      <w:pPr>
        <w:spacing w:line="680" w:lineRule="exact"/>
        <w:ind w:firstLine="600" w:firstLineChars="200"/>
        <w:rPr>
          <w:rFonts w:hint="eastAsia" w:ascii="宋体" w:hAnsi="宋体"/>
          <w:sz w:val="30"/>
        </w:rPr>
      </w:pPr>
      <w:r>
        <w:rPr>
          <w:rFonts w:ascii="宋体" w:hAnsi="宋体"/>
          <w:sz w:val="30"/>
        </w:rPr>
        <w:t>⑥</w:t>
      </w:r>
      <w:r>
        <w:rPr>
          <w:rFonts w:hint="eastAsia" w:ascii="宋体" w:hAnsi="宋体"/>
          <w:sz w:val="30"/>
        </w:rPr>
        <w:t>新建的让现状的；</w:t>
      </w:r>
    </w:p>
    <w:p w14:paraId="161862C8">
      <w:pPr>
        <w:spacing w:line="680" w:lineRule="exact"/>
        <w:ind w:firstLine="600" w:firstLineChars="200"/>
        <w:rPr>
          <w:rFonts w:ascii="宋体" w:hAnsi="宋体"/>
          <w:sz w:val="30"/>
        </w:rPr>
      </w:pPr>
      <w:r>
        <w:rPr>
          <w:rFonts w:ascii="宋体" w:hAnsi="宋体"/>
          <w:sz w:val="30"/>
        </w:rPr>
        <w:t>⑦</w:t>
      </w:r>
      <w:r>
        <w:rPr>
          <w:rFonts w:hint="eastAsia" w:ascii="宋体" w:hAnsi="宋体"/>
          <w:sz w:val="30"/>
        </w:rPr>
        <w:t>检修次数少的、方便的让检修次数多的、不方便的。</w:t>
      </w:r>
    </w:p>
    <w:p w14:paraId="67F0AEDA">
      <w:pPr>
        <w:spacing w:line="680" w:lineRule="exact"/>
        <w:ind w:firstLine="600" w:firstLineChars="200"/>
        <w:rPr>
          <w:rFonts w:hint="eastAsia" w:ascii="宋体" w:hAnsi="宋体"/>
          <w:sz w:val="30"/>
        </w:rPr>
      </w:pPr>
      <w:r>
        <w:rPr>
          <w:rFonts w:hint="eastAsia" w:ascii="宋体" w:hAnsi="宋体"/>
          <w:sz w:val="30"/>
        </w:rPr>
        <w:t>4、规划断面管线布置</w:t>
      </w:r>
    </w:p>
    <w:p w14:paraId="50A6E1E6">
      <w:pPr>
        <w:spacing w:line="680" w:lineRule="exact"/>
        <w:ind w:firstLine="600" w:firstLineChars="200"/>
        <w:rPr>
          <w:rFonts w:hint="eastAsia" w:ascii="宋体" w:hAnsi="宋体"/>
          <w:sz w:val="30"/>
        </w:rPr>
      </w:pPr>
      <w:r>
        <w:rPr>
          <w:rFonts w:hint="eastAsia" w:ascii="宋体" w:hAnsi="宋体"/>
          <w:sz w:val="30"/>
        </w:rPr>
        <w:t>在一般情况下道路的西、南侧布置电力、供水、雨水管道；道路的东、北侧设电信、污水管道和燃气管道。</w:t>
      </w:r>
    </w:p>
    <w:p w14:paraId="14122E91">
      <w:pPr>
        <w:spacing w:line="680" w:lineRule="exact"/>
        <w:ind w:firstLine="600" w:firstLineChars="200"/>
        <w:rPr>
          <w:rFonts w:hint="eastAsia" w:ascii="宋体" w:hAnsi="宋体"/>
          <w:sz w:val="30"/>
        </w:rPr>
      </w:pPr>
      <w:r>
        <w:rPr>
          <w:rFonts w:hint="eastAsia" w:ascii="宋体" w:hAnsi="宋体"/>
          <w:sz w:val="30"/>
        </w:rPr>
        <w:t>5、管线的布设应与道路或建筑红线平行，同一管线不宜自道路一侧转至另一侧。地下管线的施工宜与道路建设同步进行。</w:t>
      </w:r>
    </w:p>
    <w:p w14:paraId="43A1E099">
      <w:pPr>
        <w:spacing w:line="680" w:lineRule="exact"/>
        <w:ind w:firstLine="600" w:firstLineChars="200"/>
        <w:rPr>
          <w:rFonts w:hint="eastAsia" w:ascii="宋体" w:hAnsi="宋体"/>
          <w:sz w:val="30"/>
        </w:rPr>
      </w:pPr>
      <w:r>
        <w:rPr>
          <w:rFonts w:hint="eastAsia" w:ascii="宋体" w:hAnsi="宋体"/>
          <w:sz w:val="30"/>
        </w:rPr>
        <w:t>6、建筑红线与道路红线之间的地下空间允许城市市政管线占用。</w:t>
      </w:r>
    </w:p>
    <w:p w14:paraId="2E865D60">
      <w:pPr>
        <w:pStyle w:val="3"/>
        <w:spacing w:line="720" w:lineRule="exact"/>
        <w:jc w:val="center"/>
        <w:rPr>
          <w:rFonts w:hint="eastAsia" w:ascii="宋体" w:hAnsi="宋体" w:eastAsia="宋体"/>
          <w:sz w:val="36"/>
          <w:szCs w:val="36"/>
        </w:rPr>
      </w:pPr>
      <w:bookmarkStart w:id="23" w:name="_Toc339373887"/>
      <w:r>
        <w:rPr>
          <w:rFonts w:hint="eastAsia" w:ascii="宋体" w:hAnsi="宋体" w:eastAsia="宋体"/>
          <w:sz w:val="36"/>
          <w:szCs w:val="36"/>
        </w:rPr>
        <w:t>第八章</w:t>
      </w:r>
      <w:r>
        <w:rPr>
          <w:rFonts w:ascii="宋体" w:hAnsi="宋体" w:eastAsia="宋体"/>
          <w:sz w:val="36"/>
          <w:szCs w:val="36"/>
        </w:rPr>
        <w:t xml:space="preserve">  </w:t>
      </w:r>
      <w:r>
        <w:rPr>
          <w:rFonts w:hint="eastAsia" w:ascii="宋体" w:hAnsi="宋体" w:eastAsia="宋体"/>
          <w:sz w:val="36"/>
          <w:szCs w:val="36"/>
        </w:rPr>
        <w:t>综合防灾规划</w:t>
      </w:r>
      <w:bookmarkEnd w:id="23"/>
    </w:p>
    <w:p w14:paraId="6D736F0E">
      <w:pPr>
        <w:spacing w:line="680" w:lineRule="exact"/>
        <w:ind w:firstLine="600" w:firstLineChars="200"/>
        <w:rPr>
          <w:rFonts w:hint="eastAsia" w:ascii="宋体" w:hAnsi="宋体"/>
          <w:b/>
          <w:i/>
          <w:sz w:val="30"/>
          <w:szCs w:val="30"/>
        </w:rPr>
      </w:pPr>
      <w:r>
        <w:rPr>
          <w:rFonts w:hint="eastAsia" w:ascii="宋体" w:hAnsi="宋体"/>
          <w:bCs/>
          <w:sz w:val="30"/>
          <w:szCs w:val="30"/>
        </w:rPr>
        <w:t xml:space="preserve">第五十条 </w:t>
      </w:r>
      <w:r>
        <w:rPr>
          <w:rFonts w:hint="eastAsia" w:ascii="宋体" w:hAnsi="宋体"/>
          <w:sz w:val="30"/>
        </w:rPr>
        <w:t>防洪排涝规划</w:t>
      </w:r>
    </w:p>
    <w:p w14:paraId="7DB55243">
      <w:pPr>
        <w:spacing w:line="680" w:lineRule="exact"/>
        <w:ind w:firstLine="600" w:firstLineChars="200"/>
        <w:rPr>
          <w:rFonts w:hint="eastAsia" w:ascii="宋体" w:hAnsi="宋体"/>
          <w:sz w:val="30"/>
          <w:szCs w:val="30"/>
          <w:u w:val="single"/>
        </w:rPr>
      </w:pPr>
      <w:r>
        <w:rPr>
          <w:rFonts w:hint="eastAsia" w:ascii="宋体" w:hAnsi="宋体"/>
          <w:sz w:val="30"/>
          <w:szCs w:val="30"/>
          <w:u w:val="single"/>
        </w:rPr>
        <w:t>规划区内青衣江流域城市防洪标准为50年一遇，竹公溪防洪标准为20年一遇，内涝防治标准应按不小于20年一遇暴雨进行设防。规划区内所有涉及防洪要求的工程建设项目均以水务部门出具的意见为准。</w:t>
      </w:r>
    </w:p>
    <w:p w14:paraId="0D260E8C">
      <w:pPr>
        <w:spacing w:line="680" w:lineRule="exact"/>
        <w:ind w:firstLine="600" w:firstLineChars="200"/>
        <w:rPr>
          <w:rFonts w:hint="eastAsia" w:ascii="宋体" w:hAnsi="宋体"/>
          <w:sz w:val="30"/>
          <w:szCs w:val="30"/>
        </w:rPr>
      </w:pPr>
      <w:r>
        <w:rPr>
          <w:rFonts w:hint="eastAsia" w:ascii="宋体" w:hAnsi="宋体"/>
          <w:bCs/>
          <w:sz w:val="30"/>
          <w:szCs w:val="30"/>
        </w:rPr>
        <w:t xml:space="preserve">第五十一条  </w:t>
      </w:r>
      <w:r>
        <w:rPr>
          <w:rFonts w:hint="eastAsia" w:ascii="宋体" w:hAnsi="宋体"/>
          <w:sz w:val="30"/>
          <w:szCs w:val="30"/>
        </w:rPr>
        <w:t>抗震规划</w:t>
      </w:r>
    </w:p>
    <w:p w14:paraId="2E59C265">
      <w:pPr>
        <w:spacing w:line="680" w:lineRule="exact"/>
        <w:ind w:firstLine="600" w:firstLineChars="200"/>
        <w:rPr>
          <w:rFonts w:hint="eastAsia" w:ascii="宋体" w:hAnsi="宋体"/>
          <w:sz w:val="30"/>
          <w:szCs w:val="30"/>
          <w:u w:val="single"/>
        </w:rPr>
      </w:pPr>
      <w:r>
        <w:rPr>
          <w:rFonts w:hint="eastAsia" w:ascii="宋体" w:hAnsi="宋体"/>
          <w:sz w:val="30"/>
          <w:szCs w:val="30"/>
          <w:u w:val="single"/>
        </w:rPr>
        <w:t>规划区抗震设防烈度按七度设防。城市生命线工程及规划确定的重要建筑提高一度设防。</w:t>
      </w:r>
    </w:p>
    <w:p w14:paraId="3C932483">
      <w:pPr>
        <w:spacing w:line="680" w:lineRule="exact"/>
        <w:ind w:firstLine="600" w:firstLineChars="200"/>
        <w:rPr>
          <w:rFonts w:hint="eastAsia" w:ascii="宋体" w:hAnsi="宋体"/>
          <w:sz w:val="30"/>
          <w:szCs w:val="30"/>
        </w:rPr>
      </w:pPr>
      <w:r>
        <w:rPr>
          <w:rFonts w:hint="eastAsia" w:ascii="宋体" w:hAnsi="宋体"/>
          <w:bCs/>
          <w:sz w:val="30"/>
          <w:szCs w:val="30"/>
        </w:rPr>
        <w:t xml:space="preserve">第五十二条 </w:t>
      </w:r>
      <w:r>
        <w:rPr>
          <w:rFonts w:hint="eastAsia" w:ascii="宋体" w:hAnsi="宋体"/>
          <w:sz w:val="30"/>
          <w:szCs w:val="30"/>
        </w:rPr>
        <w:t xml:space="preserve"> 消防规划</w:t>
      </w:r>
    </w:p>
    <w:p w14:paraId="1D0A742E">
      <w:pPr>
        <w:spacing w:line="680" w:lineRule="exact"/>
        <w:ind w:firstLine="600" w:firstLineChars="200"/>
        <w:rPr>
          <w:rFonts w:hint="eastAsia" w:ascii="宋体" w:hAnsi="宋体"/>
          <w:sz w:val="30"/>
          <w:szCs w:val="30"/>
          <w:u w:val="single"/>
        </w:rPr>
      </w:pPr>
      <w:r>
        <w:rPr>
          <w:rFonts w:hint="eastAsia" w:ascii="宋体" w:hAnsi="宋体"/>
          <w:sz w:val="30"/>
          <w:szCs w:val="30"/>
          <w:u w:val="single"/>
        </w:rPr>
        <w:t>规划区设置消防站2处。规划区内建设工程必须严格执行国家颁布的防火规范，加强消防基础设施建设。规划区内消防用水由市政给水管网供给。规划区城市道路铺设消火栓的给水管管径不能小于DN150毫米。所有道路严格执行不大于120米间距设置室外消火栓。</w:t>
      </w:r>
    </w:p>
    <w:p w14:paraId="1EC02F30">
      <w:pPr>
        <w:spacing w:line="680" w:lineRule="exact"/>
        <w:ind w:firstLine="600" w:firstLineChars="200"/>
        <w:rPr>
          <w:rFonts w:hint="eastAsia" w:ascii="宋体" w:hAnsi="宋体"/>
          <w:sz w:val="30"/>
          <w:szCs w:val="30"/>
        </w:rPr>
      </w:pPr>
      <w:r>
        <w:rPr>
          <w:rFonts w:hint="eastAsia" w:ascii="宋体" w:hAnsi="宋体"/>
          <w:sz w:val="30"/>
          <w:szCs w:val="30"/>
        </w:rPr>
        <w:t>第五十三条  人防规划</w:t>
      </w:r>
    </w:p>
    <w:p w14:paraId="4288A95C">
      <w:pPr>
        <w:spacing w:line="680" w:lineRule="exact"/>
        <w:ind w:firstLine="600" w:firstLineChars="200"/>
        <w:rPr>
          <w:rFonts w:hint="eastAsia" w:ascii="宋体" w:hAnsi="宋体"/>
          <w:sz w:val="30"/>
          <w:u w:val="single"/>
        </w:rPr>
      </w:pPr>
      <w:bookmarkStart w:id="24" w:name="_Toc222888793"/>
      <w:r>
        <w:rPr>
          <w:rFonts w:hint="eastAsia" w:ascii="宋体" w:hAnsi="宋体"/>
          <w:sz w:val="30"/>
          <w:u w:val="single"/>
        </w:rPr>
        <w:t>规划区人防规划应纳入乐山市人防总体规划一并考虑。人防工作</w:t>
      </w:r>
      <w:r>
        <w:rPr>
          <w:rFonts w:ascii="宋体" w:hAnsi="宋体"/>
          <w:sz w:val="30"/>
          <w:u w:val="single"/>
        </w:rPr>
        <w:t>应重点保护给水、电力、电信、道路、桥梁、交通枢纽等生命线工程。</w:t>
      </w:r>
      <w:r>
        <w:rPr>
          <w:rFonts w:hint="eastAsia" w:ascii="宋体" w:hAnsi="宋体"/>
          <w:sz w:val="30"/>
          <w:u w:val="single"/>
        </w:rPr>
        <w:t>居住</w:t>
      </w:r>
      <w:r>
        <w:rPr>
          <w:rFonts w:ascii="宋体" w:hAnsi="宋体"/>
          <w:sz w:val="30"/>
          <w:u w:val="single"/>
        </w:rPr>
        <w:t>小区、高层建筑、重点目标及大型建筑，</w:t>
      </w:r>
      <w:r>
        <w:rPr>
          <w:rFonts w:hint="eastAsia" w:ascii="宋体" w:hAnsi="宋体"/>
          <w:sz w:val="30"/>
          <w:u w:val="single"/>
        </w:rPr>
        <w:t>应</w:t>
      </w:r>
      <w:r>
        <w:rPr>
          <w:rFonts w:ascii="宋体" w:hAnsi="宋体"/>
          <w:sz w:val="30"/>
          <w:u w:val="single"/>
        </w:rPr>
        <w:t>修建防空地下室。</w:t>
      </w:r>
    </w:p>
    <w:p w14:paraId="7AD50A35">
      <w:pPr>
        <w:spacing w:line="680" w:lineRule="exact"/>
        <w:ind w:firstLine="600" w:firstLineChars="200"/>
        <w:rPr>
          <w:rFonts w:hint="eastAsia" w:ascii="宋体" w:hAnsi="宋体"/>
          <w:sz w:val="30"/>
          <w:szCs w:val="30"/>
        </w:rPr>
      </w:pPr>
      <w:r>
        <w:rPr>
          <w:rFonts w:hint="eastAsia" w:ascii="宋体" w:hAnsi="宋体"/>
          <w:sz w:val="30"/>
          <w:szCs w:val="30"/>
        </w:rPr>
        <w:t>第五十四条 防地质灾害</w:t>
      </w:r>
    </w:p>
    <w:p w14:paraId="5463A9E3">
      <w:pPr>
        <w:spacing w:line="680" w:lineRule="exact"/>
        <w:ind w:firstLine="600" w:firstLineChars="200"/>
        <w:rPr>
          <w:rFonts w:hint="eastAsia" w:ascii="宋体" w:hAnsi="宋体"/>
          <w:sz w:val="30"/>
          <w:szCs w:val="30"/>
          <w:u w:val="single"/>
        </w:rPr>
      </w:pPr>
      <w:r>
        <w:rPr>
          <w:rFonts w:hint="eastAsia" w:ascii="宋体" w:hAnsi="宋体"/>
          <w:sz w:val="30"/>
          <w:szCs w:val="30"/>
          <w:u w:val="single"/>
        </w:rPr>
        <w:t>严格执行规划及建设项目的审批管理，各项目选址及开发建设必须有详尽的地质勘察资料。在开发建设过程中，应根据工程地质勘探情况采取相应的安全防范措施。</w:t>
      </w:r>
    </w:p>
    <w:bookmarkEnd w:id="24"/>
    <w:p w14:paraId="08E6E670">
      <w:pPr>
        <w:pStyle w:val="3"/>
        <w:spacing w:line="720" w:lineRule="exact"/>
        <w:jc w:val="center"/>
        <w:rPr>
          <w:rFonts w:hint="eastAsia" w:ascii="宋体" w:hAnsi="宋体" w:eastAsia="宋体"/>
          <w:sz w:val="36"/>
          <w:szCs w:val="36"/>
        </w:rPr>
      </w:pPr>
      <w:bookmarkStart w:id="25" w:name="_Toc339373888"/>
      <w:r>
        <w:rPr>
          <w:rFonts w:hint="eastAsia" w:ascii="宋体" w:hAnsi="宋体" w:eastAsia="宋体"/>
          <w:sz w:val="36"/>
          <w:szCs w:val="36"/>
        </w:rPr>
        <w:t>第九章  环境保护及环卫设施规划</w:t>
      </w:r>
      <w:bookmarkEnd w:id="25"/>
    </w:p>
    <w:p w14:paraId="4B694F49">
      <w:pPr>
        <w:spacing w:line="680" w:lineRule="exact"/>
        <w:ind w:firstLine="600"/>
        <w:rPr>
          <w:rFonts w:hint="eastAsia" w:ascii="宋体" w:hAnsi="宋体"/>
          <w:bCs/>
          <w:sz w:val="24"/>
        </w:rPr>
      </w:pPr>
      <w:r>
        <w:rPr>
          <w:rFonts w:hint="eastAsia" w:ascii="宋体" w:hAnsi="宋体"/>
          <w:sz w:val="30"/>
          <w:szCs w:val="30"/>
        </w:rPr>
        <w:t xml:space="preserve">第五十五条 </w:t>
      </w:r>
      <w:r>
        <w:rPr>
          <w:rFonts w:hint="eastAsia" w:ascii="宋体" w:hAnsi="宋体"/>
          <w:bCs/>
          <w:sz w:val="24"/>
        </w:rPr>
        <w:t xml:space="preserve"> </w:t>
      </w:r>
      <w:r>
        <w:rPr>
          <w:rFonts w:hint="eastAsia" w:ascii="宋体" w:hAnsi="宋体"/>
          <w:sz w:val="30"/>
        </w:rPr>
        <w:t>大气环境保护</w:t>
      </w:r>
    </w:p>
    <w:p w14:paraId="22310ACA">
      <w:pPr>
        <w:spacing w:line="600" w:lineRule="exact"/>
        <w:ind w:firstLine="600" w:firstLineChars="200"/>
        <w:rPr>
          <w:rFonts w:ascii="宋体" w:hAnsi="宋体"/>
          <w:sz w:val="30"/>
          <w:szCs w:val="30"/>
          <w:u w:val="single"/>
        </w:rPr>
      </w:pPr>
      <w:r>
        <w:rPr>
          <w:rFonts w:hint="eastAsia" w:ascii="宋体" w:hAnsi="宋体"/>
          <w:sz w:val="30"/>
          <w:szCs w:val="30"/>
          <w:u w:val="single"/>
        </w:rPr>
        <w:t>大气环境按《环境空气质量标准》（GB3095-2012）相关要求执行。</w:t>
      </w:r>
    </w:p>
    <w:p w14:paraId="2FF82CC8">
      <w:pPr>
        <w:spacing w:line="680" w:lineRule="exact"/>
        <w:ind w:firstLine="600" w:firstLineChars="200"/>
        <w:rPr>
          <w:rFonts w:hint="eastAsia" w:ascii="宋体" w:hAnsi="宋体"/>
          <w:bCs/>
          <w:sz w:val="30"/>
          <w:szCs w:val="30"/>
        </w:rPr>
      </w:pPr>
      <w:r>
        <w:rPr>
          <w:rFonts w:hint="eastAsia" w:ascii="宋体" w:hAnsi="宋体"/>
          <w:bCs/>
          <w:sz w:val="30"/>
          <w:szCs w:val="30"/>
        </w:rPr>
        <w:t xml:space="preserve">第五十六条  </w:t>
      </w:r>
      <w:r>
        <w:rPr>
          <w:rFonts w:hint="eastAsia" w:ascii="宋体" w:hAnsi="宋体"/>
          <w:sz w:val="30"/>
        </w:rPr>
        <w:t>水环境保护</w:t>
      </w:r>
    </w:p>
    <w:p w14:paraId="2F44FC35">
      <w:pPr>
        <w:spacing w:line="600" w:lineRule="exact"/>
        <w:ind w:firstLine="600" w:firstLineChars="200"/>
        <w:rPr>
          <w:rFonts w:hint="eastAsia" w:ascii="宋体" w:hAnsi="宋体"/>
          <w:sz w:val="30"/>
          <w:szCs w:val="30"/>
          <w:u w:val="single"/>
        </w:rPr>
      </w:pPr>
      <w:r>
        <w:rPr>
          <w:rFonts w:hint="eastAsia" w:ascii="宋体" w:hAnsi="宋体"/>
          <w:sz w:val="30"/>
          <w:szCs w:val="30"/>
          <w:u w:val="single"/>
        </w:rPr>
        <w:t>水环境保护按《地表水环境质量标准》（GB3838-2002）相关要求执行。</w:t>
      </w:r>
    </w:p>
    <w:p w14:paraId="69DC05C3">
      <w:pPr>
        <w:spacing w:line="680" w:lineRule="exact"/>
        <w:ind w:firstLine="600" w:firstLineChars="200"/>
        <w:rPr>
          <w:rFonts w:hint="eastAsia" w:ascii="宋体" w:hAnsi="宋体"/>
          <w:bCs/>
          <w:sz w:val="30"/>
          <w:szCs w:val="30"/>
        </w:rPr>
      </w:pPr>
      <w:r>
        <w:rPr>
          <w:rFonts w:hint="eastAsia" w:ascii="宋体" w:hAnsi="宋体"/>
          <w:bCs/>
          <w:sz w:val="30"/>
          <w:szCs w:val="30"/>
        </w:rPr>
        <w:t xml:space="preserve">第五十七条 </w:t>
      </w:r>
      <w:r>
        <w:rPr>
          <w:rFonts w:hint="eastAsia" w:ascii="宋体" w:hAnsi="宋体"/>
          <w:b/>
          <w:bCs/>
          <w:i/>
          <w:sz w:val="30"/>
          <w:szCs w:val="30"/>
        </w:rPr>
        <w:t xml:space="preserve"> </w:t>
      </w:r>
      <w:r>
        <w:rPr>
          <w:rFonts w:hint="eastAsia" w:ascii="宋体" w:hAnsi="宋体"/>
          <w:bCs/>
          <w:sz w:val="30"/>
          <w:szCs w:val="30"/>
        </w:rPr>
        <w:t>声环境保护</w:t>
      </w:r>
    </w:p>
    <w:p w14:paraId="72446A7B">
      <w:pPr>
        <w:spacing w:line="600" w:lineRule="exact"/>
        <w:ind w:firstLine="600" w:firstLineChars="200"/>
        <w:rPr>
          <w:rFonts w:ascii="宋体" w:hAnsi="宋体"/>
          <w:sz w:val="30"/>
          <w:szCs w:val="30"/>
          <w:u w:val="single"/>
        </w:rPr>
      </w:pPr>
      <w:r>
        <w:rPr>
          <w:rFonts w:hint="eastAsia" w:ascii="宋体" w:hAnsi="宋体"/>
          <w:sz w:val="30"/>
          <w:szCs w:val="30"/>
          <w:u w:val="single"/>
        </w:rPr>
        <w:t>声学环境按《声环境质量标准》（GB3096-2008）相关要求执行。</w:t>
      </w:r>
    </w:p>
    <w:p w14:paraId="7E95C348">
      <w:pPr>
        <w:spacing w:line="680" w:lineRule="exact"/>
        <w:ind w:firstLine="600" w:firstLineChars="200"/>
        <w:rPr>
          <w:rFonts w:hint="eastAsia" w:ascii="宋体" w:hAnsi="宋体"/>
          <w:bCs/>
          <w:sz w:val="30"/>
        </w:rPr>
      </w:pPr>
      <w:r>
        <w:rPr>
          <w:rFonts w:hint="eastAsia" w:ascii="宋体" w:hAnsi="宋体"/>
          <w:bCs/>
          <w:sz w:val="30"/>
          <w:szCs w:val="30"/>
        </w:rPr>
        <w:t xml:space="preserve">第五十八条 </w:t>
      </w:r>
      <w:r>
        <w:rPr>
          <w:rFonts w:hint="eastAsia" w:ascii="宋体" w:hAnsi="宋体"/>
          <w:b/>
          <w:bCs/>
          <w:i/>
          <w:sz w:val="30"/>
          <w:szCs w:val="30"/>
        </w:rPr>
        <w:t xml:space="preserve"> </w:t>
      </w:r>
      <w:r>
        <w:rPr>
          <w:rFonts w:hint="eastAsia" w:ascii="宋体" w:hAnsi="宋体"/>
          <w:sz w:val="30"/>
        </w:rPr>
        <w:t>固体废弃物控制</w:t>
      </w:r>
    </w:p>
    <w:p w14:paraId="2F8AC444">
      <w:pPr>
        <w:spacing w:line="600" w:lineRule="exact"/>
        <w:ind w:firstLine="600" w:firstLineChars="200"/>
        <w:rPr>
          <w:rFonts w:hint="eastAsia" w:ascii="宋体" w:hAnsi="宋体"/>
          <w:sz w:val="30"/>
          <w:szCs w:val="30"/>
          <w:u w:val="single"/>
        </w:rPr>
      </w:pPr>
      <w:r>
        <w:rPr>
          <w:rFonts w:ascii="宋体" w:hAnsi="宋体"/>
          <w:sz w:val="30"/>
          <w:szCs w:val="30"/>
          <w:u w:val="single"/>
        </w:rPr>
        <w:t>逐步实现生活垃圾 100</w:t>
      </w:r>
      <w:r>
        <w:rPr>
          <w:rFonts w:hint="eastAsia" w:ascii="宋体" w:hAnsi="宋体"/>
          <w:sz w:val="30"/>
          <w:szCs w:val="30"/>
          <w:u w:val="single"/>
        </w:rPr>
        <w:t>%</w:t>
      </w:r>
      <w:r>
        <w:rPr>
          <w:rFonts w:ascii="宋体" w:hAnsi="宋体"/>
          <w:sz w:val="30"/>
          <w:szCs w:val="30"/>
          <w:u w:val="single"/>
        </w:rPr>
        <w:t>回收和分类回收，回收其中部分有用成分。</w:t>
      </w:r>
    </w:p>
    <w:p w14:paraId="5A9D6757">
      <w:pPr>
        <w:spacing w:line="680" w:lineRule="exact"/>
        <w:ind w:firstLine="600" w:firstLineChars="200"/>
        <w:rPr>
          <w:rFonts w:hint="eastAsia" w:ascii="宋体" w:hAnsi="宋体"/>
          <w:sz w:val="30"/>
          <w:szCs w:val="30"/>
        </w:rPr>
      </w:pPr>
      <w:r>
        <w:rPr>
          <w:rFonts w:hint="eastAsia" w:ascii="宋体" w:hAnsi="宋体"/>
          <w:sz w:val="30"/>
          <w:u w:val="single"/>
        </w:rPr>
        <w:t>固体废物的污染治理以实现废物减量化和资源化为中心，对生活垃圾</w:t>
      </w:r>
      <w:r>
        <w:rPr>
          <w:rFonts w:ascii="宋体" w:hAnsi="宋体"/>
          <w:sz w:val="30"/>
          <w:u w:val="single"/>
        </w:rPr>
        <w:t>采取分类收集，集中处理。</w:t>
      </w:r>
      <w:r>
        <w:rPr>
          <w:rFonts w:hint="eastAsia" w:ascii="宋体" w:hAnsi="宋体"/>
          <w:sz w:val="30"/>
          <w:u w:val="single"/>
        </w:rPr>
        <w:t>严禁将有害废弃物排向水体、公共场所及其他管控区域。建立、健全对有害废弃物的监督及管理系统。</w:t>
      </w:r>
    </w:p>
    <w:p w14:paraId="649B26BE">
      <w:pPr>
        <w:spacing w:line="680" w:lineRule="exact"/>
        <w:ind w:firstLine="600" w:firstLineChars="200"/>
        <w:rPr>
          <w:rFonts w:hint="eastAsia" w:ascii="宋体" w:hAnsi="宋体"/>
          <w:bCs/>
          <w:sz w:val="30"/>
          <w:szCs w:val="30"/>
        </w:rPr>
      </w:pPr>
      <w:r>
        <w:rPr>
          <w:rFonts w:hint="eastAsia" w:ascii="宋体" w:hAnsi="宋体"/>
          <w:bCs/>
          <w:sz w:val="30"/>
          <w:szCs w:val="30"/>
        </w:rPr>
        <w:t>第五十九条  环卫设施规划</w:t>
      </w:r>
    </w:p>
    <w:p w14:paraId="1EC073B2">
      <w:pPr>
        <w:spacing w:line="680" w:lineRule="exact"/>
        <w:ind w:firstLine="600" w:firstLineChars="200"/>
        <w:rPr>
          <w:rFonts w:hint="eastAsia" w:ascii="宋体" w:hAnsi="宋体"/>
          <w:bCs/>
          <w:sz w:val="30"/>
          <w:szCs w:val="30"/>
        </w:rPr>
      </w:pPr>
      <w:r>
        <w:rPr>
          <w:rFonts w:ascii="宋体" w:hAnsi="宋体"/>
          <w:bCs/>
          <w:sz w:val="30"/>
          <w:szCs w:val="30"/>
        </w:rPr>
        <w:t>规划</w:t>
      </w:r>
      <w:r>
        <w:rPr>
          <w:rFonts w:hint="eastAsia" w:ascii="宋体" w:hAnsi="宋体"/>
          <w:bCs/>
          <w:sz w:val="30"/>
          <w:szCs w:val="30"/>
        </w:rPr>
        <w:t>区内</w:t>
      </w:r>
      <w:r>
        <w:rPr>
          <w:rFonts w:ascii="宋体" w:hAnsi="宋体"/>
          <w:bCs/>
          <w:sz w:val="30"/>
          <w:szCs w:val="30"/>
        </w:rPr>
        <w:t>设置垃圾转运站1</w:t>
      </w:r>
      <w:r>
        <w:rPr>
          <w:rFonts w:hint="eastAsia" w:ascii="宋体" w:hAnsi="宋体"/>
          <w:bCs/>
          <w:sz w:val="30"/>
          <w:szCs w:val="30"/>
        </w:rPr>
        <w:t>座，</w:t>
      </w:r>
      <w:r>
        <w:rPr>
          <w:rFonts w:ascii="宋体" w:hAnsi="宋体"/>
          <w:bCs/>
          <w:sz w:val="30"/>
          <w:szCs w:val="30"/>
        </w:rPr>
        <w:t>设置</w:t>
      </w:r>
      <w:r>
        <w:rPr>
          <w:rFonts w:hint="eastAsia" w:ascii="宋体" w:hAnsi="宋体"/>
          <w:bCs/>
          <w:sz w:val="30"/>
          <w:szCs w:val="30"/>
        </w:rPr>
        <w:t>市政公厕</w:t>
      </w:r>
      <w:r>
        <w:rPr>
          <w:rFonts w:ascii="宋体" w:hAnsi="宋体"/>
          <w:bCs/>
          <w:sz w:val="30"/>
          <w:szCs w:val="30"/>
        </w:rPr>
        <w:t>18</w:t>
      </w:r>
      <w:r>
        <w:rPr>
          <w:rFonts w:hint="eastAsia" w:ascii="宋体" w:hAnsi="宋体"/>
          <w:bCs/>
          <w:sz w:val="30"/>
          <w:szCs w:val="30"/>
        </w:rPr>
        <w:t>座。</w:t>
      </w:r>
    </w:p>
    <w:p w14:paraId="7E3EFAA5">
      <w:pPr>
        <w:pStyle w:val="3"/>
        <w:spacing w:line="720" w:lineRule="exact"/>
        <w:jc w:val="center"/>
        <w:rPr>
          <w:rFonts w:hint="eastAsia" w:ascii="宋体" w:hAnsi="宋体" w:eastAsia="宋体"/>
          <w:sz w:val="36"/>
          <w:szCs w:val="36"/>
        </w:rPr>
      </w:pPr>
      <w:bookmarkStart w:id="26" w:name="_Toc222888795"/>
      <w:bookmarkStart w:id="27" w:name="_Toc339373889"/>
      <w:r>
        <w:rPr>
          <w:rFonts w:hint="eastAsia" w:ascii="宋体" w:hAnsi="宋体" w:eastAsia="宋体"/>
          <w:sz w:val="36"/>
          <w:szCs w:val="36"/>
        </w:rPr>
        <w:t>第十章  附  则</w:t>
      </w:r>
      <w:bookmarkEnd w:id="26"/>
      <w:bookmarkEnd w:id="27"/>
    </w:p>
    <w:p w14:paraId="05245D69">
      <w:pPr>
        <w:spacing w:line="720" w:lineRule="exact"/>
        <w:ind w:firstLine="600" w:firstLineChars="200"/>
        <w:rPr>
          <w:rFonts w:hint="eastAsia" w:ascii="宋体" w:hAnsi="宋体"/>
          <w:bCs/>
          <w:sz w:val="30"/>
        </w:rPr>
      </w:pPr>
      <w:r>
        <w:rPr>
          <w:rFonts w:hint="eastAsia" w:ascii="宋体" w:hAnsi="宋体"/>
          <w:sz w:val="30"/>
          <w:szCs w:val="30"/>
        </w:rPr>
        <w:t xml:space="preserve">第六十条  </w:t>
      </w:r>
      <w:r>
        <w:rPr>
          <w:rFonts w:hint="eastAsia" w:ascii="宋体" w:hAnsi="宋体"/>
          <w:bCs/>
          <w:sz w:val="30"/>
        </w:rPr>
        <w:t>规划生效日期</w:t>
      </w:r>
    </w:p>
    <w:p w14:paraId="35ED3B02">
      <w:pPr>
        <w:spacing w:line="680" w:lineRule="exact"/>
        <w:ind w:firstLine="600" w:firstLineChars="200"/>
        <w:rPr>
          <w:rFonts w:hint="eastAsia" w:ascii="宋体" w:hAnsi="宋体"/>
          <w:sz w:val="30"/>
          <w:szCs w:val="30"/>
        </w:rPr>
      </w:pPr>
      <w:r>
        <w:rPr>
          <w:rFonts w:hint="eastAsia" w:ascii="宋体" w:hAnsi="宋体"/>
          <w:sz w:val="30"/>
          <w:szCs w:val="30"/>
        </w:rPr>
        <w:t>本规划自乐山市人民政府批准之日起生效执行。</w:t>
      </w:r>
    </w:p>
    <w:p w14:paraId="430054B2">
      <w:pPr>
        <w:spacing w:line="720" w:lineRule="exact"/>
        <w:ind w:firstLine="600" w:firstLineChars="200"/>
        <w:rPr>
          <w:rFonts w:hint="eastAsia" w:ascii="宋体" w:hAnsi="宋体"/>
          <w:bCs/>
          <w:sz w:val="30"/>
        </w:rPr>
      </w:pPr>
      <w:r>
        <w:rPr>
          <w:rFonts w:hint="eastAsia" w:ascii="宋体" w:hAnsi="宋体"/>
          <w:sz w:val="30"/>
          <w:szCs w:val="30"/>
        </w:rPr>
        <w:t xml:space="preserve">第六十一条  </w:t>
      </w:r>
      <w:r>
        <w:rPr>
          <w:rFonts w:hint="eastAsia" w:ascii="宋体" w:hAnsi="宋体"/>
          <w:bCs/>
          <w:sz w:val="30"/>
        </w:rPr>
        <w:t>规划变更与调整</w:t>
      </w:r>
    </w:p>
    <w:p w14:paraId="14310FFE">
      <w:pPr>
        <w:spacing w:line="680" w:lineRule="exact"/>
        <w:ind w:firstLine="600" w:firstLineChars="200"/>
        <w:rPr>
          <w:rFonts w:hint="eastAsia" w:ascii="宋体" w:hAnsi="宋体"/>
          <w:sz w:val="30"/>
          <w:szCs w:val="30"/>
        </w:rPr>
      </w:pPr>
      <w:r>
        <w:rPr>
          <w:rFonts w:hint="eastAsia" w:ascii="宋体" w:hAnsi="宋体"/>
          <w:sz w:val="30"/>
          <w:szCs w:val="30"/>
        </w:rPr>
        <w:t>禁止未经法定程序而对本规划作出变更。确因需要对本规划变更时，须按法定程序进行。</w:t>
      </w:r>
    </w:p>
    <w:p w14:paraId="6FB68C93">
      <w:pPr>
        <w:spacing w:line="720" w:lineRule="exact"/>
        <w:ind w:firstLine="750" w:firstLineChars="250"/>
        <w:rPr>
          <w:rFonts w:hint="eastAsia" w:ascii="宋体" w:hAnsi="宋体"/>
          <w:bCs/>
          <w:sz w:val="30"/>
        </w:rPr>
      </w:pPr>
      <w:r>
        <w:rPr>
          <w:rFonts w:hint="eastAsia" w:ascii="宋体" w:hAnsi="宋体"/>
          <w:sz w:val="30"/>
          <w:szCs w:val="30"/>
        </w:rPr>
        <w:t xml:space="preserve">第六十二条  </w:t>
      </w:r>
      <w:r>
        <w:rPr>
          <w:rFonts w:hint="eastAsia" w:ascii="宋体" w:hAnsi="宋体"/>
          <w:bCs/>
          <w:sz w:val="30"/>
        </w:rPr>
        <w:t>规划解释权</w:t>
      </w:r>
    </w:p>
    <w:p w14:paraId="43CEEB16">
      <w:pPr>
        <w:spacing w:line="680" w:lineRule="exact"/>
        <w:ind w:firstLine="600" w:firstLineChars="200"/>
        <w:rPr>
          <w:rFonts w:hint="eastAsia" w:ascii="宋体" w:hAnsi="宋体"/>
          <w:sz w:val="30"/>
          <w:szCs w:val="30"/>
        </w:rPr>
      </w:pPr>
      <w:r>
        <w:rPr>
          <w:rFonts w:hint="eastAsia" w:ascii="宋体" w:hAnsi="宋体"/>
          <w:sz w:val="30"/>
          <w:szCs w:val="30"/>
        </w:rPr>
        <w:t>本规划解释权属乐山市规划行政主管部门。</w:t>
      </w:r>
    </w:p>
    <w:p w14:paraId="3010E779">
      <w:pPr>
        <w:rPr>
          <w:rFonts w:hint="eastAsia"/>
        </w:rPr>
      </w:pPr>
      <w:bookmarkStart w:id="28" w:name="_Toc339373890"/>
    </w:p>
    <w:p w14:paraId="21F72762">
      <w:pPr>
        <w:rPr>
          <w:rFonts w:hint="eastAsia"/>
        </w:rPr>
      </w:pPr>
    </w:p>
    <w:p w14:paraId="02F7BAF5">
      <w:pPr>
        <w:rPr>
          <w:rFonts w:hint="eastAsia"/>
        </w:rPr>
      </w:pPr>
    </w:p>
    <w:p w14:paraId="23391035">
      <w:pPr>
        <w:rPr>
          <w:rFonts w:hint="eastAsia"/>
        </w:rPr>
      </w:pPr>
    </w:p>
    <w:p w14:paraId="08ECB810">
      <w:pPr>
        <w:rPr>
          <w:rFonts w:hint="eastAsia"/>
        </w:rPr>
      </w:pPr>
    </w:p>
    <w:p w14:paraId="7FD75EDD">
      <w:pPr>
        <w:rPr>
          <w:rFonts w:hint="eastAsia"/>
        </w:rPr>
      </w:pPr>
    </w:p>
    <w:p w14:paraId="21F406C1">
      <w:pPr>
        <w:rPr>
          <w:rFonts w:hint="eastAsia"/>
        </w:rPr>
      </w:pPr>
    </w:p>
    <w:p w14:paraId="6C6C5434">
      <w:pPr>
        <w:rPr>
          <w:rFonts w:hint="eastAsia"/>
        </w:rPr>
      </w:pPr>
    </w:p>
    <w:p w14:paraId="45DCE5EB">
      <w:pPr>
        <w:rPr>
          <w:rFonts w:hint="eastAsia"/>
        </w:rPr>
      </w:pPr>
    </w:p>
    <w:p w14:paraId="7DA85C61">
      <w:pPr>
        <w:rPr>
          <w:rFonts w:hint="eastAsia"/>
        </w:rPr>
      </w:pPr>
    </w:p>
    <w:p w14:paraId="5E707F37">
      <w:pPr>
        <w:rPr>
          <w:rFonts w:hint="eastAsia"/>
        </w:rPr>
      </w:pPr>
    </w:p>
    <w:p w14:paraId="1DFE882E">
      <w:pPr>
        <w:rPr>
          <w:rFonts w:hint="eastAsia"/>
        </w:rPr>
      </w:pPr>
    </w:p>
    <w:p w14:paraId="265B3E06">
      <w:pPr>
        <w:rPr>
          <w:rFonts w:hint="eastAsia"/>
        </w:rPr>
      </w:pPr>
    </w:p>
    <w:p w14:paraId="792BA807">
      <w:pPr>
        <w:rPr>
          <w:rFonts w:hint="eastAsia"/>
        </w:rPr>
      </w:pPr>
    </w:p>
    <w:p w14:paraId="0719233B">
      <w:pPr>
        <w:rPr>
          <w:rFonts w:hint="eastAsia"/>
        </w:rPr>
      </w:pPr>
    </w:p>
    <w:p w14:paraId="3522CBD9">
      <w:pPr>
        <w:rPr>
          <w:rFonts w:hint="eastAsia"/>
        </w:rPr>
      </w:pPr>
    </w:p>
    <w:p w14:paraId="564547D6">
      <w:pPr>
        <w:rPr>
          <w:rFonts w:hint="eastAsia"/>
        </w:rPr>
      </w:pPr>
    </w:p>
    <w:p w14:paraId="72B6B9B9">
      <w:pPr>
        <w:rPr>
          <w:rFonts w:hint="eastAsia"/>
        </w:rPr>
      </w:pPr>
    </w:p>
    <w:p w14:paraId="7EEE0760">
      <w:pPr>
        <w:rPr>
          <w:rFonts w:hint="eastAsia"/>
        </w:rPr>
      </w:pPr>
    </w:p>
    <w:p w14:paraId="1F248D3D">
      <w:pPr>
        <w:rPr>
          <w:rFonts w:hint="eastAsia"/>
        </w:rPr>
      </w:pPr>
    </w:p>
    <w:p w14:paraId="6205DAF3">
      <w:pPr>
        <w:rPr>
          <w:rFonts w:hint="eastAsia"/>
        </w:rPr>
      </w:pPr>
    </w:p>
    <w:p w14:paraId="4E65DF03">
      <w:pPr>
        <w:rPr>
          <w:rFonts w:hint="eastAsia"/>
        </w:rPr>
      </w:pPr>
    </w:p>
    <w:p w14:paraId="50EAF3B6">
      <w:pPr>
        <w:rPr>
          <w:rFonts w:hint="eastAsia"/>
        </w:rPr>
      </w:pPr>
    </w:p>
    <w:p w14:paraId="4443504C">
      <w:pPr>
        <w:rPr>
          <w:rFonts w:hint="eastAsia"/>
        </w:rPr>
      </w:pPr>
    </w:p>
    <w:p w14:paraId="7362E5C5">
      <w:pPr>
        <w:rPr>
          <w:rFonts w:hint="eastAsia"/>
        </w:rPr>
      </w:pPr>
    </w:p>
    <w:p w14:paraId="00D98F4A">
      <w:pPr>
        <w:rPr>
          <w:rFonts w:hint="eastAsia"/>
        </w:rPr>
      </w:pPr>
    </w:p>
    <w:p w14:paraId="5B062424">
      <w:pPr>
        <w:rPr>
          <w:rFonts w:hint="eastAsia"/>
        </w:rPr>
      </w:pPr>
    </w:p>
    <w:p w14:paraId="7E3261E1">
      <w:pPr>
        <w:rPr>
          <w:rFonts w:hint="eastAsia"/>
        </w:rPr>
      </w:pPr>
    </w:p>
    <w:p w14:paraId="0AD9351B">
      <w:pPr>
        <w:rPr>
          <w:rFonts w:hint="eastAsia"/>
        </w:rPr>
      </w:pPr>
    </w:p>
    <w:p w14:paraId="01476C80">
      <w:pPr>
        <w:rPr>
          <w:rFonts w:hint="eastAsia"/>
        </w:rPr>
      </w:pPr>
    </w:p>
    <w:p w14:paraId="1D4E7164">
      <w:pPr>
        <w:rPr>
          <w:rFonts w:hint="eastAsia"/>
        </w:rPr>
      </w:pPr>
    </w:p>
    <w:p w14:paraId="4D6134C9">
      <w:pPr>
        <w:rPr>
          <w:rFonts w:hint="eastAsia"/>
        </w:rPr>
      </w:pPr>
    </w:p>
    <w:p w14:paraId="0DE21C4B">
      <w:pPr>
        <w:rPr>
          <w:rFonts w:hint="eastAsia"/>
        </w:rPr>
      </w:pPr>
    </w:p>
    <w:p w14:paraId="5C43B6EB">
      <w:pPr>
        <w:rPr>
          <w:rFonts w:hint="eastAsia"/>
        </w:rPr>
      </w:pPr>
    </w:p>
    <w:p w14:paraId="32B2B7A3">
      <w:pPr>
        <w:rPr>
          <w:rFonts w:hint="eastAsia"/>
        </w:rPr>
      </w:pPr>
    </w:p>
    <w:p w14:paraId="56ECDFB5">
      <w:pPr>
        <w:rPr>
          <w:rFonts w:hint="eastAsia"/>
        </w:rPr>
      </w:pPr>
    </w:p>
    <w:p w14:paraId="0B8F656E">
      <w:pPr>
        <w:rPr>
          <w:rFonts w:hint="eastAsia"/>
        </w:rPr>
      </w:pPr>
    </w:p>
    <w:p w14:paraId="3883FDED">
      <w:pPr>
        <w:rPr>
          <w:rFonts w:hint="eastAsia"/>
        </w:rPr>
      </w:pPr>
    </w:p>
    <w:p w14:paraId="2CB993F7">
      <w:pPr>
        <w:rPr>
          <w:rFonts w:hint="eastAsia"/>
        </w:rPr>
      </w:pPr>
    </w:p>
    <w:p w14:paraId="12DBE94D">
      <w:pPr>
        <w:rPr>
          <w:rFonts w:hint="eastAsia"/>
        </w:rPr>
      </w:pPr>
    </w:p>
    <w:p w14:paraId="562F0550">
      <w:pPr>
        <w:rPr>
          <w:rFonts w:hint="eastAsia"/>
        </w:rPr>
      </w:pPr>
    </w:p>
    <w:p w14:paraId="1E752EE3">
      <w:pPr>
        <w:rPr>
          <w:rFonts w:hint="eastAsia"/>
        </w:rPr>
      </w:pPr>
    </w:p>
    <w:p w14:paraId="136765E0">
      <w:pPr>
        <w:rPr>
          <w:rFonts w:hint="eastAsia"/>
        </w:rPr>
      </w:pPr>
    </w:p>
    <w:p w14:paraId="6C78F4F2">
      <w:pPr>
        <w:rPr>
          <w:rFonts w:hint="eastAsia"/>
        </w:rPr>
      </w:pPr>
    </w:p>
    <w:p w14:paraId="467720DF">
      <w:pPr>
        <w:rPr>
          <w:rFonts w:hint="eastAsia"/>
        </w:rPr>
      </w:pPr>
    </w:p>
    <w:p w14:paraId="50801F2D">
      <w:pPr>
        <w:rPr>
          <w:rFonts w:hint="eastAsia"/>
        </w:rPr>
      </w:pPr>
    </w:p>
    <w:p w14:paraId="01E726FF">
      <w:pPr>
        <w:rPr>
          <w:rFonts w:hint="eastAsia"/>
        </w:rPr>
      </w:pPr>
    </w:p>
    <w:p w14:paraId="27CE3B20">
      <w:pPr>
        <w:rPr>
          <w:rFonts w:hint="eastAsia"/>
        </w:rPr>
      </w:pPr>
    </w:p>
    <w:p w14:paraId="2EF5AE1B">
      <w:pPr>
        <w:rPr>
          <w:rFonts w:hint="eastAsia"/>
        </w:rPr>
      </w:pPr>
    </w:p>
    <w:p w14:paraId="5D4B3891">
      <w:pPr>
        <w:rPr>
          <w:rFonts w:hint="eastAsia"/>
        </w:rPr>
      </w:pPr>
    </w:p>
    <w:p w14:paraId="73B4730F">
      <w:pPr>
        <w:rPr>
          <w:rFonts w:hint="eastAsia"/>
        </w:rPr>
      </w:pPr>
    </w:p>
    <w:p w14:paraId="430B2E22">
      <w:pPr>
        <w:rPr>
          <w:rFonts w:hint="eastAsia"/>
        </w:rPr>
      </w:pPr>
    </w:p>
    <w:p w14:paraId="039F4B66">
      <w:pPr>
        <w:rPr>
          <w:rFonts w:hint="eastAsia"/>
        </w:rPr>
      </w:pPr>
    </w:p>
    <w:p w14:paraId="75DA6691">
      <w:pPr>
        <w:rPr>
          <w:rFonts w:hint="eastAsia"/>
        </w:rPr>
      </w:pPr>
    </w:p>
    <w:p w14:paraId="7C13C275">
      <w:pPr>
        <w:rPr>
          <w:rFonts w:hint="eastAsia"/>
        </w:rPr>
      </w:pPr>
    </w:p>
    <w:p w14:paraId="2E810305">
      <w:pPr>
        <w:rPr>
          <w:rFonts w:hint="eastAsia"/>
        </w:rPr>
      </w:pPr>
    </w:p>
    <w:p w14:paraId="41E60826">
      <w:pPr>
        <w:rPr>
          <w:rFonts w:hint="eastAsia"/>
        </w:rPr>
      </w:pPr>
    </w:p>
    <w:p w14:paraId="7631F6B7">
      <w:pPr>
        <w:rPr>
          <w:rFonts w:hint="eastAsia"/>
        </w:rPr>
      </w:pPr>
    </w:p>
    <w:p w14:paraId="6F8E5259">
      <w:pPr>
        <w:rPr>
          <w:rFonts w:hint="eastAsia"/>
        </w:rPr>
      </w:pPr>
    </w:p>
    <w:p w14:paraId="043EB350">
      <w:pPr>
        <w:rPr>
          <w:rFonts w:hint="eastAsia"/>
        </w:rPr>
      </w:pPr>
    </w:p>
    <w:p w14:paraId="0399E071">
      <w:pPr>
        <w:rPr>
          <w:rFonts w:hint="eastAsia"/>
        </w:rPr>
      </w:pPr>
    </w:p>
    <w:p w14:paraId="7FFCFE2F">
      <w:pPr>
        <w:rPr>
          <w:rFonts w:hint="eastAsia"/>
        </w:rPr>
      </w:pPr>
    </w:p>
    <w:p w14:paraId="4A7DECA1">
      <w:pPr>
        <w:rPr>
          <w:rFonts w:hint="eastAsia"/>
        </w:rPr>
      </w:pPr>
    </w:p>
    <w:p w14:paraId="3A6A48DA">
      <w:pPr>
        <w:rPr>
          <w:rFonts w:hint="eastAsia"/>
        </w:rPr>
      </w:pPr>
    </w:p>
    <w:p w14:paraId="74B73B6D">
      <w:pPr>
        <w:rPr>
          <w:rFonts w:hint="eastAsia"/>
        </w:rPr>
      </w:pPr>
    </w:p>
    <w:p w14:paraId="2703FD0E">
      <w:pPr>
        <w:rPr>
          <w:rFonts w:hint="eastAsia"/>
        </w:rPr>
      </w:pPr>
    </w:p>
    <w:p w14:paraId="60637724">
      <w:pPr>
        <w:rPr>
          <w:rFonts w:hint="eastAsia"/>
        </w:rPr>
      </w:pPr>
    </w:p>
    <w:p w14:paraId="5BF15845">
      <w:pPr>
        <w:rPr>
          <w:rFonts w:hint="eastAsia"/>
        </w:rPr>
      </w:pPr>
    </w:p>
    <w:p w14:paraId="47641637">
      <w:pPr>
        <w:rPr>
          <w:rFonts w:hint="eastAsia"/>
        </w:rPr>
      </w:pPr>
    </w:p>
    <w:p w14:paraId="15F8A419">
      <w:pPr>
        <w:rPr>
          <w:rFonts w:hint="eastAsia"/>
        </w:rPr>
      </w:pPr>
    </w:p>
    <w:p w14:paraId="7C25E973">
      <w:pPr>
        <w:rPr>
          <w:rFonts w:hint="eastAsia"/>
        </w:rPr>
      </w:pPr>
    </w:p>
    <w:p w14:paraId="71CB5AFC">
      <w:pPr>
        <w:rPr>
          <w:rFonts w:hint="eastAsia"/>
        </w:rPr>
      </w:pPr>
    </w:p>
    <w:p w14:paraId="351A7F2E">
      <w:pPr>
        <w:rPr>
          <w:rFonts w:hint="eastAsia"/>
        </w:rPr>
      </w:pPr>
    </w:p>
    <w:p w14:paraId="172E7FE1">
      <w:pPr>
        <w:rPr>
          <w:rFonts w:hint="eastAsia"/>
        </w:rPr>
      </w:pPr>
    </w:p>
    <w:p w14:paraId="3B254773">
      <w:pPr>
        <w:rPr>
          <w:rFonts w:hint="eastAsia"/>
        </w:rPr>
      </w:pPr>
    </w:p>
    <w:p w14:paraId="205ECAD1">
      <w:pPr>
        <w:rPr>
          <w:rFonts w:hint="eastAsia"/>
        </w:rPr>
      </w:pPr>
    </w:p>
    <w:p w14:paraId="2802127E">
      <w:pPr>
        <w:rPr>
          <w:rFonts w:hint="eastAsia"/>
        </w:rPr>
      </w:pPr>
    </w:p>
    <w:p w14:paraId="295A1693">
      <w:pPr>
        <w:rPr>
          <w:rFonts w:hint="eastAsia"/>
        </w:rPr>
      </w:pPr>
    </w:p>
    <w:p w14:paraId="0CAB3A90">
      <w:pPr>
        <w:rPr>
          <w:rFonts w:hint="eastAsia"/>
        </w:rPr>
      </w:pPr>
    </w:p>
    <w:p w14:paraId="3E8DDD1F">
      <w:pPr>
        <w:rPr>
          <w:rFonts w:hint="eastAsia"/>
        </w:rPr>
      </w:pPr>
    </w:p>
    <w:p w14:paraId="0FB396B7">
      <w:pPr>
        <w:rPr>
          <w:rFonts w:hint="eastAsia"/>
        </w:rPr>
      </w:pPr>
    </w:p>
    <w:p w14:paraId="41E90B97">
      <w:pPr>
        <w:rPr>
          <w:rFonts w:hint="eastAsia"/>
        </w:rPr>
      </w:pPr>
    </w:p>
    <w:p w14:paraId="7B8F6FD4">
      <w:pPr>
        <w:rPr>
          <w:rFonts w:hint="eastAsia"/>
        </w:rPr>
      </w:pPr>
    </w:p>
    <w:p w14:paraId="64A87E7F">
      <w:pPr>
        <w:rPr>
          <w:rFonts w:hint="eastAsia"/>
        </w:rPr>
      </w:pPr>
    </w:p>
    <w:p w14:paraId="35445B7D">
      <w:pPr>
        <w:rPr>
          <w:rFonts w:hint="eastAsia"/>
        </w:rPr>
      </w:pPr>
    </w:p>
    <w:p w14:paraId="2364F232">
      <w:pPr>
        <w:rPr>
          <w:rFonts w:hint="eastAsia"/>
        </w:rPr>
      </w:pPr>
    </w:p>
    <w:p w14:paraId="05F03BA1">
      <w:pPr>
        <w:rPr>
          <w:rFonts w:hint="eastAsia"/>
        </w:rPr>
      </w:pPr>
    </w:p>
    <w:p w14:paraId="0CCAA643">
      <w:pPr>
        <w:rPr>
          <w:rFonts w:hint="eastAsia"/>
        </w:rPr>
      </w:pPr>
    </w:p>
    <w:p w14:paraId="0E7CF3CF">
      <w:pPr>
        <w:rPr>
          <w:rFonts w:hint="eastAsia"/>
        </w:rPr>
      </w:pPr>
    </w:p>
    <w:p w14:paraId="27A604AC">
      <w:pPr>
        <w:rPr>
          <w:rFonts w:hint="eastAsia"/>
        </w:rPr>
      </w:pPr>
    </w:p>
    <w:p w14:paraId="5E7046F4">
      <w:pPr>
        <w:rPr>
          <w:rFonts w:hint="eastAsia"/>
        </w:rPr>
      </w:pPr>
    </w:p>
    <w:p w14:paraId="646CDEBF">
      <w:pPr>
        <w:rPr>
          <w:rFonts w:hint="eastAsia"/>
        </w:rPr>
      </w:pPr>
    </w:p>
    <w:p w14:paraId="5E2EEC93">
      <w:pPr>
        <w:rPr>
          <w:rFonts w:hint="eastAsia"/>
        </w:rPr>
      </w:pPr>
    </w:p>
    <w:p w14:paraId="2BB79075">
      <w:pPr>
        <w:rPr>
          <w:rFonts w:hint="eastAsia"/>
        </w:rPr>
      </w:pPr>
    </w:p>
    <w:p w14:paraId="3CF11482">
      <w:pPr>
        <w:rPr>
          <w:rFonts w:hint="eastAsia"/>
        </w:rPr>
      </w:pPr>
    </w:p>
    <w:p w14:paraId="01092D4D">
      <w:pPr>
        <w:rPr>
          <w:rFonts w:hint="eastAsia"/>
        </w:rPr>
      </w:pPr>
    </w:p>
    <w:p w14:paraId="20D81A44">
      <w:pPr>
        <w:rPr>
          <w:rFonts w:hint="eastAsia"/>
        </w:rPr>
      </w:pPr>
    </w:p>
    <w:p w14:paraId="186FC9A6">
      <w:pPr>
        <w:rPr>
          <w:rFonts w:hint="eastAsia"/>
          <w:sz w:val="36"/>
          <w:szCs w:val="36"/>
        </w:rPr>
      </w:pPr>
    </w:p>
    <w:p w14:paraId="03ECB727">
      <w:pPr>
        <w:spacing w:line="360" w:lineRule="auto"/>
        <w:rPr>
          <w:rFonts w:hint="eastAsia"/>
          <w:sz w:val="36"/>
          <w:szCs w:val="36"/>
        </w:rPr>
      </w:pPr>
      <w:r>
        <w:rPr>
          <w:rFonts w:hint="eastAsia"/>
          <w:sz w:val="36"/>
          <w:szCs w:val="36"/>
        </w:rPr>
        <w:t>附表一    城市建设用地分类汇总表</w:t>
      </w:r>
      <w:bookmarkEnd w:id="28"/>
    </w:p>
    <w:tbl>
      <w:tblPr>
        <w:tblStyle w:val="16"/>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93"/>
        <w:gridCol w:w="427"/>
        <w:gridCol w:w="426"/>
        <w:gridCol w:w="3629"/>
        <w:gridCol w:w="1660"/>
        <w:gridCol w:w="1959"/>
        <w:gridCol w:w="1360"/>
      </w:tblGrid>
      <w:tr w14:paraId="338D7A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90" w:hRule="atLeast"/>
          <w:jc w:val="center"/>
        </w:trPr>
        <w:tc>
          <w:tcPr>
            <w:tcW w:w="248" w:type="pct"/>
            <w:noWrap w:val="0"/>
            <w:vAlign w:val="center"/>
          </w:tcPr>
          <w:p w14:paraId="19F5B8D9">
            <w:pPr>
              <w:spacing w:line="380" w:lineRule="exact"/>
              <w:jc w:val="center"/>
              <w:rPr>
                <w:rFonts w:ascii="宋体" w:hAnsi="宋体"/>
                <w:b/>
                <w:szCs w:val="21"/>
              </w:rPr>
            </w:pPr>
            <w:bookmarkStart w:id="29" w:name="_Toc328050204"/>
            <w:r>
              <w:rPr>
                <w:rFonts w:hint="eastAsia" w:ascii="宋体" w:hAnsi="宋体"/>
                <w:b/>
                <w:szCs w:val="21"/>
              </w:rPr>
              <w:t>序</w:t>
            </w:r>
            <w:bookmarkEnd w:id="29"/>
          </w:p>
          <w:p w14:paraId="2164D0B1">
            <w:pPr>
              <w:spacing w:line="380" w:lineRule="exact"/>
              <w:jc w:val="center"/>
              <w:rPr>
                <w:rFonts w:ascii="宋体" w:hAnsi="宋体"/>
                <w:b/>
                <w:szCs w:val="21"/>
              </w:rPr>
            </w:pPr>
            <w:bookmarkStart w:id="30" w:name="_Toc328050205"/>
            <w:r>
              <w:rPr>
                <w:rFonts w:hint="eastAsia" w:ascii="宋体" w:hAnsi="宋体"/>
                <w:b/>
                <w:szCs w:val="21"/>
              </w:rPr>
              <w:t>号</w:t>
            </w:r>
            <w:bookmarkEnd w:id="30"/>
          </w:p>
        </w:tc>
        <w:tc>
          <w:tcPr>
            <w:tcW w:w="214" w:type="pct"/>
            <w:noWrap w:val="0"/>
            <w:vAlign w:val="center"/>
          </w:tcPr>
          <w:p w14:paraId="148310E5">
            <w:pPr>
              <w:spacing w:line="380" w:lineRule="exact"/>
              <w:jc w:val="center"/>
              <w:rPr>
                <w:rFonts w:ascii="宋体" w:hAnsi="宋体"/>
                <w:b/>
                <w:szCs w:val="21"/>
              </w:rPr>
            </w:pPr>
            <w:bookmarkStart w:id="31" w:name="_Toc328050206"/>
            <w:r>
              <w:rPr>
                <w:rFonts w:hint="eastAsia" w:ascii="宋体" w:hAnsi="宋体"/>
                <w:b/>
                <w:szCs w:val="21"/>
              </w:rPr>
              <w:t>代</w:t>
            </w:r>
            <w:bookmarkEnd w:id="31"/>
          </w:p>
          <w:p w14:paraId="438E9340">
            <w:pPr>
              <w:spacing w:line="380" w:lineRule="exact"/>
              <w:jc w:val="center"/>
              <w:rPr>
                <w:rFonts w:ascii="宋体" w:hAnsi="宋体"/>
                <w:b/>
                <w:szCs w:val="21"/>
              </w:rPr>
            </w:pPr>
            <w:bookmarkStart w:id="32" w:name="_Toc328050207"/>
            <w:r>
              <w:rPr>
                <w:rFonts w:hint="eastAsia" w:ascii="宋体" w:hAnsi="宋体"/>
                <w:b/>
                <w:szCs w:val="21"/>
              </w:rPr>
              <w:t>号</w:t>
            </w:r>
            <w:bookmarkEnd w:id="32"/>
          </w:p>
        </w:tc>
        <w:tc>
          <w:tcPr>
            <w:tcW w:w="2036" w:type="pct"/>
            <w:gridSpan w:val="2"/>
            <w:noWrap w:val="0"/>
            <w:vAlign w:val="center"/>
          </w:tcPr>
          <w:p w14:paraId="07479BE4">
            <w:pPr>
              <w:spacing w:line="380" w:lineRule="exact"/>
              <w:jc w:val="center"/>
              <w:rPr>
                <w:rFonts w:ascii="宋体" w:hAnsi="宋体"/>
                <w:b/>
                <w:szCs w:val="21"/>
              </w:rPr>
            </w:pPr>
            <w:bookmarkStart w:id="33" w:name="_Toc328050208"/>
            <w:r>
              <w:rPr>
                <w:rFonts w:hint="eastAsia" w:ascii="宋体" w:hAnsi="宋体"/>
                <w:b/>
                <w:szCs w:val="21"/>
              </w:rPr>
              <w:t>用  地  名  称</w:t>
            </w:r>
            <w:bookmarkEnd w:id="33"/>
          </w:p>
        </w:tc>
        <w:tc>
          <w:tcPr>
            <w:tcW w:w="834" w:type="pct"/>
            <w:noWrap w:val="0"/>
            <w:vAlign w:val="center"/>
          </w:tcPr>
          <w:p w14:paraId="3B13B1D0">
            <w:pPr>
              <w:spacing w:line="380" w:lineRule="exact"/>
              <w:jc w:val="center"/>
              <w:rPr>
                <w:rFonts w:ascii="宋体" w:hAnsi="宋体"/>
                <w:b/>
                <w:szCs w:val="21"/>
              </w:rPr>
            </w:pPr>
            <w:bookmarkStart w:id="34" w:name="_Toc328050209"/>
            <w:r>
              <w:rPr>
                <w:rFonts w:hint="eastAsia" w:ascii="宋体" w:hAnsi="宋体"/>
                <w:b/>
                <w:szCs w:val="21"/>
              </w:rPr>
              <w:t>面 积</w:t>
            </w:r>
            <w:bookmarkEnd w:id="34"/>
          </w:p>
          <w:p w14:paraId="750DFECA">
            <w:pPr>
              <w:spacing w:line="380" w:lineRule="exact"/>
              <w:jc w:val="center"/>
              <w:rPr>
                <w:rFonts w:ascii="宋体" w:hAnsi="宋体"/>
                <w:b/>
                <w:szCs w:val="21"/>
              </w:rPr>
            </w:pPr>
            <w:bookmarkStart w:id="35" w:name="_Toc328050210"/>
            <w:r>
              <w:rPr>
                <w:rFonts w:hint="eastAsia" w:ascii="宋体" w:hAnsi="宋体"/>
                <w:b/>
                <w:szCs w:val="21"/>
              </w:rPr>
              <w:t>(hm</w:t>
            </w:r>
            <w:r>
              <w:rPr>
                <w:rFonts w:hint="eastAsia" w:ascii="宋体" w:hAnsi="宋体"/>
                <w:b/>
                <w:szCs w:val="21"/>
                <w:vertAlign w:val="superscript"/>
              </w:rPr>
              <w:t>2</w:t>
            </w:r>
            <w:r>
              <w:rPr>
                <w:rFonts w:hint="eastAsia" w:ascii="宋体" w:hAnsi="宋体"/>
                <w:b/>
                <w:szCs w:val="21"/>
              </w:rPr>
              <w:t>)</w:t>
            </w:r>
            <w:bookmarkEnd w:id="35"/>
          </w:p>
        </w:tc>
        <w:tc>
          <w:tcPr>
            <w:tcW w:w="984" w:type="pct"/>
            <w:noWrap w:val="0"/>
            <w:vAlign w:val="center"/>
          </w:tcPr>
          <w:p w14:paraId="45D7878C">
            <w:pPr>
              <w:spacing w:line="380" w:lineRule="exact"/>
              <w:jc w:val="center"/>
              <w:rPr>
                <w:rFonts w:ascii="宋体" w:hAnsi="宋体"/>
                <w:b/>
                <w:szCs w:val="21"/>
              </w:rPr>
            </w:pPr>
            <w:bookmarkStart w:id="36" w:name="_Toc328050211"/>
            <w:r>
              <w:rPr>
                <w:rFonts w:hint="eastAsia" w:ascii="宋体" w:hAnsi="宋体"/>
                <w:b/>
                <w:szCs w:val="21"/>
              </w:rPr>
              <w:t>占城市建设用地</w:t>
            </w:r>
          </w:p>
          <w:p w14:paraId="41BCBDD2">
            <w:pPr>
              <w:spacing w:line="380" w:lineRule="exact"/>
              <w:jc w:val="center"/>
              <w:rPr>
                <w:rFonts w:ascii="宋体" w:hAnsi="宋体"/>
                <w:b/>
                <w:szCs w:val="21"/>
              </w:rPr>
            </w:pPr>
            <w:r>
              <w:rPr>
                <w:rFonts w:hint="eastAsia" w:ascii="宋体" w:hAnsi="宋体"/>
                <w:b/>
                <w:szCs w:val="21"/>
              </w:rPr>
              <w:t>比例</w:t>
            </w:r>
            <w:bookmarkEnd w:id="36"/>
          </w:p>
        </w:tc>
        <w:tc>
          <w:tcPr>
            <w:tcW w:w="684" w:type="pct"/>
            <w:noWrap w:val="0"/>
            <w:vAlign w:val="center"/>
          </w:tcPr>
          <w:p w14:paraId="076BD3D5">
            <w:pPr>
              <w:spacing w:line="380" w:lineRule="exact"/>
              <w:jc w:val="center"/>
              <w:rPr>
                <w:rFonts w:ascii="宋体" w:hAnsi="宋体"/>
                <w:b/>
                <w:szCs w:val="21"/>
              </w:rPr>
            </w:pPr>
            <w:bookmarkStart w:id="37" w:name="_Toc328050212"/>
            <w:r>
              <w:rPr>
                <w:rFonts w:hint="eastAsia" w:ascii="宋体" w:hAnsi="宋体"/>
                <w:b/>
                <w:szCs w:val="21"/>
              </w:rPr>
              <w:t>备注</w:t>
            </w:r>
            <w:bookmarkEnd w:id="37"/>
          </w:p>
        </w:tc>
      </w:tr>
      <w:tr w14:paraId="2A2125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cantSplit/>
          <w:trHeight w:val="84" w:hRule="atLeast"/>
          <w:jc w:val="center"/>
        </w:trPr>
        <w:tc>
          <w:tcPr>
            <w:tcW w:w="248" w:type="pct"/>
            <w:noWrap w:val="0"/>
            <w:vAlign w:val="center"/>
          </w:tcPr>
          <w:p w14:paraId="728861E2">
            <w:pPr>
              <w:spacing w:line="320" w:lineRule="exact"/>
              <w:jc w:val="center"/>
              <w:rPr>
                <w:rFonts w:ascii="宋体" w:hAnsi="宋体"/>
                <w:szCs w:val="21"/>
              </w:rPr>
            </w:pPr>
            <w:bookmarkStart w:id="38" w:name="_Toc328050213"/>
            <w:r>
              <w:rPr>
                <w:rFonts w:hint="eastAsia" w:ascii="宋体" w:hAnsi="宋体"/>
                <w:szCs w:val="21"/>
              </w:rPr>
              <w:t>1</w:t>
            </w:r>
            <w:bookmarkEnd w:id="38"/>
          </w:p>
        </w:tc>
        <w:tc>
          <w:tcPr>
            <w:tcW w:w="214" w:type="pct"/>
            <w:noWrap w:val="0"/>
            <w:vAlign w:val="center"/>
          </w:tcPr>
          <w:p w14:paraId="181AC121">
            <w:pPr>
              <w:spacing w:line="320" w:lineRule="exact"/>
              <w:jc w:val="center"/>
              <w:rPr>
                <w:rFonts w:ascii="宋体" w:hAnsi="宋体"/>
                <w:szCs w:val="21"/>
              </w:rPr>
            </w:pPr>
            <w:bookmarkStart w:id="39" w:name="_Toc328050214"/>
            <w:r>
              <w:rPr>
                <w:rFonts w:hint="eastAsia" w:ascii="宋体" w:hAnsi="宋体"/>
                <w:szCs w:val="21"/>
              </w:rPr>
              <w:t>R</w:t>
            </w:r>
            <w:bookmarkEnd w:id="39"/>
          </w:p>
        </w:tc>
        <w:tc>
          <w:tcPr>
            <w:tcW w:w="2036" w:type="pct"/>
            <w:gridSpan w:val="2"/>
            <w:noWrap w:val="0"/>
            <w:vAlign w:val="center"/>
          </w:tcPr>
          <w:p w14:paraId="75A956A9">
            <w:pPr>
              <w:spacing w:line="320" w:lineRule="exact"/>
              <w:ind w:firstLine="315"/>
              <w:jc w:val="center"/>
              <w:rPr>
                <w:rFonts w:ascii="宋体" w:hAnsi="宋体"/>
                <w:szCs w:val="21"/>
              </w:rPr>
            </w:pPr>
            <w:bookmarkStart w:id="40" w:name="_Toc328050215"/>
            <w:r>
              <w:rPr>
                <w:rFonts w:hint="eastAsia" w:ascii="宋体" w:hAnsi="宋体"/>
                <w:szCs w:val="21"/>
              </w:rPr>
              <w:t>二类居住用地(R</w:t>
            </w:r>
            <w:r>
              <w:rPr>
                <w:rFonts w:hint="eastAsia" w:ascii="宋体" w:hAnsi="宋体"/>
                <w:szCs w:val="21"/>
                <w:vertAlign w:val="subscript"/>
              </w:rPr>
              <w:t>2</w:t>
            </w:r>
            <w:r>
              <w:rPr>
                <w:rFonts w:hint="eastAsia" w:ascii="宋体" w:hAnsi="宋体"/>
                <w:szCs w:val="21"/>
              </w:rPr>
              <w:t>)</w:t>
            </w:r>
            <w:bookmarkEnd w:id="40"/>
          </w:p>
        </w:tc>
        <w:tc>
          <w:tcPr>
            <w:tcW w:w="834" w:type="pct"/>
            <w:noWrap w:val="0"/>
            <w:vAlign w:val="center"/>
          </w:tcPr>
          <w:p w14:paraId="15922433">
            <w:pPr>
              <w:spacing w:line="320" w:lineRule="exact"/>
              <w:jc w:val="center"/>
              <w:rPr>
                <w:rFonts w:ascii="宋体" w:hAnsi="宋体"/>
                <w:szCs w:val="21"/>
              </w:rPr>
            </w:pPr>
            <w:r>
              <w:rPr>
                <w:rFonts w:hint="eastAsia" w:ascii="宋体" w:hAnsi="宋体"/>
                <w:szCs w:val="21"/>
              </w:rPr>
              <w:t>224.41</w:t>
            </w:r>
          </w:p>
        </w:tc>
        <w:tc>
          <w:tcPr>
            <w:tcW w:w="984" w:type="pct"/>
            <w:noWrap w:val="0"/>
            <w:vAlign w:val="center"/>
          </w:tcPr>
          <w:p w14:paraId="14574188">
            <w:pPr>
              <w:spacing w:line="320" w:lineRule="exact"/>
              <w:jc w:val="center"/>
              <w:rPr>
                <w:rFonts w:ascii="宋体" w:hAnsi="宋体"/>
                <w:szCs w:val="21"/>
              </w:rPr>
            </w:pPr>
            <w:r>
              <w:rPr>
                <w:rFonts w:hint="eastAsia" w:ascii="宋体" w:hAnsi="宋体"/>
                <w:szCs w:val="21"/>
              </w:rPr>
              <w:t>34.49</w:t>
            </w:r>
            <w:r>
              <w:rPr>
                <w:rFonts w:ascii="宋体" w:hAnsi="宋体"/>
                <w:szCs w:val="21"/>
              </w:rPr>
              <w:t>%</w:t>
            </w:r>
          </w:p>
        </w:tc>
        <w:tc>
          <w:tcPr>
            <w:tcW w:w="684" w:type="pct"/>
            <w:noWrap w:val="0"/>
            <w:vAlign w:val="center"/>
          </w:tcPr>
          <w:p w14:paraId="5D632FA4">
            <w:pPr>
              <w:spacing w:line="320" w:lineRule="exact"/>
              <w:jc w:val="center"/>
              <w:rPr>
                <w:rFonts w:ascii="宋体" w:hAnsi="宋体"/>
                <w:szCs w:val="21"/>
              </w:rPr>
            </w:pPr>
          </w:p>
        </w:tc>
      </w:tr>
      <w:tr w14:paraId="7E1C1E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cantSplit/>
          <w:trHeight w:val="84" w:hRule="atLeast"/>
          <w:jc w:val="center"/>
        </w:trPr>
        <w:tc>
          <w:tcPr>
            <w:tcW w:w="248" w:type="pct"/>
            <w:vMerge w:val="restart"/>
            <w:noWrap w:val="0"/>
            <w:vAlign w:val="center"/>
          </w:tcPr>
          <w:p w14:paraId="32FD5740">
            <w:pPr>
              <w:spacing w:line="320" w:lineRule="exact"/>
              <w:jc w:val="center"/>
              <w:rPr>
                <w:rFonts w:ascii="宋体" w:hAnsi="宋体"/>
                <w:szCs w:val="21"/>
              </w:rPr>
            </w:pPr>
            <w:bookmarkStart w:id="41" w:name="_Toc328050218"/>
            <w:r>
              <w:rPr>
                <w:rFonts w:hint="eastAsia" w:ascii="宋体" w:hAnsi="宋体"/>
                <w:szCs w:val="21"/>
              </w:rPr>
              <w:t xml:space="preserve"> 2</w:t>
            </w:r>
            <w:bookmarkEnd w:id="41"/>
          </w:p>
        </w:tc>
        <w:tc>
          <w:tcPr>
            <w:tcW w:w="214" w:type="pct"/>
            <w:vMerge w:val="restart"/>
            <w:noWrap w:val="0"/>
            <w:vAlign w:val="center"/>
          </w:tcPr>
          <w:p w14:paraId="23C55BC2">
            <w:pPr>
              <w:spacing w:line="320" w:lineRule="exact"/>
              <w:jc w:val="center"/>
              <w:rPr>
                <w:rFonts w:ascii="宋体" w:hAnsi="宋体"/>
                <w:szCs w:val="21"/>
              </w:rPr>
            </w:pPr>
            <w:bookmarkStart w:id="42" w:name="_Toc328050219"/>
            <w:r>
              <w:rPr>
                <w:rFonts w:hint="eastAsia" w:ascii="宋体" w:hAnsi="宋体"/>
                <w:szCs w:val="21"/>
              </w:rPr>
              <w:t>A</w:t>
            </w:r>
            <w:bookmarkEnd w:id="42"/>
          </w:p>
        </w:tc>
        <w:tc>
          <w:tcPr>
            <w:tcW w:w="2036" w:type="pct"/>
            <w:gridSpan w:val="2"/>
            <w:noWrap w:val="0"/>
            <w:vAlign w:val="center"/>
          </w:tcPr>
          <w:p w14:paraId="568F8AB2">
            <w:pPr>
              <w:spacing w:line="320" w:lineRule="exact"/>
              <w:jc w:val="center"/>
              <w:rPr>
                <w:rFonts w:ascii="宋体" w:hAnsi="宋体"/>
                <w:szCs w:val="21"/>
              </w:rPr>
            </w:pPr>
            <w:bookmarkStart w:id="43" w:name="_Toc328050220"/>
            <w:r>
              <w:rPr>
                <w:rFonts w:hint="eastAsia" w:ascii="宋体" w:hAnsi="宋体"/>
                <w:szCs w:val="21"/>
              </w:rPr>
              <w:t>公共管理与公共服务用地</w:t>
            </w:r>
            <w:bookmarkEnd w:id="43"/>
          </w:p>
        </w:tc>
        <w:tc>
          <w:tcPr>
            <w:tcW w:w="834" w:type="pct"/>
            <w:noWrap w:val="0"/>
            <w:vAlign w:val="center"/>
          </w:tcPr>
          <w:p w14:paraId="6C626287">
            <w:pPr>
              <w:spacing w:line="320" w:lineRule="exact"/>
              <w:jc w:val="center"/>
              <w:rPr>
                <w:rFonts w:ascii="宋体" w:hAnsi="宋体"/>
                <w:szCs w:val="21"/>
              </w:rPr>
            </w:pPr>
            <w:r>
              <w:rPr>
                <w:rFonts w:hint="eastAsia" w:ascii="宋体" w:hAnsi="宋体"/>
                <w:szCs w:val="21"/>
              </w:rPr>
              <w:t>48.7</w:t>
            </w:r>
          </w:p>
        </w:tc>
        <w:tc>
          <w:tcPr>
            <w:tcW w:w="984" w:type="pct"/>
            <w:noWrap w:val="0"/>
            <w:vAlign w:val="center"/>
          </w:tcPr>
          <w:p w14:paraId="286233A7">
            <w:pPr>
              <w:spacing w:line="320" w:lineRule="exact"/>
              <w:jc w:val="center"/>
              <w:rPr>
                <w:rFonts w:ascii="宋体" w:hAnsi="宋体"/>
                <w:szCs w:val="21"/>
              </w:rPr>
            </w:pPr>
            <w:r>
              <w:rPr>
                <w:rFonts w:ascii="宋体" w:hAnsi="宋体"/>
                <w:szCs w:val="21"/>
              </w:rPr>
              <w:t>7.</w:t>
            </w:r>
            <w:r>
              <w:rPr>
                <w:rFonts w:hint="eastAsia" w:ascii="宋体" w:hAnsi="宋体"/>
                <w:szCs w:val="21"/>
              </w:rPr>
              <w:t>48</w:t>
            </w:r>
            <w:r>
              <w:rPr>
                <w:rFonts w:ascii="宋体" w:hAnsi="宋体"/>
                <w:szCs w:val="21"/>
              </w:rPr>
              <w:t>%</w:t>
            </w:r>
          </w:p>
        </w:tc>
        <w:tc>
          <w:tcPr>
            <w:tcW w:w="684" w:type="pct"/>
            <w:vMerge w:val="restart"/>
            <w:noWrap w:val="0"/>
            <w:vAlign w:val="center"/>
          </w:tcPr>
          <w:p w14:paraId="515803ED">
            <w:pPr>
              <w:spacing w:line="320" w:lineRule="exact"/>
              <w:jc w:val="center"/>
              <w:rPr>
                <w:rFonts w:ascii="宋体" w:hAnsi="宋体"/>
                <w:szCs w:val="21"/>
              </w:rPr>
            </w:pPr>
          </w:p>
        </w:tc>
      </w:tr>
      <w:tr w14:paraId="120610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cantSplit/>
          <w:trHeight w:val="90" w:hRule="atLeast"/>
          <w:jc w:val="center"/>
        </w:trPr>
        <w:tc>
          <w:tcPr>
            <w:tcW w:w="248" w:type="pct"/>
            <w:vMerge w:val="continue"/>
            <w:noWrap w:val="0"/>
            <w:vAlign w:val="center"/>
          </w:tcPr>
          <w:p w14:paraId="05390A45">
            <w:pPr>
              <w:spacing w:line="320" w:lineRule="exact"/>
              <w:jc w:val="center"/>
              <w:rPr>
                <w:rFonts w:ascii="宋体" w:hAnsi="宋体"/>
                <w:szCs w:val="21"/>
              </w:rPr>
            </w:pPr>
          </w:p>
        </w:tc>
        <w:tc>
          <w:tcPr>
            <w:tcW w:w="214" w:type="pct"/>
            <w:vMerge w:val="continue"/>
            <w:noWrap w:val="0"/>
            <w:vAlign w:val="center"/>
          </w:tcPr>
          <w:p w14:paraId="0344ECED">
            <w:pPr>
              <w:spacing w:line="320" w:lineRule="exact"/>
              <w:jc w:val="center"/>
              <w:rPr>
                <w:rFonts w:ascii="宋体" w:hAnsi="宋体"/>
                <w:szCs w:val="21"/>
              </w:rPr>
            </w:pPr>
          </w:p>
        </w:tc>
        <w:tc>
          <w:tcPr>
            <w:tcW w:w="214" w:type="pct"/>
            <w:vMerge w:val="restart"/>
            <w:noWrap w:val="0"/>
            <w:vAlign w:val="center"/>
          </w:tcPr>
          <w:p w14:paraId="6B93BE75">
            <w:pPr>
              <w:spacing w:line="320" w:lineRule="exact"/>
              <w:jc w:val="center"/>
              <w:rPr>
                <w:rFonts w:ascii="宋体" w:hAnsi="宋体"/>
                <w:szCs w:val="21"/>
              </w:rPr>
            </w:pPr>
            <w:bookmarkStart w:id="44" w:name="_Toc328050223"/>
            <w:r>
              <w:rPr>
                <w:rFonts w:hint="eastAsia" w:ascii="宋体" w:hAnsi="宋体"/>
                <w:szCs w:val="21"/>
              </w:rPr>
              <w:t>其</w:t>
            </w:r>
            <w:bookmarkEnd w:id="44"/>
          </w:p>
          <w:p w14:paraId="6D760AB9">
            <w:pPr>
              <w:spacing w:line="320" w:lineRule="exact"/>
              <w:jc w:val="center"/>
              <w:rPr>
                <w:rFonts w:ascii="宋体" w:hAnsi="宋体"/>
                <w:szCs w:val="21"/>
              </w:rPr>
            </w:pPr>
          </w:p>
          <w:p w14:paraId="43A71DF4">
            <w:pPr>
              <w:spacing w:line="320" w:lineRule="exact"/>
              <w:jc w:val="center"/>
              <w:rPr>
                <w:rFonts w:ascii="宋体" w:hAnsi="宋体"/>
                <w:szCs w:val="21"/>
              </w:rPr>
            </w:pPr>
          </w:p>
          <w:p w14:paraId="68A297ED">
            <w:pPr>
              <w:spacing w:line="320" w:lineRule="exact"/>
              <w:jc w:val="center"/>
              <w:rPr>
                <w:rFonts w:ascii="宋体" w:hAnsi="宋体"/>
                <w:szCs w:val="21"/>
              </w:rPr>
            </w:pPr>
            <w:bookmarkStart w:id="45" w:name="_Toc328050224"/>
            <w:r>
              <w:rPr>
                <w:rFonts w:hint="eastAsia" w:ascii="宋体" w:hAnsi="宋体"/>
                <w:szCs w:val="21"/>
              </w:rPr>
              <w:t>中</w:t>
            </w:r>
            <w:bookmarkEnd w:id="45"/>
          </w:p>
        </w:tc>
        <w:tc>
          <w:tcPr>
            <w:tcW w:w="1822" w:type="pct"/>
            <w:noWrap w:val="0"/>
            <w:vAlign w:val="center"/>
          </w:tcPr>
          <w:p w14:paraId="35AEE515">
            <w:pPr>
              <w:spacing w:line="320" w:lineRule="exact"/>
              <w:jc w:val="center"/>
              <w:rPr>
                <w:rFonts w:ascii="宋体" w:hAnsi="宋体"/>
                <w:szCs w:val="21"/>
              </w:rPr>
            </w:pPr>
            <w:bookmarkStart w:id="46" w:name="_Toc328050225"/>
            <w:r>
              <w:rPr>
                <w:rFonts w:hint="eastAsia" w:ascii="宋体" w:hAnsi="宋体"/>
                <w:szCs w:val="21"/>
              </w:rPr>
              <w:t>行政办公用地(A</w:t>
            </w:r>
            <w:r>
              <w:rPr>
                <w:rFonts w:hint="eastAsia" w:ascii="宋体" w:hAnsi="宋体"/>
                <w:szCs w:val="21"/>
                <w:vertAlign w:val="subscript"/>
              </w:rPr>
              <w:t>1</w:t>
            </w:r>
            <w:r>
              <w:rPr>
                <w:rFonts w:hint="eastAsia" w:ascii="宋体" w:hAnsi="宋体"/>
                <w:szCs w:val="21"/>
              </w:rPr>
              <w:t>)</w:t>
            </w:r>
            <w:bookmarkEnd w:id="46"/>
          </w:p>
        </w:tc>
        <w:tc>
          <w:tcPr>
            <w:tcW w:w="834" w:type="pct"/>
            <w:noWrap w:val="0"/>
            <w:vAlign w:val="center"/>
          </w:tcPr>
          <w:p w14:paraId="22B44588">
            <w:pPr>
              <w:spacing w:line="320" w:lineRule="exact"/>
              <w:jc w:val="center"/>
              <w:rPr>
                <w:rFonts w:ascii="宋体" w:hAnsi="宋体"/>
                <w:szCs w:val="21"/>
              </w:rPr>
            </w:pPr>
            <w:r>
              <w:rPr>
                <w:rFonts w:hint="eastAsia" w:ascii="宋体" w:hAnsi="宋体"/>
                <w:szCs w:val="21"/>
              </w:rPr>
              <w:t>1.74</w:t>
            </w:r>
          </w:p>
        </w:tc>
        <w:tc>
          <w:tcPr>
            <w:tcW w:w="984" w:type="pct"/>
            <w:vMerge w:val="restart"/>
            <w:noWrap w:val="0"/>
            <w:vAlign w:val="center"/>
          </w:tcPr>
          <w:p w14:paraId="7CB2F502">
            <w:pPr>
              <w:spacing w:line="320" w:lineRule="exact"/>
              <w:jc w:val="center"/>
              <w:rPr>
                <w:rFonts w:ascii="宋体" w:hAnsi="宋体"/>
                <w:szCs w:val="21"/>
              </w:rPr>
            </w:pPr>
          </w:p>
        </w:tc>
        <w:tc>
          <w:tcPr>
            <w:tcW w:w="684" w:type="pct"/>
            <w:vMerge w:val="continue"/>
            <w:noWrap w:val="0"/>
            <w:vAlign w:val="center"/>
          </w:tcPr>
          <w:p w14:paraId="5CA8D1E0">
            <w:pPr>
              <w:spacing w:line="320" w:lineRule="exact"/>
              <w:jc w:val="center"/>
              <w:rPr>
                <w:rFonts w:ascii="宋体" w:hAnsi="宋体"/>
                <w:szCs w:val="21"/>
              </w:rPr>
            </w:pPr>
          </w:p>
        </w:tc>
      </w:tr>
      <w:tr w14:paraId="4ADE46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cantSplit/>
          <w:trHeight w:val="90" w:hRule="atLeast"/>
          <w:jc w:val="center"/>
        </w:trPr>
        <w:tc>
          <w:tcPr>
            <w:tcW w:w="248" w:type="pct"/>
            <w:vMerge w:val="continue"/>
            <w:noWrap w:val="0"/>
            <w:vAlign w:val="center"/>
          </w:tcPr>
          <w:p w14:paraId="24AC115A">
            <w:pPr>
              <w:spacing w:line="320" w:lineRule="exact"/>
              <w:jc w:val="center"/>
              <w:rPr>
                <w:rFonts w:ascii="宋体" w:hAnsi="宋体"/>
                <w:szCs w:val="21"/>
              </w:rPr>
            </w:pPr>
          </w:p>
        </w:tc>
        <w:tc>
          <w:tcPr>
            <w:tcW w:w="214" w:type="pct"/>
            <w:vMerge w:val="continue"/>
            <w:noWrap w:val="0"/>
            <w:vAlign w:val="center"/>
          </w:tcPr>
          <w:p w14:paraId="1DCCC191">
            <w:pPr>
              <w:spacing w:line="320" w:lineRule="exact"/>
              <w:jc w:val="center"/>
              <w:rPr>
                <w:rFonts w:ascii="宋体" w:hAnsi="宋体"/>
                <w:szCs w:val="21"/>
              </w:rPr>
            </w:pPr>
          </w:p>
        </w:tc>
        <w:tc>
          <w:tcPr>
            <w:tcW w:w="214" w:type="pct"/>
            <w:vMerge w:val="continue"/>
            <w:noWrap w:val="0"/>
            <w:vAlign w:val="center"/>
          </w:tcPr>
          <w:p w14:paraId="3F647E8D">
            <w:pPr>
              <w:spacing w:line="320" w:lineRule="exact"/>
              <w:jc w:val="center"/>
              <w:rPr>
                <w:rFonts w:ascii="宋体" w:hAnsi="宋体"/>
                <w:szCs w:val="21"/>
              </w:rPr>
            </w:pPr>
          </w:p>
        </w:tc>
        <w:tc>
          <w:tcPr>
            <w:tcW w:w="1822" w:type="pct"/>
            <w:noWrap w:val="0"/>
            <w:vAlign w:val="center"/>
          </w:tcPr>
          <w:p w14:paraId="78B1316D">
            <w:pPr>
              <w:spacing w:line="320" w:lineRule="exact"/>
              <w:jc w:val="center"/>
              <w:rPr>
                <w:rFonts w:ascii="宋体" w:hAnsi="宋体"/>
                <w:szCs w:val="21"/>
              </w:rPr>
            </w:pPr>
            <w:bookmarkStart w:id="47" w:name="_Toc328050227"/>
            <w:r>
              <w:rPr>
                <w:rFonts w:hint="eastAsia" w:ascii="宋体" w:hAnsi="宋体"/>
                <w:szCs w:val="21"/>
              </w:rPr>
              <w:t>文化设施用地(A</w:t>
            </w:r>
            <w:r>
              <w:rPr>
                <w:rFonts w:hint="eastAsia" w:ascii="宋体" w:hAnsi="宋体"/>
                <w:szCs w:val="21"/>
                <w:vertAlign w:val="subscript"/>
              </w:rPr>
              <w:t>2</w:t>
            </w:r>
            <w:r>
              <w:rPr>
                <w:rFonts w:hint="eastAsia" w:ascii="宋体" w:hAnsi="宋体"/>
                <w:szCs w:val="21"/>
              </w:rPr>
              <w:t>)</w:t>
            </w:r>
            <w:bookmarkEnd w:id="47"/>
          </w:p>
        </w:tc>
        <w:tc>
          <w:tcPr>
            <w:tcW w:w="834" w:type="pct"/>
            <w:noWrap w:val="0"/>
            <w:vAlign w:val="center"/>
          </w:tcPr>
          <w:p w14:paraId="65CDC70A">
            <w:pPr>
              <w:spacing w:line="320" w:lineRule="exact"/>
              <w:jc w:val="center"/>
              <w:rPr>
                <w:rFonts w:ascii="宋体" w:hAnsi="宋体"/>
                <w:szCs w:val="21"/>
              </w:rPr>
            </w:pPr>
            <w:r>
              <w:rPr>
                <w:rFonts w:hint="eastAsia" w:ascii="宋体" w:hAnsi="宋体"/>
                <w:szCs w:val="21"/>
              </w:rPr>
              <w:t>--</w:t>
            </w:r>
          </w:p>
        </w:tc>
        <w:tc>
          <w:tcPr>
            <w:tcW w:w="984" w:type="pct"/>
            <w:vMerge w:val="continue"/>
            <w:noWrap w:val="0"/>
            <w:vAlign w:val="center"/>
          </w:tcPr>
          <w:p w14:paraId="6C8C058C">
            <w:pPr>
              <w:spacing w:line="320" w:lineRule="exact"/>
              <w:jc w:val="center"/>
              <w:rPr>
                <w:rFonts w:ascii="宋体" w:hAnsi="宋体"/>
                <w:szCs w:val="21"/>
              </w:rPr>
            </w:pPr>
          </w:p>
        </w:tc>
        <w:tc>
          <w:tcPr>
            <w:tcW w:w="684" w:type="pct"/>
            <w:vMerge w:val="continue"/>
            <w:noWrap w:val="0"/>
            <w:vAlign w:val="center"/>
          </w:tcPr>
          <w:p w14:paraId="383A562C">
            <w:pPr>
              <w:spacing w:line="320" w:lineRule="exact"/>
              <w:jc w:val="center"/>
              <w:rPr>
                <w:rFonts w:ascii="宋体" w:hAnsi="宋体"/>
                <w:szCs w:val="21"/>
              </w:rPr>
            </w:pPr>
          </w:p>
        </w:tc>
      </w:tr>
      <w:tr w14:paraId="0E78EC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cantSplit/>
          <w:trHeight w:val="90" w:hRule="atLeast"/>
          <w:jc w:val="center"/>
        </w:trPr>
        <w:tc>
          <w:tcPr>
            <w:tcW w:w="248" w:type="pct"/>
            <w:vMerge w:val="continue"/>
            <w:noWrap w:val="0"/>
            <w:vAlign w:val="center"/>
          </w:tcPr>
          <w:p w14:paraId="1621C403">
            <w:pPr>
              <w:spacing w:line="320" w:lineRule="exact"/>
              <w:jc w:val="center"/>
              <w:rPr>
                <w:rFonts w:ascii="宋体" w:hAnsi="宋体"/>
                <w:szCs w:val="21"/>
              </w:rPr>
            </w:pPr>
          </w:p>
        </w:tc>
        <w:tc>
          <w:tcPr>
            <w:tcW w:w="214" w:type="pct"/>
            <w:vMerge w:val="continue"/>
            <w:noWrap w:val="0"/>
            <w:vAlign w:val="center"/>
          </w:tcPr>
          <w:p w14:paraId="246BCC4A">
            <w:pPr>
              <w:spacing w:line="320" w:lineRule="exact"/>
              <w:jc w:val="center"/>
              <w:rPr>
                <w:rFonts w:ascii="宋体" w:hAnsi="宋体"/>
                <w:szCs w:val="21"/>
              </w:rPr>
            </w:pPr>
          </w:p>
        </w:tc>
        <w:tc>
          <w:tcPr>
            <w:tcW w:w="214" w:type="pct"/>
            <w:vMerge w:val="continue"/>
            <w:noWrap w:val="0"/>
            <w:vAlign w:val="center"/>
          </w:tcPr>
          <w:p w14:paraId="6F0434EC">
            <w:pPr>
              <w:spacing w:line="320" w:lineRule="exact"/>
              <w:jc w:val="center"/>
              <w:rPr>
                <w:rFonts w:ascii="宋体" w:hAnsi="宋体"/>
                <w:szCs w:val="21"/>
              </w:rPr>
            </w:pPr>
          </w:p>
        </w:tc>
        <w:tc>
          <w:tcPr>
            <w:tcW w:w="1822" w:type="pct"/>
            <w:noWrap w:val="0"/>
            <w:vAlign w:val="center"/>
          </w:tcPr>
          <w:p w14:paraId="14043894">
            <w:pPr>
              <w:spacing w:line="320" w:lineRule="exact"/>
              <w:jc w:val="center"/>
              <w:rPr>
                <w:rFonts w:ascii="宋体" w:hAnsi="宋体"/>
                <w:szCs w:val="21"/>
              </w:rPr>
            </w:pPr>
            <w:bookmarkStart w:id="48" w:name="_Toc328050229"/>
            <w:r>
              <w:rPr>
                <w:rFonts w:hint="eastAsia" w:ascii="宋体" w:hAnsi="宋体"/>
                <w:szCs w:val="21"/>
              </w:rPr>
              <w:t>教育科研用地(A</w:t>
            </w:r>
            <w:r>
              <w:rPr>
                <w:rFonts w:hint="eastAsia" w:ascii="宋体" w:hAnsi="宋体"/>
                <w:szCs w:val="21"/>
                <w:vertAlign w:val="subscript"/>
              </w:rPr>
              <w:t>3</w:t>
            </w:r>
            <w:r>
              <w:rPr>
                <w:rFonts w:hint="eastAsia" w:ascii="宋体" w:hAnsi="宋体"/>
                <w:szCs w:val="21"/>
              </w:rPr>
              <w:t>)</w:t>
            </w:r>
            <w:bookmarkEnd w:id="48"/>
          </w:p>
        </w:tc>
        <w:tc>
          <w:tcPr>
            <w:tcW w:w="834" w:type="pct"/>
            <w:noWrap w:val="0"/>
            <w:vAlign w:val="center"/>
          </w:tcPr>
          <w:p w14:paraId="3A11806F">
            <w:pPr>
              <w:spacing w:line="320" w:lineRule="exact"/>
              <w:jc w:val="center"/>
              <w:rPr>
                <w:rFonts w:ascii="宋体" w:hAnsi="宋体"/>
                <w:szCs w:val="21"/>
              </w:rPr>
            </w:pPr>
            <w:r>
              <w:rPr>
                <w:rFonts w:hint="eastAsia" w:ascii="宋体" w:hAnsi="宋体"/>
                <w:szCs w:val="21"/>
              </w:rPr>
              <w:t>31.35</w:t>
            </w:r>
          </w:p>
        </w:tc>
        <w:tc>
          <w:tcPr>
            <w:tcW w:w="984" w:type="pct"/>
            <w:vMerge w:val="continue"/>
            <w:noWrap w:val="0"/>
            <w:vAlign w:val="center"/>
          </w:tcPr>
          <w:p w14:paraId="1BBD5273">
            <w:pPr>
              <w:spacing w:line="320" w:lineRule="exact"/>
              <w:jc w:val="center"/>
              <w:rPr>
                <w:rFonts w:ascii="宋体" w:hAnsi="宋体"/>
                <w:szCs w:val="21"/>
              </w:rPr>
            </w:pPr>
          </w:p>
        </w:tc>
        <w:tc>
          <w:tcPr>
            <w:tcW w:w="684" w:type="pct"/>
            <w:vMerge w:val="continue"/>
            <w:noWrap w:val="0"/>
            <w:vAlign w:val="center"/>
          </w:tcPr>
          <w:p w14:paraId="1D82F215">
            <w:pPr>
              <w:spacing w:line="320" w:lineRule="exact"/>
              <w:jc w:val="center"/>
              <w:rPr>
                <w:rFonts w:ascii="宋体" w:hAnsi="宋体"/>
                <w:szCs w:val="21"/>
              </w:rPr>
            </w:pPr>
          </w:p>
        </w:tc>
      </w:tr>
      <w:tr w14:paraId="6BC81E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cantSplit/>
          <w:trHeight w:val="344" w:hRule="atLeast"/>
          <w:jc w:val="center"/>
        </w:trPr>
        <w:tc>
          <w:tcPr>
            <w:tcW w:w="248" w:type="pct"/>
            <w:vMerge w:val="continue"/>
            <w:noWrap w:val="0"/>
            <w:vAlign w:val="center"/>
          </w:tcPr>
          <w:p w14:paraId="49AEEABB">
            <w:pPr>
              <w:spacing w:line="320" w:lineRule="exact"/>
              <w:jc w:val="center"/>
              <w:rPr>
                <w:rFonts w:ascii="宋体" w:hAnsi="宋体"/>
                <w:szCs w:val="21"/>
              </w:rPr>
            </w:pPr>
          </w:p>
        </w:tc>
        <w:tc>
          <w:tcPr>
            <w:tcW w:w="214" w:type="pct"/>
            <w:vMerge w:val="continue"/>
            <w:noWrap w:val="0"/>
            <w:vAlign w:val="center"/>
          </w:tcPr>
          <w:p w14:paraId="75CEB83B">
            <w:pPr>
              <w:spacing w:line="320" w:lineRule="exact"/>
              <w:jc w:val="center"/>
              <w:rPr>
                <w:rFonts w:ascii="宋体" w:hAnsi="宋体"/>
                <w:szCs w:val="21"/>
              </w:rPr>
            </w:pPr>
          </w:p>
        </w:tc>
        <w:tc>
          <w:tcPr>
            <w:tcW w:w="214" w:type="pct"/>
            <w:vMerge w:val="continue"/>
            <w:noWrap w:val="0"/>
            <w:vAlign w:val="center"/>
          </w:tcPr>
          <w:p w14:paraId="34E6CE75">
            <w:pPr>
              <w:spacing w:line="320" w:lineRule="exact"/>
              <w:jc w:val="center"/>
              <w:rPr>
                <w:rFonts w:ascii="宋体" w:hAnsi="宋体"/>
                <w:szCs w:val="21"/>
              </w:rPr>
            </w:pPr>
          </w:p>
        </w:tc>
        <w:tc>
          <w:tcPr>
            <w:tcW w:w="1822" w:type="pct"/>
            <w:noWrap w:val="0"/>
            <w:vAlign w:val="center"/>
          </w:tcPr>
          <w:p w14:paraId="744DD27E">
            <w:pPr>
              <w:spacing w:line="320" w:lineRule="exact"/>
              <w:jc w:val="center"/>
              <w:rPr>
                <w:rFonts w:ascii="宋体" w:hAnsi="宋体"/>
                <w:szCs w:val="21"/>
              </w:rPr>
            </w:pPr>
            <w:r>
              <w:rPr>
                <w:rFonts w:hint="eastAsia" w:ascii="宋体" w:hAnsi="宋体"/>
                <w:szCs w:val="21"/>
              </w:rPr>
              <w:t>体育用地（A</w:t>
            </w:r>
            <w:r>
              <w:rPr>
                <w:rFonts w:hint="eastAsia" w:ascii="宋体" w:hAnsi="宋体"/>
                <w:szCs w:val="21"/>
                <w:vertAlign w:val="subscript"/>
              </w:rPr>
              <w:t>4</w:t>
            </w:r>
            <w:r>
              <w:rPr>
                <w:rFonts w:hint="eastAsia" w:ascii="宋体" w:hAnsi="宋体"/>
                <w:szCs w:val="21"/>
              </w:rPr>
              <w:t>）</w:t>
            </w:r>
          </w:p>
        </w:tc>
        <w:tc>
          <w:tcPr>
            <w:tcW w:w="834" w:type="pct"/>
            <w:noWrap w:val="0"/>
            <w:vAlign w:val="center"/>
          </w:tcPr>
          <w:p w14:paraId="10A5ADE5">
            <w:pPr>
              <w:spacing w:line="320" w:lineRule="exact"/>
              <w:jc w:val="center"/>
              <w:rPr>
                <w:rFonts w:ascii="宋体" w:hAnsi="宋体"/>
                <w:szCs w:val="21"/>
              </w:rPr>
            </w:pPr>
            <w:r>
              <w:rPr>
                <w:rFonts w:hint="eastAsia" w:ascii="宋体" w:hAnsi="宋体"/>
                <w:szCs w:val="21"/>
              </w:rPr>
              <w:t>5.0</w:t>
            </w:r>
          </w:p>
        </w:tc>
        <w:tc>
          <w:tcPr>
            <w:tcW w:w="984" w:type="pct"/>
            <w:vMerge w:val="continue"/>
            <w:noWrap w:val="0"/>
            <w:vAlign w:val="center"/>
          </w:tcPr>
          <w:p w14:paraId="1C004705">
            <w:pPr>
              <w:spacing w:line="320" w:lineRule="exact"/>
              <w:jc w:val="center"/>
              <w:rPr>
                <w:rFonts w:ascii="宋体" w:hAnsi="宋体"/>
                <w:szCs w:val="21"/>
              </w:rPr>
            </w:pPr>
          </w:p>
        </w:tc>
        <w:tc>
          <w:tcPr>
            <w:tcW w:w="684" w:type="pct"/>
            <w:vMerge w:val="continue"/>
            <w:noWrap w:val="0"/>
            <w:vAlign w:val="center"/>
          </w:tcPr>
          <w:p w14:paraId="069D85D7">
            <w:pPr>
              <w:spacing w:line="320" w:lineRule="exact"/>
              <w:jc w:val="center"/>
              <w:rPr>
                <w:rFonts w:ascii="宋体" w:hAnsi="宋体"/>
                <w:szCs w:val="21"/>
              </w:rPr>
            </w:pPr>
          </w:p>
        </w:tc>
      </w:tr>
      <w:tr w14:paraId="53C3DF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cantSplit/>
          <w:trHeight w:val="388" w:hRule="atLeast"/>
          <w:jc w:val="center"/>
        </w:trPr>
        <w:tc>
          <w:tcPr>
            <w:tcW w:w="248" w:type="pct"/>
            <w:vMerge w:val="continue"/>
            <w:noWrap w:val="0"/>
            <w:vAlign w:val="center"/>
          </w:tcPr>
          <w:p w14:paraId="6F475C62">
            <w:pPr>
              <w:spacing w:line="320" w:lineRule="exact"/>
              <w:jc w:val="center"/>
              <w:rPr>
                <w:rFonts w:ascii="宋体" w:hAnsi="宋体"/>
                <w:szCs w:val="21"/>
              </w:rPr>
            </w:pPr>
          </w:p>
        </w:tc>
        <w:tc>
          <w:tcPr>
            <w:tcW w:w="214" w:type="pct"/>
            <w:vMerge w:val="continue"/>
            <w:noWrap w:val="0"/>
            <w:vAlign w:val="center"/>
          </w:tcPr>
          <w:p w14:paraId="23675239">
            <w:pPr>
              <w:spacing w:line="320" w:lineRule="exact"/>
              <w:jc w:val="center"/>
              <w:rPr>
                <w:rFonts w:ascii="宋体" w:hAnsi="宋体"/>
                <w:szCs w:val="21"/>
              </w:rPr>
            </w:pPr>
          </w:p>
        </w:tc>
        <w:tc>
          <w:tcPr>
            <w:tcW w:w="214" w:type="pct"/>
            <w:vMerge w:val="continue"/>
            <w:noWrap w:val="0"/>
            <w:vAlign w:val="center"/>
          </w:tcPr>
          <w:p w14:paraId="526830F9">
            <w:pPr>
              <w:spacing w:line="320" w:lineRule="exact"/>
              <w:jc w:val="center"/>
              <w:rPr>
                <w:rFonts w:ascii="宋体" w:hAnsi="宋体"/>
                <w:szCs w:val="21"/>
              </w:rPr>
            </w:pPr>
          </w:p>
        </w:tc>
        <w:tc>
          <w:tcPr>
            <w:tcW w:w="1822" w:type="pct"/>
            <w:noWrap w:val="0"/>
            <w:vAlign w:val="center"/>
          </w:tcPr>
          <w:p w14:paraId="2F64EA20">
            <w:pPr>
              <w:spacing w:line="320" w:lineRule="exact"/>
              <w:jc w:val="center"/>
              <w:rPr>
                <w:rFonts w:ascii="宋体" w:hAnsi="宋体"/>
                <w:szCs w:val="21"/>
              </w:rPr>
            </w:pPr>
            <w:bookmarkStart w:id="49" w:name="_Toc328050231"/>
            <w:r>
              <w:rPr>
                <w:rFonts w:hint="eastAsia" w:ascii="宋体" w:hAnsi="宋体"/>
                <w:szCs w:val="21"/>
              </w:rPr>
              <w:t>医疗卫生用地(A</w:t>
            </w:r>
            <w:r>
              <w:rPr>
                <w:rFonts w:hint="eastAsia" w:ascii="宋体" w:hAnsi="宋体"/>
                <w:szCs w:val="21"/>
                <w:vertAlign w:val="subscript"/>
              </w:rPr>
              <w:t>5</w:t>
            </w:r>
            <w:r>
              <w:rPr>
                <w:rFonts w:hint="eastAsia" w:ascii="宋体" w:hAnsi="宋体"/>
                <w:szCs w:val="21"/>
              </w:rPr>
              <w:t>)</w:t>
            </w:r>
            <w:bookmarkEnd w:id="49"/>
          </w:p>
        </w:tc>
        <w:tc>
          <w:tcPr>
            <w:tcW w:w="834" w:type="pct"/>
            <w:noWrap w:val="0"/>
            <w:vAlign w:val="center"/>
          </w:tcPr>
          <w:p w14:paraId="072B9FC4">
            <w:pPr>
              <w:spacing w:line="320" w:lineRule="exact"/>
              <w:jc w:val="center"/>
              <w:rPr>
                <w:rFonts w:ascii="宋体" w:hAnsi="宋体"/>
                <w:szCs w:val="21"/>
              </w:rPr>
            </w:pPr>
            <w:r>
              <w:rPr>
                <w:rFonts w:ascii="宋体" w:hAnsi="宋体"/>
                <w:szCs w:val="21"/>
              </w:rPr>
              <w:t>8.63</w:t>
            </w:r>
          </w:p>
        </w:tc>
        <w:tc>
          <w:tcPr>
            <w:tcW w:w="984" w:type="pct"/>
            <w:vMerge w:val="continue"/>
            <w:noWrap w:val="0"/>
            <w:vAlign w:val="center"/>
          </w:tcPr>
          <w:p w14:paraId="24361C16">
            <w:pPr>
              <w:spacing w:line="320" w:lineRule="exact"/>
              <w:jc w:val="center"/>
              <w:rPr>
                <w:rFonts w:ascii="宋体" w:hAnsi="宋体"/>
                <w:szCs w:val="21"/>
              </w:rPr>
            </w:pPr>
          </w:p>
        </w:tc>
        <w:tc>
          <w:tcPr>
            <w:tcW w:w="684" w:type="pct"/>
            <w:vMerge w:val="continue"/>
            <w:noWrap w:val="0"/>
            <w:vAlign w:val="center"/>
          </w:tcPr>
          <w:p w14:paraId="1A48C0DA">
            <w:pPr>
              <w:spacing w:line="320" w:lineRule="exact"/>
              <w:jc w:val="center"/>
              <w:rPr>
                <w:rFonts w:ascii="宋体" w:hAnsi="宋体"/>
                <w:szCs w:val="21"/>
              </w:rPr>
            </w:pPr>
          </w:p>
        </w:tc>
      </w:tr>
      <w:tr w14:paraId="28F5E0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cantSplit/>
          <w:trHeight w:val="237" w:hRule="atLeast"/>
          <w:jc w:val="center"/>
        </w:trPr>
        <w:tc>
          <w:tcPr>
            <w:tcW w:w="248" w:type="pct"/>
            <w:vMerge w:val="continue"/>
            <w:noWrap w:val="0"/>
            <w:vAlign w:val="center"/>
          </w:tcPr>
          <w:p w14:paraId="3ECA7B4A">
            <w:pPr>
              <w:spacing w:line="320" w:lineRule="exact"/>
              <w:jc w:val="center"/>
              <w:rPr>
                <w:rFonts w:ascii="宋体" w:hAnsi="宋体"/>
                <w:szCs w:val="21"/>
              </w:rPr>
            </w:pPr>
          </w:p>
        </w:tc>
        <w:tc>
          <w:tcPr>
            <w:tcW w:w="214" w:type="pct"/>
            <w:vMerge w:val="continue"/>
            <w:noWrap w:val="0"/>
            <w:vAlign w:val="center"/>
          </w:tcPr>
          <w:p w14:paraId="466820EE">
            <w:pPr>
              <w:spacing w:line="320" w:lineRule="exact"/>
              <w:jc w:val="center"/>
              <w:rPr>
                <w:rFonts w:ascii="宋体" w:hAnsi="宋体"/>
                <w:szCs w:val="21"/>
              </w:rPr>
            </w:pPr>
          </w:p>
        </w:tc>
        <w:tc>
          <w:tcPr>
            <w:tcW w:w="214" w:type="pct"/>
            <w:vMerge w:val="continue"/>
            <w:noWrap w:val="0"/>
            <w:vAlign w:val="center"/>
          </w:tcPr>
          <w:p w14:paraId="27850FB6">
            <w:pPr>
              <w:spacing w:line="320" w:lineRule="exact"/>
              <w:jc w:val="center"/>
              <w:rPr>
                <w:rFonts w:ascii="宋体" w:hAnsi="宋体"/>
                <w:szCs w:val="21"/>
              </w:rPr>
            </w:pPr>
          </w:p>
        </w:tc>
        <w:tc>
          <w:tcPr>
            <w:tcW w:w="1822" w:type="pct"/>
            <w:noWrap w:val="0"/>
            <w:vAlign w:val="center"/>
          </w:tcPr>
          <w:p w14:paraId="12BAB522">
            <w:pPr>
              <w:spacing w:line="320" w:lineRule="exact"/>
              <w:jc w:val="center"/>
              <w:rPr>
                <w:rFonts w:ascii="宋体" w:hAnsi="宋体"/>
                <w:szCs w:val="21"/>
              </w:rPr>
            </w:pPr>
            <w:r>
              <w:rPr>
                <w:rFonts w:hint="eastAsia" w:ascii="宋体" w:hAnsi="宋体"/>
                <w:szCs w:val="21"/>
              </w:rPr>
              <w:t>社会福利用地（A</w:t>
            </w:r>
            <w:r>
              <w:rPr>
                <w:rFonts w:hint="eastAsia" w:ascii="宋体" w:hAnsi="宋体"/>
                <w:szCs w:val="21"/>
                <w:vertAlign w:val="subscript"/>
              </w:rPr>
              <w:t>6</w:t>
            </w:r>
            <w:r>
              <w:rPr>
                <w:rFonts w:hint="eastAsia" w:ascii="宋体" w:hAnsi="宋体"/>
                <w:szCs w:val="21"/>
              </w:rPr>
              <w:t>）</w:t>
            </w:r>
          </w:p>
        </w:tc>
        <w:tc>
          <w:tcPr>
            <w:tcW w:w="834" w:type="pct"/>
            <w:noWrap w:val="0"/>
            <w:vAlign w:val="center"/>
          </w:tcPr>
          <w:p w14:paraId="1F4CE608">
            <w:pPr>
              <w:spacing w:line="320" w:lineRule="exact"/>
              <w:jc w:val="center"/>
              <w:rPr>
                <w:rFonts w:ascii="宋体" w:hAnsi="宋体"/>
                <w:szCs w:val="21"/>
              </w:rPr>
            </w:pPr>
            <w:r>
              <w:rPr>
                <w:rFonts w:hint="eastAsia" w:ascii="宋体" w:hAnsi="宋体"/>
                <w:szCs w:val="21"/>
              </w:rPr>
              <w:t>1.98</w:t>
            </w:r>
          </w:p>
        </w:tc>
        <w:tc>
          <w:tcPr>
            <w:tcW w:w="984" w:type="pct"/>
            <w:vMerge w:val="continue"/>
            <w:noWrap w:val="0"/>
            <w:vAlign w:val="center"/>
          </w:tcPr>
          <w:p w14:paraId="71B06F07">
            <w:pPr>
              <w:spacing w:line="320" w:lineRule="exact"/>
              <w:jc w:val="center"/>
              <w:rPr>
                <w:rFonts w:ascii="宋体" w:hAnsi="宋体"/>
                <w:szCs w:val="21"/>
              </w:rPr>
            </w:pPr>
          </w:p>
        </w:tc>
        <w:tc>
          <w:tcPr>
            <w:tcW w:w="684" w:type="pct"/>
            <w:vMerge w:val="continue"/>
            <w:noWrap w:val="0"/>
            <w:vAlign w:val="center"/>
          </w:tcPr>
          <w:p w14:paraId="65CB004C">
            <w:pPr>
              <w:spacing w:line="320" w:lineRule="exact"/>
              <w:jc w:val="center"/>
              <w:rPr>
                <w:rFonts w:ascii="宋体" w:hAnsi="宋体"/>
                <w:szCs w:val="21"/>
              </w:rPr>
            </w:pPr>
          </w:p>
        </w:tc>
      </w:tr>
      <w:tr w14:paraId="0129C0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cantSplit/>
          <w:trHeight w:val="275" w:hRule="atLeast"/>
          <w:jc w:val="center"/>
        </w:trPr>
        <w:tc>
          <w:tcPr>
            <w:tcW w:w="248" w:type="pct"/>
            <w:vMerge w:val="continue"/>
            <w:noWrap w:val="0"/>
            <w:vAlign w:val="center"/>
          </w:tcPr>
          <w:p w14:paraId="64424656">
            <w:pPr>
              <w:spacing w:line="320" w:lineRule="exact"/>
              <w:jc w:val="center"/>
              <w:rPr>
                <w:rFonts w:ascii="宋体" w:hAnsi="宋体"/>
                <w:szCs w:val="21"/>
              </w:rPr>
            </w:pPr>
          </w:p>
        </w:tc>
        <w:tc>
          <w:tcPr>
            <w:tcW w:w="214" w:type="pct"/>
            <w:vMerge w:val="continue"/>
            <w:noWrap w:val="0"/>
            <w:vAlign w:val="center"/>
          </w:tcPr>
          <w:p w14:paraId="5B6D8FE5">
            <w:pPr>
              <w:spacing w:line="320" w:lineRule="exact"/>
              <w:jc w:val="center"/>
              <w:rPr>
                <w:rFonts w:ascii="宋体" w:hAnsi="宋体"/>
                <w:szCs w:val="21"/>
              </w:rPr>
            </w:pPr>
          </w:p>
        </w:tc>
        <w:tc>
          <w:tcPr>
            <w:tcW w:w="214" w:type="pct"/>
            <w:vMerge w:val="continue"/>
            <w:noWrap w:val="0"/>
            <w:vAlign w:val="center"/>
          </w:tcPr>
          <w:p w14:paraId="165C4A64">
            <w:pPr>
              <w:spacing w:line="320" w:lineRule="exact"/>
              <w:jc w:val="center"/>
              <w:rPr>
                <w:rFonts w:ascii="宋体" w:hAnsi="宋体"/>
                <w:szCs w:val="21"/>
              </w:rPr>
            </w:pPr>
          </w:p>
        </w:tc>
        <w:tc>
          <w:tcPr>
            <w:tcW w:w="1822" w:type="pct"/>
            <w:noWrap w:val="0"/>
            <w:vAlign w:val="center"/>
          </w:tcPr>
          <w:p w14:paraId="68AD668D">
            <w:pPr>
              <w:spacing w:line="320" w:lineRule="exact"/>
              <w:jc w:val="center"/>
              <w:rPr>
                <w:rFonts w:ascii="宋体" w:hAnsi="宋体"/>
                <w:szCs w:val="21"/>
              </w:rPr>
            </w:pPr>
            <w:r>
              <w:rPr>
                <w:rFonts w:hint="eastAsia" w:ascii="宋体" w:hAnsi="宋体"/>
                <w:szCs w:val="21"/>
              </w:rPr>
              <w:t>宗教用地（A</w:t>
            </w:r>
            <w:r>
              <w:rPr>
                <w:rFonts w:hint="eastAsia" w:ascii="宋体" w:hAnsi="宋体"/>
                <w:szCs w:val="21"/>
                <w:vertAlign w:val="subscript"/>
              </w:rPr>
              <w:t>9</w:t>
            </w:r>
            <w:r>
              <w:rPr>
                <w:rFonts w:hint="eastAsia" w:ascii="宋体" w:hAnsi="宋体"/>
                <w:szCs w:val="21"/>
              </w:rPr>
              <w:t>）</w:t>
            </w:r>
          </w:p>
        </w:tc>
        <w:tc>
          <w:tcPr>
            <w:tcW w:w="834" w:type="pct"/>
            <w:noWrap w:val="0"/>
            <w:vAlign w:val="center"/>
          </w:tcPr>
          <w:p w14:paraId="2E27A6BA">
            <w:pPr>
              <w:spacing w:line="320" w:lineRule="exact"/>
              <w:jc w:val="center"/>
              <w:rPr>
                <w:rFonts w:ascii="宋体" w:hAnsi="宋体"/>
                <w:szCs w:val="21"/>
              </w:rPr>
            </w:pPr>
            <w:r>
              <w:rPr>
                <w:rFonts w:hint="eastAsia" w:ascii="宋体" w:hAnsi="宋体"/>
                <w:szCs w:val="21"/>
              </w:rPr>
              <w:t>--</w:t>
            </w:r>
          </w:p>
        </w:tc>
        <w:tc>
          <w:tcPr>
            <w:tcW w:w="984" w:type="pct"/>
            <w:vMerge w:val="continue"/>
            <w:noWrap w:val="0"/>
            <w:vAlign w:val="center"/>
          </w:tcPr>
          <w:p w14:paraId="5390111E">
            <w:pPr>
              <w:spacing w:line="320" w:lineRule="exact"/>
              <w:jc w:val="center"/>
              <w:rPr>
                <w:rFonts w:ascii="宋体" w:hAnsi="宋体"/>
                <w:szCs w:val="21"/>
              </w:rPr>
            </w:pPr>
          </w:p>
        </w:tc>
        <w:tc>
          <w:tcPr>
            <w:tcW w:w="684" w:type="pct"/>
            <w:vMerge w:val="continue"/>
            <w:noWrap w:val="0"/>
            <w:vAlign w:val="center"/>
          </w:tcPr>
          <w:p w14:paraId="4CF90EC4">
            <w:pPr>
              <w:spacing w:line="320" w:lineRule="exact"/>
              <w:jc w:val="center"/>
              <w:rPr>
                <w:rFonts w:ascii="宋体" w:hAnsi="宋体"/>
                <w:szCs w:val="21"/>
              </w:rPr>
            </w:pPr>
          </w:p>
        </w:tc>
      </w:tr>
      <w:tr w14:paraId="077268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cantSplit/>
          <w:trHeight w:val="90" w:hRule="atLeast"/>
          <w:jc w:val="center"/>
        </w:trPr>
        <w:tc>
          <w:tcPr>
            <w:tcW w:w="248" w:type="pct"/>
            <w:vMerge w:val="restart"/>
            <w:noWrap w:val="0"/>
            <w:vAlign w:val="center"/>
          </w:tcPr>
          <w:p w14:paraId="46651CBA">
            <w:pPr>
              <w:spacing w:line="320" w:lineRule="exact"/>
              <w:jc w:val="center"/>
              <w:rPr>
                <w:rFonts w:ascii="宋体" w:hAnsi="宋体"/>
                <w:szCs w:val="21"/>
              </w:rPr>
            </w:pPr>
            <w:bookmarkStart w:id="50" w:name="_Toc328050233"/>
            <w:r>
              <w:rPr>
                <w:rFonts w:hint="eastAsia" w:ascii="宋体" w:hAnsi="宋体"/>
                <w:szCs w:val="21"/>
              </w:rPr>
              <w:t>3</w:t>
            </w:r>
            <w:bookmarkEnd w:id="50"/>
          </w:p>
        </w:tc>
        <w:tc>
          <w:tcPr>
            <w:tcW w:w="214" w:type="pct"/>
            <w:vMerge w:val="restart"/>
            <w:noWrap w:val="0"/>
            <w:vAlign w:val="center"/>
          </w:tcPr>
          <w:p w14:paraId="0F96E20A">
            <w:pPr>
              <w:spacing w:line="320" w:lineRule="exact"/>
              <w:jc w:val="center"/>
              <w:rPr>
                <w:rFonts w:ascii="宋体" w:hAnsi="宋体"/>
                <w:szCs w:val="21"/>
              </w:rPr>
            </w:pPr>
            <w:bookmarkStart w:id="51" w:name="_Toc328050234"/>
            <w:r>
              <w:rPr>
                <w:rFonts w:hint="eastAsia" w:ascii="宋体" w:hAnsi="宋体"/>
                <w:szCs w:val="21"/>
              </w:rPr>
              <w:t>B</w:t>
            </w:r>
            <w:bookmarkEnd w:id="51"/>
          </w:p>
        </w:tc>
        <w:tc>
          <w:tcPr>
            <w:tcW w:w="2036" w:type="pct"/>
            <w:gridSpan w:val="2"/>
            <w:noWrap w:val="0"/>
            <w:vAlign w:val="center"/>
          </w:tcPr>
          <w:p w14:paraId="3E23FE7A">
            <w:pPr>
              <w:spacing w:line="320" w:lineRule="exact"/>
              <w:jc w:val="center"/>
              <w:rPr>
                <w:rFonts w:ascii="宋体" w:hAnsi="宋体"/>
                <w:szCs w:val="21"/>
              </w:rPr>
            </w:pPr>
            <w:bookmarkStart w:id="52" w:name="_Toc328050235"/>
            <w:r>
              <w:rPr>
                <w:rFonts w:hint="eastAsia" w:ascii="宋体" w:hAnsi="宋体"/>
                <w:szCs w:val="21"/>
              </w:rPr>
              <w:t>商业服务业设施用地</w:t>
            </w:r>
            <w:bookmarkEnd w:id="52"/>
          </w:p>
        </w:tc>
        <w:tc>
          <w:tcPr>
            <w:tcW w:w="834" w:type="pct"/>
            <w:noWrap w:val="0"/>
            <w:vAlign w:val="center"/>
          </w:tcPr>
          <w:p w14:paraId="63B96BED">
            <w:pPr>
              <w:spacing w:line="320" w:lineRule="exact"/>
              <w:jc w:val="center"/>
              <w:rPr>
                <w:rFonts w:ascii="宋体" w:hAnsi="宋体"/>
                <w:szCs w:val="21"/>
              </w:rPr>
            </w:pPr>
            <w:r>
              <w:rPr>
                <w:rFonts w:hint="eastAsia" w:ascii="宋体" w:hAnsi="宋体"/>
                <w:szCs w:val="21"/>
              </w:rPr>
              <w:t>52.46</w:t>
            </w:r>
          </w:p>
        </w:tc>
        <w:tc>
          <w:tcPr>
            <w:tcW w:w="984" w:type="pct"/>
            <w:noWrap w:val="0"/>
            <w:vAlign w:val="center"/>
          </w:tcPr>
          <w:p w14:paraId="0007B967">
            <w:pPr>
              <w:spacing w:line="320" w:lineRule="exact"/>
              <w:jc w:val="center"/>
              <w:rPr>
                <w:rFonts w:ascii="宋体" w:hAnsi="宋体"/>
                <w:szCs w:val="21"/>
              </w:rPr>
            </w:pPr>
            <w:r>
              <w:rPr>
                <w:rFonts w:hint="eastAsia" w:ascii="宋体" w:hAnsi="宋体"/>
                <w:szCs w:val="21"/>
              </w:rPr>
              <w:t>8.06</w:t>
            </w:r>
            <w:r>
              <w:rPr>
                <w:rFonts w:ascii="宋体" w:hAnsi="宋体"/>
                <w:szCs w:val="21"/>
              </w:rPr>
              <w:t>%</w:t>
            </w:r>
          </w:p>
        </w:tc>
        <w:tc>
          <w:tcPr>
            <w:tcW w:w="684" w:type="pct"/>
            <w:vMerge w:val="restart"/>
            <w:noWrap w:val="0"/>
            <w:vAlign w:val="center"/>
          </w:tcPr>
          <w:p w14:paraId="7588277C">
            <w:pPr>
              <w:spacing w:line="320" w:lineRule="exact"/>
              <w:jc w:val="center"/>
              <w:rPr>
                <w:rFonts w:ascii="宋体" w:hAnsi="宋体"/>
                <w:szCs w:val="21"/>
              </w:rPr>
            </w:pPr>
          </w:p>
        </w:tc>
      </w:tr>
      <w:tr w14:paraId="2D2F78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cantSplit/>
          <w:trHeight w:val="79" w:hRule="atLeast"/>
          <w:jc w:val="center"/>
        </w:trPr>
        <w:tc>
          <w:tcPr>
            <w:tcW w:w="248" w:type="pct"/>
            <w:vMerge w:val="continue"/>
            <w:noWrap w:val="0"/>
            <w:vAlign w:val="center"/>
          </w:tcPr>
          <w:p w14:paraId="296ED942">
            <w:pPr>
              <w:spacing w:line="320" w:lineRule="exact"/>
              <w:jc w:val="center"/>
              <w:rPr>
                <w:rFonts w:ascii="宋体" w:hAnsi="宋体"/>
                <w:szCs w:val="21"/>
              </w:rPr>
            </w:pPr>
          </w:p>
        </w:tc>
        <w:tc>
          <w:tcPr>
            <w:tcW w:w="214" w:type="pct"/>
            <w:vMerge w:val="continue"/>
            <w:noWrap w:val="0"/>
            <w:vAlign w:val="center"/>
          </w:tcPr>
          <w:p w14:paraId="351C78C3">
            <w:pPr>
              <w:spacing w:line="320" w:lineRule="exact"/>
              <w:jc w:val="center"/>
              <w:rPr>
                <w:rFonts w:ascii="宋体" w:hAnsi="宋体"/>
                <w:szCs w:val="21"/>
              </w:rPr>
            </w:pPr>
          </w:p>
        </w:tc>
        <w:tc>
          <w:tcPr>
            <w:tcW w:w="214" w:type="pct"/>
            <w:vMerge w:val="restart"/>
            <w:noWrap w:val="0"/>
            <w:vAlign w:val="center"/>
          </w:tcPr>
          <w:p w14:paraId="42D34E4E">
            <w:pPr>
              <w:spacing w:line="320" w:lineRule="exact"/>
              <w:jc w:val="center"/>
              <w:rPr>
                <w:rFonts w:ascii="宋体" w:hAnsi="宋体"/>
                <w:szCs w:val="21"/>
              </w:rPr>
            </w:pPr>
            <w:bookmarkStart w:id="53" w:name="_Toc328050238"/>
            <w:r>
              <w:rPr>
                <w:rFonts w:hint="eastAsia" w:ascii="宋体" w:hAnsi="宋体"/>
                <w:szCs w:val="21"/>
              </w:rPr>
              <w:t>其中</w:t>
            </w:r>
            <w:bookmarkEnd w:id="53"/>
          </w:p>
        </w:tc>
        <w:tc>
          <w:tcPr>
            <w:tcW w:w="1822" w:type="pct"/>
            <w:noWrap w:val="0"/>
            <w:vAlign w:val="center"/>
          </w:tcPr>
          <w:p w14:paraId="7E2227B7">
            <w:pPr>
              <w:spacing w:line="320" w:lineRule="exact"/>
              <w:jc w:val="center"/>
              <w:rPr>
                <w:rFonts w:ascii="宋体" w:hAnsi="宋体"/>
                <w:szCs w:val="21"/>
              </w:rPr>
            </w:pPr>
            <w:bookmarkStart w:id="54" w:name="_Toc328050239"/>
            <w:r>
              <w:rPr>
                <w:rFonts w:hint="eastAsia" w:ascii="宋体" w:hAnsi="宋体"/>
                <w:szCs w:val="21"/>
              </w:rPr>
              <w:t>商业用地(B</w:t>
            </w:r>
            <w:r>
              <w:rPr>
                <w:rFonts w:hint="eastAsia" w:ascii="宋体" w:hAnsi="宋体"/>
                <w:szCs w:val="21"/>
                <w:vertAlign w:val="subscript"/>
              </w:rPr>
              <w:t>1</w:t>
            </w:r>
            <w:r>
              <w:rPr>
                <w:rFonts w:hint="eastAsia" w:ascii="宋体" w:hAnsi="宋体"/>
                <w:szCs w:val="21"/>
              </w:rPr>
              <w:t>)</w:t>
            </w:r>
            <w:bookmarkEnd w:id="54"/>
          </w:p>
        </w:tc>
        <w:tc>
          <w:tcPr>
            <w:tcW w:w="834" w:type="pct"/>
            <w:noWrap w:val="0"/>
            <w:vAlign w:val="center"/>
          </w:tcPr>
          <w:p w14:paraId="7A52E66E">
            <w:pPr>
              <w:spacing w:line="320" w:lineRule="exact"/>
              <w:jc w:val="center"/>
              <w:rPr>
                <w:rFonts w:ascii="宋体" w:hAnsi="宋体"/>
                <w:szCs w:val="21"/>
              </w:rPr>
            </w:pPr>
            <w:r>
              <w:rPr>
                <w:rFonts w:hint="eastAsia" w:ascii="宋体" w:hAnsi="宋体"/>
                <w:szCs w:val="21"/>
              </w:rPr>
              <w:t>47.03</w:t>
            </w:r>
          </w:p>
        </w:tc>
        <w:tc>
          <w:tcPr>
            <w:tcW w:w="984" w:type="pct"/>
            <w:vMerge w:val="restart"/>
            <w:noWrap w:val="0"/>
            <w:vAlign w:val="center"/>
          </w:tcPr>
          <w:p w14:paraId="63AB23F8">
            <w:pPr>
              <w:spacing w:line="320" w:lineRule="exact"/>
              <w:jc w:val="center"/>
              <w:rPr>
                <w:rFonts w:ascii="宋体" w:hAnsi="宋体"/>
                <w:szCs w:val="21"/>
              </w:rPr>
            </w:pPr>
          </w:p>
          <w:p w14:paraId="0EC83743">
            <w:pPr>
              <w:spacing w:line="320" w:lineRule="exact"/>
              <w:jc w:val="center"/>
              <w:rPr>
                <w:rFonts w:ascii="宋体" w:hAnsi="宋体"/>
                <w:szCs w:val="21"/>
              </w:rPr>
            </w:pPr>
          </w:p>
        </w:tc>
        <w:tc>
          <w:tcPr>
            <w:tcW w:w="684" w:type="pct"/>
            <w:vMerge w:val="continue"/>
            <w:noWrap w:val="0"/>
            <w:vAlign w:val="center"/>
          </w:tcPr>
          <w:p w14:paraId="70EBB4D2">
            <w:pPr>
              <w:spacing w:line="320" w:lineRule="exact"/>
              <w:jc w:val="center"/>
              <w:rPr>
                <w:rFonts w:ascii="宋体" w:hAnsi="宋体"/>
                <w:szCs w:val="21"/>
              </w:rPr>
            </w:pPr>
          </w:p>
        </w:tc>
      </w:tr>
      <w:tr w14:paraId="7DC504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cantSplit/>
          <w:trHeight w:val="187" w:hRule="atLeast"/>
          <w:jc w:val="center"/>
        </w:trPr>
        <w:tc>
          <w:tcPr>
            <w:tcW w:w="248" w:type="pct"/>
            <w:vMerge w:val="continue"/>
            <w:noWrap w:val="0"/>
            <w:vAlign w:val="center"/>
          </w:tcPr>
          <w:p w14:paraId="7C29C055">
            <w:pPr>
              <w:spacing w:line="320" w:lineRule="exact"/>
              <w:jc w:val="center"/>
              <w:rPr>
                <w:rFonts w:ascii="宋体" w:hAnsi="宋体"/>
                <w:szCs w:val="21"/>
              </w:rPr>
            </w:pPr>
          </w:p>
        </w:tc>
        <w:tc>
          <w:tcPr>
            <w:tcW w:w="214" w:type="pct"/>
            <w:vMerge w:val="continue"/>
            <w:noWrap w:val="0"/>
            <w:vAlign w:val="center"/>
          </w:tcPr>
          <w:p w14:paraId="285C0100">
            <w:pPr>
              <w:spacing w:line="320" w:lineRule="exact"/>
              <w:jc w:val="center"/>
              <w:rPr>
                <w:rFonts w:ascii="宋体" w:hAnsi="宋体"/>
                <w:szCs w:val="21"/>
              </w:rPr>
            </w:pPr>
          </w:p>
        </w:tc>
        <w:tc>
          <w:tcPr>
            <w:tcW w:w="214" w:type="pct"/>
            <w:vMerge w:val="continue"/>
            <w:noWrap w:val="0"/>
            <w:vAlign w:val="center"/>
          </w:tcPr>
          <w:p w14:paraId="57B541FC">
            <w:pPr>
              <w:spacing w:line="320" w:lineRule="exact"/>
              <w:jc w:val="center"/>
              <w:rPr>
                <w:rFonts w:ascii="宋体" w:hAnsi="宋体"/>
                <w:szCs w:val="21"/>
              </w:rPr>
            </w:pPr>
          </w:p>
        </w:tc>
        <w:tc>
          <w:tcPr>
            <w:tcW w:w="1822" w:type="pct"/>
            <w:noWrap w:val="0"/>
            <w:vAlign w:val="center"/>
          </w:tcPr>
          <w:p w14:paraId="1F080B17">
            <w:pPr>
              <w:spacing w:line="320" w:lineRule="exact"/>
              <w:jc w:val="center"/>
              <w:rPr>
                <w:rFonts w:ascii="宋体" w:hAnsi="宋体"/>
                <w:szCs w:val="21"/>
              </w:rPr>
            </w:pPr>
            <w:bookmarkStart w:id="55" w:name="_Toc328050241"/>
            <w:r>
              <w:rPr>
                <w:rFonts w:hint="eastAsia" w:ascii="宋体" w:hAnsi="宋体"/>
                <w:szCs w:val="21"/>
              </w:rPr>
              <w:t>商务用地(B</w:t>
            </w:r>
            <w:r>
              <w:rPr>
                <w:rFonts w:hint="eastAsia" w:ascii="宋体" w:hAnsi="宋体"/>
                <w:szCs w:val="21"/>
                <w:vertAlign w:val="subscript"/>
              </w:rPr>
              <w:t>2</w:t>
            </w:r>
            <w:r>
              <w:rPr>
                <w:rFonts w:hint="eastAsia" w:ascii="宋体" w:hAnsi="宋体"/>
                <w:szCs w:val="21"/>
              </w:rPr>
              <w:t>)</w:t>
            </w:r>
            <w:bookmarkEnd w:id="55"/>
          </w:p>
        </w:tc>
        <w:tc>
          <w:tcPr>
            <w:tcW w:w="834" w:type="pct"/>
            <w:noWrap w:val="0"/>
            <w:vAlign w:val="center"/>
          </w:tcPr>
          <w:p w14:paraId="7A5A8114">
            <w:pPr>
              <w:spacing w:line="320" w:lineRule="exact"/>
              <w:jc w:val="center"/>
              <w:rPr>
                <w:rFonts w:ascii="宋体" w:hAnsi="宋体"/>
                <w:szCs w:val="21"/>
              </w:rPr>
            </w:pPr>
            <w:r>
              <w:rPr>
                <w:rFonts w:hint="eastAsia" w:ascii="宋体" w:hAnsi="宋体"/>
                <w:szCs w:val="21"/>
              </w:rPr>
              <w:t>--</w:t>
            </w:r>
          </w:p>
        </w:tc>
        <w:tc>
          <w:tcPr>
            <w:tcW w:w="984" w:type="pct"/>
            <w:vMerge w:val="continue"/>
            <w:noWrap w:val="0"/>
            <w:vAlign w:val="center"/>
          </w:tcPr>
          <w:p w14:paraId="2C92F63D">
            <w:pPr>
              <w:spacing w:line="320" w:lineRule="exact"/>
              <w:jc w:val="center"/>
              <w:rPr>
                <w:rFonts w:ascii="宋体" w:hAnsi="宋体"/>
                <w:szCs w:val="21"/>
              </w:rPr>
            </w:pPr>
          </w:p>
        </w:tc>
        <w:tc>
          <w:tcPr>
            <w:tcW w:w="684" w:type="pct"/>
            <w:vMerge w:val="continue"/>
            <w:noWrap w:val="0"/>
            <w:vAlign w:val="center"/>
          </w:tcPr>
          <w:p w14:paraId="381530F9">
            <w:pPr>
              <w:spacing w:line="320" w:lineRule="exact"/>
              <w:jc w:val="center"/>
              <w:rPr>
                <w:rFonts w:ascii="宋体" w:hAnsi="宋体"/>
                <w:szCs w:val="21"/>
              </w:rPr>
            </w:pPr>
          </w:p>
        </w:tc>
      </w:tr>
      <w:tr w14:paraId="00783D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cantSplit/>
          <w:trHeight w:val="90" w:hRule="atLeast"/>
          <w:jc w:val="center"/>
        </w:trPr>
        <w:tc>
          <w:tcPr>
            <w:tcW w:w="248" w:type="pct"/>
            <w:vMerge w:val="continue"/>
            <w:noWrap w:val="0"/>
            <w:vAlign w:val="center"/>
          </w:tcPr>
          <w:p w14:paraId="2C82120B">
            <w:pPr>
              <w:spacing w:line="320" w:lineRule="exact"/>
              <w:jc w:val="center"/>
              <w:rPr>
                <w:rFonts w:ascii="宋体" w:hAnsi="宋体"/>
                <w:szCs w:val="21"/>
              </w:rPr>
            </w:pPr>
          </w:p>
        </w:tc>
        <w:tc>
          <w:tcPr>
            <w:tcW w:w="214" w:type="pct"/>
            <w:vMerge w:val="continue"/>
            <w:noWrap w:val="0"/>
            <w:vAlign w:val="center"/>
          </w:tcPr>
          <w:p w14:paraId="7452A4E5">
            <w:pPr>
              <w:spacing w:line="320" w:lineRule="exact"/>
              <w:jc w:val="center"/>
              <w:rPr>
                <w:rFonts w:ascii="宋体" w:hAnsi="宋体"/>
                <w:szCs w:val="21"/>
              </w:rPr>
            </w:pPr>
          </w:p>
        </w:tc>
        <w:tc>
          <w:tcPr>
            <w:tcW w:w="214" w:type="pct"/>
            <w:vMerge w:val="continue"/>
            <w:noWrap w:val="0"/>
            <w:vAlign w:val="center"/>
          </w:tcPr>
          <w:p w14:paraId="75BA31E1">
            <w:pPr>
              <w:spacing w:line="320" w:lineRule="exact"/>
              <w:jc w:val="center"/>
              <w:rPr>
                <w:rFonts w:ascii="宋体" w:hAnsi="宋体"/>
                <w:szCs w:val="21"/>
              </w:rPr>
            </w:pPr>
          </w:p>
        </w:tc>
        <w:tc>
          <w:tcPr>
            <w:tcW w:w="1822" w:type="pct"/>
            <w:noWrap w:val="0"/>
            <w:vAlign w:val="center"/>
          </w:tcPr>
          <w:p w14:paraId="05BF9FD1">
            <w:pPr>
              <w:spacing w:line="320" w:lineRule="exact"/>
              <w:jc w:val="center"/>
              <w:rPr>
                <w:rFonts w:ascii="宋体" w:hAnsi="宋体"/>
                <w:szCs w:val="21"/>
              </w:rPr>
            </w:pPr>
            <w:r>
              <w:rPr>
                <w:rFonts w:hint="eastAsia" w:ascii="宋体" w:hAnsi="宋体"/>
                <w:szCs w:val="21"/>
              </w:rPr>
              <w:t>娱乐康体用地(B</w:t>
            </w:r>
            <w:r>
              <w:rPr>
                <w:rFonts w:hint="eastAsia" w:ascii="宋体" w:hAnsi="宋体"/>
                <w:szCs w:val="21"/>
                <w:vertAlign w:val="subscript"/>
              </w:rPr>
              <w:t>3</w:t>
            </w:r>
            <w:r>
              <w:rPr>
                <w:rFonts w:hint="eastAsia" w:ascii="宋体" w:hAnsi="宋体"/>
                <w:szCs w:val="21"/>
              </w:rPr>
              <w:t>)</w:t>
            </w:r>
          </w:p>
        </w:tc>
        <w:tc>
          <w:tcPr>
            <w:tcW w:w="834" w:type="pct"/>
            <w:noWrap w:val="0"/>
            <w:vAlign w:val="center"/>
          </w:tcPr>
          <w:p w14:paraId="3E7293F5">
            <w:pPr>
              <w:spacing w:line="320" w:lineRule="exact"/>
              <w:jc w:val="center"/>
              <w:rPr>
                <w:rFonts w:ascii="宋体" w:hAnsi="宋体"/>
                <w:szCs w:val="21"/>
              </w:rPr>
            </w:pPr>
            <w:r>
              <w:rPr>
                <w:rFonts w:hint="eastAsia" w:ascii="宋体" w:hAnsi="宋体"/>
                <w:szCs w:val="21"/>
              </w:rPr>
              <w:t>3.01</w:t>
            </w:r>
          </w:p>
        </w:tc>
        <w:tc>
          <w:tcPr>
            <w:tcW w:w="984" w:type="pct"/>
            <w:vMerge w:val="continue"/>
            <w:noWrap w:val="0"/>
            <w:vAlign w:val="center"/>
          </w:tcPr>
          <w:p w14:paraId="5AE7F552">
            <w:pPr>
              <w:spacing w:line="320" w:lineRule="exact"/>
              <w:jc w:val="center"/>
              <w:rPr>
                <w:rFonts w:ascii="宋体" w:hAnsi="宋体"/>
                <w:szCs w:val="21"/>
              </w:rPr>
            </w:pPr>
          </w:p>
        </w:tc>
        <w:tc>
          <w:tcPr>
            <w:tcW w:w="684" w:type="pct"/>
            <w:vMerge w:val="continue"/>
            <w:noWrap w:val="0"/>
            <w:vAlign w:val="center"/>
          </w:tcPr>
          <w:p w14:paraId="1E96B03E">
            <w:pPr>
              <w:spacing w:line="320" w:lineRule="exact"/>
              <w:jc w:val="center"/>
              <w:rPr>
                <w:rFonts w:ascii="宋体" w:hAnsi="宋体"/>
                <w:szCs w:val="21"/>
              </w:rPr>
            </w:pPr>
          </w:p>
        </w:tc>
      </w:tr>
      <w:tr w14:paraId="0F4A95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wBefore w:w="0" w:type="dxa"/>
          <w:wAfter w:w="0" w:type="dxa"/>
          <w:cantSplit/>
          <w:trHeight w:val="166" w:hRule="atLeast"/>
          <w:jc w:val="center"/>
        </w:trPr>
        <w:tc>
          <w:tcPr>
            <w:tcW w:w="248" w:type="pct"/>
            <w:vMerge w:val="continue"/>
            <w:noWrap w:val="0"/>
            <w:vAlign w:val="center"/>
          </w:tcPr>
          <w:p w14:paraId="657EF77E">
            <w:pPr>
              <w:spacing w:line="320" w:lineRule="exact"/>
              <w:jc w:val="center"/>
              <w:rPr>
                <w:rFonts w:ascii="宋体" w:hAnsi="宋体"/>
                <w:szCs w:val="21"/>
              </w:rPr>
            </w:pPr>
          </w:p>
        </w:tc>
        <w:tc>
          <w:tcPr>
            <w:tcW w:w="214" w:type="pct"/>
            <w:vMerge w:val="continue"/>
            <w:noWrap w:val="0"/>
            <w:vAlign w:val="center"/>
          </w:tcPr>
          <w:p w14:paraId="39B4A2F2">
            <w:pPr>
              <w:spacing w:line="320" w:lineRule="exact"/>
              <w:jc w:val="center"/>
              <w:rPr>
                <w:rFonts w:ascii="宋体" w:hAnsi="宋体"/>
                <w:szCs w:val="21"/>
              </w:rPr>
            </w:pPr>
          </w:p>
        </w:tc>
        <w:tc>
          <w:tcPr>
            <w:tcW w:w="214" w:type="pct"/>
            <w:vMerge w:val="continue"/>
            <w:noWrap w:val="0"/>
            <w:vAlign w:val="center"/>
          </w:tcPr>
          <w:p w14:paraId="3F8C3539">
            <w:pPr>
              <w:spacing w:line="320" w:lineRule="exact"/>
              <w:jc w:val="center"/>
              <w:rPr>
                <w:rFonts w:ascii="宋体" w:hAnsi="宋体"/>
                <w:szCs w:val="21"/>
              </w:rPr>
            </w:pPr>
          </w:p>
        </w:tc>
        <w:tc>
          <w:tcPr>
            <w:tcW w:w="1822" w:type="pct"/>
            <w:noWrap w:val="0"/>
            <w:vAlign w:val="center"/>
          </w:tcPr>
          <w:p w14:paraId="212C6CB0">
            <w:pPr>
              <w:spacing w:line="320" w:lineRule="exact"/>
              <w:jc w:val="center"/>
              <w:rPr>
                <w:rFonts w:ascii="宋体" w:hAnsi="宋体"/>
                <w:szCs w:val="21"/>
              </w:rPr>
            </w:pPr>
            <w:bookmarkStart w:id="56" w:name="_Toc328050243"/>
            <w:r>
              <w:rPr>
                <w:rFonts w:hint="eastAsia" w:ascii="宋体" w:hAnsi="宋体"/>
                <w:szCs w:val="21"/>
              </w:rPr>
              <w:t>公用设施营业网点用地(B</w:t>
            </w:r>
            <w:r>
              <w:rPr>
                <w:rFonts w:hint="eastAsia" w:ascii="宋体" w:hAnsi="宋体"/>
                <w:szCs w:val="21"/>
                <w:vertAlign w:val="subscript"/>
              </w:rPr>
              <w:t>4</w:t>
            </w:r>
            <w:r>
              <w:rPr>
                <w:rFonts w:hint="eastAsia" w:ascii="宋体" w:hAnsi="宋体"/>
                <w:szCs w:val="21"/>
              </w:rPr>
              <w:t>)</w:t>
            </w:r>
            <w:bookmarkEnd w:id="56"/>
          </w:p>
        </w:tc>
        <w:tc>
          <w:tcPr>
            <w:tcW w:w="834" w:type="pct"/>
            <w:noWrap w:val="0"/>
            <w:vAlign w:val="center"/>
          </w:tcPr>
          <w:p w14:paraId="721E7924">
            <w:pPr>
              <w:spacing w:line="320" w:lineRule="exact"/>
              <w:jc w:val="center"/>
              <w:rPr>
                <w:rFonts w:ascii="宋体" w:hAnsi="宋体"/>
                <w:szCs w:val="21"/>
              </w:rPr>
            </w:pPr>
            <w:r>
              <w:rPr>
                <w:rFonts w:hint="eastAsia" w:ascii="宋体" w:hAnsi="宋体"/>
                <w:szCs w:val="21"/>
              </w:rPr>
              <w:t>2.42</w:t>
            </w:r>
          </w:p>
        </w:tc>
        <w:tc>
          <w:tcPr>
            <w:tcW w:w="984" w:type="pct"/>
            <w:vMerge w:val="continue"/>
            <w:noWrap w:val="0"/>
            <w:vAlign w:val="center"/>
          </w:tcPr>
          <w:p w14:paraId="3DB4C206">
            <w:pPr>
              <w:spacing w:line="320" w:lineRule="exact"/>
              <w:jc w:val="center"/>
              <w:rPr>
                <w:rFonts w:ascii="宋体" w:hAnsi="宋体"/>
                <w:szCs w:val="21"/>
              </w:rPr>
            </w:pPr>
          </w:p>
        </w:tc>
        <w:tc>
          <w:tcPr>
            <w:tcW w:w="684" w:type="pct"/>
            <w:vMerge w:val="continue"/>
            <w:noWrap w:val="0"/>
            <w:vAlign w:val="center"/>
          </w:tcPr>
          <w:p w14:paraId="284B9AAC">
            <w:pPr>
              <w:spacing w:line="320" w:lineRule="exact"/>
              <w:jc w:val="center"/>
              <w:rPr>
                <w:rFonts w:ascii="宋体" w:hAnsi="宋体"/>
                <w:szCs w:val="21"/>
              </w:rPr>
            </w:pPr>
          </w:p>
        </w:tc>
      </w:tr>
      <w:tr w14:paraId="79CE1B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cantSplit/>
          <w:trHeight w:val="166" w:hRule="atLeast"/>
          <w:jc w:val="center"/>
        </w:trPr>
        <w:tc>
          <w:tcPr>
            <w:tcW w:w="248" w:type="pct"/>
            <w:noWrap w:val="0"/>
            <w:vAlign w:val="center"/>
          </w:tcPr>
          <w:p w14:paraId="74167FCD">
            <w:pPr>
              <w:spacing w:line="320" w:lineRule="exact"/>
              <w:jc w:val="center"/>
              <w:rPr>
                <w:rFonts w:ascii="宋体" w:hAnsi="宋体"/>
                <w:szCs w:val="21"/>
              </w:rPr>
            </w:pPr>
            <w:r>
              <w:rPr>
                <w:rFonts w:hint="eastAsia" w:ascii="宋体" w:hAnsi="宋体"/>
                <w:szCs w:val="21"/>
              </w:rPr>
              <w:t>4</w:t>
            </w:r>
          </w:p>
        </w:tc>
        <w:tc>
          <w:tcPr>
            <w:tcW w:w="214" w:type="pct"/>
            <w:noWrap w:val="0"/>
            <w:vAlign w:val="center"/>
          </w:tcPr>
          <w:p w14:paraId="0B439965">
            <w:pPr>
              <w:spacing w:line="320" w:lineRule="exact"/>
              <w:jc w:val="center"/>
              <w:rPr>
                <w:rFonts w:ascii="宋体" w:hAnsi="宋体"/>
                <w:szCs w:val="21"/>
              </w:rPr>
            </w:pPr>
            <w:r>
              <w:rPr>
                <w:rFonts w:hint="eastAsia" w:ascii="宋体" w:hAnsi="宋体"/>
                <w:szCs w:val="21"/>
              </w:rPr>
              <w:t>W</w:t>
            </w:r>
          </w:p>
        </w:tc>
        <w:tc>
          <w:tcPr>
            <w:tcW w:w="2036" w:type="pct"/>
            <w:gridSpan w:val="2"/>
            <w:noWrap w:val="0"/>
            <w:vAlign w:val="center"/>
          </w:tcPr>
          <w:p w14:paraId="733ADA6C">
            <w:pPr>
              <w:spacing w:line="320" w:lineRule="exact"/>
              <w:jc w:val="center"/>
              <w:rPr>
                <w:rFonts w:hint="eastAsia" w:ascii="宋体" w:hAnsi="宋体"/>
                <w:szCs w:val="21"/>
              </w:rPr>
            </w:pPr>
            <w:r>
              <w:rPr>
                <w:rFonts w:hint="eastAsia" w:ascii="宋体" w:hAnsi="宋体"/>
                <w:szCs w:val="21"/>
              </w:rPr>
              <w:t>一类物流仓储用地（W</w:t>
            </w:r>
            <w:r>
              <w:rPr>
                <w:rFonts w:hint="eastAsia" w:ascii="宋体" w:hAnsi="宋体"/>
                <w:szCs w:val="21"/>
                <w:vertAlign w:val="subscript"/>
              </w:rPr>
              <w:t>1</w:t>
            </w:r>
            <w:r>
              <w:rPr>
                <w:rFonts w:hint="eastAsia" w:ascii="宋体" w:hAnsi="宋体"/>
                <w:szCs w:val="21"/>
              </w:rPr>
              <w:t>）</w:t>
            </w:r>
          </w:p>
        </w:tc>
        <w:tc>
          <w:tcPr>
            <w:tcW w:w="834" w:type="pct"/>
            <w:noWrap w:val="0"/>
            <w:vAlign w:val="center"/>
          </w:tcPr>
          <w:p w14:paraId="15591187">
            <w:pPr>
              <w:spacing w:line="320" w:lineRule="exact"/>
              <w:jc w:val="center"/>
              <w:rPr>
                <w:rFonts w:hint="eastAsia" w:ascii="宋体" w:hAnsi="宋体"/>
                <w:szCs w:val="21"/>
              </w:rPr>
            </w:pPr>
            <w:r>
              <w:rPr>
                <w:rFonts w:ascii="宋体" w:hAnsi="宋体"/>
                <w:szCs w:val="21"/>
              </w:rPr>
              <w:t>20.67</w:t>
            </w:r>
          </w:p>
        </w:tc>
        <w:tc>
          <w:tcPr>
            <w:tcW w:w="984" w:type="pct"/>
            <w:noWrap w:val="0"/>
            <w:vAlign w:val="center"/>
          </w:tcPr>
          <w:p w14:paraId="0D644833">
            <w:pPr>
              <w:spacing w:line="320" w:lineRule="exact"/>
              <w:jc w:val="center"/>
              <w:rPr>
                <w:rFonts w:ascii="宋体" w:hAnsi="宋体"/>
                <w:szCs w:val="21"/>
              </w:rPr>
            </w:pPr>
            <w:r>
              <w:rPr>
                <w:rFonts w:ascii="宋体" w:hAnsi="宋体"/>
                <w:szCs w:val="21"/>
              </w:rPr>
              <w:t>3.1</w:t>
            </w:r>
            <w:r>
              <w:rPr>
                <w:rFonts w:hint="eastAsia" w:ascii="宋体" w:hAnsi="宋体"/>
                <w:szCs w:val="21"/>
              </w:rPr>
              <w:t>8</w:t>
            </w:r>
            <w:r>
              <w:rPr>
                <w:rFonts w:ascii="宋体" w:hAnsi="宋体"/>
                <w:szCs w:val="21"/>
              </w:rPr>
              <w:t>%</w:t>
            </w:r>
          </w:p>
        </w:tc>
        <w:tc>
          <w:tcPr>
            <w:tcW w:w="684" w:type="pct"/>
            <w:noWrap w:val="0"/>
            <w:vAlign w:val="center"/>
          </w:tcPr>
          <w:p w14:paraId="4D2015CD">
            <w:pPr>
              <w:spacing w:line="320" w:lineRule="exact"/>
              <w:jc w:val="center"/>
              <w:rPr>
                <w:rFonts w:ascii="宋体" w:hAnsi="宋体"/>
                <w:szCs w:val="21"/>
              </w:rPr>
            </w:pPr>
          </w:p>
        </w:tc>
      </w:tr>
      <w:tr w14:paraId="2632DF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cantSplit/>
          <w:trHeight w:val="191" w:hRule="atLeast"/>
          <w:jc w:val="center"/>
        </w:trPr>
        <w:tc>
          <w:tcPr>
            <w:tcW w:w="248" w:type="pct"/>
            <w:vMerge w:val="restart"/>
            <w:noWrap w:val="0"/>
            <w:vAlign w:val="center"/>
          </w:tcPr>
          <w:p w14:paraId="75C2F229">
            <w:pPr>
              <w:spacing w:line="320" w:lineRule="exact"/>
              <w:jc w:val="center"/>
              <w:rPr>
                <w:rFonts w:ascii="宋体" w:hAnsi="宋体"/>
                <w:szCs w:val="21"/>
              </w:rPr>
            </w:pPr>
            <w:r>
              <w:rPr>
                <w:rFonts w:hint="eastAsia" w:ascii="宋体" w:hAnsi="宋体"/>
                <w:szCs w:val="21"/>
              </w:rPr>
              <w:t>5</w:t>
            </w:r>
          </w:p>
        </w:tc>
        <w:tc>
          <w:tcPr>
            <w:tcW w:w="214" w:type="pct"/>
            <w:vMerge w:val="restart"/>
            <w:noWrap w:val="0"/>
            <w:vAlign w:val="center"/>
          </w:tcPr>
          <w:p w14:paraId="65DE69A9">
            <w:pPr>
              <w:spacing w:line="320" w:lineRule="exact"/>
              <w:jc w:val="center"/>
              <w:rPr>
                <w:rFonts w:ascii="宋体" w:hAnsi="宋体"/>
                <w:szCs w:val="21"/>
              </w:rPr>
            </w:pPr>
            <w:bookmarkStart w:id="57" w:name="_Toc328050259"/>
            <w:r>
              <w:rPr>
                <w:rFonts w:hint="eastAsia" w:ascii="宋体" w:hAnsi="宋体"/>
                <w:szCs w:val="21"/>
              </w:rPr>
              <w:t>S</w:t>
            </w:r>
            <w:bookmarkEnd w:id="57"/>
          </w:p>
        </w:tc>
        <w:tc>
          <w:tcPr>
            <w:tcW w:w="2036" w:type="pct"/>
            <w:gridSpan w:val="2"/>
            <w:noWrap w:val="0"/>
            <w:vAlign w:val="center"/>
          </w:tcPr>
          <w:p w14:paraId="5D0F7384">
            <w:pPr>
              <w:spacing w:line="320" w:lineRule="exact"/>
              <w:jc w:val="center"/>
              <w:rPr>
                <w:rFonts w:ascii="宋体" w:hAnsi="宋体"/>
                <w:szCs w:val="21"/>
              </w:rPr>
            </w:pPr>
            <w:bookmarkStart w:id="58" w:name="_Toc328050260"/>
            <w:r>
              <w:rPr>
                <w:rFonts w:hint="eastAsia" w:ascii="宋体" w:hAnsi="宋体"/>
                <w:szCs w:val="21"/>
              </w:rPr>
              <w:t>交通设施用地</w:t>
            </w:r>
            <w:bookmarkEnd w:id="58"/>
          </w:p>
        </w:tc>
        <w:tc>
          <w:tcPr>
            <w:tcW w:w="834" w:type="pct"/>
            <w:noWrap w:val="0"/>
            <w:vAlign w:val="center"/>
          </w:tcPr>
          <w:p w14:paraId="74C2B57D">
            <w:pPr>
              <w:spacing w:line="320" w:lineRule="exact"/>
              <w:jc w:val="center"/>
              <w:rPr>
                <w:rFonts w:ascii="宋体" w:hAnsi="宋体"/>
                <w:szCs w:val="21"/>
              </w:rPr>
            </w:pPr>
            <w:r>
              <w:rPr>
                <w:rFonts w:hint="eastAsia" w:ascii="宋体" w:hAnsi="宋体"/>
                <w:szCs w:val="21"/>
              </w:rPr>
              <w:t>134.14</w:t>
            </w:r>
          </w:p>
        </w:tc>
        <w:tc>
          <w:tcPr>
            <w:tcW w:w="984" w:type="pct"/>
            <w:noWrap w:val="0"/>
            <w:vAlign w:val="center"/>
          </w:tcPr>
          <w:p w14:paraId="4E6D3BA0">
            <w:pPr>
              <w:spacing w:line="320" w:lineRule="exact"/>
              <w:jc w:val="center"/>
              <w:rPr>
                <w:rFonts w:ascii="宋体" w:hAnsi="宋体"/>
                <w:szCs w:val="21"/>
              </w:rPr>
            </w:pPr>
            <w:r>
              <w:rPr>
                <w:rFonts w:ascii="宋体" w:hAnsi="宋体"/>
                <w:szCs w:val="21"/>
              </w:rPr>
              <w:t>20.</w:t>
            </w:r>
            <w:r>
              <w:rPr>
                <w:rFonts w:hint="eastAsia" w:ascii="宋体" w:hAnsi="宋体"/>
                <w:szCs w:val="21"/>
              </w:rPr>
              <w:t>62</w:t>
            </w:r>
            <w:r>
              <w:rPr>
                <w:rFonts w:ascii="宋体" w:hAnsi="宋体"/>
                <w:szCs w:val="21"/>
              </w:rPr>
              <w:t>%</w:t>
            </w:r>
          </w:p>
        </w:tc>
        <w:tc>
          <w:tcPr>
            <w:tcW w:w="684" w:type="pct"/>
            <w:vMerge w:val="restart"/>
            <w:noWrap w:val="0"/>
            <w:vAlign w:val="center"/>
          </w:tcPr>
          <w:p w14:paraId="67217B61">
            <w:pPr>
              <w:spacing w:line="320" w:lineRule="exact"/>
              <w:jc w:val="center"/>
              <w:rPr>
                <w:rFonts w:ascii="宋体" w:hAnsi="宋体"/>
                <w:szCs w:val="21"/>
              </w:rPr>
            </w:pPr>
          </w:p>
        </w:tc>
      </w:tr>
      <w:tr w14:paraId="74FFE2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cantSplit/>
          <w:trHeight w:val="90" w:hRule="atLeast"/>
          <w:jc w:val="center"/>
        </w:trPr>
        <w:tc>
          <w:tcPr>
            <w:tcW w:w="248" w:type="pct"/>
            <w:vMerge w:val="continue"/>
            <w:noWrap w:val="0"/>
            <w:vAlign w:val="center"/>
          </w:tcPr>
          <w:p w14:paraId="169C6383">
            <w:pPr>
              <w:spacing w:line="320" w:lineRule="exact"/>
              <w:jc w:val="center"/>
              <w:rPr>
                <w:rFonts w:ascii="宋体" w:hAnsi="宋体"/>
                <w:szCs w:val="21"/>
              </w:rPr>
            </w:pPr>
          </w:p>
        </w:tc>
        <w:tc>
          <w:tcPr>
            <w:tcW w:w="214" w:type="pct"/>
            <w:vMerge w:val="continue"/>
            <w:noWrap w:val="0"/>
            <w:vAlign w:val="center"/>
          </w:tcPr>
          <w:p w14:paraId="17420B1F">
            <w:pPr>
              <w:spacing w:line="320" w:lineRule="exact"/>
              <w:jc w:val="center"/>
              <w:rPr>
                <w:rFonts w:ascii="宋体" w:hAnsi="宋体"/>
                <w:szCs w:val="21"/>
              </w:rPr>
            </w:pPr>
          </w:p>
        </w:tc>
        <w:tc>
          <w:tcPr>
            <w:tcW w:w="214" w:type="pct"/>
            <w:vMerge w:val="restart"/>
            <w:noWrap w:val="0"/>
            <w:vAlign w:val="center"/>
          </w:tcPr>
          <w:p w14:paraId="42BF0419">
            <w:pPr>
              <w:spacing w:line="320" w:lineRule="exact"/>
              <w:jc w:val="center"/>
              <w:rPr>
                <w:rFonts w:ascii="宋体" w:hAnsi="宋体"/>
                <w:szCs w:val="21"/>
              </w:rPr>
            </w:pPr>
            <w:bookmarkStart w:id="59" w:name="_Toc328050263"/>
            <w:r>
              <w:rPr>
                <w:rFonts w:hint="eastAsia" w:ascii="宋体" w:hAnsi="宋体"/>
                <w:szCs w:val="21"/>
              </w:rPr>
              <w:t>其中</w:t>
            </w:r>
            <w:bookmarkEnd w:id="59"/>
          </w:p>
        </w:tc>
        <w:tc>
          <w:tcPr>
            <w:tcW w:w="1822" w:type="pct"/>
            <w:noWrap w:val="0"/>
            <w:vAlign w:val="center"/>
          </w:tcPr>
          <w:p w14:paraId="3C4D44F4">
            <w:pPr>
              <w:spacing w:line="320" w:lineRule="exact"/>
              <w:jc w:val="center"/>
              <w:rPr>
                <w:rFonts w:ascii="宋体" w:hAnsi="宋体"/>
                <w:szCs w:val="21"/>
              </w:rPr>
            </w:pPr>
            <w:bookmarkStart w:id="60" w:name="_Toc328050264"/>
            <w:r>
              <w:rPr>
                <w:rFonts w:hint="eastAsia" w:ascii="宋体" w:hAnsi="宋体"/>
                <w:szCs w:val="21"/>
              </w:rPr>
              <w:t>城市道路用地(S</w:t>
            </w:r>
            <w:r>
              <w:rPr>
                <w:rFonts w:hint="eastAsia" w:ascii="宋体" w:hAnsi="宋体"/>
                <w:szCs w:val="21"/>
                <w:vertAlign w:val="subscript"/>
              </w:rPr>
              <w:t>1</w:t>
            </w:r>
            <w:r>
              <w:rPr>
                <w:rFonts w:hint="eastAsia" w:ascii="宋体" w:hAnsi="宋体"/>
                <w:szCs w:val="21"/>
              </w:rPr>
              <w:t>)</w:t>
            </w:r>
            <w:bookmarkEnd w:id="60"/>
          </w:p>
        </w:tc>
        <w:tc>
          <w:tcPr>
            <w:tcW w:w="834" w:type="pct"/>
            <w:noWrap w:val="0"/>
            <w:vAlign w:val="center"/>
          </w:tcPr>
          <w:p w14:paraId="76B40A5B">
            <w:pPr>
              <w:spacing w:line="320" w:lineRule="exact"/>
              <w:jc w:val="center"/>
              <w:rPr>
                <w:rFonts w:ascii="宋体" w:hAnsi="宋体"/>
                <w:szCs w:val="21"/>
              </w:rPr>
            </w:pPr>
            <w:r>
              <w:rPr>
                <w:rFonts w:hint="eastAsia" w:ascii="宋体" w:hAnsi="宋体"/>
                <w:szCs w:val="21"/>
              </w:rPr>
              <w:t>130.36</w:t>
            </w:r>
          </w:p>
        </w:tc>
        <w:tc>
          <w:tcPr>
            <w:tcW w:w="984" w:type="pct"/>
            <w:vMerge w:val="restart"/>
            <w:noWrap w:val="0"/>
            <w:vAlign w:val="center"/>
          </w:tcPr>
          <w:p w14:paraId="5EFA392C">
            <w:pPr>
              <w:spacing w:line="320" w:lineRule="exact"/>
              <w:jc w:val="center"/>
              <w:rPr>
                <w:rFonts w:ascii="宋体" w:hAnsi="宋体"/>
                <w:szCs w:val="21"/>
              </w:rPr>
            </w:pPr>
          </w:p>
        </w:tc>
        <w:tc>
          <w:tcPr>
            <w:tcW w:w="684" w:type="pct"/>
            <w:vMerge w:val="continue"/>
            <w:noWrap w:val="0"/>
            <w:vAlign w:val="center"/>
          </w:tcPr>
          <w:p w14:paraId="73433231">
            <w:pPr>
              <w:spacing w:line="320" w:lineRule="exact"/>
              <w:jc w:val="center"/>
              <w:rPr>
                <w:rFonts w:ascii="宋体" w:hAnsi="宋体"/>
                <w:szCs w:val="21"/>
              </w:rPr>
            </w:pPr>
          </w:p>
        </w:tc>
      </w:tr>
      <w:tr w14:paraId="4C222C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cantSplit/>
          <w:trHeight w:val="90" w:hRule="atLeast"/>
          <w:jc w:val="center"/>
        </w:trPr>
        <w:tc>
          <w:tcPr>
            <w:tcW w:w="248" w:type="pct"/>
            <w:vMerge w:val="continue"/>
            <w:noWrap w:val="0"/>
            <w:vAlign w:val="center"/>
          </w:tcPr>
          <w:p w14:paraId="19ABEE2D">
            <w:pPr>
              <w:spacing w:line="320" w:lineRule="exact"/>
              <w:jc w:val="center"/>
              <w:rPr>
                <w:rFonts w:ascii="宋体" w:hAnsi="宋体"/>
                <w:szCs w:val="21"/>
              </w:rPr>
            </w:pPr>
          </w:p>
        </w:tc>
        <w:tc>
          <w:tcPr>
            <w:tcW w:w="214" w:type="pct"/>
            <w:vMerge w:val="continue"/>
            <w:noWrap w:val="0"/>
            <w:vAlign w:val="center"/>
          </w:tcPr>
          <w:p w14:paraId="28A4AC99">
            <w:pPr>
              <w:spacing w:line="320" w:lineRule="exact"/>
              <w:jc w:val="center"/>
              <w:rPr>
                <w:rFonts w:ascii="宋体" w:hAnsi="宋体"/>
                <w:szCs w:val="21"/>
              </w:rPr>
            </w:pPr>
          </w:p>
        </w:tc>
        <w:tc>
          <w:tcPr>
            <w:tcW w:w="214" w:type="pct"/>
            <w:vMerge w:val="continue"/>
            <w:noWrap w:val="0"/>
            <w:vAlign w:val="center"/>
          </w:tcPr>
          <w:p w14:paraId="3C13FB24">
            <w:pPr>
              <w:spacing w:line="320" w:lineRule="exact"/>
              <w:jc w:val="center"/>
              <w:rPr>
                <w:rFonts w:ascii="宋体" w:hAnsi="宋体"/>
                <w:szCs w:val="21"/>
              </w:rPr>
            </w:pPr>
          </w:p>
        </w:tc>
        <w:tc>
          <w:tcPr>
            <w:tcW w:w="1822" w:type="pct"/>
            <w:noWrap w:val="0"/>
            <w:vAlign w:val="center"/>
          </w:tcPr>
          <w:p w14:paraId="56B83595">
            <w:pPr>
              <w:spacing w:line="320" w:lineRule="exact"/>
              <w:jc w:val="center"/>
              <w:rPr>
                <w:rFonts w:ascii="宋体" w:hAnsi="宋体"/>
                <w:szCs w:val="21"/>
              </w:rPr>
            </w:pPr>
            <w:bookmarkStart w:id="61" w:name="_Toc328050266"/>
            <w:r>
              <w:rPr>
                <w:rFonts w:hint="eastAsia" w:ascii="宋体" w:hAnsi="宋体"/>
                <w:szCs w:val="21"/>
              </w:rPr>
              <w:t>交通枢纽用地(S</w:t>
            </w:r>
            <w:r>
              <w:rPr>
                <w:rFonts w:hint="eastAsia" w:ascii="宋体" w:hAnsi="宋体"/>
                <w:szCs w:val="21"/>
                <w:vertAlign w:val="subscript"/>
              </w:rPr>
              <w:t>3</w:t>
            </w:r>
            <w:r>
              <w:rPr>
                <w:rFonts w:hint="eastAsia" w:ascii="宋体" w:hAnsi="宋体"/>
                <w:szCs w:val="21"/>
              </w:rPr>
              <w:t>)</w:t>
            </w:r>
            <w:bookmarkEnd w:id="61"/>
          </w:p>
        </w:tc>
        <w:tc>
          <w:tcPr>
            <w:tcW w:w="834" w:type="pct"/>
            <w:noWrap w:val="0"/>
            <w:vAlign w:val="center"/>
          </w:tcPr>
          <w:p w14:paraId="1F03F87C">
            <w:pPr>
              <w:spacing w:line="320" w:lineRule="exact"/>
              <w:jc w:val="center"/>
              <w:rPr>
                <w:rFonts w:ascii="宋体" w:hAnsi="宋体"/>
                <w:szCs w:val="21"/>
              </w:rPr>
            </w:pPr>
            <w:r>
              <w:rPr>
                <w:rFonts w:hint="eastAsia" w:ascii="宋体" w:hAnsi="宋体"/>
                <w:szCs w:val="21"/>
              </w:rPr>
              <w:t>2.95</w:t>
            </w:r>
          </w:p>
        </w:tc>
        <w:tc>
          <w:tcPr>
            <w:tcW w:w="984" w:type="pct"/>
            <w:vMerge w:val="continue"/>
            <w:noWrap w:val="0"/>
            <w:vAlign w:val="center"/>
          </w:tcPr>
          <w:p w14:paraId="7269CFE4">
            <w:pPr>
              <w:spacing w:line="320" w:lineRule="exact"/>
              <w:jc w:val="center"/>
              <w:rPr>
                <w:rFonts w:ascii="宋体" w:hAnsi="宋体"/>
                <w:szCs w:val="21"/>
              </w:rPr>
            </w:pPr>
          </w:p>
        </w:tc>
        <w:tc>
          <w:tcPr>
            <w:tcW w:w="684" w:type="pct"/>
            <w:vMerge w:val="continue"/>
            <w:noWrap w:val="0"/>
            <w:vAlign w:val="center"/>
          </w:tcPr>
          <w:p w14:paraId="602EC165">
            <w:pPr>
              <w:spacing w:line="320" w:lineRule="exact"/>
              <w:jc w:val="center"/>
              <w:rPr>
                <w:rFonts w:ascii="宋体" w:hAnsi="宋体"/>
                <w:szCs w:val="21"/>
              </w:rPr>
            </w:pPr>
          </w:p>
        </w:tc>
      </w:tr>
      <w:tr w14:paraId="34EFED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cantSplit/>
          <w:trHeight w:val="174" w:hRule="atLeast"/>
          <w:jc w:val="center"/>
        </w:trPr>
        <w:tc>
          <w:tcPr>
            <w:tcW w:w="248" w:type="pct"/>
            <w:vMerge w:val="continue"/>
            <w:noWrap w:val="0"/>
            <w:vAlign w:val="center"/>
          </w:tcPr>
          <w:p w14:paraId="71FE712F">
            <w:pPr>
              <w:spacing w:line="320" w:lineRule="exact"/>
              <w:jc w:val="center"/>
              <w:rPr>
                <w:rFonts w:ascii="宋体" w:hAnsi="宋体"/>
                <w:szCs w:val="21"/>
              </w:rPr>
            </w:pPr>
          </w:p>
        </w:tc>
        <w:tc>
          <w:tcPr>
            <w:tcW w:w="214" w:type="pct"/>
            <w:vMerge w:val="continue"/>
            <w:noWrap w:val="0"/>
            <w:vAlign w:val="center"/>
          </w:tcPr>
          <w:p w14:paraId="6D72D946">
            <w:pPr>
              <w:spacing w:line="320" w:lineRule="exact"/>
              <w:jc w:val="center"/>
              <w:rPr>
                <w:rFonts w:ascii="宋体" w:hAnsi="宋体"/>
                <w:szCs w:val="21"/>
              </w:rPr>
            </w:pPr>
          </w:p>
        </w:tc>
        <w:tc>
          <w:tcPr>
            <w:tcW w:w="214" w:type="pct"/>
            <w:vMerge w:val="continue"/>
            <w:noWrap w:val="0"/>
            <w:vAlign w:val="center"/>
          </w:tcPr>
          <w:p w14:paraId="7950669B">
            <w:pPr>
              <w:spacing w:line="320" w:lineRule="exact"/>
              <w:jc w:val="center"/>
              <w:rPr>
                <w:rFonts w:ascii="宋体" w:hAnsi="宋体"/>
                <w:szCs w:val="21"/>
              </w:rPr>
            </w:pPr>
          </w:p>
        </w:tc>
        <w:tc>
          <w:tcPr>
            <w:tcW w:w="1822" w:type="pct"/>
            <w:noWrap w:val="0"/>
            <w:vAlign w:val="center"/>
          </w:tcPr>
          <w:p w14:paraId="4712E72B">
            <w:pPr>
              <w:spacing w:line="320" w:lineRule="exact"/>
              <w:jc w:val="center"/>
              <w:rPr>
                <w:rFonts w:ascii="宋体" w:hAnsi="宋体"/>
                <w:szCs w:val="21"/>
              </w:rPr>
            </w:pPr>
            <w:bookmarkStart w:id="62" w:name="_Toc328050268"/>
            <w:r>
              <w:rPr>
                <w:rFonts w:hint="eastAsia" w:ascii="宋体" w:hAnsi="宋体"/>
                <w:szCs w:val="21"/>
              </w:rPr>
              <w:t>交通站场用地(S</w:t>
            </w:r>
            <w:r>
              <w:rPr>
                <w:rFonts w:hint="eastAsia" w:ascii="宋体" w:hAnsi="宋体"/>
                <w:szCs w:val="21"/>
                <w:vertAlign w:val="subscript"/>
              </w:rPr>
              <w:t>4</w:t>
            </w:r>
            <w:r>
              <w:rPr>
                <w:rFonts w:hint="eastAsia" w:ascii="宋体" w:hAnsi="宋体"/>
                <w:szCs w:val="21"/>
              </w:rPr>
              <w:t>)</w:t>
            </w:r>
            <w:bookmarkEnd w:id="62"/>
          </w:p>
        </w:tc>
        <w:tc>
          <w:tcPr>
            <w:tcW w:w="834" w:type="pct"/>
            <w:noWrap w:val="0"/>
            <w:vAlign w:val="center"/>
          </w:tcPr>
          <w:p w14:paraId="431B664C">
            <w:pPr>
              <w:spacing w:line="320" w:lineRule="exact"/>
              <w:jc w:val="center"/>
              <w:rPr>
                <w:rFonts w:ascii="宋体" w:hAnsi="宋体"/>
                <w:szCs w:val="21"/>
              </w:rPr>
            </w:pPr>
            <w:r>
              <w:rPr>
                <w:rFonts w:hint="eastAsia" w:ascii="宋体" w:hAnsi="宋体"/>
                <w:szCs w:val="21"/>
              </w:rPr>
              <w:t>0.83</w:t>
            </w:r>
          </w:p>
        </w:tc>
        <w:tc>
          <w:tcPr>
            <w:tcW w:w="984" w:type="pct"/>
            <w:vMerge w:val="continue"/>
            <w:noWrap w:val="0"/>
            <w:vAlign w:val="center"/>
          </w:tcPr>
          <w:p w14:paraId="3310329B">
            <w:pPr>
              <w:spacing w:line="320" w:lineRule="exact"/>
              <w:jc w:val="center"/>
              <w:rPr>
                <w:rFonts w:ascii="宋体" w:hAnsi="宋体"/>
                <w:szCs w:val="21"/>
              </w:rPr>
            </w:pPr>
          </w:p>
        </w:tc>
        <w:tc>
          <w:tcPr>
            <w:tcW w:w="684" w:type="pct"/>
            <w:vMerge w:val="continue"/>
            <w:noWrap w:val="0"/>
            <w:vAlign w:val="center"/>
          </w:tcPr>
          <w:p w14:paraId="74FDA061">
            <w:pPr>
              <w:spacing w:line="320" w:lineRule="exact"/>
              <w:jc w:val="center"/>
              <w:rPr>
                <w:rFonts w:ascii="宋体" w:hAnsi="宋体"/>
                <w:szCs w:val="21"/>
              </w:rPr>
            </w:pPr>
          </w:p>
        </w:tc>
      </w:tr>
      <w:tr w14:paraId="282F74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90" w:hRule="atLeast"/>
          <w:jc w:val="center"/>
        </w:trPr>
        <w:tc>
          <w:tcPr>
            <w:tcW w:w="248" w:type="pct"/>
            <w:vMerge w:val="restart"/>
            <w:noWrap w:val="0"/>
            <w:vAlign w:val="center"/>
          </w:tcPr>
          <w:p w14:paraId="079C1016">
            <w:pPr>
              <w:spacing w:line="320" w:lineRule="exact"/>
              <w:jc w:val="center"/>
              <w:rPr>
                <w:rFonts w:ascii="宋体" w:hAnsi="宋体"/>
                <w:szCs w:val="21"/>
              </w:rPr>
            </w:pPr>
            <w:r>
              <w:rPr>
                <w:rFonts w:hint="eastAsia" w:ascii="宋体" w:hAnsi="宋体"/>
                <w:szCs w:val="21"/>
              </w:rPr>
              <w:t>6</w:t>
            </w:r>
          </w:p>
        </w:tc>
        <w:tc>
          <w:tcPr>
            <w:tcW w:w="214" w:type="pct"/>
            <w:vMerge w:val="restart"/>
            <w:noWrap w:val="0"/>
            <w:vAlign w:val="center"/>
          </w:tcPr>
          <w:p w14:paraId="677C4D03">
            <w:pPr>
              <w:spacing w:line="320" w:lineRule="exact"/>
              <w:jc w:val="center"/>
              <w:rPr>
                <w:rFonts w:ascii="宋体" w:hAnsi="宋体"/>
                <w:szCs w:val="21"/>
              </w:rPr>
            </w:pPr>
            <w:bookmarkStart w:id="63" w:name="_Toc328050271"/>
            <w:r>
              <w:rPr>
                <w:rFonts w:hint="eastAsia" w:ascii="宋体" w:hAnsi="宋体"/>
                <w:szCs w:val="21"/>
              </w:rPr>
              <w:t>U</w:t>
            </w:r>
            <w:bookmarkEnd w:id="63"/>
          </w:p>
        </w:tc>
        <w:tc>
          <w:tcPr>
            <w:tcW w:w="2036" w:type="pct"/>
            <w:gridSpan w:val="2"/>
            <w:noWrap w:val="0"/>
            <w:vAlign w:val="center"/>
          </w:tcPr>
          <w:p w14:paraId="5186CB02">
            <w:pPr>
              <w:spacing w:line="320" w:lineRule="exact"/>
              <w:jc w:val="center"/>
              <w:rPr>
                <w:rFonts w:ascii="宋体" w:hAnsi="宋体"/>
                <w:szCs w:val="21"/>
              </w:rPr>
            </w:pPr>
            <w:bookmarkStart w:id="64" w:name="_Toc328050272"/>
            <w:r>
              <w:rPr>
                <w:rFonts w:hint="eastAsia" w:ascii="宋体" w:hAnsi="宋体"/>
                <w:szCs w:val="21"/>
              </w:rPr>
              <w:t>公用设施用地</w:t>
            </w:r>
            <w:bookmarkEnd w:id="64"/>
          </w:p>
        </w:tc>
        <w:tc>
          <w:tcPr>
            <w:tcW w:w="834" w:type="pct"/>
            <w:noWrap w:val="0"/>
            <w:vAlign w:val="center"/>
          </w:tcPr>
          <w:p w14:paraId="07201C07">
            <w:pPr>
              <w:spacing w:line="320" w:lineRule="exact"/>
              <w:jc w:val="center"/>
              <w:rPr>
                <w:rFonts w:ascii="宋体" w:hAnsi="宋体"/>
                <w:szCs w:val="21"/>
              </w:rPr>
            </w:pPr>
            <w:r>
              <w:rPr>
                <w:rFonts w:hint="eastAsia" w:ascii="宋体" w:hAnsi="宋体"/>
                <w:szCs w:val="21"/>
              </w:rPr>
              <w:t>3.54</w:t>
            </w:r>
          </w:p>
        </w:tc>
        <w:tc>
          <w:tcPr>
            <w:tcW w:w="984" w:type="pct"/>
            <w:noWrap w:val="0"/>
            <w:vAlign w:val="center"/>
          </w:tcPr>
          <w:p w14:paraId="5DD01FC6">
            <w:pPr>
              <w:spacing w:line="320" w:lineRule="exact"/>
              <w:jc w:val="center"/>
              <w:rPr>
                <w:rFonts w:ascii="宋体" w:hAnsi="宋体"/>
                <w:szCs w:val="21"/>
              </w:rPr>
            </w:pPr>
            <w:r>
              <w:rPr>
                <w:rFonts w:ascii="宋体" w:hAnsi="宋体"/>
                <w:szCs w:val="21"/>
              </w:rPr>
              <w:t>0.</w:t>
            </w:r>
            <w:r>
              <w:rPr>
                <w:rFonts w:hint="eastAsia" w:ascii="宋体" w:hAnsi="宋体"/>
                <w:szCs w:val="21"/>
              </w:rPr>
              <w:t>54</w:t>
            </w:r>
            <w:r>
              <w:rPr>
                <w:rFonts w:ascii="宋体" w:hAnsi="宋体"/>
                <w:szCs w:val="21"/>
              </w:rPr>
              <w:t>%</w:t>
            </w:r>
          </w:p>
        </w:tc>
        <w:tc>
          <w:tcPr>
            <w:tcW w:w="684" w:type="pct"/>
            <w:vMerge w:val="restart"/>
            <w:noWrap w:val="0"/>
            <w:vAlign w:val="center"/>
          </w:tcPr>
          <w:p w14:paraId="5C685217">
            <w:pPr>
              <w:spacing w:line="320" w:lineRule="exact"/>
              <w:jc w:val="center"/>
              <w:rPr>
                <w:rFonts w:ascii="宋体" w:hAnsi="宋体"/>
                <w:szCs w:val="21"/>
              </w:rPr>
            </w:pPr>
          </w:p>
        </w:tc>
      </w:tr>
      <w:tr w14:paraId="57DE6B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90" w:hRule="atLeast"/>
          <w:jc w:val="center"/>
        </w:trPr>
        <w:tc>
          <w:tcPr>
            <w:tcW w:w="248" w:type="pct"/>
            <w:vMerge w:val="continue"/>
            <w:noWrap w:val="0"/>
            <w:vAlign w:val="center"/>
          </w:tcPr>
          <w:p w14:paraId="3B1013C8">
            <w:pPr>
              <w:spacing w:line="320" w:lineRule="exact"/>
              <w:jc w:val="center"/>
              <w:rPr>
                <w:rFonts w:ascii="宋体" w:hAnsi="宋体"/>
                <w:szCs w:val="21"/>
              </w:rPr>
            </w:pPr>
          </w:p>
        </w:tc>
        <w:tc>
          <w:tcPr>
            <w:tcW w:w="214" w:type="pct"/>
            <w:vMerge w:val="continue"/>
            <w:noWrap w:val="0"/>
            <w:vAlign w:val="center"/>
          </w:tcPr>
          <w:p w14:paraId="57C5515F">
            <w:pPr>
              <w:spacing w:line="320" w:lineRule="exact"/>
              <w:jc w:val="center"/>
              <w:rPr>
                <w:rFonts w:ascii="宋体" w:hAnsi="宋体"/>
                <w:szCs w:val="21"/>
              </w:rPr>
            </w:pPr>
          </w:p>
        </w:tc>
        <w:tc>
          <w:tcPr>
            <w:tcW w:w="214" w:type="pct"/>
            <w:vMerge w:val="restart"/>
            <w:noWrap w:val="0"/>
            <w:vAlign w:val="center"/>
          </w:tcPr>
          <w:p w14:paraId="4D92F3DF">
            <w:pPr>
              <w:spacing w:line="320" w:lineRule="exact"/>
              <w:jc w:val="center"/>
              <w:rPr>
                <w:rFonts w:ascii="宋体" w:hAnsi="宋体"/>
                <w:szCs w:val="21"/>
              </w:rPr>
            </w:pPr>
            <w:bookmarkStart w:id="65" w:name="_Toc328050275"/>
            <w:r>
              <w:rPr>
                <w:rFonts w:hint="eastAsia" w:ascii="宋体" w:hAnsi="宋体"/>
                <w:szCs w:val="21"/>
              </w:rPr>
              <w:t>其中</w:t>
            </w:r>
            <w:bookmarkEnd w:id="65"/>
          </w:p>
        </w:tc>
        <w:tc>
          <w:tcPr>
            <w:tcW w:w="1822" w:type="pct"/>
            <w:noWrap w:val="0"/>
            <w:vAlign w:val="center"/>
          </w:tcPr>
          <w:p w14:paraId="650DE7F6">
            <w:pPr>
              <w:spacing w:line="320" w:lineRule="exact"/>
              <w:jc w:val="center"/>
              <w:rPr>
                <w:rFonts w:ascii="宋体" w:hAnsi="宋体"/>
                <w:szCs w:val="21"/>
              </w:rPr>
            </w:pPr>
            <w:bookmarkStart w:id="66" w:name="_Toc328050276"/>
            <w:r>
              <w:rPr>
                <w:rFonts w:hint="eastAsia" w:ascii="宋体" w:hAnsi="宋体"/>
                <w:szCs w:val="21"/>
              </w:rPr>
              <w:t>供应设施用地(U</w:t>
            </w:r>
            <w:r>
              <w:rPr>
                <w:rFonts w:hint="eastAsia" w:ascii="宋体" w:hAnsi="宋体"/>
                <w:szCs w:val="21"/>
                <w:vertAlign w:val="subscript"/>
              </w:rPr>
              <w:t>1</w:t>
            </w:r>
            <w:r>
              <w:rPr>
                <w:rFonts w:hint="eastAsia" w:ascii="宋体" w:hAnsi="宋体"/>
                <w:szCs w:val="21"/>
              </w:rPr>
              <w:t>)</w:t>
            </w:r>
            <w:bookmarkEnd w:id="66"/>
          </w:p>
        </w:tc>
        <w:tc>
          <w:tcPr>
            <w:tcW w:w="834" w:type="pct"/>
            <w:noWrap w:val="0"/>
            <w:vAlign w:val="center"/>
          </w:tcPr>
          <w:p w14:paraId="47D77425">
            <w:pPr>
              <w:spacing w:line="320" w:lineRule="exact"/>
              <w:jc w:val="center"/>
              <w:rPr>
                <w:rFonts w:ascii="宋体" w:hAnsi="宋体"/>
                <w:szCs w:val="21"/>
              </w:rPr>
            </w:pPr>
            <w:r>
              <w:rPr>
                <w:rFonts w:ascii="宋体" w:hAnsi="宋体"/>
                <w:szCs w:val="21"/>
              </w:rPr>
              <w:t>2.</w:t>
            </w:r>
            <w:r>
              <w:rPr>
                <w:rFonts w:hint="eastAsia" w:ascii="宋体" w:hAnsi="宋体"/>
                <w:szCs w:val="21"/>
              </w:rPr>
              <w:t>12</w:t>
            </w:r>
          </w:p>
        </w:tc>
        <w:tc>
          <w:tcPr>
            <w:tcW w:w="984" w:type="pct"/>
            <w:vMerge w:val="restart"/>
            <w:noWrap w:val="0"/>
            <w:vAlign w:val="center"/>
          </w:tcPr>
          <w:p w14:paraId="4591495D">
            <w:pPr>
              <w:spacing w:line="320" w:lineRule="exact"/>
              <w:jc w:val="center"/>
              <w:rPr>
                <w:rFonts w:ascii="宋体" w:hAnsi="宋体"/>
                <w:szCs w:val="21"/>
              </w:rPr>
            </w:pPr>
          </w:p>
        </w:tc>
        <w:tc>
          <w:tcPr>
            <w:tcW w:w="684" w:type="pct"/>
            <w:vMerge w:val="continue"/>
            <w:noWrap w:val="0"/>
            <w:vAlign w:val="center"/>
          </w:tcPr>
          <w:p w14:paraId="28A6593B">
            <w:pPr>
              <w:spacing w:line="320" w:lineRule="exact"/>
              <w:jc w:val="center"/>
              <w:rPr>
                <w:rFonts w:ascii="宋体" w:hAnsi="宋体"/>
                <w:szCs w:val="21"/>
              </w:rPr>
            </w:pPr>
          </w:p>
        </w:tc>
      </w:tr>
      <w:tr w14:paraId="72747F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90" w:hRule="atLeast"/>
          <w:jc w:val="center"/>
        </w:trPr>
        <w:tc>
          <w:tcPr>
            <w:tcW w:w="248" w:type="pct"/>
            <w:vMerge w:val="continue"/>
            <w:noWrap w:val="0"/>
            <w:vAlign w:val="center"/>
          </w:tcPr>
          <w:p w14:paraId="6B621D1F">
            <w:pPr>
              <w:spacing w:line="320" w:lineRule="exact"/>
              <w:jc w:val="center"/>
              <w:rPr>
                <w:rFonts w:ascii="宋体" w:hAnsi="宋体"/>
                <w:szCs w:val="21"/>
              </w:rPr>
            </w:pPr>
          </w:p>
        </w:tc>
        <w:tc>
          <w:tcPr>
            <w:tcW w:w="214" w:type="pct"/>
            <w:vMerge w:val="continue"/>
            <w:noWrap w:val="0"/>
            <w:vAlign w:val="center"/>
          </w:tcPr>
          <w:p w14:paraId="2AE28832">
            <w:pPr>
              <w:spacing w:line="320" w:lineRule="exact"/>
              <w:jc w:val="center"/>
              <w:rPr>
                <w:rFonts w:ascii="宋体" w:hAnsi="宋体"/>
                <w:szCs w:val="21"/>
              </w:rPr>
            </w:pPr>
          </w:p>
        </w:tc>
        <w:tc>
          <w:tcPr>
            <w:tcW w:w="214" w:type="pct"/>
            <w:vMerge w:val="continue"/>
            <w:noWrap w:val="0"/>
            <w:vAlign w:val="center"/>
          </w:tcPr>
          <w:p w14:paraId="63A6D4BC">
            <w:pPr>
              <w:spacing w:line="320" w:lineRule="exact"/>
              <w:jc w:val="center"/>
              <w:rPr>
                <w:rFonts w:ascii="宋体" w:hAnsi="宋体"/>
                <w:szCs w:val="21"/>
              </w:rPr>
            </w:pPr>
          </w:p>
        </w:tc>
        <w:tc>
          <w:tcPr>
            <w:tcW w:w="1822" w:type="pct"/>
            <w:noWrap w:val="0"/>
            <w:vAlign w:val="center"/>
          </w:tcPr>
          <w:p w14:paraId="41F8030F">
            <w:pPr>
              <w:spacing w:line="320" w:lineRule="exact"/>
              <w:jc w:val="center"/>
              <w:rPr>
                <w:rFonts w:ascii="宋体" w:hAnsi="宋体"/>
                <w:szCs w:val="21"/>
              </w:rPr>
            </w:pPr>
            <w:bookmarkStart w:id="67" w:name="_Toc328050278"/>
            <w:r>
              <w:rPr>
                <w:rFonts w:hint="eastAsia" w:ascii="宋体" w:hAnsi="宋体"/>
                <w:szCs w:val="21"/>
              </w:rPr>
              <w:t>环境设施用地(U</w:t>
            </w:r>
            <w:r>
              <w:rPr>
                <w:rFonts w:hint="eastAsia" w:ascii="宋体" w:hAnsi="宋体"/>
                <w:szCs w:val="21"/>
                <w:vertAlign w:val="subscript"/>
              </w:rPr>
              <w:t>2</w:t>
            </w:r>
            <w:r>
              <w:rPr>
                <w:rFonts w:hint="eastAsia" w:ascii="宋体" w:hAnsi="宋体"/>
                <w:szCs w:val="21"/>
              </w:rPr>
              <w:t>)</w:t>
            </w:r>
            <w:bookmarkEnd w:id="67"/>
          </w:p>
        </w:tc>
        <w:tc>
          <w:tcPr>
            <w:tcW w:w="834" w:type="pct"/>
            <w:noWrap w:val="0"/>
            <w:vAlign w:val="center"/>
          </w:tcPr>
          <w:p w14:paraId="54DE4CA8">
            <w:pPr>
              <w:spacing w:line="320" w:lineRule="exact"/>
              <w:jc w:val="center"/>
              <w:rPr>
                <w:rFonts w:ascii="宋体" w:hAnsi="宋体"/>
                <w:szCs w:val="21"/>
              </w:rPr>
            </w:pPr>
            <w:r>
              <w:rPr>
                <w:rFonts w:ascii="宋体" w:hAnsi="宋体"/>
                <w:szCs w:val="21"/>
              </w:rPr>
              <w:t>0.45</w:t>
            </w:r>
          </w:p>
        </w:tc>
        <w:tc>
          <w:tcPr>
            <w:tcW w:w="984" w:type="pct"/>
            <w:vMerge w:val="continue"/>
            <w:noWrap w:val="0"/>
            <w:vAlign w:val="center"/>
          </w:tcPr>
          <w:p w14:paraId="5B924137">
            <w:pPr>
              <w:spacing w:line="320" w:lineRule="exact"/>
              <w:jc w:val="center"/>
              <w:rPr>
                <w:rFonts w:ascii="宋体" w:hAnsi="宋体"/>
                <w:szCs w:val="21"/>
              </w:rPr>
            </w:pPr>
          </w:p>
        </w:tc>
        <w:tc>
          <w:tcPr>
            <w:tcW w:w="684" w:type="pct"/>
            <w:vMerge w:val="continue"/>
            <w:noWrap w:val="0"/>
            <w:vAlign w:val="center"/>
          </w:tcPr>
          <w:p w14:paraId="735D8157">
            <w:pPr>
              <w:spacing w:line="320" w:lineRule="exact"/>
              <w:jc w:val="center"/>
              <w:rPr>
                <w:rFonts w:ascii="宋体" w:hAnsi="宋体"/>
                <w:szCs w:val="21"/>
              </w:rPr>
            </w:pPr>
          </w:p>
        </w:tc>
      </w:tr>
      <w:tr w14:paraId="5D25C9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90" w:hRule="atLeast"/>
          <w:jc w:val="center"/>
        </w:trPr>
        <w:tc>
          <w:tcPr>
            <w:tcW w:w="248" w:type="pct"/>
            <w:vMerge w:val="continue"/>
            <w:noWrap w:val="0"/>
            <w:vAlign w:val="center"/>
          </w:tcPr>
          <w:p w14:paraId="371BD055">
            <w:pPr>
              <w:spacing w:line="320" w:lineRule="exact"/>
              <w:jc w:val="center"/>
              <w:rPr>
                <w:rFonts w:ascii="宋体" w:hAnsi="宋体"/>
                <w:szCs w:val="21"/>
              </w:rPr>
            </w:pPr>
          </w:p>
        </w:tc>
        <w:tc>
          <w:tcPr>
            <w:tcW w:w="214" w:type="pct"/>
            <w:vMerge w:val="continue"/>
            <w:noWrap w:val="0"/>
            <w:vAlign w:val="center"/>
          </w:tcPr>
          <w:p w14:paraId="329CEB20">
            <w:pPr>
              <w:spacing w:line="320" w:lineRule="exact"/>
              <w:jc w:val="center"/>
              <w:rPr>
                <w:rFonts w:ascii="宋体" w:hAnsi="宋体"/>
                <w:szCs w:val="21"/>
              </w:rPr>
            </w:pPr>
          </w:p>
        </w:tc>
        <w:tc>
          <w:tcPr>
            <w:tcW w:w="214" w:type="pct"/>
            <w:vMerge w:val="continue"/>
            <w:noWrap w:val="0"/>
            <w:vAlign w:val="center"/>
          </w:tcPr>
          <w:p w14:paraId="4E1E123E">
            <w:pPr>
              <w:spacing w:line="320" w:lineRule="exact"/>
              <w:jc w:val="center"/>
              <w:rPr>
                <w:rFonts w:ascii="宋体" w:hAnsi="宋体"/>
                <w:szCs w:val="21"/>
              </w:rPr>
            </w:pPr>
          </w:p>
        </w:tc>
        <w:tc>
          <w:tcPr>
            <w:tcW w:w="1822" w:type="pct"/>
            <w:noWrap w:val="0"/>
            <w:vAlign w:val="center"/>
          </w:tcPr>
          <w:p w14:paraId="7498F575">
            <w:pPr>
              <w:spacing w:line="320" w:lineRule="exact"/>
              <w:jc w:val="center"/>
              <w:rPr>
                <w:rFonts w:ascii="宋体" w:hAnsi="宋体"/>
                <w:szCs w:val="21"/>
              </w:rPr>
            </w:pPr>
            <w:bookmarkStart w:id="68" w:name="_Toc328050280"/>
            <w:r>
              <w:rPr>
                <w:rFonts w:hint="eastAsia" w:ascii="宋体" w:hAnsi="宋体"/>
                <w:szCs w:val="21"/>
              </w:rPr>
              <w:t>安全设施用地(U</w:t>
            </w:r>
            <w:r>
              <w:rPr>
                <w:rFonts w:hint="eastAsia" w:ascii="宋体" w:hAnsi="宋体"/>
                <w:szCs w:val="21"/>
                <w:vertAlign w:val="subscript"/>
              </w:rPr>
              <w:t>3</w:t>
            </w:r>
            <w:r>
              <w:rPr>
                <w:rFonts w:hint="eastAsia" w:ascii="宋体" w:hAnsi="宋体"/>
                <w:szCs w:val="21"/>
              </w:rPr>
              <w:t>)</w:t>
            </w:r>
            <w:bookmarkEnd w:id="68"/>
          </w:p>
        </w:tc>
        <w:tc>
          <w:tcPr>
            <w:tcW w:w="834" w:type="pct"/>
            <w:noWrap w:val="0"/>
            <w:vAlign w:val="center"/>
          </w:tcPr>
          <w:p w14:paraId="0BDF6178">
            <w:pPr>
              <w:spacing w:line="320" w:lineRule="exact"/>
              <w:jc w:val="center"/>
              <w:rPr>
                <w:rFonts w:ascii="宋体" w:hAnsi="宋体"/>
                <w:szCs w:val="21"/>
              </w:rPr>
            </w:pPr>
            <w:r>
              <w:rPr>
                <w:rFonts w:ascii="宋体" w:hAnsi="宋体"/>
                <w:szCs w:val="21"/>
              </w:rPr>
              <w:t>0.9</w:t>
            </w:r>
            <w:r>
              <w:rPr>
                <w:rFonts w:hint="eastAsia" w:ascii="宋体" w:hAnsi="宋体"/>
                <w:szCs w:val="21"/>
              </w:rPr>
              <w:t>7</w:t>
            </w:r>
          </w:p>
        </w:tc>
        <w:tc>
          <w:tcPr>
            <w:tcW w:w="984" w:type="pct"/>
            <w:vMerge w:val="continue"/>
            <w:noWrap w:val="0"/>
            <w:vAlign w:val="center"/>
          </w:tcPr>
          <w:p w14:paraId="7A46945E">
            <w:pPr>
              <w:spacing w:line="320" w:lineRule="exact"/>
              <w:jc w:val="center"/>
              <w:rPr>
                <w:rFonts w:ascii="宋体" w:hAnsi="宋体"/>
                <w:szCs w:val="21"/>
              </w:rPr>
            </w:pPr>
          </w:p>
        </w:tc>
        <w:tc>
          <w:tcPr>
            <w:tcW w:w="684" w:type="pct"/>
            <w:vMerge w:val="continue"/>
            <w:noWrap w:val="0"/>
            <w:vAlign w:val="center"/>
          </w:tcPr>
          <w:p w14:paraId="1025389F">
            <w:pPr>
              <w:spacing w:line="320" w:lineRule="exact"/>
              <w:jc w:val="center"/>
              <w:rPr>
                <w:rFonts w:ascii="宋体" w:hAnsi="宋体"/>
                <w:szCs w:val="21"/>
              </w:rPr>
            </w:pPr>
          </w:p>
        </w:tc>
      </w:tr>
      <w:tr w14:paraId="4B2739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cantSplit/>
          <w:trHeight w:val="90" w:hRule="atLeast"/>
          <w:jc w:val="center"/>
        </w:trPr>
        <w:tc>
          <w:tcPr>
            <w:tcW w:w="248" w:type="pct"/>
            <w:vMerge w:val="restart"/>
            <w:noWrap w:val="0"/>
            <w:vAlign w:val="center"/>
          </w:tcPr>
          <w:p w14:paraId="7B8FB598">
            <w:pPr>
              <w:spacing w:line="320" w:lineRule="exact"/>
              <w:jc w:val="center"/>
              <w:rPr>
                <w:rFonts w:ascii="宋体" w:hAnsi="宋体"/>
                <w:szCs w:val="21"/>
              </w:rPr>
            </w:pPr>
            <w:r>
              <w:rPr>
                <w:rFonts w:hint="eastAsia" w:ascii="宋体" w:hAnsi="宋体"/>
                <w:szCs w:val="21"/>
              </w:rPr>
              <w:t>7</w:t>
            </w:r>
          </w:p>
        </w:tc>
        <w:tc>
          <w:tcPr>
            <w:tcW w:w="214" w:type="pct"/>
            <w:vMerge w:val="restart"/>
            <w:noWrap w:val="0"/>
            <w:vAlign w:val="center"/>
          </w:tcPr>
          <w:p w14:paraId="6501C16B">
            <w:pPr>
              <w:spacing w:line="320" w:lineRule="exact"/>
              <w:jc w:val="center"/>
              <w:rPr>
                <w:rFonts w:ascii="宋体" w:hAnsi="宋体"/>
                <w:szCs w:val="21"/>
              </w:rPr>
            </w:pPr>
            <w:bookmarkStart w:id="69" w:name="_Toc328050283"/>
            <w:r>
              <w:rPr>
                <w:rFonts w:hint="eastAsia" w:ascii="宋体" w:hAnsi="宋体"/>
                <w:szCs w:val="21"/>
              </w:rPr>
              <w:t>G</w:t>
            </w:r>
            <w:bookmarkEnd w:id="69"/>
          </w:p>
        </w:tc>
        <w:tc>
          <w:tcPr>
            <w:tcW w:w="2036" w:type="pct"/>
            <w:gridSpan w:val="2"/>
            <w:noWrap w:val="0"/>
            <w:vAlign w:val="center"/>
          </w:tcPr>
          <w:p w14:paraId="5FA9F1C4">
            <w:pPr>
              <w:spacing w:line="320" w:lineRule="exact"/>
              <w:jc w:val="center"/>
              <w:rPr>
                <w:rFonts w:ascii="宋体" w:hAnsi="宋体"/>
                <w:szCs w:val="21"/>
              </w:rPr>
            </w:pPr>
            <w:bookmarkStart w:id="70" w:name="_Toc328050284"/>
            <w:r>
              <w:rPr>
                <w:rFonts w:hint="eastAsia" w:ascii="宋体" w:hAnsi="宋体"/>
                <w:szCs w:val="21"/>
              </w:rPr>
              <w:t>绿地与广场用地</w:t>
            </w:r>
            <w:bookmarkEnd w:id="70"/>
          </w:p>
        </w:tc>
        <w:tc>
          <w:tcPr>
            <w:tcW w:w="834" w:type="pct"/>
            <w:noWrap w:val="0"/>
            <w:vAlign w:val="center"/>
          </w:tcPr>
          <w:p w14:paraId="1150F9D7">
            <w:pPr>
              <w:spacing w:line="320" w:lineRule="exact"/>
              <w:jc w:val="center"/>
              <w:rPr>
                <w:rFonts w:ascii="宋体" w:hAnsi="宋体"/>
                <w:szCs w:val="21"/>
              </w:rPr>
            </w:pPr>
            <w:r>
              <w:rPr>
                <w:rFonts w:hint="eastAsia" w:ascii="宋体" w:hAnsi="宋体"/>
                <w:szCs w:val="21"/>
              </w:rPr>
              <w:t>165.7</w:t>
            </w:r>
          </w:p>
        </w:tc>
        <w:tc>
          <w:tcPr>
            <w:tcW w:w="984" w:type="pct"/>
            <w:noWrap w:val="0"/>
            <w:vAlign w:val="center"/>
          </w:tcPr>
          <w:p w14:paraId="67ABC852">
            <w:pPr>
              <w:spacing w:line="320" w:lineRule="exact"/>
              <w:jc w:val="center"/>
              <w:rPr>
                <w:rFonts w:ascii="宋体" w:hAnsi="宋体"/>
                <w:szCs w:val="21"/>
              </w:rPr>
            </w:pPr>
            <w:r>
              <w:rPr>
                <w:rFonts w:hint="eastAsia" w:ascii="宋体" w:hAnsi="宋体"/>
                <w:szCs w:val="21"/>
              </w:rPr>
              <w:t>25.47</w:t>
            </w:r>
            <w:r>
              <w:rPr>
                <w:rFonts w:ascii="宋体" w:hAnsi="宋体"/>
                <w:szCs w:val="21"/>
              </w:rPr>
              <w:t>%</w:t>
            </w:r>
          </w:p>
        </w:tc>
        <w:tc>
          <w:tcPr>
            <w:tcW w:w="684" w:type="pct"/>
            <w:vMerge w:val="restart"/>
            <w:noWrap w:val="0"/>
            <w:vAlign w:val="center"/>
          </w:tcPr>
          <w:p w14:paraId="1C5D3724">
            <w:pPr>
              <w:spacing w:line="320" w:lineRule="exact"/>
              <w:jc w:val="center"/>
              <w:rPr>
                <w:rFonts w:ascii="宋体" w:hAnsi="宋体"/>
                <w:szCs w:val="21"/>
              </w:rPr>
            </w:pPr>
          </w:p>
        </w:tc>
      </w:tr>
      <w:tr w14:paraId="7732FB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cantSplit/>
          <w:trHeight w:val="90" w:hRule="atLeast"/>
          <w:jc w:val="center"/>
        </w:trPr>
        <w:tc>
          <w:tcPr>
            <w:tcW w:w="248" w:type="pct"/>
            <w:vMerge w:val="continue"/>
            <w:noWrap w:val="0"/>
            <w:vAlign w:val="center"/>
          </w:tcPr>
          <w:p w14:paraId="47B12CDA">
            <w:pPr>
              <w:spacing w:line="320" w:lineRule="exact"/>
              <w:jc w:val="center"/>
              <w:rPr>
                <w:rFonts w:ascii="宋体" w:hAnsi="宋体"/>
                <w:szCs w:val="21"/>
              </w:rPr>
            </w:pPr>
          </w:p>
        </w:tc>
        <w:tc>
          <w:tcPr>
            <w:tcW w:w="214" w:type="pct"/>
            <w:vMerge w:val="continue"/>
            <w:noWrap w:val="0"/>
            <w:vAlign w:val="center"/>
          </w:tcPr>
          <w:p w14:paraId="06DFA8D9">
            <w:pPr>
              <w:spacing w:line="320" w:lineRule="exact"/>
              <w:jc w:val="center"/>
              <w:rPr>
                <w:rFonts w:ascii="宋体" w:hAnsi="宋体"/>
                <w:szCs w:val="21"/>
              </w:rPr>
            </w:pPr>
          </w:p>
        </w:tc>
        <w:tc>
          <w:tcPr>
            <w:tcW w:w="214" w:type="pct"/>
            <w:vMerge w:val="restart"/>
            <w:noWrap w:val="0"/>
            <w:vAlign w:val="center"/>
          </w:tcPr>
          <w:p w14:paraId="3C5C78C3">
            <w:pPr>
              <w:spacing w:line="320" w:lineRule="exact"/>
              <w:jc w:val="center"/>
              <w:rPr>
                <w:rFonts w:ascii="宋体" w:hAnsi="宋体"/>
                <w:szCs w:val="21"/>
              </w:rPr>
            </w:pPr>
            <w:bookmarkStart w:id="71" w:name="_Toc328050287"/>
            <w:r>
              <w:rPr>
                <w:rFonts w:hint="eastAsia" w:ascii="宋体" w:hAnsi="宋体"/>
                <w:szCs w:val="21"/>
              </w:rPr>
              <w:t>其中</w:t>
            </w:r>
            <w:bookmarkEnd w:id="71"/>
          </w:p>
        </w:tc>
        <w:tc>
          <w:tcPr>
            <w:tcW w:w="1822" w:type="pct"/>
            <w:noWrap w:val="0"/>
            <w:vAlign w:val="center"/>
          </w:tcPr>
          <w:p w14:paraId="678A5898">
            <w:pPr>
              <w:spacing w:line="320" w:lineRule="exact"/>
              <w:jc w:val="center"/>
              <w:rPr>
                <w:rFonts w:ascii="宋体" w:hAnsi="宋体"/>
                <w:szCs w:val="21"/>
              </w:rPr>
            </w:pPr>
            <w:bookmarkStart w:id="72" w:name="_Toc328050288"/>
            <w:r>
              <w:rPr>
                <w:rFonts w:hint="eastAsia" w:ascii="宋体" w:hAnsi="宋体"/>
                <w:szCs w:val="21"/>
              </w:rPr>
              <w:t>公园绿地(G</w:t>
            </w:r>
            <w:r>
              <w:rPr>
                <w:rFonts w:hint="eastAsia" w:ascii="宋体" w:hAnsi="宋体"/>
                <w:szCs w:val="21"/>
                <w:vertAlign w:val="subscript"/>
              </w:rPr>
              <w:t>1</w:t>
            </w:r>
            <w:r>
              <w:rPr>
                <w:rFonts w:hint="eastAsia" w:ascii="宋体" w:hAnsi="宋体"/>
                <w:szCs w:val="21"/>
              </w:rPr>
              <w:t>)</w:t>
            </w:r>
            <w:bookmarkEnd w:id="72"/>
          </w:p>
        </w:tc>
        <w:tc>
          <w:tcPr>
            <w:tcW w:w="834" w:type="pct"/>
            <w:noWrap w:val="0"/>
            <w:vAlign w:val="center"/>
          </w:tcPr>
          <w:p w14:paraId="0E5CCFCC">
            <w:pPr>
              <w:spacing w:line="320" w:lineRule="exact"/>
              <w:jc w:val="center"/>
              <w:rPr>
                <w:rFonts w:ascii="宋体" w:hAnsi="宋体"/>
                <w:szCs w:val="21"/>
              </w:rPr>
            </w:pPr>
            <w:r>
              <w:rPr>
                <w:rFonts w:hint="eastAsia" w:ascii="宋体" w:hAnsi="宋体"/>
                <w:szCs w:val="21"/>
              </w:rPr>
              <w:t>163.78</w:t>
            </w:r>
          </w:p>
        </w:tc>
        <w:tc>
          <w:tcPr>
            <w:tcW w:w="984" w:type="pct"/>
            <w:vMerge w:val="restart"/>
            <w:noWrap w:val="0"/>
            <w:vAlign w:val="center"/>
          </w:tcPr>
          <w:p w14:paraId="1B5EE7DE">
            <w:pPr>
              <w:spacing w:line="320" w:lineRule="exact"/>
              <w:jc w:val="center"/>
              <w:rPr>
                <w:rFonts w:ascii="宋体" w:hAnsi="宋体"/>
                <w:szCs w:val="21"/>
              </w:rPr>
            </w:pPr>
          </w:p>
        </w:tc>
        <w:tc>
          <w:tcPr>
            <w:tcW w:w="684" w:type="pct"/>
            <w:vMerge w:val="continue"/>
            <w:noWrap w:val="0"/>
            <w:vAlign w:val="center"/>
          </w:tcPr>
          <w:p w14:paraId="50606A6D">
            <w:pPr>
              <w:spacing w:line="320" w:lineRule="exact"/>
              <w:jc w:val="center"/>
              <w:rPr>
                <w:rFonts w:ascii="宋体" w:hAnsi="宋体"/>
                <w:szCs w:val="21"/>
              </w:rPr>
            </w:pPr>
          </w:p>
        </w:tc>
      </w:tr>
      <w:tr w14:paraId="635550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cantSplit/>
          <w:trHeight w:val="90" w:hRule="atLeast"/>
          <w:jc w:val="center"/>
        </w:trPr>
        <w:tc>
          <w:tcPr>
            <w:tcW w:w="248" w:type="pct"/>
            <w:vMerge w:val="continue"/>
            <w:noWrap w:val="0"/>
            <w:vAlign w:val="center"/>
          </w:tcPr>
          <w:p w14:paraId="015F9716">
            <w:pPr>
              <w:spacing w:line="320" w:lineRule="exact"/>
              <w:jc w:val="center"/>
              <w:rPr>
                <w:rFonts w:ascii="宋体" w:hAnsi="宋体"/>
                <w:szCs w:val="21"/>
              </w:rPr>
            </w:pPr>
          </w:p>
        </w:tc>
        <w:tc>
          <w:tcPr>
            <w:tcW w:w="214" w:type="pct"/>
            <w:vMerge w:val="continue"/>
            <w:noWrap w:val="0"/>
            <w:vAlign w:val="center"/>
          </w:tcPr>
          <w:p w14:paraId="53D5D96F">
            <w:pPr>
              <w:spacing w:line="320" w:lineRule="exact"/>
              <w:jc w:val="center"/>
              <w:rPr>
                <w:rFonts w:ascii="宋体" w:hAnsi="宋体"/>
                <w:szCs w:val="21"/>
              </w:rPr>
            </w:pPr>
          </w:p>
        </w:tc>
        <w:tc>
          <w:tcPr>
            <w:tcW w:w="214" w:type="pct"/>
            <w:vMerge w:val="continue"/>
            <w:noWrap w:val="0"/>
            <w:vAlign w:val="center"/>
          </w:tcPr>
          <w:p w14:paraId="68B5A07E">
            <w:pPr>
              <w:spacing w:line="320" w:lineRule="exact"/>
              <w:jc w:val="center"/>
              <w:rPr>
                <w:rFonts w:ascii="宋体" w:hAnsi="宋体"/>
                <w:szCs w:val="21"/>
              </w:rPr>
            </w:pPr>
          </w:p>
        </w:tc>
        <w:tc>
          <w:tcPr>
            <w:tcW w:w="1822" w:type="pct"/>
            <w:noWrap w:val="0"/>
            <w:vAlign w:val="center"/>
          </w:tcPr>
          <w:p w14:paraId="0893D2F5">
            <w:pPr>
              <w:spacing w:line="320" w:lineRule="exact"/>
              <w:jc w:val="center"/>
              <w:rPr>
                <w:rFonts w:ascii="宋体" w:hAnsi="宋体"/>
                <w:szCs w:val="21"/>
              </w:rPr>
            </w:pPr>
            <w:bookmarkStart w:id="73" w:name="_Toc328050290"/>
            <w:r>
              <w:rPr>
                <w:rFonts w:hint="eastAsia" w:ascii="宋体" w:hAnsi="宋体"/>
                <w:szCs w:val="21"/>
              </w:rPr>
              <w:t>防护绿地(G</w:t>
            </w:r>
            <w:r>
              <w:rPr>
                <w:rFonts w:hint="eastAsia" w:ascii="宋体" w:hAnsi="宋体"/>
                <w:szCs w:val="21"/>
                <w:vertAlign w:val="subscript"/>
              </w:rPr>
              <w:t>2</w:t>
            </w:r>
            <w:r>
              <w:rPr>
                <w:rFonts w:hint="eastAsia" w:ascii="宋体" w:hAnsi="宋体"/>
                <w:szCs w:val="21"/>
              </w:rPr>
              <w:t>)</w:t>
            </w:r>
            <w:bookmarkEnd w:id="73"/>
          </w:p>
        </w:tc>
        <w:tc>
          <w:tcPr>
            <w:tcW w:w="834" w:type="pct"/>
            <w:noWrap w:val="0"/>
            <w:vAlign w:val="center"/>
          </w:tcPr>
          <w:p w14:paraId="59D412FD">
            <w:pPr>
              <w:spacing w:line="320" w:lineRule="exact"/>
              <w:jc w:val="center"/>
              <w:rPr>
                <w:rFonts w:ascii="宋体" w:hAnsi="宋体"/>
                <w:szCs w:val="21"/>
              </w:rPr>
            </w:pPr>
            <w:r>
              <w:rPr>
                <w:rFonts w:ascii="宋体" w:hAnsi="宋体"/>
                <w:szCs w:val="21"/>
              </w:rPr>
              <w:t>1.</w:t>
            </w:r>
            <w:r>
              <w:rPr>
                <w:rFonts w:hint="eastAsia" w:ascii="宋体" w:hAnsi="宋体"/>
                <w:szCs w:val="21"/>
              </w:rPr>
              <w:t>67</w:t>
            </w:r>
          </w:p>
        </w:tc>
        <w:tc>
          <w:tcPr>
            <w:tcW w:w="984" w:type="pct"/>
            <w:vMerge w:val="continue"/>
            <w:noWrap w:val="0"/>
            <w:vAlign w:val="center"/>
          </w:tcPr>
          <w:p w14:paraId="247E01AF">
            <w:pPr>
              <w:spacing w:line="320" w:lineRule="exact"/>
              <w:jc w:val="center"/>
              <w:rPr>
                <w:rFonts w:ascii="宋体" w:hAnsi="宋体"/>
                <w:szCs w:val="21"/>
              </w:rPr>
            </w:pPr>
          </w:p>
        </w:tc>
        <w:tc>
          <w:tcPr>
            <w:tcW w:w="684" w:type="pct"/>
            <w:vMerge w:val="continue"/>
            <w:noWrap w:val="0"/>
            <w:vAlign w:val="center"/>
          </w:tcPr>
          <w:p w14:paraId="0BED09C0">
            <w:pPr>
              <w:spacing w:line="320" w:lineRule="exact"/>
              <w:jc w:val="center"/>
              <w:rPr>
                <w:rFonts w:ascii="宋体" w:hAnsi="宋体"/>
                <w:szCs w:val="21"/>
              </w:rPr>
            </w:pPr>
          </w:p>
        </w:tc>
      </w:tr>
      <w:tr w14:paraId="63BC0A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cantSplit/>
          <w:trHeight w:val="90" w:hRule="atLeast"/>
          <w:jc w:val="center"/>
        </w:trPr>
        <w:tc>
          <w:tcPr>
            <w:tcW w:w="248" w:type="pct"/>
            <w:vMerge w:val="continue"/>
            <w:noWrap w:val="0"/>
            <w:vAlign w:val="center"/>
          </w:tcPr>
          <w:p w14:paraId="145B813E">
            <w:pPr>
              <w:spacing w:line="320" w:lineRule="exact"/>
              <w:jc w:val="center"/>
              <w:rPr>
                <w:rFonts w:ascii="宋体" w:hAnsi="宋体"/>
                <w:szCs w:val="21"/>
              </w:rPr>
            </w:pPr>
          </w:p>
        </w:tc>
        <w:tc>
          <w:tcPr>
            <w:tcW w:w="214" w:type="pct"/>
            <w:vMerge w:val="continue"/>
            <w:noWrap w:val="0"/>
            <w:vAlign w:val="center"/>
          </w:tcPr>
          <w:p w14:paraId="2C72478E">
            <w:pPr>
              <w:spacing w:line="320" w:lineRule="exact"/>
              <w:jc w:val="center"/>
              <w:rPr>
                <w:rFonts w:ascii="宋体" w:hAnsi="宋体"/>
                <w:szCs w:val="21"/>
              </w:rPr>
            </w:pPr>
          </w:p>
        </w:tc>
        <w:tc>
          <w:tcPr>
            <w:tcW w:w="214" w:type="pct"/>
            <w:vMerge w:val="continue"/>
            <w:noWrap w:val="0"/>
            <w:vAlign w:val="center"/>
          </w:tcPr>
          <w:p w14:paraId="4A01B3E2">
            <w:pPr>
              <w:spacing w:line="320" w:lineRule="exact"/>
              <w:jc w:val="center"/>
              <w:rPr>
                <w:rFonts w:ascii="宋体" w:hAnsi="宋体"/>
                <w:szCs w:val="21"/>
              </w:rPr>
            </w:pPr>
          </w:p>
        </w:tc>
        <w:tc>
          <w:tcPr>
            <w:tcW w:w="1822" w:type="pct"/>
            <w:noWrap w:val="0"/>
            <w:vAlign w:val="center"/>
          </w:tcPr>
          <w:p w14:paraId="1ED0EC2D">
            <w:pPr>
              <w:spacing w:line="320" w:lineRule="exact"/>
              <w:jc w:val="center"/>
              <w:rPr>
                <w:rFonts w:ascii="宋体" w:hAnsi="宋体"/>
                <w:szCs w:val="21"/>
              </w:rPr>
            </w:pPr>
            <w:bookmarkStart w:id="74" w:name="_Toc328050292"/>
            <w:r>
              <w:rPr>
                <w:rFonts w:hint="eastAsia" w:ascii="宋体" w:hAnsi="宋体"/>
                <w:szCs w:val="21"/>
              </w:rPr>
              <w:t>广场用地(G</w:t>
            </w:r>
            <w:r>
              <w:rPr>
                <w:rFonts w:hint="eastAsia" w:ascii="宋体" w:hAnsi="宋体"/>
                <w:szCs w:val="21"/>
                <w:vertAlign w:val="subscript"/>
              </w:rPr>
              <w:t>3</w:t>
            </w:r>
            <w:r>
              <w:rPr>
                <w:rFonts w:hint="eastAsia" w:ascii="宋体" w:hAnsi="宋体"/>
                <w:szCs w:val="21"/>
              </w:rPr>
              <w:t>)</w:t>
            </w:r>
            <w:bookmarkEnd w:id="74"/>
          </w:p>
        </w:tc>
        <w:tc>
          <w:tcPr>
            <w:tcW w:w="834" w:type="pct"/>
            <w:noWrap w:val="0"/>
            <w:vAlign w:val="center"/>
          </w:tcPr>
          <w:p w14:paraId="7F1AC7A1">
            <w:pPr>
              <w:spacing w:line="320" w:lineRule="exact"/>
              <w:jc w:val="center"/>
              <w:rPr>
                <w:rFonts w:ascii="宋体" w:hAnsi="宋体"/>
                <w:szCs w:val="21"/>
              </w:rPr>
            </w:pPr>
            <w:r>
              <w:rPr>
                <w:rFonts w:ascii="宋体" w:hAnsi="宋体"/>
                <w:szCs w:val="21"/>
              </w:rPr>
              <w:t>0.</w:t>
            </w:r>
            <w:r>
              <w:rPr>
                <w:rFonts w:hint="eastAsia" w:ascii="宋体" w:hAnsi="宋体"/>
                <w:szCs w:val="21"/>
              </w:rPr>
              <w:t>25</w:t>
            </w:r>
          </w:p>
        </w:tc>
        <w:tc>
          <w:tcPr>
            <w:tcW w:w="984" w:type="pct"/>
            <w:vMerge w:val="continue"/>
            <w:noWrap w:val="0"/>
            <w:vAlign w:val="center"/>
          </w:tcPr>
          <w:p w14:paraId="452513DE">
            <w:pPr>
              <w:spacing w:line="320" w:lineRule="exact"/>
              <w:jc w:val="center"/>
              <w:rPr>
                <w:rFonts w:ascii="宋体" w:hAnsi="宋体"/>
                <w:szCs w:val="21"/>
              </w:rPr>
            </w:pPr>
          </w:p>
        </w:tc>
        <w:tc>
          <w:tcPr>
            <w:tcW w:w="684" w:type="pct"/>
            <w:vMerge w:val="continue"/>
            <w:noWrap w:val="0"/>
            <w:vAlign w:val="center"/>
          </w:tcPr>
          <w:p w14:paraId="37B7A36D">
            <w:pPr>
              <w:spacing w:line="320" w:lineRule="exact"/>
              <w:jc w:val="center"/>
              <w:rPr>
                <w:rFonts w:ascii="宋体" w:hAnsi="宋体"/>
                <w:szCs w:val="21"/>
              </w:rPr>
            </w:pPr>
          </w:p>
        </w:tc>
      </w:tr>
      <w:tr w14:paraId="548394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cantSplit/>
          <w:trHeight w:val="90" w:hRule="atLeast"/>
          <w:jc w:val="center"/>
        </w:trPr>
        <w:tc>
          <w:tcPr>
            <w:tcW w:w="2498" w:type="pct"/>
            <w:gridSpan w:val="4"/>
            <w:noWrap w:val="0"/>
            <w:vAlign w:val="center"/>
          </w:tcPr>
          <w:p w14:paraId="7C9EF4AB">
            <w:pPr>
              <w:spacing w:line="320" w:lineRule="exact"/>
              <w:jc w:val="center"/>
              <w:rPr>
                <w:rFonts w:hint="eastAsia" w:ascii="宋体" w:hAnsi="宋体"/>
                <w:szCs w:val="21"/>
              </w:rPr>
            </w:pPr>
            <w:r>
              <w:rPr>
                <w:rFonts w:hint="eastAsia" w:ascii="宋体" w:hAnsi="宋体"/>
                <w:szCs w:val="21"/>
              </w:rPr>
              <w:t>弹性留白用地</w:t>
            </w:r>
          </w:p>
        </w:tc>
        <w:tc>
          <w:tcPr>
            <w:tcW w:w="834" w:type="pct"/>
            <w:noWrap w:val="0"/>
            <w:vAlign w:val="center"/>
          </w:tcPr>
          <w:p w14:paraId="38CD1BC9">
            <w:pPr>
              <w:spacing w:line="320" w:lineRule="exact"/>
              <w:jc w:val="center"/>
              <w:rPr>
                <w:rFonts w:ascii="宋体" w:hAnsi="宋体"/>
                <w:szCs w:val="21"/>
              </w:rPr>
            </w:pPr>
            <w:r>
              <w:rPr>
                <w:rFonts w:hint="eastAsia" w:ascii="宋体" w:hAnsi="宋体"/>
                <w:szCs w:val="21"/>
              </w:rPr>
              <w:t>1.05</w:t>
            </w:r>
          </w:p>
        </w:tc>
        <w:tc>
          <w:tcPr>
            <w:tcW w:w="984" w:type="pct"/>
            <w:noWrap w:val="0"/>
            <w:vAlign w:val="center"/>
          </w:tcPr>
          <w:p w14:paraId="4A2F9492">
            <w:pPr>
              <w:spacing w:line="320" w:lineRule="exact"/>
              <w:jc w:val="center"/>
              <w:rPr>
                <w:rFonts w:ascii="宋体" w:hAnsi="宋体"/>
                <w:szCs w:val="21"/>
              </w:rPr>
            </w:pPr>
            <w:r>
              <w:rPr>
                <w:rFonts w:hint="eastAsia" w:ascii="宋体" w:hAnsi="宋体"/>
                <w:szCs w:val="21"/>
              </w:rPr>
              <w:t>0.16%</w:t>
            </w:r>
          </w:p>
        </w:tc>
        <w:tc>
          <w:tcPr>
            <w:tcW w:w="684" w:type="pct"/>
            <w:noWrap w:val="0"/>
            <w:vAlign w:val="center"/>
          </w:tcPr>
          <w:p w14:paraId="29F00394">
            <w:pPr>
              <w:spacing w:line="320" w:lineRule="exact"/>
              <w:jc w:val="center"/>
              <w:rPr>
                <w:rFonts w:ascii="宋体" w:hAnsi="宋体"/>
                <w:szCs w:val="21"/>
              </w:rPr>
            </w:pPr>
          </w:p>
        </w:tc>
      </w:tr>
      <w:tr w14:paraId="1FFAFA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cantSplit/>
          <w:trHeight w:val="90" w:hRule="atLeast"/>
          <w:jc w:val="center"/>
        </w:trPr>
        <w:tc>
          <w:tcPr>
            <w:tcW w:w="248" w:type="pct"/>
            <w:noWrap w:val="0"/>
            <w:vAlign w:val="center"/>
          </w:tcPr>
          <w:p w14:paraId="708BBB88">
            <w:pPr>
              <w:spacing w:line="320" w:lineRule="exact"/>
              <w:jc w:val="center"/>
              <w:rPr>
                <w:rFonts w:ascii="宋体" w:hAnsi="宋体"/>
                <w:szCs w:val="21"/>
              </w:rPr>
            </w:pPr>
          </w:p>
        </w:tc>
        <w:tc>
          <w:tcPr>
            <w:tcW w:w="2251" w:type="pct"/>
            <w:gridSpan w:val="3"/>
            <w:noWrap w:val="0"/>
            <w:vAlign w:val="center"/>
          </w:tcPr>
          <w:p w14:paraId="56D94E45">
            <w:pPr>
              <w:spacing w:line="320" w:lineRule="exact"/>
              <w:jc w:val="center"/>
              <w:rPr>
                <w:rFonts w:ascii="宋体" w:hAnsi="宋体"/>
                <w:szCs w:val="21"/>
              </w:rPr>
            </w:pPr>
            <w:bookmarkStart w:id="75" w:name="_Toc328050294"/>
            <w:r>
              <w:rPr>
                <w:rFonts w:hint="eastAsia" w:ascii="宋体" w:hAnsi="宋体"/>
                <w:szCs w:val="21"/>
              </w:rPr>
              <w:t>城市建设用地</w:t>
            </w:r>
            <w:bookmarkEnd w:id="75"/>
          </w:p>
        </w:tc>
        <w:tc>
          <w:tcPr>
            <w:tcW w:w="834" w:type="pct"/>
            <w:noWrap w:val="0"/>
            <w:vAlign w:val="center"/>
          </w:tcPr>
          <w:p w14:paraId="1462FFD8">
            <w:pPr>
              <w:spacing w:line="320" w:lineRule="exact"/>
              <w:jc w:val="center"/>
              <w:rPr>
                <w:rFonts w:ascii="宋体" w:hAnsi="宋体"/>
                <w:szCs w:val="21"/>
              </w:rPr>
            </w:pPr>
            <w:r>
              <w:rPr>
                <w:rFonts w:hint="eastAsia" w:ascii="宋体" w:hAnsi="宋体"/>
                <w:szCs w:val="21"/>
              </w:rPr>
              <w:t>650.67</w:t>
            </w:r>
          </w:p>
        </w:tc>
        <w:tc>
          <w:tcPr>
            <w:tcW w:w="984" w:type="pct"/>
            <w:noWrap w:val="0"/>
            <w:vAlign w:val="center"/>
          </w:tcPr>
          <w:p w14:paraId="7C69FEEE">
            <w:pPr>
              <w:spacing w:line="320" w:lineRule="exact"/>
              <w:jc w:val="center"/>
              <w:rPr>
                <w:rFonts w:ascii="宋体" w:hAnsi="宋体"/>
                <w:szCs w:val="21"/>
              </w:rPr>
            </w:pPr>
            <w:bookmarkStart w:id="76" w:name="_Toc328050296"/>
            <w:r>
              <w:rPr>
                <w:rFonts w:hint="eastAsia" w:ascii="宋体" w:hAnsi="宋体"/>
                <w:szCs w:val="21"/>
              </w:rPr>
              <w:t>100</w:t>
            </w:r>
            <w:bookmarkEnd w:id="76"/>
          </w:p>
        </w:tc>
        <w:tc>
          <w:tcPr>
            <w:tcW w:w="684" w:type="pct"/>
            <w:noWrap w:val="0"/>
            <w:vAlign w:val="center"/>
          </w:tcPr>
          <w:p w14:paraId="59087038">
            <w:pPr>
              <w:spacing w:line="320" w:lineRule="exact"/>
              <w:jc w:val="center"/>
              <w:rPr>
                <w:rFonts w:ascii="宋体" w:hAnsi="宋体"/>
                <w:szCs w:val="21"/>
              </w:rPr>
            </w:pPr>
          </w:p>
        </w:tc>
      </w:tr>
    </w:tbl>
    <w:p w14:paraId="1DAB9CBB">
      <w:pPr>
        <w:rPr>
          <w:vanish/>
        </w:rPr>
      </w:pPr>
    </w:p>
    <w:tbl>
      <w:tblPr>
        <w:tblStyle w:val="16"/>
        <w:tblpPr w:leftFromText="180" w:rightFromText="180" w:vertAnchor="page" w:horzAnchor="page" w:tblpX="12150" w:tblpY="320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09"/>
        <w:gridCol w:w="2694"/>
        <w:gridCol w:w="1632"/>
        <w:gridCol w:w="2478"/>
      </w:tblGrid>
      <w:tr w14:paraId="40161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Pr>
        <w:tc>
          <w:tcPr>
            <w:tcW w:w="2409" w:type="dxa"/>
            <w:noWrap w:val="0"/>
            <w:vAlign w:val="top"/>
          </w:tcPr>
          <w:p w14:paraId="58CCFDC1">
            <w:pPr>
              <w:spacing w:line="360" w:lineRule="auto"/>
              <w:jc w:val="center"/>
              <w:rPr>
                <w:rFonts w:hint="eastAsia" w:ascii="宋体" w:hAnsi="宋体"/>
                <w:sz w:val="24"/>
                <w:szCs w:val="28"/>
              </w:rPr>
            </w:pPr>
            <w:r>
              <w:rPr>
                <w:rFonts w:hint="eastAsia" w:ascii="宋体" w:hAnsi="宋体"/>
                <w:sz w:val="24"/>
                <w:szCs w:val="28"/>
              </w:rPr>
              <w:t>代码</w:t>
            </w:r>
          </w:p>
        </w:tc>
        <w:tc>
          <w:tcPr>
            <w:tcW w:w="2694" w:type="dxa"/>
            <w:noWrap w:val="0"/>
            <w:vAlign w:val="top"/>
          </w:tcPr>
          <w:p w14:paraId="5CC76261">
            <w:pPr>
              <w:spacing w:line="360" w:lineRule="auto"/>
              <w:jc w:val="center"/>
              <w:rPr>
                <w:rFonts w:hint="eastAsia" w:ascii="宋体" w:hAnsi="宋体"/>
                <w:sz w:val="24"/>
                <w:szCs w:val="28"/>
              </w:rPr>
            </w:pPr>
            <w:r>
              <w:rPr>
                <w:rFonts w:hint="eastAsia" w:ascii="宋体" w:hAnsi="宋体"/>
                <w:sz w:val="24"/>
                <w:szCs w:val="28"/>
              </w:rPr>
              <w:t>用地类别</w:t>
            </w:r>
          </w:p>
        </w:tc>
        <w:tc>
          <w:tcPr>
            <w:tcW w:w="1632" w:type="dxa"/>
            <w:noWrap w:val="0"/>
            <w:vAlign w:val="top"/>
          </w:tcPr>
          <w:p w14:paraId="550CA10A">
            <w:pPr>
              <w:spacing w:line="360" w:lineRule="auto"/>
              <w:jc w:val="center"/>
              <w:rPr>
                <w:rFonts w:hint="eastAsia" w:ascii="宋体" w:hAnsi="宋体"/>
                <w:sz w:val="24"/>
                <w:szCs w:val="28"/>
              </w:rPr>
            </w:pPr>
            <w:r>
              <w:rPr>
                <w:rFonts w:hint="eastAsia" w:ascii="宋体" w:hAnsi="宋体"/>
                <w:sz w:val="24"/>
                <w:szCs w:val="28"/>
              </w:rPr>
              <w:t>规划面积（ha</w:t>
            </w:r>
            <w:r>
              <w:rPr>
                <w:rFonts w:ascii="宋体" w:hAnsi="宋体"/>
                <w:sz w:val="24"/>
                <w:szCs w:val="28"/>
              </w:rPr>
              <w:t>）</w:t>
            </w:r>
          </w:p>
        </w:tc>
        <w:tc>
          <w:tcPr>
            <w:tcW w:w="2478" w:type="dxa"/>
            <w:noWrap w:val="0"/>
            <w:vAlign w:val="top"/>
          </w:tcPr>
          <w:p w14:paraId="3F2814B0">
            <w:pPr>
              <w:spacing w:line="360" w:lineRule="auto"/>
              <w:jc w:val="center"/>
              <w:rPr>
                <w:rFonts w:hint="eastAsia" w:ascii="宋体" w:hAnsi="宋体"/>
                <w:sz w:val="24"/>
                <w:szCs w:val="28"/>
              </w:rPr>
            </w:pPr>
            <w:r>
              <w:rPr>
                <w:rFonts w:hint="eastAsia" w:ascii="宋体" w:hAnsi="宋体"/>
                <w:sz w:val="24"/>
                <w:szCs w:val="28"/>
              </w:rPr>
              <w:t>合计</w:t>
            </w:r>
          </w:p>
          <w:p w14:paraId="1231DD14">
            <w:pPr>
              <w:spacing w:line="360" w:lineRule="auto"/>
              <w:jc w:val="center"/>
              <w:rPr>
                <w:rFonts w:hint="eastAsia" w:ascii="宋体" w:hAnsi="宋体"/>
                <w:sz w:val="24"/>
                <w:szCs w:val="28"/>
              </w:rPr>
            </w:pPr>
            <w:r>
              <w:rPr>
                <w:rFonts w:hint="eastAsia" w:ascii="宋体" w:hAnsi="宋体"/>
                <w:sz w:val="24"/>
                <w:szCs w:val="28"/>
              </w:rPr>
              <w:t>（ha</w:t>
            </w:r>
            <w:r>
              <w:rPr>
                <w:rFonts w:ascii="宋体" w:hAnsi="宋体"/>
                <w:sz w:val="24"/>
                <w:szCs w:val="28"/>
              </w:rPr>
              <w:t>）</w:t>
            </w:r>
          </w:p>
        </w:tc>
      </w:tr>
      <w:tr w14:paraId="6FDFEC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Pr>
        <w:tc>
          <w:tcPr>
            <w:tcW w:w="2409" w:type="dxa"/>
            <w:vMerge w:val="restart"/>
            <w:noWrap w:val="0"/>
            <w:vAlign w:val="top"/>
          </w:tcPr>
          <w:p w14:paraId="14B8BDBC">
            <w:pPr>
              <w:spacing w:line="360" w:lineRule="auto"/>
              <w:jc w:val="center"/>
              <w:rPr>
                <w:rFonts w:hint="eastAsia" w:ascii="宋体" w:hAnsi="宋体"/>
                <w:sz w:val="24"/>
                <w:szCs w:val="28"/>
              </w:rPr>
            </w:pPr>
            <w:r>
              <w:rPr>
                <w:rFonts w:hint="eastAsia" w:ascii="宋体" w:hAnsi="宋体"/>
                <w:sz w:val="24"/>
                <w:szCs w:val="28"/>
              </w:rPr>
              <w:t>H</w:t>
            </w:r>
          </w:p>
        </w:tc>
        <w:tc>
          <w:tcPr>
            <w:tcW w:w="2694" w:type="dxa"/>
            <w:noWrap w:val="0"/>
            <w:vAlign w:val="top"/>
          </w:tcPr>
          <w:p w14:paraId="109ED1BD">
            <w:pPr>
              <w:spacing w:line="360" w:lineRule="auto"/>
              <w:jc w:val="center"/>
              <w:rPr>
                <w:rFonts w:hint="eastAsia" w:ascii="宋体" w:hAnsi="宋体"/>
                <w:sz w:val="24"/>
                <w:szCs w:val="28"/>
              </w:rPr>
            </w:pPr>
            <w:r>
              <w:rPr>
                <w:rFonts w:hint="eastAsia" w:ascii="宋体" w:hAnsi="宋体"/>
                <w:sz w:val="24"/>
                <w:szCs w:val="28"/>
              </w:rPr>
              <w:t>城乡居民点建设用地</w:t>
            </w:r>
          </w:p>
        </w:tc>
        <w:tc>
          <w:tcPr>
            <w:tcW w:w="1632" w:type="dxa"/>
            <w:noWrap w:val="0"/>
            <w:vAlign w:val="top"/>
          </w:tcPr>
          <w:p w14:paraId="210A1586">
            <w:pPr>
              <w:spacing w:line="360" w:lineRule="auto"/>
              <w:jc w:val="center"/>
              <w:rPr>
                <w:rFonts w:hint="eastAsia" w:ascii="宋体" w:hAnsi="宋体"/>
                <w:sz w:val="24"/>
                <w:szCs w:val="28"/>
              </w:rPr>
            </w:pPr>
            <w:r>
              <w:rPr>
                <w:rFonts w:hint="eastAsia" w:ascii="宋体" w:hAnsi="宋体"/>
                <w:sz w:val="24"/>
                <w:szCs w:val="21"/>
              </w:rPr>
              <w:t>650.67</w:t>
            </w:r>
          </w:p>
        </w:tc>
        <w:tc>
          <w:tcPr>
            <w:tcW w:w="2478" w:type="dxa"/>
            <w:vMerge w:val="restart"/>
            <w:noWrap w:val="0"/>
            <w:vAlign w:val="top"/>
          </w:tcPr>
          <w:p w14:paraId="0B53E0DB">
            <w:pPr>
              <w:spacing w:line="360" w:lineRule="auto"/>
              <w:jc w:val="center"/>
              <w:rPr>
                <w:rFonts w:hint="eastAsia" w:ascii="宋体" w:hAnsi="宋体"/>
                <w:sz w:val="24"/>
                <w:szCs w:val="28"/>
              </w:rPr>
            </w:pPr>
            <w:r>
              <w:rPr>
                <w:rFonts w:hint="eastAsia" w:ascii="宋体" w:hAnsi="宋体"/>
                <w:sz w:val="24"/>
                <w:szCs w:val="21"/>
              </w:rPr>
              <w:t>727.61</w:t>
            </w:r>
          </w:p>
        </w:tc>
      </w:tr>
      <w:tr w14:paraId="2AC018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Pr>
        <w:tc>
          <w:tcPr>
            <w:tcW w:w="2409" w:type="dxa"/>
            <w:vMerge w:val="continue"/>
            <w:noWrap w:val="0"/>
            <w:vAlign w:val="top"/>
          </w:tcPr>
          <w:p w14:paraId="48AF177A">
            <w:pPr>
              <w:spacing w:line="360" w:lineRule="auto"/>
              <w:jc w:val="center"/>
              <w:rPr>
                <w:rFonts w:hint="eastAsia" w:ascii="宋体" w:hAnsi="宋体"/>
                <w:sz w:val="24"/>
                <w:szCs w:val="28"/>
              </w:rPr>
            </w:pPr>
          </w:p>
        </w:tc>
        <w:tc>
          <w:tcPr>
            <w:tcW w:w="2694" w:type="dxa"/>
            <w:noWrap w:val="0"/>
            <w:vAlign w:val="top"/>
          </w:tcPr>
          <w:p w14:paraId="5C30588E">
            <w:pPr>
              <w:spacing w:line="360" w:lineRule="auto"/>
              <w:jc w:val="center"/>
              <w:rPr>
                <w:rFonts w:hint="eastAsia" w:ascii="宋体" w:hAnsi="宋体"/>
                <w:sz w:val="24"/>
                <w:szCs w:val="28"/>
              </w:rPr>
            </w:pPr>
            <w:r>
              <w:rPr>
                <w:rFonts w:hint="eastAsia" w:ascii="宋体" w:hAnsi="宋体"/>
                <w:sz w:val="24"/>
                <w:szCs w:val="28"/>
              </w:rPr>
              <w:t>区域交通设施用地</w:t>
            </w:r>
          </w:p>
        </w:tc>
        <w:tc>
          <w:tcPr>
            <w:tcW w:w="1632" w:type="dxa"/>
            <w:noWrap w:val="0"/>
            <w:vAlign w:val="top"/>
          </w:tcPr>
          <w:p w14:paraId="4A915CF5">
            <w:pPr>
              <w:spacing w:line="360" w:lineRule="auto"/>
              <w:jc w:val="center"/>
              <w:rPr>
                <w:rFonts w:hint="eastAsia" w:ascii="宋体" w:hAnsi="宋体"/>
                <w:sz w:val="24"/>
                <w:szCs w:val="28"/>
              </w:rPr>
            </w:pPr>
            <w:r>
              <w:rPr>
                <w:rFonts w:ascii="宋体" w:hAnsi="宋体"/>
                <w:sz w:val="24"/>
                <w:szCs w:val="21"/>
              </w:rPr>
              <w:t>76.94</w:t>
            </w:r>
          </w:p>
        </w:tc>
        <w:tc>
          <w:tcPr>
            <w:tcW w:w="2478" w:type="dxa"/>
            <w:vMerge w:val="continue"/>
            <w:noWrap w:val="0"/>
            <w:vAlign w:val="top"/>
          </w:tcPr>
          <w:p w14:paraId="2196D2AC">
            <w:pPr>
              <w:spacing w:line="360" w:lineRule="auto"/>
              <w:jc w:val="center"/>
              <w:rPr>
                <w:rFonts w:hint="eastAsia" w:ascii="宋体" w:hAnsi="宋体"/>
                <w:sz w:val="24"/>
                <w:szCs w:val="28"/>
              </w:rPr>
            </w:pPr>
          </w:p>
        </w:tc>
      </w:tr>
      <w:tr w14:paraId="49DCB0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Pr>
        <w:tc>
          <w:tcPr>
            <w:tcW w:w="2409" w:type="dxa"/>
            <w:vMerge w:val="restart"/>
            <w:noWrap w:val="0"/>
            <w:vAlign w:val="top"/>
          </w:tcPr>
          <w:p w14:paraId="69C67A97">
            <w:pPr>
              <w:spacing w:line="360" w:lineRule="auto"/>
              <w:jc w:val="center"/>
              <w:rPr>
                <w:rFonts w:hint="eastAsia" w:ascii="宋体" w:hAnsi="宋体"/>
                <w:sz w:val="24"/>
                <w:szCs w:val="28"/>
              </w:rPr>
            </w:pPr>
            <w:r>
              <w:rPr>
                <w:rFonts w:hint="eastAsia" w:ascii="宋体" w:hAnsi="宋体"/>
                <w:sz w:val="24"/>
                <w:szCs w:val="28"/>
              </w:rPr>
              <w:t>E</w:t>
            </w:r>
          </w:p>
        </w:tc>
        <w:tc>
          <w:tcPr>
            <w:tcW w:w="2694" w:type="dxa"/>
            <w:noWrap w:val="0"/>
            <w:vAlign w:val="top"/>
          </w:tcPr>
          <w:p w14:paraId="4FB5AC86">
            <w:pPr>
              <w:spacing w:line="360" w:lineRule="auto"/>
              <w:jc w:val="center"/>
              <w:rPr>
                <w:rFonts w:hint="eastAsia" w:ascii="宋体" w:hAnsi="宋体"/>
                <w:sz w:val="24"/>
                <w:szCs w:val="28"/>
              </w:rPr>
            </w:pPr>
            <w:r>
              <w:rPr>
                <w:rFonts w:hint="eastAsia" w:ascii="宋体" w:hAnsi="宋体"/>
                <w:sz w:val="24"/>
                <w:szCs w:val="28"/>
              </w:rPr>
              <w:t>农林用地</w:t>
            </w:r>
          </w:p>
        </w:tc>
        <w:tc>
          <w:tcPr>
            <w:tcW w:w="1632" w:type="dxa"/>
            <w:noWrap w:val="0"/>
            <w:vAlign w:val="top"/>
          </w:tcPr>
          <w:p w14:paraId="090C7B26">
            <w:pPr>
              <w:spacing w:line="360" w:lineRule="auto"/>
              <w:jc w:val="center"/>
              <w:rPr>
                <w:rFonts w:hint="eastAsia" w:ascii="宋体" w:hAnsi="宋体"/>
                <w:sz w:val="24"/>
                <w:szCs w:val="28"/>
              </w:rPr>
            </w:pPr>
            <w:r>
              <w:rPr>
                <w:rFonts w:hint="eastAsia" w:ascii="宋体" w:hAnsi="宋体"/>
                <w:sz w:val="24"/>
                <w:szCs w:val="21"/>
              </w:rPr>
              <w:t>568.32</w:t>
            </w:r>
          </w:p>
        </w:tc>
        <w:tc>
          <w:tcPr>
            <w:tcW w:w="2478" w:type="dxa"/>
            <w:vMerge w:val="restart"/>
            <w:noWrap w:val="0"/>
            <w:vAlign w:val="top"/>
          </w:tcPr>
          <w:p w14:paraId="191FBE79">
            <w:pPr>
              <w:spacing w:line="360" w:lineRule="auto"/>
              <w:jc w:val="center"/>
              <w:rPr>
                <w:rFonts w:hint="eastAsia" w:ascii="宋体" w:hAnsi="宋体"/>
                <w:sz w:val="24"/>
                <w:szCs w:val="28"/>
              </w:rPr>
            </w:pPr>
            <w:r>
              <w:rPr>
                <w:rFonts w:hint="eastAsia" w:ascii="宋体" w:hAnsi="宋体"/>
                <w:sz w:val="24"/>
                <w:szCs w:val="21"/>
              </w:rPr>
              <w:t>647.27</w:t>
            </w:r>
          </w:p>
        </w:tc>
      </w:tr>
      <w:tr w14:paraId="336614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Pr>
        <w:tc>
          <w:tcPr>
            <w:tcW w:w="2409" w:type="dxa"/>
            <w:vMerge w:val="continue"/>
            <w:noWrap w:val="0"/>
            <w:vAlign w:val="top"/>
          </w:tcPr>
          <w:p w14:paraId="6CFADDD4">
            <w:pPr>
              <w:spacing w:line="360" w:lineRule="auto"/>
              <w:jc w:val="center"/>
              <w:rPr>
                <w:rFonts w:hint="eastAsia" w:ascii="宋体" w:hAnsi="宋体"/>
                <w:sz w:val="24"/>
                <w:szCs w:val="28"/>
              </w:rPr>
            </w:pPr>
          </w:p>
        </w:tc>
        <w:tc>
          <w:tcPr>
            <w:tcW w:w="2694" w:type="dxa"/>
            <w:noWrap w:val="0"/>
            <w:vAlign w:val="top"/>
          </w:tcPr>
          <w:p w14:paraId="2F7E18D0">
            <w:pPr>
              <w:spacing w:line="360" w:lineRule="auto"/>
              <w:jc w:val="center"/>
              <w:rPr>
                <w:rFonts w:hint="eastAsia" w:ascii="宋体" w:hAnsi="宋体"/>
                <w:sz w:val="24"/>
                <w:szCs w:val="28"/>
              </w:rPr>
            </w:pPr>
            <w:r>
              <w:rPr>
                <w:rFonts w:hint="eastAsia" w:ascii="宋体" w:hAnsi="宋体"/>
                <w:sz w:val="24"/>
                <w:szCs w:val="28"/>
              </w:rPr>
              <w:t>水域</w:t>
            </w:r>
          </w:p>
        </w:tc>
        <w:tc>
          <w:tcPr>
            <w:tcW w:w="1632" w:type="dxa"/>
            <w:noWrap w:val="0"/>
            <w:vAlign w:val="top"/>
          </w:tcPr>
          <w:p w14:paraId="5AAE0678">
            <w:pPr>
              <w:spacing w:line="360" w:lineRule="auto"/>
              <w:jc w:val="center"/>
              <w:rPr>
                <w:rFonts w:hint="eastAsia" w:ascii="宋体" w:hAnsi="宋体"/>
                <w:sz w:val="24"/>
                <w:szCs w:val="28"/>
              </w:rPr>
            </w:pPr>
            <w:r>
              <w:rPr>
                <w:rFonts w:ascii="宋体" w:hAnsi="宋体"/>
                <w:sz w:val="24"/>
                <w:szCs w:val="21"/>
              </w:rPr>
              <w:t>78.95</w:t>
            </w:r>
          </w:p>
        </w:tc>
        <w:tc>
          <w:tcPr>
            <w:tcW w:w="2478" w:type="dxa"/>
            <w:vMerge w:val="continue"/>
            <w:noWrap w:val="0"/>
            <w:vAlign w:val="top"/>
          </w:tcPr>
          <w:p w14:paraId="4F45CDE9">
            <w:pPr>
              <w:spacing w:line="360" w:lineRule="auto"/>
              <w:jc w:val="center"/>
              <w:rPr>
                <w:rFonts w:hint="eastAsia" w:ascii="宋体" w:hAnsi="宋体"/>
                <w:sz w:val="24"/>
                <w:szCs w:val="28"/>
              </w:rPr>
            </w:pPr>
          </w:p>
        </w:tc>
      </w:tr>
      <w:tr w14:paraId="3928C5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Pr>
        <w:tc>
          <w:tcPr>
            <w:tcW w:w="2409" w:type="dxa"/>
            <w:noWrap w:val="0"/>
            <w:vAlign w:val="top"/>
          </w:tcPr>
          <w:p w14:paraId="433E591B">
            <w:pPr>
              <w:spacing w:line="360" w:lineRule="auto"/>
              <w:jc w:val="center"/>
              <w:rPr>
                <w:rFonts w:hint="eastAsia" w:ascii="宋体" w:hAnsi="宋体"/>
                <w:sz w:val="24"/>
                <w:szCs w:val="28"/>
              </w:rPr>
            </w:pPr>
            <w:r>
              <w:rPr>
                <w:rFonts w:hint="eastAsia" w:ascii="宋体" w:hAnsi="宋体"/>
                <w:sz w:val="24"/>
                <w:szCs w:val="28"/>
              </w:rPr>
              <w:t>规划范围用地</w:t>
            </w:r>
          </w:p>
        </w:tc>
        <w:tc>
          <w:tcPr>
            <w:tcW w:w="6804" w:type="dxa"/>
            <w:gridSpan w:val="3"/>
            <w:noWrap w:val="0"/>
            <w:vAlign w:val="top"/>
          </w:tcPr>
          <w:p w14:paraId="31CE0BE0">
            <w:pPr>
              <w:spacing w:line="360" w:lineRule="auto"/>
              <w:jc w:val="center"/>
              <w:rPr>
                <w:rFonts w:hint="eastAsia" w:ascii="宋体" w:hAnsi="宋体"/>
                <w:sz w:val="24"/>
                <w:szCs w:val="28"/>
              </w:rPr>
            </w:pPr>
            <w:r>
              <w:rPr>
                <w:rFonts w:hint="eastAsia" w:ascii="宋体" w:hAnsi="宋体"/>
                <w:sz w:val="24"/>
                <w:szCs w:val="21"/>
              </w:rPr>
              <w:t>1374.88</w:t>
            </w:r>
          </w:p>
        </w:tc>
      </w:tr>
    </w:tbl>
    <w:p w14:paraId="2D6FC657">
      <w:pPr>
        <w:rPr>
          <w:rFonts w:ascii="宋体" w:hAnsi="宋体"/>
        </w:rPr>
      </w:pPr>
    </w:p>
    <w:p w14:paraId="50650CBA">
      <w:pPr>
        <w:rPr>
          <w:rFonts w:ascii="宋体" w:hAnsi="宋体"/>
        </w:rPr>
      </w:pPr>
    </w:p>
    <w:p w14:paraId="7DC2D197">
      <w:pPr>
        <w:rPr>
          <w:rFonts w:hint="eastAsia"/>
        </w:rPr>
      </w:pPr>
    </w:p>
    <w:p w14:paraId="263DA533">
      <w:pPr>
        <w:rPr>
          <w:rFonts w:hint="eastAsia"/>
        </w:rPr>
      </w:pPr>
    </w:p>
    <w:p w14:paraId="39B70A4C">
      <w:pPr>
        <w:rPr>
          <w:rFonts w:hint="eastAsia"/>
        </w:rPr>
      </w:pPr>
    </w:p>
    <w:p w14:paraId="1923E729">
      <w:pPr>
        <w:rPr>
          <w:rFonts w:hint="eastAsia"/>
        </w:rPr>
      </w:pPr>
    </w:p>
    <w:p w14:paraId="0E9641B9">
      <w:pPr>
        <w:rPr>
          <w:rFonts w:hint="eastAsia"/>
        </w:rPr>
      </w:pPr>
    </w:p>
    <w:p w14:paraId="2128917E">
      <w:pPr>
        <w:rPr>
          <w:rFonts w:hint="eastAsia"/>
        </w:rPr>
      </w:pPr>
    </w:p>
    <w:p w14:paraId="6B044A35">
      <w:pPr>
        <w:spacing w:line="360" w:lineRule="auto"/>
        <w:rPr>
          <w:rFonts w:hint="eastAsia"/>
          <w:sz w:val="36"/>
          <w:szCs w:val="36"/>
        </w:rPr>
      </w:pPr>
      <w:r>
        <w:rPr>
          <w:rFonts w:hint="eastAsia"/>
          <w:sz w:val="36"/>
          <w:szCs w:val="36"/>
        </w:rPr>
        <w:t>附表二     城乡用地分类汇总表</w:t>
      </w:r>
    </w:p>
    <w:p w14:paraId="72640572">
      <w:pPr>
        <w:rPr>
          <w:rFonts w:ascii="宋体" w:hAnsi="宋体"/>
        </w:rPr>
      </w:pPr>
    </w:p>
    <w:p w14:paraId="47F4B120">
      <w:pPr>
        <w:pStyle w:val="3"/>
        <w:pageBreakBefore/>
        <w:spacing w:line="720" w:lineRule="exact"/>
        <w:rPr>
          <w:rFonts w:hint="eastAsia" w:ascii="宋体" w:hAnsi="宋体" w:eastAsia="宋体"/>
          <w:sz w:val="36"/>
          <w:szCs w:val="36"/>
        </w:rPr>
      </w:pPr>
      <w:bookmarkStart w:id="77" w:name="_Toc339373891"/>
    </w:p>
    <w:bookmarkEnd w:id="77"/>
    <w:p w14:paraId="2B187814">
      <w:pPr>
        <w:spacing w:line="360" w:lineRule="exact"/>
        <w:rPr>
          <w:rFonts w:hint="eastAsia" w:ascii="宋体" w:hAnsi="宋体"/>
          <w:b/>
          <w:sz w:val="30"/>
        </w:rPr>
      </w:pPr>
      <w:bookmarkStart w:id="78" w:name="_Toc222897576"/>
    </w:p>
    <w:bookmarkEnd w:id="78"/>
    <w:p w14:paraId="0C983DD9">
      <w:pPr>
        <w:pStyle w:val="7"/>
        <w:spacing w:line="680" w:lineRule="exact"/>
        <w:rPr>
          <w:rFonts w:hint="eastAsia" w:hAnsi="宋体"/>
        </w:rPr>
      </w:pPr>
    </w:p>
    <w:p w14:paraId="67097095">
      <w:pPr>
        <w:pStyle w:val="7"/>
        <w:spacing w:line="680" w:lineRule="exact"/>
        <w:rPr>
          <w:rFonts w:hint="eastAsia" w:hAnsi="宋体"/>
        </w:rPr>
      </w:pPr>
    </w:p>
    <w:sectPr>
      <w:pgSz w:w="23814" w:h="16840" w:orient="landscape"/>
      <w:pgMar w:top="1985" w:right="1134" w:bottom="1701" w:left="1418" w:header="851" w:footer="992" w:gutter="0"/>
      <w:pgNumType w:start="1"/>
      <w:cols w:space="1786" w:num="2"/>
      <w:docGrid w:linePitch="505" w:charSpace="-430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仿宋_GB2312">
    <w:altName w:val="仿宋"/>
    <w:panose1 w:val="02010609030101010101"/>
    <w:charset w:val="86"/>
    <w:family w:val="modern"/>
    <w:pitch w:val="default"/>
    <w:sig w:usb0="00000001" w:usb1="080E0000" w:usb2="00000010" w:usb3="00000000" w:csb0="00040000" w:csb1="00000000"/>
  </w:font>
  <w:font w:name="华文细黑">
    <w:altName w:val="微软雅黑"/>
    <w:panose1 w:val="02010600040101010101"/>
    <w:charset w:val="86"/>
    <w:family w:val="auto"/>
    <w:pitch w:val="default"/>
    <w:sig w:usb0="00000287" w:usb1="080F0000" w:usb2="00000010" w:usb3="00000000" w:csb0="0004009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6E4029">
    <w:pPr>
      <w:pStyle w:val="10"/>
      <w:framePr w:wrap="around" w:vAnchor="text" w:hAnchor="margin" w:xAlign="center" w:y="1"/>
      <w:rPr>
        <w:rStyle w:val="19"/>
      </w:rPr>
    </w:pPr>
    <w:r>
      <w:rPr>
        <w:rStyle w:val="19"/>
      </w:rPr>
      <w:fldChar w:fldCharType="begin"/>
    </w:r>
    <w:r>
      <w:rPr>
        <w:rStyle w:val="19"/>
      </w:rPr>
      <w:instrText xml:space="preserve">PAGE  </w:instrText>
    </w:r>
    <w:r>
      <w:rPr>
        <w:rStyle w:val="19"/>
      </w:rPr>
      <w:fldChar w:fldCharType="separate"/>
    </w:r>
    <w:r>
      <w:rPr>
        <w:rStyle w:val="19"/>
        <w:lang/>
      </w:rPr>
      <w:t>9</w:t>
    </w:r>
    <w:r>
      <w:rPr>
        <w:rStyle w:val="19"/>
      </w:rPr>
      <w:fldChar w:fldCharType="end"/>
    </w:r>
  </w:p>
  <w:p w14:paraId="62857AB5">
    <w:pPr>
      <w:pStyle w:val="10"/>
      <w:rPr>
        <w:rFonts w:hint="eastAsia"/>
      </w:rPr>
    </w:pPr>
  </w:p>
  <w:p w14:paraId="50AB04A0">
    <w:pPr>
      <w:pStyle w:val="10"/>
      <w:rPr>
        <w:rFonts w:hint="eastAsia"/>
      </w:rPr>
    </w:pPr>
    <w:r>
      <w:rPr>
        <w:rFonts w:hint="eastAsia"/>
      </w:rPr>
      <w:t>——————————————————————————————————————————————————————————————————————————————————————————————————————————————————————</w:t>
    </w:r>
  </w:p>
  <w:p w14:paraId="3B03DBF9">
    <w:pPr>
      <w:pStyle w:val="10"/>
      <w:wordWrap w:val="0"/>
      <w:jc w:val="right"/>
      <w:rPr>
        <w:rFonts w:hint="eastAsia"/>
      </w:rPr>
    </w:pPr>
    <w:r>
      <w:rPr>
        <w:rFonts w:hint="eastAsia"/>
      </w:rPr>
      <w:t xml:space="preserve">乐山市城乡规划设计院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3130FC">
    <w:pPr>
      <w:pStyle w:val="10"/>
      <w:framePr w:wrap="around" w:vAnchor="text" w:hAnchor="margin" w:xAlign="center" w:y="1"/>
      <w:rPr>
        <w:rStyle w:val="19"/>
      </w:rPr>
    </w:pPr>
    <w:r>
      <w:rPr>
        <w:rStyle w:val="19"/>
      </w:rPr>
      <w:fldChar w:fldCharType="begin"/>
    </w:r>
    <w:r>
      <w:rPr>
        <w:rStyle w:val="19"/>
      </w:rPr>
      <w:instrText xml:space="preserve">PAGE  </w:instrText>
    </w:r>
    <w:r>
      <w:rPr>
        <w:rStyle w:val="19"/>
      </w:rPr>
      <w:fldChar w:fldCharType="end"/>
    </w:r>
  </w:p>
  <w:p w14:paraId="34F661AA">
    <w:pPr>
      <w:pStyle w:val="1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8F706E">
    <w:pPr>
      <w:pStyle w:val="11"/>
      <w:wordWrap w:val="0"/>
      <w:ind w:right="90"/>
      <w:jc w:val="right"/>
      <w:rPr>
        <w:rFonts w:hint="eastAsia"/>
      </w:rPr>
    </w:pPr>
    <w:r>
      <w:rPr>
        <w:rFonts w:hint="eastAsia"/>
      </w:rPr>
      <w:t xml:space="preserve">乐山市中心城区棉竹片区控制性详细规划     文本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1337065"/>
    <w:multiLevelType w:val="multilevel"/>
    <w:tmpl w:val="41337065"/>
    <w:lvl w:ilvl="0" w:tentative="0">
      <w:start w:val="1"/>
      <w:numFmt w:val="decimal"/>
      <w:lvlText w:val="%1."/>
      <w:lvlJc w:val="left"/>
      <w:pPr>
        <w:tabs>
          <w:tab w:val="left" w:pos="505"/>
        </w:tabs>
        <w:ind w:left="448" w:hanging="563"/>
      </w:pPr>
      <w:rPr>
        <w:rFonts w:hint="eastAsia" w:eastAsia="黑体"/>
        <w:b/>
        <w:i w:val="0"/>
        <w:sz w:val="32"/>
        <w:szCs w:val="32"/>
      </w:rPr>
    </w:lvl>
    <w:lvl w:ilvl="1" w:tentative="0">
      <w:start w:val="0"/>
      <w:numFmt w:val="decimal"/>
      <w:pStyle w:val="25"/>
      <w:isLgl/>
      <w:lvlText w:val="%2"/>
      <w:lvlJc w:val="left"/>
      <w:pPr>
        <w:tabs>
          <w:tab w:val="left" w:pos="0"/>
        </w:tabs>
        <w:ind w:left="0" w:firstLine="0"/>
      </w:pPr>
      <w:rPr>
        <w:rFonts w:hint="eastAsia" w:ascii="黑体" w:eastAsia="黑体"/>
        <w:b/>
        <w:i w:val="0"/>
      </w:rPr>
    </w:lvl>
    <w:lvl w:ilvl="2" w:tentative="0">
      <w:start w:val="1"/>
      <w:numFmt w:val="decimal"/>
      <w:lvlText w:val="%2.%3"/>
      <w:lvlJc w:val="left"/>
      <w:pPr>
        <w:tabs>
          <w:tab w:val="left" w:pos="680"/>
        </w:tabs>
        <w:ind w:left="1357" w:hanging="709"/>
      </w:pPr>
      <w:rPr>
        <w:rFonts w:hint="default" w:ascii="Arial" w:hAnsi="Arial" w:eastAsia="宋体"/>
        <w:b/>
        <w:i w:val="0"/>
        <w:sz w:val="24"/>
        <w:szCs w:val="24"/>
      </w:rPr>
    </w:lvl>
    <w:lvl w:ilvl="3" w:tentative="0">
      <w:start w:val="1"/>
      <w:numFmt w:val="decimal"/>
      <w:suff w:val="space"/>
      <w:lvlText w:val="%2.%3.%4."/>
      <w:lvlJc w:val="left"/>
      <w:pPr>
        <w:ind w:left="3639" w:hanging="851"/>
      </w:pPr>
      <w:rPr>
        <w:rFonts w:hint="eastAsia" w:ascii="宋体" w:hAnsi="Arial" w:eastAsia="宋体"/>
        <w:b/>
        <w:i w:val="0"/>
        <w:sz w:val="24"/>
        <w:szCs w:val="24"/>
      </w:rPr>
    </w:lvl>
    <w:lvl w:ilvl="4" w:tentative="0">
      <w:start w:val="1"/>
      <w:numFmt w:val="decimal"/>
      <w:suff w:val="space"/>
      <w:lvlText w:val="（%5）"/>
      <w:lvlJc w:val="left"/>
      <w:pPr>
        <w:ind w:left="-26" w:firstLine="567"/>
      </w:pPr>
      <w:rPr>
        <w:rFonts w:hint="eastAsia"/>
      </w:rPr>
    </w:lvl>
    <w:lvl w:ilvl="5" w:tentative="0">
      <w:start w:val="1"/>
      <w:numFmt w:val="decimal"/>
      <w:lvlText w:val="%6%1"/>
      <w:lvlJc w:val="left"/>
      <w:pPr>
        <w:tabs>
          <w:tab w:val="left" w:pos="1019"/>
        </w:tabs>
        <w:ind w:left="1019" w:hanging="1134"/>
      </w:pPr>
      <w:rPr>
        <w:rFonts w:hint="eastAsia"/>
      </w:rPr>
    </w:lvl>
    <w:lvl w:ilvl="6" w:tentative="0">
      <w:start w:val="1"/>
      <w:numFmt w:val="decimal"/>
      <w:lvlText w:val="%7%1"/>
      <w:lvlJc w:val="left"/>
      <w:pPr>
        <w:tabs>
          <w:tab w:val="left" w:pos="1161"/>
        </w:tabs>
        <w:ind w:left="1161" w:hanging="1276"/>
      </w:pPr>
      <w:rPr>
        <w:rFonts w:hint="eastAsia"/>
      </w:rPr>
    </w:lvl>
    <w:lvl w:ilvl="7" w:tentative="0">
      <w:start w:val="1"/>
      <w:numFmt w:val="decimal"/>
      <w:lvlText w:val="%1"/>
      <w:lvlJc w:val="left"/>
      <w:pPr>
        <w:tabs>
          <w:tab w:val="left" w:pos="1303"/>
        </w:tabs>
        <w:ind w:left="1303" w:hanging="1418"/>
      </w:pPr>
      <w:rPr>
        <w:rFonts w:hint="eastAsia"/>
      </w:rPr>
    </w:lvl>
    <w:lvl w:ilvl="8" w:tentative="0">
      <w:start w:val="1"/>
      <w:numFmt w:val="decimal"/>
      <w:lvlText w:val="%9%1"/>
      <w:lvlJc w:val="left"/>
      <w:pPr>
        <w:tabs>
          <w:tab w:val="left" w:pos="1444"/>
        </w:tabs>
        <w:ind w:left="1444" w:hanging="1559"/>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189"/>
  <w:drawingGridVerticalSpacing w:val="505"/>
  <w:displayHorizontalDrawingGridEvery w:val="0"/>
  <w:displayVerticalDrawingGridEvery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056E"/>
    <w:rsid w:val="0000059B"/>
    <w:rsid w:val="00001DB2"/>
    <w:rsid w:val="00001EDE"/>
    <w:rsid w:val="000022B8"/>
    <w:rsid w:val="000048C0"/>
    <w:rsid w:val="0000504C"/>
    <w:rsid w:val="00005494"/>
    <w:rsid w:val="00007418"/>
    <w:rsid w:val="00014861"/>
    <w:rsid w:val="000154A6"/>
    <w:rsid w:val="00016938"/>
    <w:rsid w:val="00016B0E"/>
    <w:rsid w:val="000176B6"/>
    <w:rsid w:val="000204DE"/>
    <w:rsid w:val="00022C21"/>
    <w:rsid w:val="00022C6F"/>
    <w:rsid w:val="00023255"/>
    <w:rsid w:val="00023603"/>
    <w:rsid w:val="00024CA4"/>
    <w:rsid w:val="00031818"/>
    <w:rsid w:val="00031DEC"/>
    <w:rsid w:val="00032777"/>
    <w:rsid w:val="00034FCB"/>
    <w:rsid w:val="00035507"/>
    <w:rsid w:val="000355F9"/>
    <w:rsid w:val="00036395"/>
    <w:rsid w:val="0003712A"/>
    <w:rsid w:val="0003733D"/>
    <w:rsid w:val="00037862"/>
    <w:rsid w:val="000420FC"/>
    <w:rsid w:val="000423DF"/>
    <w:rsid w:val="000429AF"/>
    <w:rsid w:val="0004308D"/>
    <w:rsid w:val="00044884"/>
    <w:rsid w:val="00045CF9"/>
    <w:rsid w:val="00046325"/>
    <w:rsid w:val="000473A6"/>
    <w:rsid w:val="000477EB"/>
    <w:rsid w:val="00047C8A"/>
    <w:rsid w:val="0005113F"/>
    <w:rsid w:val="000514C4"/>
    <w:rsid w:val="0005214E"/>
    <w:rsid w:val="0005261C"/>
    <w:rsid w:val="0005393B"/>
    <w:rsid w:val="00053F61"/>
    <w:rsid w:val="00053FED"/>
    <w:rsid w:val="00054207"/>
    <w:rsid w:val="00054FBA"/>
    <w:rsid w:val="00055511"/>
    <w:rsid w:val="00055C32"/>
    <w:rsid w:val="00057B1D"/>
    <w:rsid w:val="00057FFA"/>
    <w:rsid w:val="000629EB"/>
    <w:rsid w:val="00063C75"/>
    <w:rsid w:val="00064865"/>
    <w:rsid w:val="0006799C"/>
    <w:rsid w:val="00067F02"/>
    <w:rsid w:val="00070B86"/>
    <w:rsid w:val="00070DBD"/>
    <w:rsid w:val="00075B32"/>
    <w:rsid w:val="000835AD"/>
    <w:rsid w:val="00085370"/>
    <w:rsid w:val="000858B4"/>
    <w:rsid w:val="000865E5"/>
    <w:rsid w:val="00086E56"/>
    <w:rsid w:val="0009089B"/>
    <w:rsid w:val="0009243E"/>
    <w:rsid w:val="00092E6B"/>
    <w:rsid w:val="0009771D"/>
    <w:rsid w:val="000A08BF"/>
    <w:rsid w:val="000A10C4"/>
    <w:rsid w:val="000A2031"/>
    <w:rsid w:val="000A2665"/>
    <w:rsid w:val="000A4D12"/>
    <w:rsid w:val="000A53B6"/>
    <w:rsid w:val="000A5F1E"/>
    <w:rsid w:val="000A7682"/>
    <w:rsid w:val="000B2333"/>
    <w:rsid w:val="000B5A74"/>
    <w:rsid w:val="000C02D1"/>
    <w:rsid w:val="000C131E"/>
    <w:rsid w:val="000C20D2"/>
    <w:rsid w:val="000C2E93"/>
    <w:rsid w:val="000C34DF"/>
    <w:rsid w:val="000C3601"/>
    <w:rsid w:val="000C59C9"/>
    <w:rsid w:val="000C75C6"/>
    <w:rsid w:val="000C7A88"/>
    <w:rsid w:val="000D1404"/>
    <w:rsid w:val="000D32ED"/>
    <w:rsid w:val="000D3D9F"/>
    <w:rsid w:val="000D747D"/>
    <w:rsid w:val="000D76DA"/>
    <w:rsid w:val="000E2AB4"/>
    <w:rsid w:val="000E3B37"/>
    <w:rsid w:val="000E46E1"/>
    <w:rsid w:val="000E50A3"/>
    <w:rsid w:val="000E50F9"/>
    <w:rsid w:val="000E5EBC"/>
    <w:rsid w:val="000E6333"/>
    <w:rsid w:val="000E6409"/>
    <w:rsid w:val="000E6456"/>
    <w:rsid w:val="000F0B4E"/>
    <w:rsid w:val="000F0F29"/>
    <w:rsid w:val="000F24BA"/>
    <w:rsid w:val="000F2893"/>
    <w:rsid w:val="000F2922"/>
    <w:rsid w:val="000F3B55"/>
    <w:rsid w:val="000F473D"/>
    <w:rsid w:val="000F5BA6"/>
    <w:rsid w:val="000F6711"/>
    <w:rsid w:val="001006BA"/>
    <w:rsid w:val="00102223"/>
    <w:rsid w:val="0010409C"/>
    <w:rsid w:val="00104C8B"/>
    <w:rsid w:val="00104E80"/>
    <w:rsid w:val="00107C94"/>
    <w:rsid w:val="00111788"/>
    <w:rsid w:val="00111CEF"/>
    <w:rsid w:val="001125A8"/>
    <w:rsid w:val="00112E2E"/>
    <w:rsid w:val="0011640F"/>
    <w:rsid w:val="00116C99"/>
    <w:rsid w:val="00117296"/>
    <w:rsid w:val="00117914"/>
    <w:rsid w:val="001179E9"/>
    <w:rsid w:val="00117EBA"/>
    <w:rsid w:val="0012041D"/>
    <w:rsid w:val="00120675"/>
    <w:rsid w:val="00121EFC"/>
    <w:rsid w:val="001244DA"/>
    <w:rsid w:val="00127D12"/>
    <w:rsid w:val="00132A68"/>
    <w:rsid w:val="0013396B"/>
    <w:rsid w:val="0013453E"/>
    <w:rsid w:val="00134551"/>
    <w:rsid w:val="00135630"/>
    <w:rsid w:val="00135644"/>
    <w:rsid w:val="00137D9F"/>
    <w:rsid w:val="00137F0F"/>
    <w:rsid w:val="00141DE3"/>
    <w:rsid w:val="001423FA"/>
    <w:rsid w:val="0014360B"/>
    <w:rsid w:val="00147A05"/>
    <w:rsid w:val="00147D14"/>
    <w:rsid w:val="00150D47"/>
    <w:rsid w:val="00150DF6"/>
    <w:rsid w:val="00153032"/>
    <w:rsid w:val="00153C45"/>
    <w:rsid w:val="001545D5"/>
    <w:rsid w:val="00154898"/>
    <w:rsid w:val="001549A5"/>
    <w:rsid w:val="00154EF0"/>
    <w:rsid w:val="00155423"/>
    <w:rsid w:val="00155575"/>
    <w:rsid w:val="00155B5D"/>
    <w:rsid w:val="00155D42"/>
    <w:rsid w:val="00156A52"/>
    <w:rsid w:val="00157D71"/>
    <w:rsid w:val="0016131A"/>
    <w:rsid w:val="00161AB6"/>
    <w:rsid w:val="00162774"/>
    <w:rsid w:val="0016279B"/>
    <w:rsid w:val="001633B2"/>
    <w:rsid w:val="001637B5"/>
    <w:rsid w:val="00163F17"/>
    <w:rsid w:val="00167650"/>
    <w:rsid w:val="001677B2"/>
    <w:rsid w:val="00171E89"/>
    <w:rsid w:val="001738B7"/>
    <w:rsid w:val="00180A27"/>
    <w:rsid w:val="001834C3"/>
    <w:rsid w:val="00183C05"/>
    <w:rsid w:val="0018795D"/>
    <w:rsid w:val="0019034F"/>
    <w:rsid w:val="001914CE"/>
    <w:rsid w:val="00193A81"/>
    <w:rsid w:val="00193C16"/>
    <w:rsid w:val="0019422A"/>
    <w:rsid w:val="00194420"/>
    <w:rsid w:val="001951D3"/>
    <w:rsid w:val="00196163"/>
    <w:rsid w:val="00197A7D"/>
    <w:rsid w:val="001A0266"/>
    <w:rsid w:val="001A0E8B"/>
    <w:rsid w:val="001A3589"/>
    <w:rsid w:val="001A3F19"/>
    <w:rsid w:val="001A3F99"/>
    <w:rsid w:val="001A4F91"/>
    <w:rsid w:val="001A544A"/>
    <w:rsid w:val="001A67BF"/>
    <w:rsid w:val="001A6DBB"/>
    <w:rsid w:val="001B09C9"/>
    <w:rsid w:val="001B115C"/>
    <w:rsid w:val="001B2AC5"/>
    <w:rsid w:val="001B4557"/>
    <w:rsid w:val="001B53FA"/>
    <w:rsid w:val="001B5A24"/>
    <w:rsid w:val="001B60EC"/>
    <w:rsid w:val="001B67F2"/>
    <w:rsid w:val="001B6AFF"/>
    <w:rsid w:val="001C061A"/>
    <w:rsid w:val="001C0B3D"/>
    <w:rsid w:val="001C1B40"/>
    <w:rsid w:val="001C2840"/>
    <w:rsid w:val="001C3995"/>
    <w:rsid w:val="001C3DAE"/>
    <w:rsid w:val="001C55C2"/>
    <w:rsid w:val="001C5F7F"/>
    <w:rsid w:val="001C6ED7"/>
    <w:rsid w:val="001D0240"/>
    <w:rsid w:val="001D0523"/>
    <w:rsid w:val="001D0D55"/>
    <w:rsid w:val="001D2DC5"/>
    <w:rsid w:val="001D3123"/>
    <w:rsid w:val="001D428B"/>
    <w:rsid w:val="001E0347"/>
    <w:rsid w:val="001E083F"/>
    <w:rsid w:val="001E1002"/>
    <w:rsid w:val="001E11B6"/>
    <w:rsid w:val="001E173F"/>
    <w:rsid w:val="001E4436"/>
    <w:rsid w:val="001E4892"/>
    <w:rsid w:val="001E75E5"/>
    <w:rsid w:val="001F0334"/>
    <w:rsid w:val="001F1503"/>
    <w:rsid w:val="001F1F8F"/>
    <w:rsid w:val="001F2E22"/>
    <w:rsid w:val="001F49B6"/>
    <w:rsid w:val="001F4BD4"/>
    <w:rsid w:val="001F5367"/>
    <w:rsid w:val="001F584C"/>
    <w:rsid w:val="001F5FDA"/>
    <w:rsid w:val="001F747F"/>
    <w:rsid w:val="002018B3"/>
    <w:rsid w:val="00202F72"/>
    <w:rsid w:val="00204B40"/>
    <w:rsid w:val="00206496"/>
    <w:rsid w:val="00207A9A"/>
    <w:rsid w:val="002105BE"/>
    <w:rsid w:val="00211E93"/>
    <w:rsid w:val="00211F52"/>
    <w:rsid w:val="00212458"/>
    <w:rsid w:val="00212459"/>
    <w:rsid w:val="00212896"/>
    <w:rsid w:val="00214589"/>
    <w:rsid w:val="0021570F"/>
    <w:rsid w:val="00215AE8"/>
    <w:rsid w:val="00220F94"/>
    <w:rsid w:val="002214A8"/>
    <w:rsid w:val="002224A4"/>
    <w:rsid w:val="002231FE"/>
    <w:rsid w:val="002255C6"/>
    <w:rsid w:val="0022660B"/>
    <w:rsid w:val="00227666"/>
    <w:rsid w:val="0023079B"/>
    <w:rsid w:val="0023386F"/>
    <w:rsid w:val="00234019"/>
    <w:rsid w:val="00235189"/>
    <w:rsid w:val="00235332"/>
    <w:rsid w:val="002358DD"/>
    <w:rsid w:val="00235F1A"/>
    <w:rsid w:val="0023774D"/>
    <w:rsid w:val="002378D7"/>
    <w:rsid w:val="00240DAC"/>
    <w:rsid w:val="002411E3"/>
    <w:rsid w:val="002433AB"/>
    <w:rsid w:val="00245804"/>
    <w:rsid w:val="00246BC8"/>
    <w:rsid w:val="00246F98"/>
    <w:rsid w:val="0024788D"/>
    <w:rsid w:val="00250325"/>
    <w:rsid w:val="002503CA"/>
    <w:rsid w:val="00250CDF"/>
    <w:rsid w:val="00251D1A"/>
    <w:rsid w:val="00252BB4"/>
    <w:rsid w:val="00252E20"/>
    <w:rsid w:val="00254C35"/>
    <w:rsid w:val="00255026"/>
    <w:rsid w:val="00256813"/>
    <w:rsid w:val="002569EE"/>
    <w:rsid w:val="00257AC6"/>
    <w:rsid w:val="00261221"/>
    <w:rsid w:val="0026212B"/>
    <w:rsid w:val="00263F5C"/>
    <w:rsid w:val="00265AF6"/>
    <w:rsid w:val="00265FBB"/>
    <w:rsid w:val="00267BCF"/>
    <w:rsid w:val="00267CCC"/>
    <w:rsid w:val="00270724"/>
    <w:rsid w:val="00271803"/>
    <w:rsid w:val="00272082"/>
    <w:rsid w:val="002724A5"/>
    <w:rsid w:val="002742CD"/>
    <w:rsid w:val="00275981"/>
    <w:rsid w:val="002768AB"/>
    <w:rsid w:val="00281326"/>
    <w:rsid w:val="002827BE"/>
    <w:rsid w:val="002832C6"/>
    <w:rsid w:val="0028518D"/>
    <w:rsid w:val="002854C6"/>
    <w:rsid w:val="0028610A"/>
    <w:rsid w:val="0029087B"/>
    <w:rsid w:val="00290BC1"/>
    <w:rsid w:val="00291406"/>
    <w:rsid w:val="00291E78"/>
    <w:rsid w:val="0029247B"/>
    <w:rsid w:val="002948D9"/>
    <w:rsid w:val="00295B9E"/>
    <w:rsid w:val="0029656F"/>
    <w:rsid w:val="00296A06"/>
    <w:rsid w:val="00296F0C"/>
    <w:rsid w:val="00297E76"/>
    <w:rsid w:val="002A0787"/>
    <w:rsid w:val="002A27BA"/>
    <w:rsid w:val="002A3173"/>
    <w:rsid w:val="002A361A"/>
    <w:rsid w:val="002A7A26"/>
    <w:rsid w:val="002B33D1"/>
    <w:rsid w:val="002B3D67"/>
    <w:rsid w:val="002B66F6"/>
    <w:rsid w:val="002B67AA"/>
    <w:rsid w:val="002B7287"/>
    <w:rsid w:val="002C0A88"/>
    <w:rsid w:val="002C1451"/>
    <w:rsid w:val="002C1809"/>
    <w:rsid w:val="002C3DF3"/>
    <w:rsid w:val="002C481C"/>
    <w:rsid w:val="002C4D01"/>
    <w:rsid w:val="002C598D"/>
    <w:rsid w:val="002C6EFD"/>
    <w:rsid w:val="002C75DF"/>
    <w:rsid w:val="002D3ABE"/>
    <w:rsid w:val="002D4F73"/>
    <w:rsid w:val="002E10B7"/>
    <w:rsid w:val="002E1FA6"/>
    <w:rsid w:val="002E6B72"/>
    <w:rsid w:val="002E7BE8"/>
    <w:rsid w:val="002F025A"/>
    <w:rsid w:val="002F2C03"/>
    <w:rsid w:val="002F3B06"/>
    <w:rsid w:val="002F3E49"/>
    <w:rsid w:val="002F43DF"/>
    <w:rsid w:val="002F79E9"/>
    <w:rsid w:val="00300BFD"/>
    <w:rsid w:val="00302401"/>
    <w:rsid w:val="00302F4B"/>
    <w:rsid w:val="003035F9"/>
    <w:rsid w:val="00303859"/>
    <w:rsid w:val="0031090E"/>
    <w:rsid w:val="00312FEE"/>
    <w:rsid w:val="00313378"/>
    <w:rsid w:val="003138FD"/>
    <w:rsid w:val="00315118"/>
    <w:rsid w:val="0031602A"/>
    <w:rsid w:val="00317387"/>
    <w:rsid w:val="00317830"/>
    <w:rsid w:val="00317C71"/>
    <w:rsid w:val="00320877"/>
    <w:rsid w:val="00322339"/>
    <w:rsid w:val="00323416"/>
    <w:rsid w:val="00325F2D"/>
    <w:rsid w:val="00326B09"/>
    <w:rsid w:val="00327783"/>
    <w:rsid w:val="00330DAD"/>
    <w:rsid w:val="00332AED"/>
    <w:rsid w:val="00334453"/>
    <w:rsid w:val="0033486A"/>
    <w:rsid w:val="00335121"/>
    <w:rsid w:val="00335536"/>
    <w:rsid w:val="00335C8E"/>
    <w:rsid w:val="0033641D"/>
    <w:rsid w:val="003364CF"/>
    <w:rsid w:val="0034096F"/>
    <w:rsid w:val="00342BAB"/>
    <w:rsid w:val="00342FC3"/>
    <w:rsid w:val="00344633"/>
    <w:rsid w:val="00344E86"/>
    <w:rsid w:val="00346ADB"/>
    <w:rsid w:val="00347027"/>
    <w:rsid w:val="003513E1"/>
    <w:rsid w:val="003522DA"/>
    <w:rsid w:val="003541F2"/>
    <w:rsid w:val="00354237"/>
    <w:rsid w:val="00354B4D"/>
    <w:rsid w:val="00357892"/>
    <w:rsid w:val="00360154"/>
    <w:rsid w:val="003602D1"/>
    <w:rsid w:val="003604E6"/>
    <w:rsid w:val="00360DF3"/>
    <w:rsid w:val="00360E5B"/>
    <w:rsid w:val="003623AC"/>
    <w:rsid w:val="00362567"/>
    <w:rsid w:val="003625F7"/>
    <w:rsid w:val="00362ECF"/>
    <w:rsid w:val="0036451C"/>
    <w:rsid w:val="0037095E"/>
    <w:rsid w:val="0037116F"/>
    <w:rsid w:val="003723B5"/>
    <w:rsid w:val="00372C94"/>
    <w:rsid w:val="003753D7"/>
    <w:rsid w:val="00376867"/>
    <w:rsid w:val="003768B9"/>
    <w:rsid w:val="0037782B"/>
    <w:rsid w:val="00382141"/>
    <w:rsid w:val="003830A4"/>
    <w:rsid w:val="0038376B"/>
    <w:rsid w:val="00384945"/>
    <w:rsid w:val="0038555C"/>
    <w:rsid w:val="003870EF"/>
    <w:rsid w:val="003879D6"/>
    <w:rsid w:val="00391C22"/>
    <w:rsid w:val="00391DA1"/>
    <w:rsid w:val="003923E0"/>
    <w:rsid w:val="00392814"/>
    <w:rsid w:val="00393973"/>
    <w:rsid w:val="00393A26"/>
    <w:rsid w:val="00395553"/>
    <w:rsid w:val="00396516"/>
    <w:rsid w:val="003A0475"/>
    <w:rsid w:val="003A0DCC"/>
    <w:rsid w:val="003A2B1B"/>
    <w:rsid w:val="003A2C72"/>
    <w:rsid w:val="003A3CCE"/>
    <w:rsid w:val="003A5853"/>
    <w:rsid w:val="003A5C15"/>
    <w:rsid w:val="003A5E9B"/>
    <w:rsid w:val="003A6DD2"/>
    <w:rsid w:val="003A7BAA"/>
    <w:rsid w:val="003A7DCF"/>
    <w:rsid w:val="003A7E55"/>
    <w:rsid w:val="003B03D7"/>
    <w:rsid w:val="003B071D"/>
    <w:rsid w:val="003B072A"/>
    <w:rsid w:val="003B1800"/>
    <w:rsid w:val="003B2B30"/>
    <w:rsid w:val="003B3029"/>
    <w:rsid w:val="003B4A7E"/>
    <w:rsid w:val="003B4CD2"/>
    <w:rsid w:val="003B76E8"/>
    <w:rsid w:val="003C4B80"/>
    <w:rsid w:val="003C5A5A"/>
    <w:rsid w:val="003D1A12"/>
    <w:rsid w:val="003D2EAF"/>
    <w:rsid w:val="003D3BAF"/>
    <w:rsid w:val="003D501C"/>
    <w:rsid w:val="003D5485"/>
    <w:rsid w:val="003D6104"/>
    <w:rsid w:val="003D6773"/>
    <w:rsid w:val="003D7920"/>
    <w:rsid w:val="003E0B7A"/>
    <w:rsid w:val="003E0E0B"/>
    <w:rsid w:val="003E2069"/>
    <w:rsid w:val="003E44B7"/>
    <w:rsid w:val="003E57A8"/>
    <w:rsid w:val="003E6E53"/>
    <w:rsid w:val="003F025F"/>
    <w:rsid w:val="003F2135"/>
    <w:rsid w:val="003F2449"/>
    <w:rsid w:val="003F2473"/>
    <w:rsid w:val="003F2689"/>
    <w:rsid w:val="003F40A4"/>
    <w:rsid w:val="003F436D"/>
    <w:rsid w:val="003F544B"/>
    <w:rsid w:val="003F5AD1"/>
    <w:rsid w:val="003F5C76"/>
    <w:rsid w:val="003F6374"/>
    <w:rsid w:val="003F66B4"/>
    <w:rsid w:val="00400774"/>
    <w:rsid w:val="004009F4"/>
    <w:rsid w:val="0040154F"/>
    <w:rsid w:val="00401DBA"/>
    <w:rsid w:val="00404695"/>
    <w:rsid w:val="004062E0"/>
    <w:rsid w:val="004120A9"/>
    <w:rsid w:val="00413221"/>
    <w:rsid w:val="00414F1B"/>
    <w:rsid w:val="004164F4"/>
    <w:rsid w:val="004209E3"/>
    <w:rsid w:val="00421E73"/>
    <w:rsid w:val="00421FD9"/>
    <w:rsid w:val="00423F2C"/>
    <w:rsid w:val="004244AB"/>
    <w:rsid w:val="004250C3"/>
    <w:rsid w:val="004262F0"/>
    <w:rsid w:val="00427DDA"/>
    <w:rsid w:val="00427F88"/>
    <w:rsid w:val="00431DD4"/>
    <w:rsid w:val="0043396F"/>
    <w:rsid w:val="0043467B"/>
    <w:rsid w:val="0043527A"/>
    <w:rsid w:val="0043600C"/>
    <w:rsid w:val="00436C6D"/>
    <w:rsid w:val="00440107"/>
    <w:rsid w:val="00442C5E"/>
    <w:rsid w:val="00442D81"/>
    <w:rsid w:val="0044300D"/>
    <w:rsid w:val="004435BF"/>
    <w:rsid w:val="00444C1C"/>
    <w:rsid w:val="00444CCE"/>
    <w:rsid w:val="00445811"/>
    <w:rsid w:val="00447300"/>
    <w:rsid w:val="00450A83"/>
    <w:rsid w:val="00451DFF"/>
    <w:rsid w:val="00454E1C"/>
    <w:rsid w:val="004603C8"/>
    <w:rsid w:val="004617EF"/>
    <w:rsid w:val="00461AB3"/>
    <w:rsid w:val="00462B83"/>
    <w:rsid w:val="0046488D"/>
    <w:rsid w:val="0046590F"/>
    <w:rsid w:val="004663E5"/>
    <w:rsid w:val="00466502"/>
    <w:rsid w:val="004667E0"/>
    <w:rsid w:val="004671BF"/>
    <w:rsid w:val="00467E7B"/>
    <w:rsid w:val="004715C2"/>
    <w:rsid w:val="00472172"/>
    <w:rsid w:val="00474BE5"/>
    <w:rsid w:val="004757DE"/>
    <w:rsid w:val="004776A5"/>
    <w:rsid w:val="00477BD8"/>
    <w:rsid w:val="004832F5"/>
    <w:rsid w:val="00484584"/>
    <w:rsid w:val="00485BA1"/>
    <w:rsid w:val="00486CDF"/>
    <w:rsid w:val="004873FA"/>
    <w:rsid w:val="00487C03"/>
    <w:rsid w:val="00487F60"/>
    <w:rsid w:val="00491067"/>
    <w:rsid w:val="00491162"/>
    <w:rsid w:val="00495053"/>
    <w:rsid w:val="00497BCC"/>
    <w:rsid w:val="00497CB9"/>
    <w:rsid w:val="004A0820"/>
    <w:rsid w:val="004A19E6"/>
    <w:rsid w:val="004A467A"/>
    <w:rsid w:val="004A4771"/>
    <w:rsid w:val="004A4B0B"/>
    <w:rsid w:val="004A6449"/>
    <w:rsid w:val="004A7432"/>
    <w:rsid w:val="004B0784"/>
    <w:rsid w:val="004B149E"/>
    <w:rsid w:val="004B339B"/>
    <w:rsid w:val="004B3637"/>
    <w:rsid w:val="004B496F"/>
    <w:rsid w:val="004B592D"/>
    <w:rsid w:val="004B5BD4"/>
    <w:rsid w:val="004B645F"/>
    <w:rsid w:val="004B66A0"/>
    <w:rsid w:val="004B6FF7"/>
    <w:rsid w:val="004B74F8"/>
    <w:rsid w:val="004B7AF1"/>
    <w:rsid w:val="004C025C"/>
    <w:rsid w:val="004C1F1F"/>
    <w:rsid w:val="004C1F5C"/>
    <w:rsid w:val="004C34C8"/>
    <w:rsid w:val="004C55BD"/>
    <w:rsid w:val="004C5B07"/>
    <w:rsid w:val="004C6A7C"/>
    <w:rsid w:val="004C6DA8"/>
    <w:rsid w:val="004C7827"/>
    <w:rsid w:val="004D1ECE"/>
    <w:rsid w:val="004D47DE"/>
    <w:rsid w:val="004D5BEC"/>
    <w:rsid w:val="004D5F9A"/>
    <w:rsid w:val="004D753D"/>
    <w:rsid w:val="004D76AB"/>
    <w:rsid w:val="004E0470"/>
    <w:rsid w:val="004E1081"/>
    <w:rsid w:val="004E12BC"/>
    <w:rsid w:val="004E3F92"/>
    <w:rsid w:val="004E7982"/>
    <w:rsid w:val="004F002D"/>
    <w:rsid w:val="004F0350"/>
    <w:rsid w:val="004F204D"/>
    <w:rsid w:val="004F28E6"/>
    <w:rsid w:val="004F3A6A"/>
    <w:rsid w:val="004F3FB9"/>
    <w:rsid w:val="004F47D1"/>
    <w:rsid w:val="004F5190"/>
    <w:rsid w:val="004F56F1"/>
    <w:rsid w:val="004F70D6"/>
    <w:rsid w:val="005010E2"/>
    <w:rsid w:val="00503558"/>
    <w:rsid w:val="0050478F"/>
    <w:rsid w:val="005112CB"/>
    <w:rsid w:val="00511863"/>
    <w:rsid w:val="00511ABE"/>
    <w:rsid w:val="00513666"/>
    <w:rsid w:val="00513C9C"/>
    <w:rsid w:val="00513FD7"/>
    <w:rsid w:val="00515044"/>
    <w:rsid w:val="00516343"/>
    <w:rsid w:val="005165CF"/>
    <w:rsid w:val="00516A2A"/>
    <w:rsid w:val="005203FB"/>
    <w:rsid w:val="005210A6"/>
    <w:rsid w:val="005216FB"/>
    <w:rsid w:val="00523CA5"/>
    <w:rsid w:val="00524061"/>
    <w:rsid w:val="00526F37"/>
    <w:rsid w:val="0052747B"/>
    <w:rsid w:val="00531172"/>
    <w:rsid w:val="00533630"/>
    <w:rsid w:val="00533E7D"/>
    <w:rsid w:val="00534787"/>
    <w:rsid w:val="00534CD6"/>
    <w:rsid w:val="0053565B"/>
    <w:rsid w:val="005357AC"/>
    <w:rsid w:val="0053632F"/>
    <w:rsid w:val="005363DB"/>
    <w:rsid w:val="005372E8"/>
    <w:rsid w:val="005374F3"/>
    <w:rsid w:val="00537E79"/>
    <w:rsid w:val="00540523"/>
    <w:rsid w:val="00540543"/>
    <w:rsid w:val="00541EEF"/>
    <w:rsid w:val="00546D98"/>
    <w:rsid w:val="005474ED"/>
    <w:rsid w:val="00547F1E"/>
    <w:rsid w:val="005502A8"/>
    <w:rsid w:val="005519F3"/>
    <w:rsid w:val="00552300"/>
    <w:rsid w:val="00554557"/>
    <w:rsid w:val="00554741"/>
    <w:rsid w:val="00554B53"/>
    <w:rsid w:val="00555E43"/>
    <w:rsid w:val="0056164D"/>
    <w:rsid w:val="00561A22"/>
    <w:rsid w:val="00562460"/>
    <w:rsid w:val="005634D6"/>
    <w:rsid w:val="0056704D"/>
    <w:rsid w:val="0056710D"/>
    <w:rsid w:val="00573F68"/>
    <w:rsid w:val="005754BD"/>
    <w:rsid w:val="005755BC"/>
    <w:rsid w:val="005772A7"/>
    <w:rsid w:val="005775A1"/>
    <w:rsid w:val="005812C8"/>
    <w:rsid w:val="005819BD"/>
    <w:rsid w:val="00581A8A"/>
    <w:rsid w:val="00586057"/>
    <w:rsid w:val="005862B7"/>
    <w:rsid w:val="00590BE1"/>
    <w:rsid w:val="005933FC"/>
    <w:rsid w:val="0059579D"/>
    <w:rsid w:val="005957EC"/>
    <w:rsid w:val="00597369"/>
    <w:rsid w:val="005977EF"/>
    <w:rsid w:val="005A0DC6"/>
    <w:rsid w:val="005A17E3"/>
    <w:rsid w:val="005A21F6"/>
    <w:rsid w:val="005A25C7"/>
    <w:rsid w:val="005A2B4E"/>
    <w:rsid w:val="005A383F"/>
    <w:rsid w:val="005A3AF7"/>
    <w:rsid w:val="005A6595"/>
    <w:rsid w:val="005A69B9"/>
    <w:rsid w:val="005A77AE"/>
    <w:rsid w:val="005B06F5"/>
    <w:rsid w:val="005B110D"/>
    <w:rsid w:val="005B2951"/>
    <w:rsid w:val="005B3104"/>
    <w:rsid w:val="005B3C95"/>
    <w:rsid w:val="005B63D4"/>
    <w:rsid w:val="005B75BC"/>
    <w:rsid w:val="005C07E5"/>
    <w:rsid w:val="005C0F19"/>
    <w:rsid w:val="005C17DF"/>
    <w:rsid w:val="005C1DC6"/>
    <w:rsid w:val="005C2BEB"/>
    <w:rsid w:val="005C503F"/>
    <w:rsid w:val="005C516B"/>
    <w:rsid w:val="005C5263"/>
    <w:rsid w:val="005C59B4"/>
    <w:rsid w:val="005C63F7"/>
    <w:rsid w:val="005C6B9A"/>
    <w:rsid w:val="005D055B"/>
    <w:rsid w:val="005D0CBB"/>
    <w:rsid w:val="005D1B3A"/>
    <w:rsid w:val="005D1E49"/>
    <w:rsid w:val="005D2F87"/>
    <w:rsid w:val="005D3544"/>
    <w:rsid w:val="005D3D27"/>
    <w:rsid w:val="005D4544"/>
    <w:rsid w:val="005D543B"/>
    <w:rsid w:val="005E166E"/>
    <w:rsid w:val="005E4184"/>
    <w:rsid w:val="005E5810"/>
    <w:rsid w:val="005E5E38"/>
    <w:rsid w:val="005E7F29"/>
    <w:rsid w:val="005F0682"/>
    <w:rsid w:val="005F108E"/>
    <w:rsid w:val="005F1651"/>
    <w:rsid w:val="005F1A07"/>
    <w:rsid w:val="005F1B3E"/>
    <w:rsid w:val="005F2101"/>
    <w:rsid w:val="005F47DA"/>
    <w:rsid w:val="005F5232"/>
    <w:rsid w:val="005F55C5"/>
    <w:rsid w:val="005F6356"/>
    <w:rsid w:val="00600209"/>
    <w:rsid w:val="00600668"/>
    <w:rsid w:val="00601A95"/>
    <w:rsid w:val="0060384D"/>
    <w:rsid w:val="00606073"/>
    <w:rsid w:val="0060731C"/>
    <w:rsid w:val="006077B8"/>
    <w:rsid w:val="006078BA"/>
    <w:rsid w:val="00607E6E"/>
    <w:rsid w:val="00611481"/>
    <w:rsid w:val="006115E9"/>
    <w:rsid w:val="006121FA"/>
    <w:rsid w:val="00613FAB"/>
    <w:rsid w:val="00614835"/>
    <w:rsid w:val="0061509E"/>
    <w:rsid w:val="00616739"/>
    <w:rsid w:val="00616E80"/>
    <w:rsid w:val="00617880"/>
    <w:rsid w:val="006200E6"/>
    <w:rsid w:val="006203F6"/>
    <w:rsid w:val="0062062B"/>
    <w:rsid w:val="00620849"/>
    <w:rsid w:val="00623B34"/>
    <w:rsid w:val="00625285"/>
    <w:rsid w:val="0062535C"/>
    <w:rsid w:val="00627BD0"/>
    <w:rsid w:val="006322C5"/>
    <w:rsid w:val="00632AE6"/>
    <w:rsid w:val="00633874"/>
    <w:rsid w:val="00634138"/>
    <w:rsid w:val="0063508C"/>
    <w:rsid w:val="0063612D"/>
    <w:rsid w:val="0064016F"/>
    <w:rsid w:val="0064096B"/>
    <w:rsid w:val="0064271F"/>
    <w:rsid w:val="00646989"/>
    <w:rsid w:val="00646CD9"/>
    <w:rsid w:val="00646F91"/>
    <w:rsid w:val="0064726C"/>
    <w:rsid w:val="0065079C"/>
    <w:rsid w:val="00651006"/>
    <w:rsid w:val="00651813"/>
    <w:rsid w:val="00651E6B"/>
    <w:rsid w:val="006535CA"/>
    <w:rsid w:val="006540CC"/>
    <w:rsid w:val="00654B76"/>
    <w:rsid w:val="006569B6"/>
    <w:rsid w:val="006578DE"/>
    <w:rsid w:val="006603F2"/>
    <w:rsid w:val="006616C8"/>
    <w:rsid w:val="00661FD2"/>
    <w:rsid w:val="00662484"/>
    <w:rsid w:val="00662858"/>
    <w:rsid w:val="00662B24"/>
    <w:rsid w:val="00664694"/>
    <w:rsid w:val="0066542C"/>
    <w:rsid w:val="00665A10"/>
    <w:rsid w:val="00665E39"/>
    <w:rsid w:val="00666B0F"/>
    <w:rsid w:val="006675C1"/>
    <w:rsid w:val="00670BD4"/>
    <w:rsid w:val="006733BF"/>
    <w:rsid w:val="006734A1"/>
    <w:rsid w:val="00673E43"/>
    <w:rsid w:val="00675107"/>
    <w:rsid w:val="00676F55"/>
    <w:rsid w:val="00677AC5"/>
    <w:rsid w:val="00680D46"/>
    <w:rsid w:val="0068146A"/>
    <w:rsid w:val="00682271"/>
    <w:rsid w:val="00682EDE"/>
    <w:rsid w:val="00691F74"/>
    <w:rsid w:val="006923CE"/>
    <w:rsid w:val="006938E6"/>
    <w:rsid w:val="00693B15"/>
    <w:rsid w:val="00693E2E"/>
    <w:rsid w:val="006940F6"/>
    <w:rsid w:val="006942A3"/>
    <w:rsid w:val="00694361"/>
    <w:rsid w:val="00694C92"/>
    <w:rsid w:val="00695FD9"/>
    <w:rsid w:val="0069694A"/>
    <w:rsid w:val="00697C42"/>
    <w:rsid w:val="006A2D16"/>
    <w:rsid w:val="006A33D8"/>
    <w:rsid w:val="006A3446"/>
    <w:rsid w:val="006A3EF2"/>
    <w:rsid w:val="006A41EF"/>
    <w:rsid w:val="006A551C"/>
    <w:rsid w:val="006A7D30"/>
    <w:rsid w:val="006B06F4"/>
    <w:rsid w:val="006B12BC"/>
    <w:rsid w:val="006B2925"/>
    <w:rsid w:val="006B3FC4"/>
    <w:rsid w:val="006B4DC4"/>
    <w:rsid w:val="006B5440"/>
    <w:rsid w:val="006B54E3"/>
    <w:rsid w:val="006B58EA"/>
    <w:rsid w:val="006B5BAE"/>
    <w:rsid w:val="006B679A"/>
    <w:rsid w:val="006C059F"/>
    <w:rsid w:val="006C18BE"/>
    <w:rsid w:val="006C30A1"/>
    <w:rsid w:val="006C32BD"/>
    <w:rsid w:val="006C35E4"/>
    <w:rsid w:val="006C46B5"/>
    <w:rsid w:val="006C545E"/>
    <w:rsid w:val="006C562F"/>
    <w:rsid w:val="006C6E0D"/>
    <w:rsid w:val="006C7D0A"/>
    <w:rsid w:val="006D03B2"/>
    <w:rsid w:val="006D2201"/>
    <w:rsid w:val="006D22D5"/>
    <w:rsid w:val="006D2D34"/>
    <w:rsid w:val="006D3818"/>
    <w:rsid w:val="006D3C32"/>
    <w:rsid w:val="006D4E5D"/>
    <w:rsid w:val="006D5006"/>
    <w:rsid w:val="006D60AA"/>
    <w:rsid w:val="006E0991"/>
    <w:rsid w:val="006E1079"/>
    <w:rsid w:val="006E112F"/>
    <w:rsid w:val="006E1C1A"/>
    <w:rsid w:val="006E282E"/>
    <w:rsid w:val="006E39F4"/>
    <w:rsid w:val="006E5677"/>
    <w:rsid w:val="006E7ED1"/>
    <w:rsid w:val="006F10FA"/>
    <w:rsid w:val="006F1702"/>
    <w:rsid w:val="006F225F"/>
    <w:rsid w:val="006F588C"/>
    <w:rsid w:val="006F6DD3"/>
    <w:rsid w:val="007016E2"/>
    <w:rsid w:val="00705653"/>
    <w:rsid w:val="0070591E"/>
    <w:rsid w:val="00706C8E"/>
    <w:rsid w:val="0071006C"/>
    <w:rsid w:val="007118C6"/>
    <w:rsid w:val="00713936"/>
    <w:rsid w:val="00716A46"/>
    <w:rsid w:val="00717BAC"/>
    <w:rsid w:val="00721769"/>
    <w:rsid w:val="00721B44"/>
    <w:rsid w:val="00722C0F"/>
    <w:rsid w:val="00724666"/>
    <w:rsid w:val="0072680F"/>
    <w:rsid w:val="007309CD"/>
    <w:rsid w:val="007326D1"/>
    <w:rsid w:val="007334CE"/>
    <w:rsid w:val="00734332"/>
    <w:rsid w:val="00735B91"/>
    <w:rsid w:val="00736194"/>
    <w:rsid w:val="00740F72"/>
    <w:rsid w:val="00743AC3"/>
    <w:rsid w:val="0074498C"/>
    <w:rsid w:val="00744D4E"/>
    <w:rsid w:val="00745312"/>
    <w:rsid w:val="00746590"/>
    <w:rsid w:val="00746DFB"/>
    <w:rsid w:val="00750391"/>
    <w:rsid w:val="00750810"/>
    <w:rsid w:val="0075145D"/>
    <w:rsid w:val="007519E8"/>
    <w:rsid w:val="00751B4B"/>
    <w:rsid w:val="007520D9"/>
    <w:rsid w:val="007535DC"/>
    <w:rsid w:val="00756C5F"/>
    <w:rsid w:val="00756F3A"/>
    <w:rsid w:val="0075702F"/>
    <w:rsid w:val="00757ED1"/>
    <w:rsid w:val="007612AF"/>
    <w:rsid w:val="00765BB2"/>
    <w:rsid w:val="00767EC1"/>
    <w:rsid w:val="00767F10"/>
    <w:rsid w:val="00771B1F"/>
    <w:rsid w:val="00773A1B"/>
    <w:rsid w:val="00775466"/>
    <w:rsid w:val="0077572E"/>
    <w:rsid w:val="007766F8"/>
    <w:rsid w:val="00780E87"/>
    <w:rsid w:val="00782F1C"/>
    <w:rsid w:val="00785FED"/>
    <w:rsid w:val="0079165D"/>
    <w:rsid w:val="007924BC"/>
    <w:rsid w:val="0079343D"/>
    <w:rsid w:val="00793FA7"/>
    <w:rsid w:val="00795894"/>
    <w:rsid w:val="007A1FC1"/>
    <w:rsid w:val="007A324D"/>
    <w:rsid w:val="007A3B4E"/>
    <w:rsid w:val="007A3C03"/>
    <w:rsid w:val="007A6880"/>
    <w:rsid w:val="007A6E4E"/>
    <w:rsid w:val="007A768D"/>
    <w:rsid w:val="007B0F9F"/>
    <w:rsid w:val="007B0FF2"/>
    <w:rsid w:val="007B18C0"/>
    <w:rsid w:val="007B1B71"/>
    <w:rsid w:val="007B1C30"/>
    <w:rsid w:val="007B2474"/>
    <w:rsid w:val="007B3C20"/>
    <w:rsid w:val="007B46C7"/>
    <w:rsid w:val="007B6670"/>
    <w:rsid w:val="007B765E"/>
    <w:rsid w:val="007B78CB"/>
    <w:rsid w:val="007C14CB"/>
    <w:rsid w:val="007C386D"/>
    <w:rsid w:val="007C48BD"/>
    <w:rsid w:val="007C5A09"/>
    <w:rsid w:val="007C5BF8"/>
    <w:rsid w:val="007C6E42"/>
    <w:rsid w:val="007D0C40"/>
    <w:rsid w:val="007D0D5E"/>
    <w:rsid w:val="007D3711"/>
    <w:rsid w:val="007D440C"/>
    <w:rsid w:val="007D55F5"/>
    <w:rsid w:val="007D5D1F"/>
    <w:rsid w:val="007D6BD4"/>
    <w:rsid w:val="007D74F0"/>
    <w:rsid w:val="007E1AA5"/>
    <w:rsid w:val="007E1C43"/>
    <w:rsid w:val="007E1EDA"/>
    <w:rsid w:val="007E2FFA"/>
    <w:rsid w:val="007E3BEB"/>
    <w:rsid w:val="007E4A28"/>
    <w:rsid w:val="007E56FF"/>
    <w:rsid w:val="007E5EDC"/>
    <w:rsid w:val="007E643D"/>
    <w:rsid w:val="007E6C8D"/>
    <w:rsid w:val="007F0140"/>
    <w:rsid w:val="007F0430"/>
    <w:rsid w:val="007F12D1"/>
    <w:rsid w:val="007F20C7"/>
    <w:rsid w:val="007F2E26"/>
    <w:rsid w:val="007F46B5"/>
    <w:rsid w:val="007F4D40"/>
    <w:rsid w:val="007F63F7"/>
    <w:rsid w:val="007F79D5"/>
    <w:rsid w:val="00802D13"/>
    <w:rsid w:val="00803F95"/>
    <w:rsid w:val="00804031"/>
    <w:rsid w:val="00804F22"/>
    <w:rsid w:val="00805428"/>
    <w:rsid w:val="008066BD"/>
    <w:rsid w:val="00807AAF"/>
    <w:rsid w:val="00812D72"/>
    <w:rsid w:val="00813033"/>
    <w:rsid w:val="00813106"/>
    <w:rsid w:val="008136AD"/>
    <w:rsid w:val="00813A14"/>
    <w:rsid w:val="00823F2A"/>
    <w:rsid w:val="00825178"/>
    <w:rsid w:val="00826CF7"/>
    <w:rsid w:val="00827A48"/>
    <w:rsid w:val="00830148"/>
    <w:rsid w:val="008329B9"/>
    <w:rsid w:val="008337B5"/>
    <w:rsid w:val="00834463"/>
    <w:rsid w:val="008347B1"/>
    <w:rsid w:val="00840935"/>
    <w:rsid w:val="008414A9"/>
    <w:rsid w:val="0084239C"/>
    <w:rsid w:val="00842ECF"/>
    <w:rsid w:val="008432C5"/>
    <w:rsid w:val="00845100"/>
    <w:rsid w:val="00845BA5"/>
    <w:rsid w:val="00847C10"/>
    <w:rsid w:val="00850C08"/>
    <w:rsid w:val="00850F97"/>
    <w:rsid w:val="00853749"/>
    <w:rsid w:val="00853D42"/>
    <w:rsid w:val="00854933"/>
    <w:rsid w:val="0085522B"/>
    <w:rsid w:val="008552F2"/>
    <w:rsid w:val="00856677"/>
    <w:rsid w:val="008567BC"/>
    <w:rsid w:val="00862675"/>
    <w:rsid w:val="00862ED7"/>
    <w:rsid w:val="008714C4"/>
    <w:rsid w:val="008722BC"/>
    <w:rsid w:val="008739A2"/>
    <w:rsid w:val="00874D27"/>
    <w:rsid w:val="0087564E"/>
    <w:rsid w:val="00875A87"/>
    <w:rsid w:val="0087723B"/>
    <w:rsid w:val="00881A50"/>
    <w:rsid w:val="00881CC0"/>
    <w:rsid w:val="00884768"/>
    <w:rsid w:val="008854FF"/>
    <w:rsid w:val="00887672"/>
    <w:rsid w:val="00887813"/>
    <w:rsid w:val="008878A4"/>
    <w:rsid w:val="008905DA"/>
    <w:rsid w:val="0089170B"/>
    <w:rsid w:val="00891B56"/>
    <w:rsid w:val="0089208D"/>
    <w:rsid w:val="00892182"/>
    <w:rsid w:val="008926F2"/>
    <w:rsid w:val="008930F8"/>
    <w:rsid w:val="008941D5"/>
    <w:rsid w:val="008944E6"/>
    <w:rsid w:val="00896B10"/>
    <w:rsid w:val="00896F43"/>
    <w:rsid w:val="00897161"/>
    <w:rsid w:val="00897D7A"/>
    <w:rsid w:val="008A0451"/>
    <w:rsid w:val="008A1B2D"/>
    <w:rsid w:val="008A31DD"/>
    <w:rsid w:val="008B4ACA"/>
    <w:rsid w:val="008B55B2"/>
    <w:rsid w:val="008B6069"/>
    <w:rsid w:val="008C2EEA"/>
    <w:rsid w:val="008C2F4C"/>
    <w:rsid w:val="008C3263"/>
    <w:rsid w:val="008C3269"/>
    <w:rsid w:val="008C38B7"/>
    <w:rsid w:val="008C5114"/>
    <w:rsid w:val="008C5588"/>
    <w:rsid w:val="008C6BA1"/>
    <w:rsid w:val="008C7233"/>
    <w:rsid w:val="008D0896"/>
    <w:rsid w:val="008D16A8"/>
    <w:rsid w:val="008D36AC"/>
    <w:rsid w:val="008D58D4"/>
    <w:rsid w:val="008D69CC"/>
    <w:rsid w:val="008D7812"/>
    <w:rsid w:val="008E12F4"/>
    <w:rsid w:val="008E36FD"/>
    <w:rsid w:val="008E43F9"/>
    <w:rsid w:val="008E4A0F"/>
    <w:rsid w:val="008E61B0"/>
    <w:rsid w:val="008F210E"/>
    <w:rsid w:val="008F249C"/>
    <w:rsid w:val="008F34BB"/>
    <w:rsid w:val="008F3838"/>
    <w:rsid w:val="008F5762"/>
    <w:rsid w:val="009041E6"/>
    <w:rsid w:val="00904565"/>
    <w:rsid w:val="00904E92"/>
    <w:rsid w:val="009064EE"/>
    <w:rsid w:val="00906927"/>
    <w:rsid w:val="00906AFF"/>
    <w:rsid w:val="00906FAD"/>
    <w:rsid w:val="00907DAC"/>
    <w:rsid w:val="00910533"/>
    <w:rsid w:val="00911D85"/>
    <w:rsid w:val="00912D30"/>
    <w:rsid w:val="00912F6A"/>
    <w:rsid w:val="00913972"/>
    <w:rsid w:val="00914F19"/>
    <w:rsid w:val="00916522"/>
    <w:rsid w:val="009169B0"/>
    <w:rsid w:val="009179B4"/>
    <w:rsid w:val="0092043E"/>
    <w:rsid w:val="0092070F"/>
    <w:rsid w:val="0092291C"/>
    <w:rsid w:val="00922C04"/>
    <w:rsid w:val="00924DB5"/>
    <w:rsid w:val="00926371"/>
    <w:rsid w:val="0092694E"/>
    <w:rsid w:val="00931A6A"/>
    <w:rsid w:val="0093234F"/>
    <w:rsid w:val="0093435E"/>
    <w:rsid w:val="00937C2D"/>
    <w:rsid w:val="0094000B"/>
    <w:rsid w:val="0094004A"/>
    <w:rsid w:val="009408D0"/>
    <w:rsid w:val="00942953"/>
    <w:rsid w:val="00942D6A"/>
    <w:rsid w:val="009437AF"/>
    <w:rsid w:val="009461B1"/>
    <w:rsid w:val="00946CF9"/>
    <w:rsid w:val="00950415"/>
    <w:rsid w:val="009504F9"/>
    <w:rsid w:val="009519B6"/>
    <w:rsid w:val="0095278D"/>
    <w:rsid w:val="00954A2E"/>
    <w:rsid w:val="00957262"/>
    <w:rsid w:val="009615B6"/>
    <w:rsid w:val="00961DEA"/>
    <w:rsid w:val="009634D8"/>
    <w:rsid w:val="00964196"/>
    <w:rsid w:val="0096522C"/>
    <w:rsid w:val="009669CC"/>
    <w:rsid w:val="00967696"/>
    <w:rsid w:val="009677DB"/>
    <w:rsid w:val="00967F9F"/>
    <w:rsid w:val="0097255B"/>
    <w:rsid w:val="00972B6F"/>
    <w:rsid w:val="00975476"/>
    <w:rsid w:val="0097687D"/>
    <w:rsid w:val="00976E5B"/>
    <w:rsid w:val="00981B63"/>
    <w:rsid w:val="00982510"/>
    <w:rsid w:val="00983897"/>
    <w:rsid w:val="009847E9"/>
    <w:rsid w:val="00984C1F"/>
    <w:rsid w:val="00984DAA"/>
    <w:rsid w:val="00984FAC"/>
    <w:rsid w:val="00985AEA"/>
    <w:rsid w:val="00985F5E"/>
    <w:rsid w:val="00986415"/>
    <w:rsid w:val="009875AC"/>
    <w:rsid w:val="00992A9C"/>
    <w:rsid w:val="00992D0E"/>
    <w:rsid w:val="009942C8"/>
    <w:rsid w:val="00994449"/>
    <w:rsid w:val="0099592D"/>
    <w:rsid w:val="0099707D"/>
    <w:rsid w:val="00997935"/>
    <w:rsid w:val="009A084C"/>
    <w:rsid w:val="009A09B6"/>
    <w:rsid w:val="009A1BC8"/>
    <w:rsid w:val="009A338A"/>
    <w:rsid w:val="009A41BB"/>
    <w:rsid w:val="009A48A3"/>
    <w:rsid w:val="009A53ED"/>
    <w:rsid w:val="009B056E"/>
    <w:rsid w:val="009B479E"/>
    <w:rsid w:val="009B4C53"/>
    <w:rsid w:val="009B550E"/>
    <w:rsid w:val="009B715C"/>
    <w:rsid w:val="009B7428"/>
    <w:rsid w:val="009C0008"/>
    <w:rsid w:val="009C0B47"/>
    <w:rsid w:val="009C28AB"/>
    <w:rsid w:val="009C2E81"/>
    <w:rsid w:val="009C34E6"/>
    <w:rsid w:val="009C4BFE"/>
    <w:rsid w:val="009C7781"/>
    <w:rsid w:val="009C7783"/>
    <w:rsid w:val="009D065A"/>
    <w:rsid w:val="009D0C6F"/>
    <w:rsid w:val="009D1C9D"/>
    <w:rsid w:val="009D45FE"/>
    <w:rsid w:val="009D4EBD"/>
    <w:rsid w:val="009D571C"/>
    <w:rsid w:val="009D5771"/>
    <w:rsid w:val="009D5ED7"/>
    <w:rsid w:val="009D63C2"/>
    <w:rsid w:val="009E151F"/>
    <w:rsid w:val="009E1538"/>
    <w:rsid w:val="009E2D1A"/>
    <w:rsid w:val="009E2D2E"/>
    <w:rsid w:val="009E40D6"/>
    <w:rsid w:val="009F02F1"/>
    <w:rsid w:val="009F10E2"/>
    <w:rsid w:val="009F1BA8"/>
    <w:rsid w:val="009F2BB4"/>
    <w:rsid w:val="009F670D"/>
    <w:rsid w:val="009F7FC8"/>
    <w:rsid w:val="00A02BC1"/>
    <w:rsid w:val="00A04030"/>
    <w:rsid w:val="00A04EE5"/>
    <w:rsid w:val="00A056D8"/>
    <w:rsid w:val="00A10314"/>
    <w:rsid w:val="00A10662"/>
    <w:rsid w:val="00A10B60"/>
    <w:rsid w:val="00A10C9D"/>
    <w:rsid w:val="00A114DD"/>
    <w:rsid w:val="00A11A46"/>
    <w:rsid w:val="00A12F92"/>
    <w:rsid w:val="00A14D43"/>
    <w:rsid w:val="00A160B0"/>
    <w:rsid w:val="00A21652"/>
    <w:rsid w:val="00A22389"/>
    <w:rsid w:val="00A22F8D"/>
    <w:rsid w:val="00A23910"/>
    <w:rsid w:val="00A24453"/>
    <w:rsid w:val="00A26C43"/>
    <w:rsid w:val="00A276FA"/>
    <w:rsid w:val="00A278E8"/>
    <w:rsid w:val="00A307E5"/>
    <w:rsid w:val="00A30EF9"/>
    <w:rsid w:val="00A312FE"/>
    <w:rsid w:val="00A313D2"/>
    <w:rsid w:val="00A3171A"/>
    <w:rsid w:val="00A354C9"/>
    <w:rsid w:val="00A37591"/>
    <w:rsid w:val="00A37D1E"/>
    <w:rsid w:val="00A40347"/>
    <w:rsid w:val="00A412B3"/>
    <w:rsid w:val="00A41A4A"/>
    <w:rsid w:val="00A4231C"/>
    <w:rsid w:val="00A42F1D"/>
    <w:rsid w:val="00A4561F"/>
    <w:rsid w:val="00A46D2D"/>
    <w:rsid w:val="00A506A3"/>
    <w:rsid w:val="00A507A5"/>
    <w:rsid w:val="00A564CF"/>
    <w:rsid w:val="00A60876"/>
    <w:rsid w:val="00A613A2"/>
    <w:rsid w:val="00A65169"/>
    <w:rsid w:val="00A65B56"/>
    <w:rsid w:val="00A6645F"/>
    <w:rsid w:val="00A664E5"/>
    <w:rsid w:val="00A66AE3"/>
    <w:rsid w:val="00A66E46"/>
    <w:rsid w:val="00A66FD0"/>
    <w:rsid w:val="00A674FE"/>
    <w:rsid w:val="00A70AB2"/>
    <w:rsid w:val="00A70B0C"/>
    <w:rsid w:val="00A70F1A"/>
    <w:rsid w:val="00A72266"/>
    <w:rsid w:val="00A7361A"/>
    <w:rsid w:val="00A74735"/>
    <w:rsid w:val="00A74A76"/>
    <w:rsid w:val="00A764C5"/>
    <w:rsid w:val="00A76578"/>
    <w:rsid w:val="00A76799"/>
    <w:rsid w:val="00A76D36"/>
    <w:rsid w:val="00A8160B"/>
    <w:rsid w:val="00A829FB"/>
    <w:rsid w:val="00A84060"/>
    <w:rsid w:val="00A85D4B"/>
    <w:rsid w:val="00A86D57"/>
    <w:rsid w:val="00A87E46"/>
    <w:rsid w:val="00A901CE"/>
    <w:rsid w:val="00A902F6"/>
    <w:rsid w:val="00A90E46"/>
    <w:rsid w:val="00A935A0"/>
    <w:rsid w:val="00A94739"/>
    <w:rsid w:val="00A95092"/>
    <w:rsid w:val="00A96083"/>
    <w:rsid w:val="00A96515"/>
    <w:rsid w:val="00A96F5B"/>
    <w:rsid w:val="00A9771F"/>
    <w:rsid w:val="00AA02BB"/>
    <w:rsid w:val="00AA230C"/>
    <w:rsid w:val="00AA3652"/>
    <w:rsid w:val="00AA37B4"/>
    <w:rsid w:val="00AA4482"/>
    <w:rsid w:val="00AA5261"/>
    <w:rsid w:val="00AB077F"/>
    <w:rsid w:val="00AB0AFB"/>
    <w:rsid w:val="00AB1B95"/>
    <w:rsid w:val="00AB230E"/>
    <w:rsid w:val="00AB2521"/>
    <w:rsid w:val="00AB28C0"/>
    <w:rsid w:val="00AB293A"/>
    <w:rsid w:val="00AB361B"/>
    <w:rsid w:val="00AB3C66"/>
    <w:rsid w:val="00AB46BA"/>
    <w:rsid w:val="00AB60C8"/>
    <w:rsid w:val="00AB77F5"/>
    <w:rsid w:val="00AC14E4"/>
    <w:rsid w:val="00AC199C"/>
    <w:rsid w:val="00AC27E2"/>
    <w:rsid w:val="00AC3AE6"/>
    <w:rsid w:val="00AC642A"/>
    <w:rsid w:val="00AC7A40"/>
    <w:rsid w:val="00AD172B"/>
    <w:rsid w:val="00AD3B09"/>
    <w:rsid w:val="00AD7264"/>
    <w:rsid w:val="00AD7F31"/>
    <w:rsid w:val="00AE0386"/>
    <w:rsid w:val="00AE051D"/>
    <w:rsid w:val="00AE0AE4"/>
    <w:rsid w:val="00AE14B9"/>
    <w:rsid w:val="00AE3217"/>
    <w:rsid w:val="00AE6786"/>
    <w:rsid w:val="00AE708B"/>
    <w:rsid w:val="00AF0D8B"/>
    <w:rsid w:val="00AF10FE"/>
    <w:rsid w:val="00AF27F9"/>
    <w:rsid w:val="00AF2C83"/>
    <w:rsid w:val="00AF6676"/>
    <w:rsid w:val="00AF66C1"/>
    <w:rsid w:val="00AF6DDE"/>
    <w:rsid w:val="00B02424"/>
    <w:rsid w:val="00B03653"/>
    <w:rsid w:val="00B03CE1"/>
    <w:rsid w:val="00B03FA2"/>
    <w:rsid w:val="00B10AF5"/>
    <w:rsid w:val="00B11147"/>
    <w:rsid w:val="00B11DF8"/>
    <w:rsid w:val="00B12121"/>
    <w:rsid w:val="00B14ADA"/>
    <w:rsid w:val="00B159FF"/>
    <w:rsid w:val="00B16D5A"/>
    <w:rsid w:val="00B176A7"/>
    <w:rsid w:val="00B233DC"/>
    <w:rsid w:val="00B23610"/>
    <w:rsid w:val="00B23714"/>
    <w:rsid w:val="00B238B7"/>
    <w:rsid w:val="00B246C5"/>
    <w:rsid w:val="00B271C5"/>
    <w:rsid w:val="00B30688"/>
    <w:rsid w:val="00B30D05"/>
    <w:rsid w:val="00B33D8D"/>
    <w:rsid w:val="00B33DB3"/>
    <w:rsid w:val="00B33F4B"/>
    <w:rsid w:val="00B3414B"/>
    <w:rsid w:val="00B34DED"/>
    <w:rsid w:val="00B355BC"/>
    <w:rsid w:val="00B3657B"/>
    <w:rsid w:val="00B36F72"/>
    <w:rsid w:val="00B370F5"/>
    <w:rsid w:val="00B40966"/>
    <w:rsid w:val="00B40DDA"/>
    <w:rsid w:val="00B42660"/>
    <w:rsid w:val="00B43881"/>
    <w:rsid w:val="00B4438D"/>
    <w:rsid w:val="00B44F86"/>
    <w:rsid w:val="00B45378"/>
    <w:rsid w:val="00B454AF"/>
    <w:rsid w:val="00B460C1"/>
    <w:rsid w:val="00B46B97"/>
    <w:rsid w:val="00B46C7A"/>
    <w:rsid w:val="00B47445"/>
    <w:rsid w:val="00B476D1"/>
    <w:rsid w:val="00B47B94"/>
    <w:rsid w:val="00B501D1"/>
    <w:rsid w:val="00B5058C"/>
    <w:rsid w:val="00B50D71"/>
    <w:rsid w:val="00B51A2D"/>
    <w:rsid w:val="00B52BEA"/>
    <w:rsid w:val="00B5463A"/>
    <w:rsid w:val="00B55BB6"/>
    <w:rsid w:val="00B562E3"/>
    <w:rsid w:val="00B628C7"/>
    <w:rsid w:val="00B62EA8"/>
    <w:rsid w:val="00B632B3"/>
    <w:rsid w:val="00B63377"/>
    <w:rsid w:val="00B63A7C"/>
    <w:rsid w:val="00B648BC"/>
    <w:rsid w:val="00B64943"/>
    <w:rsid w:val="00B64EDD"/>
    <w:rsid w:val="00B65E12"/>
    <w:rsid w:val="00B67022"/>
    <w:rsid w:val="00B675B2"/>
    <w:rsid w:val="00B67913"/>
    <w:rsid w:val="00B70496"/>
    <w:rsid w:val="00B71648"/>
    <w:rsid w:val="00B730E0"/>
    <w:rsid w:val="00B731AD"/>
    <w:rsid w:val="00B739C0"/>
    <w:rsid w:val="00B73ADB"/>
    <w:rsid w:val="00B73C79"/>
    <w:rsid w:val="00B746DF"/>
    <w:rsid w:val="00B802CA"/>
    <w:rsid w:val="00B803A0"/>
    <w:rsid w:val="00B8194F"/>
    <w:rsid w:val="00B81C32"/>
    <w:rsid w:val="00B82778"/>
    <w:rsid w:val="00B8291B"/>
    <w:rsid w:val="00B829BA"/>
    <w:rsid w:val="00B830B9"/>
    <w:rsid w:val="00B83CA1"/>
    <w:rsid w:val="00B84EC7"/>
    <w:rsid w:val="00B85745"/>
    <w:rsid w:val="00B857E3"/>
    <w:rsid w:val="00B86D7D"/>
    <w:rsid w:val="00B872CF"/>
    <w:rsid w:val="00B87A28"/>
    <w:rsid w:val="00B90090"/>
    <w:rsid w:val="00B913B9"/>
    <w:rsid w:val="00B91C25"/>
    <w:rsid w:val="00B91DA1"/>
    <w:rsid w:val="00B930CC"/>
    <w:rsid w:val="00B93497"/>
    <w:rsid w:val="00B9363B"/>
    <w:rsid w:val="00B94350"/>
    <w:rsid w:val="00B9571A"/>
    <w:rsid w:val="00B95770"/>
    <w:rsid w:val="00B95923"/>
    <w:rsid w:val="00B95CE8"/>
    <w:rsid w:val="00B96CDE"/>
    <w:rsid w:val="00BA09FF"/>
    <w:rsid w:val="00BA1369"/>
    <w:rsid w:val="00BA18B8"/>
    <w:rsid w:val="00BA24C2"/>
    <w:rsid w:val="00BA4AAE"/>
    <w:rsid w:val="00BA5A0F"/>
    <w:rsid w:val="00BA645A"/>
    <w:rsid w:val="00BA7D48"/>
    <w:rsid w:val="00BB0B76"/>
    <w:rsid w:val="00BB1607"/>
    <w:rsid w:val="00BB3C21"/>
    <w:rsid w:val="00BB5CEE"/>
    <w:rsid w:val="00BB5D57"/>
    <w:rsid w:val="00BB79A5"/>
    <w:rsid w:val="00BC03BB"/>
    <w:rsid w:val="00BC0907"/>
    <w:rsid w:val="00BC1A0D"/>
    <w:rsid w:val="00BC20E0"/>
    <w:rsid w:val="00BC349B"/>
    <w:rsid w:val="00BC38B1"/>
    <w:rsid w:val="00BC3923"/>
    <w:rsid w:val="00BC3F22"/>
    <w:rsid w:val="00BC4D0B"/>
    <w:rsid w:val="00BC4D2F"/>
    <w:rsid w:val="00BC5E8C"/>
    <w:rsid w:val="00BC6D4C"/>
    <w:rsid w:val="00BC6FE4"/>
    <w:rsid w:val="00BD1D7B"/>
    <w:rsid w:val="00BD30FB"/>
    <w:rsid w:val="00BD3711"/>
    <w:rsid w:val="00BD49CF"/>
    <w:rsid w:val="00BD57FA"/>
    <w:rsid w:val="00BE01F5"/>
    <w:rsid w:val="00BE034F"/>
    <w:rsid w:val="00BE323A"/>
    <w:rsid w:val="00BE577D"/>
    <w:rsid w:val="00BE762C"/>
    <w:rsid w:val="00BE7F0D"/>
    <w:rsid w:val="00BF1723"/>
    <w:rsid w:val="00BF23FF"/>
    <w:rsid w:val="00BF2610"/>
    <w:rsid w:val="00BF2EA4"/>
    <w:rsid w:val="00BF32B8"/>
    <w:rsid w:val="00BF332D"/>
    <w:rsid w:val="00BF40B9"/>
    <w:rsid w:val="00BF6EEB"/>
    <w:rsid w:val="00C00B75"/>
    <w:rsid w:val="00C00F55"/>
    <w:rsid w:val="00C01DCE"/>
    <w:rsid w:val="00C023E0"/>
    <w:rsid w:val="00C02458"/>
    <w:rsid w:val="00C03C2E"/>
    <w:rsid w:val="00C0477B"/>
    <w:rsid w:val="00C04E04"/>
    <w:rsid w:val="00C055B7"/>
    <w:rsid w:val="00C06101"/>
    <w:rsid w:val="00C06BA5"/>
    <w:rsid w:val="00C07CA4"/>
    <w:rsid w:val="00C109FE"/>
    <w:rsid w:val="00C12F73"/>
    <w:rsid w:val="00C1333E"/>
    <w:rsid w:val="00C15EAA"/>
    <w:rsid w:val="00C166B7"/>
    <w:rsid w:val="00C16AAD"/>
    <w:rsid w:val="00C17CEB"/>
    <w:rsid w:val="00C17D38"/>
    <w:rsid w:val="00C20625"/>
    <w:rsid w:val="00C207C2"/>
    <w:rsid w:val="00C231C5"/>
    <w:rsid w:val="00C23744"/>
    <w:rsid w:val="00C24269"/>
    <w:rsid w:val="00C26D65"/>
    <w:rsid w:val="00C2707C"/>
    <w:rsid w:val="00C27B2E"/>
    <w:rsid w:val="00C314E5"/>
    <w:rsid w:val="00C31B65"/>
    <w:rsid w:val="00C31F14"/>
    <w:rsid w:val="00C3413E"/>
    <w:rsid w:val="00C34E2B"/>
    <w:rsid w:val="00C42B5D"/>
    <w:rsid w:val="00C44D4B"/>
    <w:rsid w:val="00C45172"/>
    <w:rsid w:val="00C45F7B"/>
    <w:rsid w:val="00C46939"/>
    <w:rsid w:val="00C46A4A"/>
    <w:rsid w:val="00C46A62"/>
    <w:rsid w:val="00C47B1B"/>
    <w:rsid w:val="00C517CA"/>
    <w:rsid w:val="00C52289"/>
    <w:rsid w:val="00C540EE"/>
    <w:rsid w:val="00C5665A"/>
    <w:rsid w:val="00C570C3"/>
    <w:rsid w:val="00C57C2F"/>
    <w:rsid w:val="00C57D25"/>
    <w:rsid w:val="00C612C0"/>
    <w:rsid w:val="00C6199C"/>
    <w:rsid w:val="00C61B52"/>
    <w:rsid w:val="00C6273D"/>
    <w:rsid w:val="00C62A64"/>
    <w:rsid w:val="00C64456"/>
    <w:rsid w:val="00C65DE1"/>
    <w:rsid w:val="00C660F9"/>
    <w:rsid w:val="00C66949"/>
    <w:rsid w:val="00C70975"/>
    <w:rsid w:val="00C70C26"/>
    <w:rsid w:val="00C71F2C"/>
    <w:rsid w:val="00C722FB"/>
    <w:rsid w:val="00C7263D"/>
    <w:rsid w:val="00C72BDB"/>
    <w:rsid w:val="00C73C1C"/>
    <w:rsid w:val="00C73DA1"/>
    <w:rsid w:val="00C742A2"/>
    <w:rsid w:val="00C74AAD"/>
    <w:rsid w:val="00C74D81"/>
    <w:rsid w:val="00C761B5"/>
    <w:rsid w:val="00C76BBC"/>
    <w:rsid w:val="00C76F36"/>
    <w:rsid w:val="00C77295"/>
    <w:rsid w:val="00C802B1"/>
    <w:rsid w:val="00C80C0B"/>
    <w:rsid w:val="00C82B4E"/>
    <w:rsid w:val="00C83AE9"/>
    <w:rsid w:val="00C84965"/>
    <w:rsid w:val="00C84AB9"/>
    <w:rsid w:val="00C8512D"/>
    <w:rsid w:val="00C90407"/>
    <w:rsid w:val="00C914A5"/>
    <w:rsid w:val="00C914ED"/>
    <w:rsid w:val="00C92FFD"/>
    <w:rsid w:val="00C946C4"/>
    <w:rsid w:val="00C94995"/>
    <w:rsid w:val="00C96D9D"/>
    <w:rsid w:val="00C97D21"/>
    <w:rsid w:val="00CA015B"/>
    <w:rsid w:val="00CA09DC"/>
    <w:rsid w:val="00CA1999"/>
    <w:rsid w:val="00CA2655"/>
    <w:rsid w:val="00CA3601"/>
    <w:rsid w:val="00CA409E"/>
    <w:rsid w:val="00CA6BEC"/>
    <w:rsid w:val="00CA7DAD"/>
    <w:rsid w:val="00CA7DE0"/>
    <w:rsid w:val="00CB092E"/>
    <w:rsid w:val="00CB0C6E"/>
    <w:rsid w:val="00CB18EA"/>
    <w:rsid w:val="00CB1AC8"/>
    <w:rsid w:val="00CB23E7"/>
    <w:rsid w:val="00CB2417"/>
    <w:rsid w:val="00CB36A8"/>
    <w:rsid w:val="00CB45E3"/>
    <w:rsid w:val="00CB7200"/>
    <w:rsid w:val="00CB7A5E"/>
    <w:rsid w:val="00CC17A1"/>
    <w:rsid w:val="00CC2894"/>
    <w:rsid w:val="00CC30EF"/>
    <w:rsid w:val="00CC332A"/>
    <w:rsid w:val="00CC5071"/>
    <w:rsid w:val="00CC6902"/>
    <w:rsid w:val="00CC69F9"/>
    <w:rsid w:val="00CD32B3"/>
    <w:rsid w:val="00CD7637"/>
    <w:rsid w:val="00CD791E"/>
    <w:rsid w:val="00CD7E0B"/>
    <w:rsid w:val="00CE0DC9"/>
    <w:rsid w:val="00CE1671"/>
    <w:rsid w:val="00CE3A23"/>
    <w:rsid w:val="00CE5207"/>
    <w:rsid w:val="00CE680D"/>
    <w:rsid w:val="00CE7794"/>
    <w:rsid w:val="00CF1590"/>
    <w:rsid w:val="00CF222E"/>
    <w:rsid w:val="00CF2DE2"/>
    <w:rsid w:val="00CF6227"/>
    <w:rsid w:val="00CF69EE"/>
    <w:rsid w:val="00D00E34"/>
    <w:rsid w:val="00D0192B"/>
    <w:rsid w:val="00D0223B"/>
    <w:rsid w:val="00D03731"/>
    <w:rsid w:val="00D03AFC"/>
    <w:rsid w:val="00D042D1"/>
    <w:rsid w:val="00D10C38"/>
    <w:rsid w:val="00D1222C"/>
    <w:rsid w:val="00D12EDB"/>
    <w:rsid w:val="00D13FF9"/>
    <w:rsid w:val="00D14A2A"/>
    <w:rsid w:val="00D158DA"/>
    <w:rsid w:val="00D178A0"/>
    <w:rsid w:val="00D17CE9"/>
    <w:rsid w:val="00D20074"/>
    <w:rsid w:val="00D215CB"/>
    <w:rsid w:val="00D2165C"/>
    <w:rsid w:val="00D21756"/>
    <w:rsid w:val="00D21AC1"/>
    <w:rsid w:val="00D21EE2"/>
    <w:rsid w:val="00D22BFE"/>
    <w:rsid w:val="00D2330D"/>
    <w:rsid w:val="00D2718C"/>
    <w:rsid w:val="00D27C19"/>
    <w:rsid w:val="00D32005"/>
    <w:rsid w:val="00D342FE"/>
    <w:rsid w:val="00D34FFB"/>
    <w:rsid w:val="00D361F2"/>
    <w:rsid w:val="00D3635A"/>
    <w:rsid w:val="00D37E8B"/>
    <w:rsid w:val="00D421DB"/>
    <w:rsid w:val="00D42693"/>
    <w:rsid w:val="00D44027"/>
    <w:rsid w:val="00D4525D"/>
    <w:rsid w:val="00D46E64"/>
    <w:rsid w:val="00D4712C"/>
    <w:rsid w:val="00D516E1"/>
    <w:rsid w:val="00D51C24"/>
    <w:rsid w:val="00D527ED"/>
    <w:rsid w:val="00D54296"/>
    <w:rsid w:val="00D54A69"/>
    <w:rsid w:val="00D5683F"/>
    <w:rsid w:val="00D5689A"/>
    <w:rsid w:val="00D56AC5"/>
    <w:rsid w:val="00D573EC"/>
    <w:rsid w:val="00D5775E"/>
    <w:rsid w:val="00D61FE1"/>
    <w:rsid w:val="00D62BAE"/>
    <w:rsid w:val="00D63068"/>
    <w:rsid w:val="00D637DF"/>
    <w:rsid w:val="00D63C1B"/>
    <w:rsid w:val="00D65360"/>
    <w:rsid w:val="00D702F1"/>
    <w:rsid w:val="00D70461"/>
    <w:rsid w:val="00D70882"/>
    <w:rsid w:val="00D70E0B"/>
    <w:rsid w:val="00D723DC"/>
    <w:rsid w:val="00D74DED"/>
    <w:rsid w:val="00D7634A"/>
    <w:rsid w:val="00D802EF"/>
    <w:rsid w:val="00D80C5B"/>
    <w:rsid w:val="00D80CB3"/>
    <w:rsid w:val="00D817D4"/>
    <w:rsid w:val="00D81F23"/>
    <w:rsid w:val="00D8677A"/>
    <w:rsid w:val="00D86F66"/>
    <w:rsid w:val="00D92D74"/>
    <w:rsid w:val="00D94AB0"/>
    <w:rsid w:val="00D95B5C"/>
    <w:rsid w:val="00D96467"/>
    <w:rsid w:val="00D9714F"/>
    <w:rsid w:val="00D97DE4"/>
    <w:rsid w:val="00DA0E8E"/>
    <w:rsid w:val="00DA0ED2"/>
    <w:rsid w:val="00DA14EF"/>
    <w:rsid w:val="00DA17AA"/>
    <w:rsid w:val="00DA2DB8"/>
    <w:rsid w:val="00DA4D2F"/>
    <w:rsid w:val="00DA5CFE"/>
    <w:rsid w:val="00DA7719"/>
    <w:rsid w:val="00DB05F5"/>
    <w:rsid w:val="00DB196D"/>
    <w:rsid w:val="00DB38BE"/>
    <w:rsid w:val="00DB4D46"/>
    <w:rsid w:val="00DB4E61"/>
    <w:rsid w:val="00DC26A2"/>
    <w:rsid w:val="00DC2EDA"/>
    <w:rsid w:val="00DC3CF9"/>
    <w:rsid w:val="00DC41A2"/>
    <w:rsid w:val="00DC4BE6"/>
    <w:rsid w:val="00DC5294"/>
    <w:rsid w:val="00DC56C0"/>
    <w:rsid w:val="00DC5E8E"/>
    <w:rsid w:val="00DD027B"/>
    <w:rsid w:val="00DD18F3"/>
    <w:rsid w:val="00DD1F83"/>
    <w:rsid w:val="00DD215C"/>
    <w:rsid w:val="00DD3CFC"/>
    <w:rsid w:val="00DD697A"/>
    <w:rsid w:val="00DD7B88"/>
    <w:rsid w:val="00DE05F3"/>
    <w:rsid w:val="00DE24CF"/>
    <w:rsid w:val="00DE4E1A"/>
    <w:rsid w:val="00DE580A"/>
    <w:rsid w:val="00DE61F7"/>
    <w:rsid w:val="00DE7D4F"/>
    <w:rsid w:val="00DF00C3"/>
    <w:rsid w:val="00DF1154"/>
    <w:rsid w:val="00DF1847"/>
    <w:rsid w:val="00DF3404"/>
    <w:rsid w:val="00DF4141"/>
    <w:rsid w:val="00DF491E"/>
    <w:rsid w:val="00DF5004"/>
    <w:rsid w:val="00DF50A3"/>
    <w:rsid w:val="00DF7008"/>
    <w:rsid w:val="00DF7280"/>
    <w:rsid w:val="00DF7C26"/>
    <w:rsid w:val="00DF7C4E"/>
    <w:rsid w:val="00E00121"/>
    <w:rsid w:val="00E0012A"/>
    <w:rsid w:val="00E00820"/>
    <w:rsid w:val="00E05F7C"/>
    <w:rsid w:val="00E07E2D"/>
    <w:rsid w:val="00E12DC4"/>
    <w:rsid w:val="00E13150"/>
    <w:rsid w:val="00E13D3A"/>
    <w:rsid w:val="00E177D4"/>
    <w:rsid w:val="00E1783F"/>
    <w:rsid w:val="00E2008F"/>
    <w:rsid w:val="00E217CD"/>
    <w:rsid w:val="00E21FFF"/>
    <w:rsid w:val="00E229AC"/>
    <w:rsid w:val="00E230D8"/>
    <w:rsid w:val="00E250F1"/>
    <w:rsid w:val="00E26DBE"/>
    <w:rsid w:val="00E277D7"/>
    <w:rsid w:val="00E300E2"/>
    <w:rsid w:val="00E316A3"/>
    <w:rsid w:val="00E33F77"/>
    <w:rsid w:val="00E37535"/>
    <w:rsid w:val="00E40302"/>
    <w:rsid w:val="00E40C84"/>
    <w:rsid w:val="00E42D0C"/>
    <w:rsid w:val="00E430D4"/>
    <w:rsid w:val="00E43E84"/>
    <w:rsid w:val="00E44BBD"/>
    <w:rsid w:val="00E45127"/>
    <w:rsid w:val="00E46545"/>
    <w:rsid w:val="00E50789"/>
    <w:rsid w:val="00E51B1B"/>
    <w:rsid w:val="00E51DD9"/>
    <w:rsid w:val="00E52AEC"/>
    <w:rsid w:val="00E53051"/>
    <w:rsid w:val="00E54117"/>
    <w:rsid w:val="00E5420F"/>
    <w:rsid w:val="00E54741"/>
    <w:rsid w:val="00E56040"/>
    <w:rsid w:val="00E566F8"/>
    <w:rsid w:val="00E5680F"/>
    <w:rsid w:val="00E56F0D"/>
    <w:rsid w:val="00E57CA5"/>
    <w:rsid w:val="00E60532"/>
    <w:rsid w:val="00E62780"/>
    <w:rsid w:val="00E63725"/>
    <w:rsid w:val="00E644F5"/>
    <w:rsid w:val="00E70F62"/>
    <w:rsid w:val="00E71B18"/>
    <w:rsid w:val="00E71B20"/>
    <w:rsid w:val="00E72201"/>
    <w:rsid w:val="00E724C3"/>
    <w:rsid w:val="00E726A5"/>
    <w:rsid w:val="00E73F87"/>
    <w:rsid w:val="00E8110E"/>
    <w:rsid w:val="00E81755"/>
    <w:rsid w:val="00E85685"/>
    <w:rsid w:val="00E87E3E"/>
    <w:rsid w:val="00E901EE"/>
    <w:rsid w:val="00E90AD4"/>
    <w:rsid w:val="00E917DB"/>
    <w:rsid w:val="00E9224A"/>
    <w:rsid w:val="00E92D08"/>
    <w:rsid w:val="00E9338B"/>
    <w:rsid w:val="00E95542"/>
    <w:rsid w:val="00E95B20"/>
    <w:rsid w:val="00E97A69"/>
    <w:rsid w:val="00EA127E"/>
    <w:rsid w:val="00EA1874"/>
    <w:rsid w:val="00EA31BB"/>
    <w:rsid w:val="00EA48B6"/>
    <w:rsid w:val="00EA7AD1"/>
    <w:rsid w:val="00EB13E8"/>
    <w:rsid w:val="00EB2AF9"/>
    <w:rsid w:val="00EB397A"/>
    <w:rsid w:val="00EB6C9A"/>
    <w:rsid w:val="00EB74AF"/>
    <w:rsid w:val="00EC22FB"/>
    <w:rsid w:val="00EC255A"/>
    <w:rsid w:val="00EC27A3"/>
    <w:rsid w:val="00EC32A7"/>
    <w:rsid w:val="00EC37D6"/>
    <w:rsid w:val="00EC4C20"/>
    <w:rsid w:val="00EC7F2B"/>
    <w:rsid w:val="00ED0F96"/>
    <w:rsid w:val="00ED108F"/>
    <w:rsid w:val="00ED418D"/>
    <w:rsid w:val="00ED5A6C"/>
    <w:rsid w:val="00ED6CA3"/>
    <w:rsid w:val="00ED7459"/>
    <w:rsid w:val="00ED7528"/>
    <w:rsid w:val="00EE277C"/>
    <w:rsid w:val="00EE35CB"/>
    <w:rsid w:val="00EE42D1"/>
    <w:rsid w:val="00EE6CAB"/>
    <w:rsid w:val="00EE70A2"/>
    <w:rsid w:val="00EF188F"/>
    <w:rsid w:val="00EF1FCB"/>
    <w:rsid w:val="00EF437C"/>
    <w:rsid w:val="00EF7963"/>
    <w:rsid w:val="00F002AD"/>
    <w:rsid w:val="00F00C1E"/>
    <w:rsid w:val="00F01723"/>
    <w:rsid w:val="00F03AFC"/>
    <w:rsid w:val="00F066BF"/>
    <w:rsid w:val="00F07734"/>
    <w:rsid w:val="00F078AB"/>
    <w:rsid w:val="00F103E8"/>
    <w:rsid w:val="00F11C04"/>
    <w:rsid w:val="00F13049"/>
    <w:rsid w:val="00F13779"/>
    <w:rsid w:val="00F14D91"/>
    <w:rsid w:val="00F16782"/>
    <w:rsid w:val="00F16B72"/>
    <w:rsid w:val="00F16E8F"/>
    <w:rsid w:val="00F16F15"/>
    <w:rsid w:val="00F17CBA"/>
    <w:rsid w:val="00F17DA1"/>
    <w:rsid w:val="00F17F97"/>
    <w:rsid w:val="00F20961"/>
    <w:rsid w:val="00F20D44"/>
    <w:rsid w:val="00F225D3"/>
    <w:rsid w:val="00F22C27"/>
    <w:rsid w:val="00F22C65"/>
    <w:rsid w:val="00F234F4"/>
    <w:rsid w:val="00F2398E"/>
    <w:rsid w:val="00F23E8D"/>
    <w:rsid w:val="00F252DA"/>
    <w:rsid w:val="00F2534E"/>
    <w:rsid w:val="00F271B8"/>
    <w:rsid w:val="00F27D25"/>
    <w:rsid w:val="00F3001E"/>
    <w:rsid w:val="00F3004D"/>
    <w:rsid w:val="00F304B3"/>
    <w:rsid w:val="00F30B2E"/>
    <w:rsid w:val="00F320B8"/>
    <w:rsid w:val="00F3226D"/>
    <w:rsid w:val="00F32F7C"/>
    <w:rsid w:val="00F33152"/>
    <w:rsid w:val="00F33330"/>
    <w:rsid w:val="00F33542"/>
    <w:rsid w:val="00F350E9"/>
    <w:rsid w:val="00F37CF4"/>
    <w:rsid w:val="00F400CC"/>
    <w:rsid w:val="00F40C09"/>
    <w:rsid w:val="00F4243D"/>
    <w:rsid w:val="00F441EE"/>
    <w:rsid w:val="00F4517B"/>
    <w:rsid w:val="00F46B9D"/>
    <w:rsid w:val="00F47B55"/>
    <w:rsid w:val="00F50499"/>
    <w:rsid w:val="00F50E66"/>
    <w:rsid w:val="00F518F5"/>
    <w:rsid w:val="00F52761"/>
    <w:rsid w:val="00F532F9"/>
    <w:rsid w:val="00F54C2F"/>
    <w:rsid w:val="00F55FC5"/>
    <w:rsid w:val="00F60482"/>
    <w:rsid w:val="00F60CC8"/>
    <w:rsid w:val="00F629CA"/>
    <w:rsid w:val="00F62EF6"/>
    <w:rsid w:val="00F63311"/>
    <w:rsid w:val="00F63427"/>
    <w:rsid w:val="00F6480E"/>
    <w:rsid w:val="00F64DD2"/>
    <w:rsid w:val="00F65C5A"/>
    <w:rsid w:val="00F66DD8"/>
    <w:rsid w:val="00F67F2C"/>
    <w:rsid w:val="00F70961"/>
    <w:rsid w:val="00F7319E"/>
    <w:rsid w:val="00F739A4"/>
    <w:rsid w:val="00F748BE"/>
    <w:rsid w:val="00F7618E"/>
    <w:rsid w:val="00F774FF"/>
    <w:rsid w:val="00F8048D"/>
    <w:rsid w:val="00F8155E"/>
    <w:rsid w:val="00F820EB"/>
    <w:rsid w:val="00F827AB"/>
    <w:rsid w:val="00F835A5"/>
    <w:rsid w:val="00F8402D"/>
    <w:rsid w:val="00F86CC3"/>
    <w:rsid w:val="00F90B0A"/>
    <w:rsid w:val="00F91046"/>
    <w:rsid w:val="00F91776"/>
    <w:rsid w:val="00F9184E"/>
    <w:rsid w:val="00F92D0F"/>
    <w:rsid w:val="00F92E89"/>
    <w:rsid w:val="00F93684"/>
    <w:rsid w:val="00F93B99"/>
    <w:rsid w:val="00F943AC"/>
    <w:rsid w:val="00F95A7C"/>
    <w:rsid w:val="00F95AAE"/>
    <w:rsid w:val="00F97E21"/>
    <w:rsid w:val="00FA0F78"/>
    <w:rsid w:val="00FA230B"/>
    <w:rsid w:val="00FA25B8"/>
    <w:rsid w:val="00FA2941"/>
    <w:rsid w:val="00FA2AB0"/>
    <w:rsid w:val="00FA34C6"/>
    <w:rsid w:val="00FA7ADF"/>
    <w:rsid w:val="00FB13EF"/>
    <w:rsid w:val="00FB16D8"/>
    <w:rsid w:val="00FB19B8"/>
    <w:rsid w:val="00FB2584"/>
    <w:rsid w:val="00FB25AD"/>
    <w:rsid w:val="00FB2CE9"/>
    <w:rsid w:val="00FB2FEC"/>
    <w:rsid w:val="00FB35BA"/>
    <w:rsid w:val="00FB3BC5"/>
    <w:rsid w:val="00FB5763"/>
    <w:rsid w:val="00FB69B0"/>
    <w:rsid w:val="00FB73A3"/>
    <w:rsid w:val="00FB7A40"/>
    <w:rsid w:val="00FB7CF2"/>
    <w:rsid w:val="00FC0D20"/>
    <w:rsid w:val="00FC1099"/>
    <w:rsid w:val="00FC153E"/>
    <w:rsid w:val="00FC2C54"/>
    <w:rsid w:val="00FC4281"/>
    <w:rsid w:val="00FC5F4F"/>
    <w:rsid w:val="00FC6265"/>
    <w:rsid w:val="00FC6DB1"/>
    <w:rsid w:val="00FC756E"/>
    <w:rsid w:val="00FD16E5"/>
    <w:rsid w:val="00FD3020"/>
    <w:rsid w:val="00FD54BC"/>
    <w:rsid w:val="00FD60FA"/>
    <w:rsid w:val="00FD6315"/>
    <w:rsid w:val="00FD6D02"/>
    <w:rsid w:val="00FE1E92"/>
    <w:rsid w:val="00FE49B3"/>
    <w:rsid w:val="00FE5211"/>
    <w:rsid w:val="00FE5FC3"/>
    <w:rsid w:val="00FE6288"/>
    <w:rsid w:val="00FE67EB"/>
    <w:rsid w:val="00FE71BB"/>
    <w:rsid w:val="00FE7A33"/>
    <w:rsid w:val="00FF15AA"/>
    <w:rsid w:val="00FF1E33"/>
    <w:rsid w:val="00FF2291"/>
    <w:rsid w:val="00FF28CA"/>
    <w:rsid w:val="00FF3C18"/>
    <w:rsid w:val="00FF4156"/>
    <w:rsid w:val="47F43310"/>
    <w:rsid w:val="7B2D3022"/>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39" w:semiHidden="0" w:name="toc 1"/>
    <w:lsdException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kern w:val="2"/>
      <w:sz w:val="21"/>
      <w:szCs w:val="24"/>
      <w:lang w:val="en-US" w:eastAsia="zh-CN" w:bidi="ar-SA"/>
    </w:rPr>
  </w:style>
  <w:style w:type="paragraph" w:styleId="2">
    <w:name w:val="heading 1"/>
    <w:basedOn w:val="1"/>
    <w:next w:val="1"/>
    <w:qFormat/>
    <w:uiPriority w:val="0"/>
    <w:pPr>
      <w:keepNext/>
      <w:keepLines/>
      <w:spacing w:before="480" w:after="240"/>
      <w:jc w:val="center"/>
      <w:outlineLvl w:val="0"/>
    </w:pPr>
    <w:rPr>
      <w:rFonts w:ascii="黑体" w:hAnsi="宋体" w:eastAsia="黑体"/>
      <w:b/>
      <w:bCs/>
      <w:kern w:val="44"/>
      <w:sz w:val="34"/>
      <w:szCs w:val="44"/>
    </w:rPr>
  </w:style>
  <w:style w:type="paragraph" w:styleId="3">
    <w:name w:val="heading 2"/>
    <w:basedOn w:val="1"/>
    <w:next w:val="1"/>
    <w:link w:val="21"/>
    <w:qFormat/>
    <w:uiPriority w:val="99"/>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26"/>
    <w:qFormat/>
    <w:uiPriority w:val="0"/>
    <w:pPr>
      <w:keepNext/>
      <w:keepLines/>
      <w:spacing w:before="260" w:after="260" w:line="416" w:lineRule="auto"/>
      <w:outlineLvl w:val="2"/>
    </w:pPr>
    <w:rPr>
      <w:b/>
      <w:bCs/>
      <w:sz w:val="32"/>
      <w:szCs w:val="32"/>
    </w:rPr>
  </w:style>
  <w:style w:type="character" w:default="1" w:styleId="18">
    <w:name w:val="Default Paragraph Font"/>
    <w:semiHidden/>
    <w:uiPriority w:val="0"/>
  </w:style>
  <w:style w:type="table" w:default="1" w:styleId="16">
    <w:name w:val="Normal Table"/>
    <w:semiHidden/>
    <w:uiPriority w:val="0"/>
    <w:tblPr>
      <w:tblStyle w:val="16"/>
      <w:tblCellMar>
        <w:top w:w="0" w:type="dxa"/>
        <w:left w:w="108" w:type="dxa"/>
        <w:bottom w:w="0" w:type="dxa"/>
        <w:right w:w="108" w:type="dxa"/>
      </w:tblCellMar>
    </w:tblPr>
    <w:trPr>
      <w:wBefore w:w="0" w:type="dxa"/>
    </w:trPr>
  </w:style>
  <w:style w:type="paragraph" w:styleId="5">
    <w:name w:val="Body Text Indent"/>
    <w:basedOn w:val="1"/>
    <w:uiPriority w:val="0"/>
    <w:pPr>
      <w:spacing w:line="720" w:lineRule="exact"/>
      <w:ind w:firstLine="558" w:firstLineChars="200"/>
    </w:pPr>
    <w:rPr>
      <w:rFonts w:ascii="宋体" w:hAnsi="宋体"/>
      <w:sz w:val="30"/>
    </w:rPr>
  </w:style>
  <w:style w:type="paragraph" w:styleId="6">
    <w:name w:val="toc 3"/>
    <w:basedOn w:val="1"/>
    <w:next w:val="1"/>
    <w:uiPriority w:val="0"/>
    <w:pPr>
      <w:ind w:left="840" w:leftChars="400"/>
    </w:pPr>
  </w:style>
  <w:style w:type="paragraph" w:styleId="7">
    <w:name w:val="Plain Text"/>
    <w:basedOn w:val="1"/>
    <w:uiPriority w:val="0"/>
    <w:rPr>
      <w:rFonts w:ascii="宋体" w:hAnsi="Courier New" w:cs="Courier New"/>
      <w:szCs w:val="21"/>
    </w:rPr>
  </w:style>
  <w:style w:type="paragraph" w:styleId="8">
    <w:name w:val="Body Text Indent 2"/>
    <w:basedOn w:val="1"/>
    <w:uiPriority w:val="0"/>
    <w:pPr>
      <w:spacing w:after="120" w:line="480" w:lineRule="auto"/>
      <w:ind w:left="420" w:leftChars="200"/>
    </w:pPr>
  </w:style>
  <w:style w:type="paragraph" w:styleId="9">
    <w:name w:val="Balloon Text"/>
    <w:basedOn w:val="1"/>
    <w:link w:val="27"/>
    <w:uiPriority w:val="0"/>
    <w:rPr>
      <w:sz w:val="18"/>
      <w:szCs w:val="18"/>
    </w:rPr>
  </w:style>
  <w:style w:type="paragraph" w:styleId="10">
    <w:name w:val="footer"/>
    <w:basedOn w:val="1"/>
    <w:uiPriority w:val="0"/>
    <w:pPr>
      <w:tabs>
        <w:tab w:val="center" w:pos="4153"/>
        <w:tab w:val="right" w:pos="8306"/>
      </w:tabs>
      <w:snapToGrid w:val="0"/>
      <w:jc w:val="left"/>
    </w:pPr>
    <w:rPr>
      <w:sz w:val="18"/>
      <w:szCs w:val="18"/>
    </w:rPr>
  </w:style>
  <w:style w:type="paragraph" w:styleId="11">
    <w:name w:val="header"/>
    <w:basedOn w:val="1"/>
    <w:uiPriority w:val="0"/>
    <w:pPr>
      <w:pBdr>
        <w:bottom w:val="single" w:color="auto" w:sz="6" w:space="1"/>
      </w:pBdr>
      <w:tabs>
        <w:tab w:val="center" w:pos="4153"/>
        <w:tab w:val="right" w:pos="8306"/>
      </w:tabs>
      <w:snapToGrid w:val="0"/>
      <w:jc w:val="center"/>
    </w:pPr>
    <w:rPr>
      <w:sz w:val="18"/>
      <w:szCs w:val="18"/>
    </w:rPr>
  </w:style>
  <w:style w:type="paragraph" w:styleId="12">
    <w:name w:val="toc 1"/>
    <w:basedOn w:val="1"/>
    <w:next w:val="1"/>
    <w:uiPriority w:val="39"/>
  </w:style>
  <w:style w:type="paragraph" w:styleId="13">
    <w:name w:val="Body Text Indent 3"/>
    <w:basedOn w:val="1"/>
    <w:uiPriority w:val="0"/>
    <w:pPr>
      <w:spacing w:line="720" w:lineRule="exact"/>
      <w:ind w:firstLine="560" w:firstLineChars="200"/>
    </w:pPr>
    <w:rPr>
      <w:rFonts w:ascii="宋体" w:hAnsi="宋体"/>
      <w:b/>
      <w:bCs/>
      <w:i/>
      <w:iCs/>
      <w:sz w:val="30"/>
    </w:rPr>
  </w:style>
  <w:style w:type="paragraph" w:styleId="14">
    <w:name w:val="toc 2"/>
    <w:basedOn w:val="1"/>
    <w:next w:val="1"/>
    <w:uiPriority w:val="39"/>
    <w:pPr>
      <w:tabs>
        <w:tab w:val="right" w:leader="dot" w:pos="10054"/>
      </w:tabs>
      <w:spacing w:line="880" w:lineRule="exact"/>
    </w:pPr>
    <w:rPr>
      <w:rFonts w:ascii="宋体" w:hAnsi="宋体"/>
      <w:b/>
      <w:sz w:val="30"/>
      <w:szCs w:val="30"/>
      <w:lang/>
    </w:rPr>
  </w:style>
  <w:style w:type="paragraph" w:styleId="15">
    <w:name w:val="Normal (Web)"/>
    <w:basedOn w:val="1"/>
    <w:uiPriority w:val="0"/>
    <w:pPr>
      <w:widowControl/>
      <w:spacing w:before="100" w:beforeAutospacing="1" w:after="100" w:afterAutospacing="1"/>
      <w:jc w:val="left"/>
    </w:pPr>
    <w:rPr>
      <w:rFonts w:ascii="宋体" w:hAnsi="宋体" w:cs="宋体"/>
      <w:color w:val="000000"/>
      <w:kern w:val="0"/>
      <w:sz w:val="18"/>
      <w:szCs w:val="18"/>
    </w:rPr>
  </w:style>
  <w:style w:type="table" w:styleId="17">
    <w:name w:val="Table Grid"/>
    <w:basedOn w:val="16"/>
    <w:uiPriority w:val="0"/>
    <w:pPr>
      <w:widowControl w:val="0"/>
      <w:jc w:val="both"/>
    </w:pPr>
    <w:tblPr>
      <w:tblStyle w:val="16"/>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page number"/>
    <w:basedOn w:val="18"/>
    <w:uiPriority w:val="0"/>
  </w:style>
  <w:style w:type="character" w:styleId="20">
    <w:name w:val="Hyperlink"/>
    <w:uiPriority w:val="0"/>
    <w:rPr>
      <w:color w:val="0000FF"/>
      <w:u w:val="single"/>
    </w:rPr>
  </w:style>
  <w:style w:type="character" w:customStyle="1" w:styleId="21">
    <w:name w:val="标题 2 Char"/>
    <w:link w:val="3"/>
    <w:uiPriority w:val="99"/>
    <w:rPr>
      <w:rFonts w:ascii="Arial" w:hAnsi="Arial" w:eastAsia="黑体"/>
      <w:b/>
      <w:bCs/>
      <w:kern w:val="2"/>
      <w:sz w:val="32"/>
      <w:szCs w:val="32"/>
      <w:lang w:val="en-US" w:eastAsia="zh-CN" w:bidi="ar-SA"/>
    </w:rPr>
  </w:style>
  <w:style w:type="character" w:customStyle="1" w:styleId="22">
    <w:name w:val="ca-11"/>
    <w:uiPriority w:val="0"/>
    <w:rPr>
      <w:rFonts w:hint="eastAsia" w:ascii="仿宋_GB2312" w:eastAsia="仿宋_GB2312"/>
      <w:sz w:val="32"/>
      <w:szCs w:val="32"/>
    </w:rPr>
  </w:style>
  <w:style w:type="paragraph" w:customStyle="1" w:styleId="23">
    <w:name w:val="nilo_正文"/>
    <w:basedOn w:val="1"/>
    <w:link w:val="24"/>
    <w:uiPriority w:val="0"/>
    <w:pPr>
      <w:spacing w:line="300" w:lineRule="auto"/>
    </w:pPr>
    <w:rPr>
      <w:szCs w:val="21"/>
    </w:rPr>
  </w:style>
  <w:style w:type="character" w:customStyle="1" w:styleId="24">
    <w:name w:val="nilo_正文 Char"/>
    <w:link w:val="23"/>
    <w:uiPriority w:val="0"/>
    <w:rPr>
      <w:kern w:val="2"/>
      <w:sz w:val="21"/>
      <w:szCs w:val="21"/>
    </w:rPr>
  </w:style>
  <w:style w:type="paragraph" w:customStyle="1" w:styleId="25">
    <w:name w:val="nilo_标题1"/>
    <w:basedOn w:val="1"/>
    <w:uiPriority w:val="0"/>
    <w:pPr>
      <w:numPr>
        <w:ilvl w:val="1"/>
        <w:numId w:val="1"/>
      </w:numPr>
      <w:adjustRightInd w:val="0"/>
      <w:jc w:val="left"/>
    </w:pPr>
    <w:rPr>
      <w:rFonts w:eastAsia="黑体"/>
      <w:b/>
      <w:sz w:val="28"/>
      <w:szCs w:val="28"/>
    </w:rPr>
  </w:style>
  <w:style w:type="character" w:customStyle="1" w:styleId="26">
    <w:name w:val="标题 3 Char1"/>
    <w:aliases w:val="标题 3 Char Char Char Char Char,标题 3 Char Char1,style3 Char1,huibian_标题 3 Char,标题 3 Char Char Char1,标题 31 Char1,h3 Char1,Heading3 Char1,Section Char1,Re Char1,?? 31 Char1,标题 3 Char Char Char Char1,标题 31 Char Char,h3 Char Char,Heading3 Char Char"/>
    <w:link w:val="4"/>
    <w:semiHidden/>
    <w:uiPriority w:val="0"/>
    <w:rPr>
      <w:b/>
      <w:bCs/>
      <w:kern w:val="2"/>
      <w:sz w:val="32"/>
      <w:szCs w:val="32"/>
    </w:rPr>
  </w:style>
  <w:style w:type="character" w:customStyle="1" w:styleId="27">
    <w:name w:val="批注框文本 Char"/>
    <w:link w:val="9"/>
    <w:uiPriority w:val="0"/>
    <w:rPr>
      <w:kern w:val="2"/>
      <w:sz w:val="18"/>
      <w:szCs w:val="18"/>
    </w:rPr>
  </w:style>
  <w:style w:type="paragraph" w:customStyle="1" w:styleId="28">
    <w:name w:val="Default"/>
    <w:uiPriority w:val="0"/>
    <w:pPr>
      <w:widowControl w:val="0"/>
      <w:autoSpaceDE w:val="0"/>
      <w:autoSpaceDN w:val="0"/>
      <w:adjustRightInd w:val="0"/>
    </w:pPr>
    <w:rPr>
      <w:rFonts w:ascii="华文细黑" w:eastAsia="华文细黑" w:cs="华文细黑"/>
      <w:color w:val="000000"/>
      <w:sz w:val="24"/>
      <w:szCs w:val="24"/>
      <w:lang w:val="en-US" w:eastAsia="zh-CN" w:bidi="ar-SA"/>
    </w:rPr>
  </w:style>
  <w:style w:type="paragraph" w:styleId="29">
    <w:name w:val="List Paragraph"/>
    <w:basedOn w:val="1"/>
    <w:qFormat/>
    <w:uiPriority w:val="0"/>
    <w:pPr>
      <w:ind w:firstLine="420" w:firstLineChars="200"/>
    </w:pPr>
  </w:style>
  <w:style w:type="paragraph" w:customStyle="1" w:styleId="30">
    <w:name w:val="tj说明书-正文"/>
    <w:link w:val="31"/>
    <w:uiPriority w:val="0"/>
    <w:pPr>
      <w:spacing w:line="360" w:lineRule="auto"/>
      <w:ind w:firstLine="200" w:firstLineChars="200"/>
    </w:pPr>
    <w:rPr>
      <w:rFonts w:ascii="宋体" w:hAnsi="宋体"/>
      <w:kern w:val="2"/>
      <w:sz w:val="21"/>
      <w:lang w:val="en-US" w:eastAsia="zh-CN" w:bidi="ar-SA"/>
    </w:rPr>
  </w:style>
  <w:style w:type="character" w:customStyle="1" w:styleId="31">
    <w:name w:val="tj说明书-正文 Char Char"/>
    <w:link w:val="30"/>
    <w:uiPriority w:val="0"/>
    <w:rPr>
      <w:rFonts w:ascii="宋体" w:hAnsi="宋体"/>
      <w:kern w:val="2"/>
      <w:sz w:val="21"/>
      <w:lang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image" Target="media/image1.jpe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 China</Company>
  <Pages>15</Pages>
  <Words>1343</Words>
  <Characters>1462</Characters>
  <Lines>67</Lines>
  <Paragraphs>19</Paragraphs>
  <TotalTime>1</TotalTime>
  <ScaleCrop>false</ScaleCrop>
  <LinksUpToDate>false</LinksUpToDate>
  <CharactersWithSpaces>2002</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2017-06-05T16:20:00Z</dcterms:created>
  <dc:creator>LJ</dc:creator>
  <cp:lastModifiedBy>沈倦</cp:lastModifiedBy>
  <cp:lastPrinted>2013-05-15T02:45:00Z</cp:lastPrinted>
  <dcterms:modified xsi:type="dcterms:W3CDTF">2026-02-09T03:15:17Z</dcterms:modified>
  <dc:title>编制单位：乐山市城乡规划设计院</dc:title>
  <cp:revision>284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eyJoZGlkIjoiMmU5ZWY0ZDg1ZDNmMWMyZmU1ZDVmNmNhOWIwNjA1MGQiLCJ1c2VySWQiOiI2MDY3NTAwNDEifQ==</vt:lpwstr>
  </property>
  <property fmtid="{D5CDD505-2E9C-101B-9397-08002B2CF9AE}" pid="3" name="KSOProductBuildVer">
    <vt:lpwstr>2052-12.1.0.24657</vt:lpwstr>
  </property>
  <property fmtid="{D5CDD505-2E9C-101B-9397-08002B2CF9AE}" pid="4" name="ICV">
    <vt:lpwstr>F92F963D9ABD4C0CBEE44B9525149469_13</vt:lpwstr>
  </property>
</Properties>
</file>