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0F715">
      <w:pPr>
        <w:jc w:val="center"/>
        <w:rPr>
          <w:rFonts w:hint="eastAsia" w:ascii="黑体" w:hAnsi="黑体" w:eastAsia="黑体"/>
          <w:w w:val="120"/>
          <w:sz w:val="84"/>
          <w:szCs w:val="84"/>
        </w:rPr>
      </w:pPr>
      <w:bookmarkStart w:id="0" w:name="_Toc325644041"/>
      <w:bookmarkStart w:id="1" w:name="_Toc325643817"/>
      <w:bookmarkStart w:id="2" w:name="_Toc225739896"/>
      <w:bookmarkStart w:id="3" w:name="_Toc227485495"/>
      <w:bookmarkStart w:id="4" w:name="_Toc226152048"/>
      <w:bookmarkStart w:id="5" w:name="_Toc227579099"/>
      <w:bookmarkStart w:id="6" w:name="_Toc225740063"/>
      <w:bookmarkStart w:id="7" w:name="_Toc227662540"/>
      <w:bookmarkStart w:id="8" w:name="_Toc279568021"/>
      <w:bookmarkStart w:id="9" w:name="_Toc317596633"/>
      <w:r>
        <w:rPr>
          <w:rFonts w:hint="eastAsia" w:ascii="黑体" w:hAnsi="黑体" w:eastAsia="黑体"/>
          <w:w w:val="120"/>
          <w:sz w:val="84"/>
          <w:szCs w:val="84"/>
        </w:rPr>
        <w:t>乐山市中心城区肖坝片区</w:t>
      </w:r>
      <w:bookmarkEnd w:id="0"/>
      <w:bookmarkEnd w:id="1"/>
      <w:bookmarkStart w:id="10" w:name="_Toc325644042"/>
      <w:bookmarkStart w:id="11" w:name="_Toc325643818"/>
      <w:r>
        <w:rPr>
          <w:rFonts w:hint="eastAsia" w:ascii="黑体" w:hAnsi="黑体" w:eastAsia="黑体"/>
          <w:w w:val="120"/>
          <w:sz w:val="84"/>
          <w:szCs w:val="84"/>
        </w:rPr>
        <w:t>控制性详细规划</w:t>
      </w:r>
      <w:bookmarkEnd w:id="2"/>
      <w:bookmarkEnd w:id="3"/>
      <w:bookmarkEnd w:id="4"/>
      <w:bookmarkEnd w:id="5"/>
      <w:bookmarkEnd w:id="6"/>
      <w:bookmarkEnd w:id="7"/>
      <w:bookmarkEnd w:id="10"/>
      <w:bookmarkEnd w:id="11"/>
    </w:p>
    <w:p w14:paraId="4F59B63E">
      <w:pPr>
        <w:jc w:val="center"/>
        <w:rPr>
          <w:rFonts w:hint="eastAsia" w:ascii="黑体" w:hAnsi="黑体" w:eastAsia="黑体"/>
          <w:w w:val="120"/>
          <w:sz w:val="84"/>
          <w:szCs w:val="84"/>
          <w:lang w:eastAsia="zh-CN"/>
        </w:rPr>
      </w:pPr>
      <w:r>
        <w:rPr>
          <w:rFonts w:hint="eastAsia" w:ascii="黑体" w:hAnsi="黑体" w:eastAsia="黑体"/>
          <w:w w:val="120"/>
          <w:sz w:val="84"/>
          <w:szCs w:val="84"/>
          <w:lang w:eastAsia="zh-CN"/>
        </w:rPr>
        <w:t>（修编）</w:t>
      </w:r>
    </w:p>
    <w:p w14:paraId="6CBB2678">
      <w:pPr>
        <w:spacing w:line="1320" w:lineRule="exact"/>
        <w:jc w:val="center"/>
        <w:rPr>
          <w:rFonts w:ascii="黑体" w:hAnsi="黑体" w:eastAsia="黑体"/>
          <w:w w:val="120"/>
          <w:sz w:val="84"/>
          <w:szCs w:val="84"/>
        </w:rPr>
      </w:pPr>
    </w:p>
    <w:p w14:paraId="79E6871C">
      <w:pPr>
        <w:spacing w:line="1320" w:lineRule="exact"/>
        <w:jc w:val="center"/>
        <w:rPr>
          <w:rFonts w:ascii="黑体" w:hAnsi="黑体" w:eastAsia="黑体"/>
          <w:w w:val="120"/>
          <w:sz w:val="84"/>
          <w:szCs w:val="84"/>
        </w:rPr>
      </w:pPr>
    </w:p>
    <w:p w14:paraId="35C8EAB6">
      <w:pPr>
        <w:jc w:val="center"/>
        <w:rPr>
          <w:rFonts w:ascii="黑体" w:hAnsi="黑体" w:eastAsia="黑体"/>
          <w:w w:val="120"/>
          <w:sz w:val="84"/>
          <w:szCs w:val="84"/>
        </w:rPr>
      </w:pPr>
      <w:bookmarkStart w:id="12" w:name="_Toc226152049"/>
      <w:bookmarkStart w:id="13" w:name="_Toc227485496"/>
      <w:bookmarkStart w:id="14" w:name="_Toc227579100"/>
      <w:bookmarkStart w:id="15" w:name="_Toc225740064"/>
      <w:bookmarkStart w:id="16" w:name="_Toc325644043"/>
      <w:bookmarkStart w:id="17" w:name="_Toc227662541"/>
      <w:bookmarkStart w:id="18" w:name="_Toc325643819"/>
      <w:bookmarkStart w:id="19" w:name="_Toc225739897"/>
      <w:bookmarkStart w:id="20" w:name="_Toc216519996"/>
      <w:bookmarkStart w:id="21" w:name="_Toc216147481"/>
    </w:p>
    <w:p w14:paraId="65A25E3D">
      <w:pPr>
        <w:jc w:val="center"/>
        <w:rPr>
          <w:rFonts w:ascii="黑体" w:hAnsi="黑体" w:eastAsia="黑体"/>
          <w:w w:val="120"/>
          <w:sz w:val="84"/>
          <w:szCs w:val="84"/>
        </w:rPr>
      </w:pPr>
      <w:r>
        <w:rPr>
          <w:rFonts w:hint="eastAsia" w:ascii="黑体" w:hAnsi="黑体" w:eastAsia="黑体"/>
          <w:w w:val="120"/>
          <w:sz w:val="84"/>
          <w:szCs w:val="84"/>
        </w:rPr>
        <w:t>说 明 书</w:t>
      </w:r>
      <w:bookmarkEnd w:id="12"/>
      <w:bookmarkEnd w:id="13"/>
      <w:bookmarkEnd w:id="14"/>
      <w:bookmarkEnd w:id="15"/>
      <w:bookmarkEnd w:id="16"/>
      <w:bookmarkEnd w:id="17"/>
      <w:bookmarkEnd w:id="18"/>
      <w:bookmarkEnd w:id="19"/>
      <w:bookmarkEnd w:id="20"/>
      <w:bookmarkEnd w:id="21"/>
    </w:p>
    <w:p w14:paraId="78049F1D">
      <w:pPr>
        <w:jc w:val="center"/>
        <w:rPr>
          <w:rFonts w:ascii="黑体" w:hAnsi="黑体" w:eastAsia="黑体"/>
          <w:sz w:val="84"/>
          <w:szCs w:val="84"/>
        </w:rPr>
      </w:pPr>
    </w:p>
    <w:p w14:paraId="4841E2E3">
      <w:pPr>
        <w:jc w:val="center"/>
        <w:rPr>
          <w:rFonts w:ascii="黑体" w:hAnsi="黑体" w:eastAsia="黑体"/>
          <w:sz w:val="44"/>
          <w:szCs w:val="44"/>
        </w:rPr>
      </w:pPr>
    </w:p>
    <w:p w14:paraId="5499091A">
      <w:pPr>
        <w:spacing w:line="600" w:lineRule="exact"/>
        <w:jc w:val="center"/>
        <w:rPr>
          <w:rFonts w:ascii="黑体" w:hAnsi="黑体" w:eastAsia="黑体"/>
          <w:sz w:val="44"/>
          <w:szCs w:val="44"/>
        </w:rPr>
      </w:pPr>
    </w:p>
    <w:p w14:paraId="2717CF13">
      <w:pPr>
        <w:spacing w:line="600" w:lineRule="exact"/>
        <w:jc w:val="center"/>
        <w:rPr>
          <w:rFonts w:hint="eastAsia" w:ascii="黑体" w:hAnsi="黑体" w:eastAsia="黑体"/>
          <w:sz w:val="28"/>
          <w:szCs w:val="28"/>
        </w:rPr>
      </w:pPr>
      <w:r>
        <w:rPr>
          <w:rFonts w:hint="eastAsia" w:ascii="黑体" w:hAnsi="黑体" w:eastAsia="黑体"/>
          <w:sz w:val="28"/>
          <w:szCs w:val="28"/>
        </w:rPr>
        <w:t>乐山市城乡规划设计院</w:t>
      </w:r>
    </w:p>
    <w:p w14:paraId="090E039F">
      <w:pPr>
        <w:spacing w:line="600" w:lineRule="exact"/>
        <w:jc w:val="center"/>
        <w:rPr>
          <w:rFonts w:hint="default" w:ascii="楷体_GB2312" w:hAnsi="楷体" w:eastAsia="黑体"/>
          <w:sz w:val="44"/>
          <w:szCs w:val="44"/>
          <w:lang w:val="en-US" w:eastAsia="zh-CN"/>
        </w:rPr>
        <w:sectPr>
          <w:headerReference r:id="rId5" w:type="first"/>
          <w:footerReference r:id="rId8" w:type="first"/>
          <w:headerReference r:id="rId3" w:type="default"/>
          <w:footerReference r:id="rId6" w:type="default"/>
          <w:headerReference r:id="rId4" w:type="even"/>
          <w:footerReference r:id="rId7" w:type="even"/>
          <w:pgSz w:w="23814" w:h="16840" w:orient="landscape"/>
          <w:pgMar w:top="1985" w:right="1134" w:bottom="1701" w:left="1418" w:header="851" w:footer="992" w:gutter="0"/>
          <w:cols w:space="720" w:num="1"/>
          <w:titlePg/>
          <w:docGrid w:type="linesAndChars" w:linePitch="505" w:charSpace="-4301"/>
        </w:sectPr>
      </w:pPr>
      <w:r>
        <w:rPr>
          <w:rFonts w:hint="eastAsia" w:ascii="黑体" w:hAnsi="黑体" w:eastAsia="黑体"/>
          <w:sz w:val="28"/>
          <w:szCs w:val="28"/>
        </w:rPr>
        <w:t>20</w:t>
      </w:r>
      <w:r>
        <w:rPr>
          <w:rFonts w:hint="eastAsia" w:ascii="黑体" w:hAnsi="黑体" w:eastAsia="黑体"/>
          <w:sz w:val="28"/>
          <w:szCs w:val="28"/>
          <w:lang w:val="en-US" w:eastAsia="zh-CN"/>
        </w:rPr>
        <w:t>21</w:t>
      </w:r>
      <w:r>
        <w:rPr>
          <w:rFonts w:hint="eastAsia" w:ascii="黑体" w:hAnsi="黑体" w:eastAsia="黑体"/>
          <w:sz w:val="28"/>
          <w:szCs w:val="28"/>
        </w:rPr>
        <w:t>.</w:t>
      </w:r>
      <w:r>
        <w:rPr>
          <w:rFonts w:hint="eastAsia" w:ascii="黑体" w:hAnsi="黑体" w:eastAsia="黑体"/>
          <w:sz w:val="28"/>
          <w:szCs w:val="28"/>
          <w:lang w:val="en-US" w:eastAsia="zh-CN"/>
        </w:rPr>
        <w:t>06</w:t>
      </w:r>
    </w:p>
    <w:p w14:paraId="202E50B8">
      <w:pPr>
        <w:pStyle w:val="3"/>
        <w:jc w:val="center"/>
        <w:rPr>
          <w:sz w:val="36"/>
          <w:szCs w:val="36"/>
        </w:rPr>
      </w:pPr>
      <w:bookmarkStart w:id="22" w:name="_Toc358296525"/>
      <w:r>
        <w:rPr>
          <w:rFonts w:hint="eastAsia"/>
          <w:sz w:val="36"/>
          <w:szCs w:val="36"/>
        </w:rPr>
        <w:t>目    录</w:t>
      </w:r>
      <w:bookmarkEnd w:id="22"/>
    </w:p>
    <w:p w14:paraId="34101B07">
      <w:pPr>
        <w:pStyle w:val="27"/>
        <w:tabs>
          <w:tab w:val="right" w:leader="dot" w:pos="10411"/>
        </w:tabs>
        <w:ind w:left="0" w:leftChars="0"/>
        <w:rPr>
          <w:rFonts w:hint="eastAsia" w:ascii="仿宋_GB2312" w:hAnsi="宋体" w:eastAsia="仿宋_GB2312"/>
          <w:sz w:val="28"/>
          <w:szCs w:val="28"/>
        </w:rPr>
      </w:pPr>
      <w:r>
        <w:rPr>
          <w:rFonts w:hint="eastAsia" w:ascii="仿宋_GB2312" w:hAnsi="楷体" w:eastAsia="仿宋_GB2312"/>
          <w:sz w:val="28"/>
          <w:szCs w:val="28"/>
        </w:rPr>
        <w:fldChar w:fldCharType="begin"/>
      </w:r>
      <w:r>
        <w:rPr>
          <w:rFonts w:hint="eastAsia" w:ascii="仿宋_GB2312" w:hAnsi="楷体" w:eastAsia="仿宋_GB2312"/>
          <w:sz w:val="28"/>
          <w:szCs w:val="28"/>
        </w:rPr>
        <w:instrText xml:space="preserve"> TOC  \* MERGEFORMAT </w:instrText>
      </w:r>
      <w:r>
        <w:rPr>
          <w:rFonts w:hint="eastAsia" w:ascii="仿宋_GB2312" w:hAnsi="楷体" w:eastAsia="仿宋_GB2312"/>
          <w:sz w:val="28"/>
          <w:szCs w:val="28"/>
        </w:rPr>
        <w:fldChar w:fldCharType="separate"/>
      </w:r>
      <w:r>
        <w:rPr>
          <w:rFonts w:hint="eastAsia" w:ascii="仿宋_GB2312" w:hAnsi="宋体" w:eastAsia="仿宋_GB2312"/>
          <w:sz w:val="28"/>
          <w:szCs w:val="28"/>
        </w:rPr>
        <w:t>第一章  基础分析</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_Toc358296526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w:t>
      </w:r>
      <w:r>
        <w:rPr>
          <w:rFonts w:hint="eastAsia" w:ascii="仿宋_GB2312" w:hAnsi="宋体" w:eastAsia="仿宋_GB2312"/>
          <w:sz w:val="28"/>
          <w:szCs w:val="28"/>
        </w:rPr>
        <w:fldChar w:fldCharType="end"/>
      </w:r>
    </w:p>
    <w:p w14:paraId="1A561019">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一、总体背景分析</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_Toc358296527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w:t>
      </w:r>
      <w:r>
        <w:rPr>
          <w:rFonts w:hint="eastAsia" w:ascii="仿宋_GB2312" w:hAnsi="宋体" w:eastAsia="仿宋_GB2312"/>
          <w:sz w:val="28"/>
          <w:szCs w:val="28"/>
        </w:rPr>
        <w:fldChar w:fldCharType="end"/>
      </w:r>
    </w:p>
    <w:p w14:paraId="7B028CFA">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二、区位概况</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_Toc358296528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w:t>
      </w:r>
      <w:r>
        <w:rPr>
          <w:rFonts w:hint="eastAsia" w:ascii="仿宋_GB2312" w:hAnsi="宋体" w:eastAsia="仿宋_GB2312"/>
          <w:sz w:val="28"/>
          <w:szCs w:val="28"/>
        </w:rPr>
        <w:fldChar w:fldCharType="end"/>
      </w:r>
    </w:p>
    <w:p w14:paraId="14453A36">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三、区域综合交通分析</w:t>
      </w:r>
      <w:r>
        <w:rPr>
          <w:rFonts w:hint="eastAsia" w:ascii="仿宋_GB2312" w:hAnsi="宋体" w:eastAsia="仿宋_GB2312"/>
          <w:sz w:val="28"/>
          <w:szCs w:val="28"/>
        </w:rPr>
        <w:tab/>
      </w:r>
      <w:r>
        <w:rPr>
          <w:rFonts w:hint="eastAsia" w:ascii="仿宋_GB2312" w:hAnsi="宋体" w:eastAsia="仿宋_GB2312"/>
          <w:sz w:val="28"/>
          <w:szCs w:val="28"/>
        </w:rPr>
        <w:t>3</w:t>
      </w:r>
    </w:p>
    <w:p w14:paraId="20994791">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四、与相关规划的衔接</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_Toc358296532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w:t>
      </w:r>
      <w:r>
        <w:rPr>
          <w:rFonts w:hint="eastAsia" w:ascii="仿宋_GB2312" w:hAnsi="宋体" w:eastAsia="仿宋_GB2312"/>
          <w:sz w:val="28"/>
          <w:szCs w:val="28"/>
        </w:rPr>
        <w:fldChar w:fldCharType="end"/>
      </w:r>
    </w:p>
    <w:p w14:paraId="10445CAA">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第二章  发展定位</w:t>
      </w:r>
      <w:r>
        <w:rPr>
          <w:rFonts w:hint="eastAsia" w:ascii="仿宋_GB2312" w:hAnsi="宋体" w:eastAsia="仿宋_GB2312"/>
          <w:sz w:val="28"/>
          <w:szCs w:val="28"/>
        </w:rPr>
        <w:tab/>
      </w:r>
      <w:r>
        <w:rPr>
          <w:rFonts w:hint="eastAsia" w:ascii="仿宋_GB2312" w:hAnsi="宋体" w:eastAsia="仿宋_GB2312"/>
          <w:sz w:val="28"/>
          <w:szCs w:val="28"/>
        </w:rPr>
        <w:t>6</w:t>
      </w:r>
    </w:p>
    <w:p w14:paraId="35270A8F">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一、基地现状分析</w:t>
      </w:r>
      <w:r>
        <w:rPr>
          <w:rFonts w:hint="eastAsia" w:ascii="仿宋_GB2312" w:hAnsi="宋体" w:eastAsia="仿宋_GB2312"/>
          <w:sz w:val="28"/>
          <w:szCs w:val="28"/>
        </w:rPr>
        <w:tab/>
      </w:r>
      <w:r>
        <w:rPr>
          <w:rFonts w:hint="eastAsia" w:ascii="仿宋_GB2312" w:hAnsi="宋体" w:eastAsia="仿宋_GB2312"/>
          <w:sz w:val="28"/>
          <w:szCs w:val="28"/>
        </w:rPr>
        <w:t>6</w:t>
      </w:r>
    </w:p>
    <w:p w14:paraId="125B1A2D">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二、自然特色分析</w:t>
      </w:r>
      <w:r>
        <w:rPr>
          <w:rFonts w:hint="eastAsia" w:ascii="仿宋_GB2312" w:hAnsi="宋体" w:eastAsia="仿宋_GB2312"/>
          <w:sz w:val="28"/>
          <w:szCs w:val="28"/>
        </w:rPr>
        <w:tab/>
      </w:r>
      <w:r>
        <w:rPr>
          <w:rFonts w:hint="eastAsia" w:ascii="仿宋_GB2312" w:hAnsi="宋体" w:eastAsia="仿宋_GB2312"/>
          <w:sz w:val="28"/>
          <w:szCs w:val="28"/>
        </w:rPr>
        <w:t>8</w:t>
      </w:r>
    </w:p>
    <w:p w14:paraId="283EC942">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三、肖坝片区建设情况小结</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_Toc358296545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6</w:t>
      </w:r>
      <w:r>
        <w:rPr>
          <w:rFonts w:hint="eastAsia" w:ascii="仿宋_GB2312" w:hAnsi="宋体" w:eastAsia="仿宋_GB2312"/>
          <w:sz w:val="28"/>
          <w:szCs w:val="28"/>
        </w:rPr>
        <w:fldChar w:fldCharType="end"/>
      </w:r>
    </w:p>
    <w:p w14:paraId="74783BCB">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四、本次规划的相关研究</w:t>
      </w:r>
      <w:r>
        <w:rPr>
          <w:rFonts w:hint="eastAsia" w:ascii="仿宋_GB2312" w:hAnsi="宋体" w:eastAsia="仿宋_GB2312"/>
          <w:sz w:val="28"/>
          <w:szCs w:val="28"/>
        </w:rPr>
        <w:tab/>
      </w:r>
      <w:r>
        <w:rPr>
          <w:rFonts w:hint="eastAsia" w:ascii="仿宋_GB2312" w:hAnsi="宋体" w:eastAsia="仿宋_GB2312"/>
          <w:sz w:val="28"/>
          <w:szCs w:val="28"/>
        </w:rPr>
        <w:t>9</w:t>
      </w:r>
    </w:p>
    <w:p w14:paraId="0124F574">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五、肖坝片区的战略定位及功能考量</w:t>
      </w:r>
      <w:r>
        <w:rPr>
          <w:rFonts w:hint="eastAsia" w:ascii="仿宋_GB2312" w:hAnsi="宋体" w:eastAsia="仿宋_GB2312"/>
          <w:sz w:val="28"/>
          <w:szCs w:val="28"/>
        </w:rPr>
        <w:tab/>
      </w:r>
      <w:r>
        <w:rPr>
          <w:rFonts w:hint="eastAsia" w:ascii="仿宋_GB2312" w:hAnsi="宋体" w:eastAsia="仿宋_GB2312"/>
          <w:sz w:val="28"/>
          <w:szCs w:val="28"/>
        </w:rPr>
        <w:t>9</w:t>
      </w:r>
    </w:p>
    <w:p w14:paraId="664D9E17">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第三章  规划总则</w:t>
      </w:r>
      <w:r>
        <w:rPr>
          <w:rFonts w:hint="eastAsia" w:ascii="仿宋_GB2312" w:hAnsi="宋体" w:eastAsia="仿宋_GB2312"/>
          <w:sz w:val="28"/>
          <w:szCs w:val="28"/>
        </w:rPr>
        <w:tab/>
      </w:r>
      <w:r>
        <w:rPr>
          <w:rFonts w:hint="eastAsia" w:ascii="仿宋_GB2312" w:hAnsi="宋体" w:eastAsia="仿宋_GB2312"/>
          <w:sz w:val="28"/>
          <w:szCs w:val="28"/>
        </w:rPr>
        <w:t>9</w:t>
      </w:r>
    </w:p>
    <w:p w14:paraId="0D5755AF">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一、规划依据</w:t>
      </w:r>
      <w:r>
        <w:rPr>
          <w:rFonts w:hint="eastAsia" w:ascii="仿宋_GB2312" w:hAnsi="宋体" w:eastAsia="仿宋_GB2312"/>
          <w:sz w:val="28"/>
          <w:szCs w:val="28"/>
        </w:rPr>
        <w:tab/>
      </w:r>
      <w:r>
        <w:rPr>
          <w:rFonts w:hint="eastAsia" w:ascii="仿宋_GB2312" w:hAnsi="宋体" w:eastAsia="仿宋_GB2312"/>
          <w:sz w:val="28"/>
          <w:szCs w:val="28"/>
        </w:rPr>
        <w:t>9</w:t>
      </w:r>
    </w:p>
    <w:p w14:paraId="6DCD3E73">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二、规划原则</w:t>
      </w:r>
      <w:r>
        <w:rPr>
          <w:rFonts w:hint="eastAsia" w:ascii="仿宋_GB2312" w:hAnsi="宋体" w:eastAsia="仿宋_GB2312"/>
          <w:sz w:val="28"/>
          <w:szCs w:val="28"/>
        </w:rPr>
        <w:tab/>
      </w:r>
      <w:r>
        <w:rPr>
          <w:rFonts w:hint="eastAsia" w:ascii="仿宋_GB2312" w:hAnsi="宋体" w:eastAsia="仿宋_GB2312"/>
          <w:sz w:val="28"/>
          <w:szCs w:val="28"/>
        </w:rPr>
        <w:t>10</w:t>
      </w:r>
    </w:p>
    <w:p w14:paraId="7B19CDA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三、规划范围</w:t>
      </w:r>
      <w:r>
        <w:rPr>
          <w:rFonts w:hint="eastAsia" w:ascii="仿宋_GB2312" w:hAnsi="宋体" w:eastAsia="仿宋_GB2312"/>
          <w:sz w:val="28"/>
          <w:szCs w:val="28"/>
        </w:rPr>
        <w:tab/>
      </w:r>
      <w:r>
        <w:rPr>
          <w:rFonts w:hint="eastAsia" w:ascii="仿宋_GB2312" w:hAnsi="宋体" w:eastAsia="仿宋_GB2312"/>
          <w:sz w:val="28"/>
          <w:szCs w:val="28"/>
        </w:rPr>
        <w:t>10</w:t>
      </w:r>
    </w:p>
    <w:p w14:paraId="06E84ED6">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四、人口规模</w:t>
      </w:r>
      <w:r>
        <w:rPr>
          <w:rFonts w:hint="eastAsia" w:ascii="仿宋_GB2312" w:hAnsi="宋体" w:eastAsia="仿宋_GB2312"/>
          <w:sz w:val="28"/>
          <w:szCs w:val="28"/>
        </w:rPr>
        <w:tab/>
      </w:r>
      <w:r>
        <w:rPr>
          <w:rFonts w:hint="eastAsia" w:ascii="仿宋_GB2312" w:hAnsi="宋体" w:eastAsia="仿宋_GB2312"/>
          <w:sz w:val="28"/>
          <w:szCs w:val="28"/>
        </w:rPr>
        <w:t>11</w:t>
      </w:r>
    </w:p>
    <w:p w14:paraId="17CB567F">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第四章  土地利用规划</w:t>
      </w:r>
      <w:r>
        <w:rPr>
          <w:rFonts w:hint="eastAsia" w:ascii="仿宋_GB2312" w:hAnsi="宋体" w:eastAsia="仿宋_GB2312"/>
          <w:sz w:val="28"/>
          <w:szCs w:val="28"/>
        </w:rPr>
        <w:tab/>
      </w:r>
      <w:r>
        <w:rPr>
          <w:rFonts w:hint="eastAsia" w:ascii="仿宋_GB2312" w:hAnsi="宋体" w:eastAsia="仿宋_GB2312"/>
          <w:sz w:val="28"/>
          <w:szCs w:val="28"/>
        </w:rPr>
        <w:t>11</w:t>
      </w:r>
    </w:p>
    <w:p w14:paraId="6BCF8978">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一、规划策略</w:t>
      </w:r>
      <w:r>
        <w:rPr>
          <w:rFonts w:hint="eastAsia" w:ascii="仿宋_GB2312" w:hAnsi="宋体" w:eastAsia="仿宋_GB2312"/>
          <w:sz w:val="28"/>
          <w:szCs w:val="28"/>
        </w:rPr>
        <w:tab/>
      </w:r>
      <w:r>
        <w:rPr>
          <w:rFonts w:hint="eastAsia" w:ascii="仿宋_GB2312" w:hAnsi="宋体" w:eastAsia="仿宋_GB2312"/>
          <w:sz w:val="28"/>
          <w:szCs w:val="28"/>
        </w:rPr>
        <w:t>11</w:t>
      </w:r>
    </w:p>
    <w:p w14:paraId="5AE0AFA3">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二、本次规划针对13版控规用地布局重要调整内容</w:t>
      </w:r>
      <w:r>
        <w:rPr>
          <w:rFonts w:hint="eastAsia" w:ascii="仿宋_GB2312" w:hAnsi="宋体" w:eastAsia="仿宋_GB2312"/>
          <w:sz w:val="28"/>
          <w:szCs w:val="28"/>
        </w:rPr>
        <w:tab/>
      </w:r>
      <w:r>
        <w:rPr>
          <w:rFonts w:hint="eastAsia" w:ascii="仿宋_GB2312" w:hAnsi="宋体" w:eastAsia="仿宋_GB2312"/>
          <w:sz w:val="28"/>
          <w:szCs w:val="28"/>
        </w:rPr>
        <w:t>12</w:t>
      </w:r>
    </w:p>
    <w:p w14:paraId="42F98171">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三、土地利用</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_Toc358296562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13</w:t>
      </w:r>
      <w:r>
        <w:rPr>
          <w:rFonts w:hint="eastAsia" w:ascii="仿宋_GB2312" w:hAnsi="宋体" w:eastAsia="仿宋_GB2312"/>
          <w:sz w:val="28"/>
          <w:szCs w:val="28"/>
        </w:rPr>
        <w:fldChar w:fldCharType="end"/>
      </w:r>
    </w:p>
    <w:p w14:paraId="6DB615DC">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四、居住用地规划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_Toc358296564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13</w:t>
      </w:r>
      <w:r>
        <w:rPr>
          <w:rFonts w:hint="eastAsia" w:ascii="仿宋_GB2312" w:hAnsi="宋体" w:eastAsia="仿宋_GB2312"/>
          <w:sz w:val="28"/>
          <w:szCs w:val="28"/>
        </w:rPr>
        <w:fldChar w:fldCharType="end"/>
      </w:r>
    </w:p>
    <w:p w14:paraId="25272B12">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五、公共管理与公共服务设施规划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_Toc358296568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14</w:t>
      </w:r>
      <w:r>
        <w:rPr>
          <w:rFonts w:hint="eastAsia" w:ascii="仿宋_GB2312" w:hAnsi="宋体" w:eastAsia="仿宋_GB2312"/>
          <w:sz w:val="28"/>
          <w:szCs w:val="28"/>
        </w:rPr>
        <w:fldChar w:fldCharType="end"/>
      </w:r>
    </w:p>
    <w:p w14:paraId="0EC86F3F">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六、商业服务业设施用地规划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_Toc358296571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15</w:t>
      </w:r>
      <w:r>
        <w:rPr>
          <w:rFonts w:hint="eastAsia" w:ascii="仿宋_GB2312" w:hAnsi="宋体" w:eastAsia="仿宋_GB2312"/>
          <w:sz w:val="28"/>
          <w:szCs w:val="28"/>
        </w:rPr>
        <w:fldChar w:fldCharType="end"/>
      </w:r>
    </w:p>
    <w:p w14:paraId="7188B42A">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七、道路与交通设施用地</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_Toc358296574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16</w:t>
      </w:r>
      <w:r>
        <w:rPr>
          <w:rFonts w:hint="eastAsia" w:ascii="仿宋_GB2312" w:hAnsi="宋体" w:eastAsia="仿宋_GB2312"/>
          <w:sz w:val="28"/>
          <w:szCs w:val="28"/>
        </w:rPr>
        <w:fldChar w:fldCharType="end"/>
      </w:r>
    </w:p>
    <w:p w14:paraId="2E47F0F4">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八、公用设施用地</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_Toc358296575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16</w:t>
      </w:r>
      <w:r>
        <w:rPr>
          <w:rFonts w:hint="eastAsia" w:ascii="仿宋_GB2312" w:hAnsi="宋体" w:eastAsia="仿宋_GB2312"/>
          <w:sz w:val="28"/>
          <w:szCs w:val="28"/>
        </w:rPr>
        <w:fldChar w:fldCharType="end"/>
      </w:r>
    </w:p>
    <w:p w14:paraId="74B1EC72">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九、绿地与广场用地</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_Toc358296576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16</w:t>
      </w:r>
      <w:r>
        <w:rPr>
          <w:rFonts w:hint="eastAsia" w:ascii="仿宋_GB2312" w:hAnsi="宋体" w:eastAsia="仿宋_GB2312"/>
          <w:sz w:val="28"/>
          <w:szCs w:val="28"/>
        </w:rPr>
        <w:fldChar w:fldCharType="end"/>
      </w:r>
    </w:p>
    <w:p w14:paraId="25322C20">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十、弹性留白用地</w:t>
      </w:r>
      <w:r>
        <w:rPr>
          <w:rFonts w:hint="eastAsia" w:ascii="仿宋_GB2312" w:hAnsi="宋体" w:eastAsia="仿宋_GB2312"/>
          <w:sz w:val="28"/>
          <w:szCs w:val="28"/>
        </w:rPr>
        <w:tab/>
      </w:r>
      <w:r>
        <w:rPr>
          <w:rFonts w:hint="eastAsia" w:ascii="仿宋_GB2312" w:hAnsi="宋体" w:eastAsia="仿宋_GB2312"/>
          <w:sz w:val="28"/>
          <w:szCs w:val="28"/>
        </w:rPr>
        <w:t>16</w:t>
      </w:r>
    </w:p>
    <w:p w14:paraId="14C6A978">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第五章  综合交通规划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_Toc358296579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17</w:t>
      </w:r>
      <w:r>
        <w:rPr>
          <w:rFonts w:hint="eastAsia" w:ascii="仿宋_GB2312" w:hAnsi="宋体" w:eastAsia="仿宋_GB2312"/>
          <w:sz w:val="28"/>
          <w:szCs w:val="28"/>
        </w:rPr>
        <w:fldChar w:fldCharType="end"/>
      </w:r>
    </w:p>
    <w:p w14:paraId="2236CDE5">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一、对外交通规划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_Toc358296580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17</w:t>
      </w:r>
      <w:r>
        <w:rPr>
          <w:rFonts w:hint="eastAsia" w:ascii="仿宋_GB2312" w:hAnsi="宋体" w:eastAsia="仿宋_GB2312"/>
          <w:sz w:val="28"/>
          <w:szCs w:val="28"/>
        </w:rPr>
        <w:fldChar w:fldCharType="end"/>
      </w:r>
    </w:p>
    <w:p w14:paraId="4EE01A02">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二、城市道路系统规划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_Toc358296585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17</w:t>
      </w:r>
      <w:r>
        <w:rPr>
          <w:rFonts w:hint="eastAsia" w:ascii="仿宋_GB2312" w:hAnsi="宋体" w:eastAsia="仿宋_GB2312"/>
          <w:sz w:val="28"/>
          <w:szCs w:val="28"/>
        </w:rPr>
        <w:fldChar w:fldCharType="end"/>
      </w:r>
    </w:p>
    <w:p w14:paraId="132DE61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三、公共交通规划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_Toc358296589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18</w:t>
      </w:r>
      <w:r>
        <w:rPr>
          <w:rFonts w:hint="eastAsia" w:ascii="仿宋_GB2312" w:hAnsi="宋体" w:eastAsia="仿宋_GB2312"/>
          <w:sz w:val="28"/>
          <w:szCs w:val="28"/>
        </w:rPr>
        <w:fldChar w:fldCharType="end"/>
      </w:r>
    </w:p>
    <w:p w14:paraId="39D79D01">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四、静态交通规划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_Toc358296593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19</w:t>
      </w:r>
      <w:r>
        <w:rPr>
          <w:rFonts w:hint="eastAsia" w:ascii="仿宋_GB2312" w:hAnsi="宋体" w:eastAsia="仿宋_GB2312"/>
          <w:sz w:val="28"/>
          <w:szCs w:val="28"/>
        </w:rPr>
        <w:fldChar w:fldCharType="end"/>
      </w:r>
    </w:p>
    <w:p w14:paraId="7CA79D0D">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五、慢行交通规划</w:t>
      </w:r>
      <w:r>
        <w:rPr>
          <w:rFonts w:hint="eastAsia" w:ascii="仿宋_GB2312" w:hAnsi="宋体" w:eastAsia="仿宋_GB2312"/>
          <w:sz w:val="28"/>
          <w:szCs w:val="28"/>
        </w:rPr>
        <w:tab/>
      </w:r>
      <w:r>
        <w:rPr>
          <w:rFonts w:hint="eastAsia" w:ascii="仿宋_GB2312" w:hAnsi="宋体" w:eastAsia="仿宋_GB2312"/>
          <w:sz w:val="28"/>
          <w:szCs w:val="28"/>
        </w:rPr>
        <w:t>20</w:t>
      </w:r>
    </w:p>
    <w:p w14:paraId="0BB9CE4E">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第六章  城市设计导则</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_Toc358296602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20</w:t>
      </w:r>
      <w:r>
        <w:rPr>
          <w:rFonts w:hint="eastAsia" w:ascii="仿宋_GB2312" w:hAnsi="宋体" w:eastAsia="仿宋_GB2312"/>
          <w:sz w:val="28"/>
          <w:szCs w:val="28"/>
        </w:rPr>
        <w:fldChar w:fldCharType="end"/>
      </w:r>
    </w:p>
    <w:p w14:paraId="5F006BF5">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一、总体构想</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_Toc358296603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20</w:t>
      </w:r>
      <w:r>
        <w:rPr>
          <w:rFonts w:hint="eastAsia" w:ascii="仿宋_GB2312" w:hAnsi="宋体" w:eastAsia="仿宋_GB2312"/>
          <w:sz w:val="28"/>
          <w:szCs w:val="28"/>
        </w:rPr>
        <w:fldChar w:fldCharType="end"/>
      </w:r>
    </w:p>
    <w:p w14:paraId="03401B7D">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二、城市设计控制要求</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_Toc358296606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21</w:t>
      </w:r>
      <w:r>
        <w:rPr>
          <w:rFonts w:hint="eastAsia" w:ascii="仿宋_GB2312" w:hAnsi="宋体" w:eastAsia="仿宋_GB2312"/>
          <w:sz w:val="28"/>
          <w:szCs w:val="28"/>
        </w:rPr>
        <w:fldChar w:fldCharType="end"/>
      </w:r>
    </w:p>
    <w:p w14:paraId="43A6FC5B">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第七章  绿地景观系统规划</w:t>
      </w:r>
      <w:r>
        <w:rPr>
          <w:rFonts w:hint="eastAsia" w:ascii="仿宋_GB2312" w:hAnsi="宋体" w:eastAsia="仿宋_GB2312"/>
          <w:sz w:val="28"/>
          <w:szCs w:val="28"/>
        </w:rPr>
        <w:tab/>
      </w:r>
      <w:r>
        <w:rPr>
          <w:rFonts w:hint="eastAsia" w:ascii="仿宋_GB2312" w:hAnsi="宋体" w:eastAsia="仿宋_GB2312"/>
          <w:sz w:val="28"/>
          <w:szCs w:val="28"/>
        </w:rPr>
        <w:t>22</w:t>
      </w:r>
    </w:p>
    <w:p w14:paraId="4BF3F07E">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一、规划目标</w:t>
      </w:r>
      <w:r>
        <w:rPr>
          <w:rFonts w:hint="eastAsia" w:ascii="仿宋_GB2312" w:hAnsi="宋体" w:eastAsia="仿宋_GB2312"/>
          <w:sz w:val="28"/>
          <w:szCs w:val="28"/>
        </w:rPr>
        <w:tab/>
      </w:r>
      <w:r>
        <w:rPr>
          <w:rFonts w:hint="eastAsia" w:ascii="仿宋_GB2312" w:hAnsi="宋体" w:eastAsia="仿宋_GB2312"/>
          <w:sz w:val="28"/>
          <w:szCs w:val="28"/>
        </w:rPr>
        <w:t>22</w:t>
      </w:r>
    </w:p>
    <w:p w14:paraId="4FDF4FA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二、规划原则</w:t>
      </w:r>
      <w:r>
        <w:rPr>
          <w:rFonts w:hint="eastAsia" w:ascii="仿宋_GB2312" w:hAnsi="宋体" w:eastAsia="仿宋_GB2312"/>
          <w:sz w:val="28"/>
          <w:szCs w:val="28"/>
        </w:rPr>
        <w:tab/>
      </w:r>
      <w:r>
        <w:rPr>
          <w:rFonts w:hint="eastAsia" w:ascii="仿宋_GB2312" w:hAnsi="宋体" w:eastAsia="仿宋_GB2312"/>
          <w:sz w:val="28"/>
          <w:szCs w:val="28"/>
        </w:rPr>
        <w:t>22</w:t>
      </w:r>
    </w:p>
    <w:p w14:paraId="4DB40380">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三、规划布局</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_Toc358296622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22</w:t>
      </w:r>
      <w:r>
        <w:rPr>
          <w:rFonts w:hint="eastAsia" w:ascii="仿宋_GB2312" w:hAnsi="宋体" w:eastAsia="仿宋_GB2312"/>
          <w:sz w:val="28"/>
          <w:szCs w:val="28"/>
        </w:rPr>
        <w:fldChar w:fldCharType="end"/>
      </w:r>
    </w:p>
    <w:p w14:paraId="42B9DF84">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第八章  建设开发控制</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_Toc358296641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23</w:t>
      </w:r>
      <w:r>
        <w:rPr>
          <w:rFonts w:hint="eastAsia" w:ascii="仿宋_GB2312" w:hAnsi="宋体" w:eastAsia="仿宋_GB2312"/>
          <w:sz w:val="28"/>
          <w:szCs w:val="28"/>
        </w:rPr>
        <w:fldChar w:fldCharType="end"/>
      </w:r>
    </w:p>
    <w:p w14:paraId="7D45040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一、地块划分原则及编码方式</w:t>
      </w:r>
      <w:r>
        <w:rPr>
          <w:rFonts w:hint="eastAsia" w:ascii="仿宋_GB2312" w:hAnsi="宋体" w:eastAsia="仿宋_GB2312"/>
          <w:sz w:val="28"/>
          <w:szCs w:val="28"/>
        </w:rPr>
        <w:tab/>
      </w:r>
      <w:r>
        <w:rPr>
          <w:rFonts w:hint="eastAsia" w:ascii="仿宋_GB2312" w:hAnsi="宋体" w:eastAsia="仿宋_GB2312"/>
          <w:sz w:val="28"/>
          <w:szCs w:val="28"/>
        </w:rPr>
        <w:t>23</w:t>
      </w:r>
    </w:p>
    <w:p w14:paraId="4E2BEAD1">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二、地块指标控制</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_Toc358296645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24</w:t>
      </w:r>
      <w:r>
        <w:rPr>
          <w:rFonts w:hint="eastAsia" w:ascii="仿宋_GB2312" w:hAnsi="宋体" w:eastAsia="仿宋_GB2312"/>
          <w:sz w:val="28"/>
          <w:szCs w:val="28"/>
        </w:rPr>
        <w:fldChar w:fldCharType="end"/>
      </w:r>
    </w:p>
    <w:p w14:paraId="0E8FD0A9">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第九章  “五线”控制规划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_Toc358296648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26</w:t>
      </w:r>
      <w:r>
        <w:rPr>
          <w:rFonts w:hint="eastAsia" w:ascii="仿宋_GB2312" w:hAnsi="宋体" w:eastAsia="仿宋_GB2312"/>
          <w:sz w:val="28"/>
          <w:szCs w:val="28"/>
        </w:rPr>
        <w:fldChar w:fldCharType="end"/>
      </w:r>
    </w:p>
    <w:p w14:paraId="015A1E95">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一、红线控制</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_Toc358296649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26</w:t>
      </w:r>
      <w:r>
        <w:rPr>
          <w:rFonts w:hint="eastAsia" w:ascii="仿宋_GB2312" w:hAnsi="宋体" w:eastAsia="仿宋_GB2312"/>
          <w:sz w:val="28"/>
          <w:szCs w:val="28"/>
        </w:rPr>
        <w:fldChar w:fldCharType="end"/>
      </w:r>
    </w:p>
    <w:p w14:paraId="71A02D64">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二、绿线控制</w:t>
      </w:r>
      <w:r>
        <w:rPr>
          <w:rFonts w:hint="eastAsia" w:ascii="仿宋_GB2312" w:hAnsi="宋体" w:eastAsia="仿宋_GB2312"/>
          <w:sz w:val="28"/>
          <w:szCs w:val="28"/>
        </w:rPr>
        <w:tab/>
      </w:r>
      <w:r>
        <w:rPr>
          <w:rFonts w:hint="eastAsia" w:ascii="仿宋_GB2312" w:hAnsi="宋体" w:eastAsia="仿宋_GB2312"/>
          <w:sz w:val="28"/>
          <w:szCs w:val="28"/>
        </w:rPr>
        <w:t>27</w:t>
      </w:r>
    </w:p>
    <w:p w14:paraId="0F9F5CC0">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三、蓝线控制</w:t>
      </w:r>
      <w:r>
        <w:rPr>
          <w:rFonts w:hint="eastAsia" w:ascii="仿宋_GB2312" w:hAnsi="宋体" w:eastAsia="仿宋_GB2312"/>
          <w:sz w:val="28"/>
          <w:szCs w:val="28"/>
        </w:rPr>
        <w:tab/>
      </w:r>
      <w:r>
        <w:rPr>
          <w:rFonts w:hint="eastAsia" w:ascii="仿宋_GB2312" w:hAnsi="宋体" w:eastAsia="仿宋_GB2312"/>
          <w:sz w:val="28"/>
          <w:szCs w:val="28"/>
        </w:rPr>
        <w:t>27</w:t>
      </w:r>
    </w:p>
    <w:p w14:paraId="3B0D1B3E">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四、黄线控制</w:t>
      </w:r>
      <w:r>
        <w:rPr>
          <w:rFonts w:hint="eastAsia" w:ascii="仿宋_GB2312" w:hAnsi="宋体" w:eastAsia="仿宋_GB2312"/>
          <w:sz w:val="28"/>
          <w:szCs w:val="28"/>
        </w:rPr>
        <w:tab/>
      </w:r>
      <w:r>
        <w:rPr>
          <w:rFonts w:hint="eastAsia" w:ascii="仿宋_GB2312" w:hAnsi="宋体" w:eastAsia="仿宋_GB2312"/>
          <w:sz w:val="28"/>
          <w:szCs w:val="28"/>
        </w:rPr>
        <w:t>28</w:t>
      </w:r>
    </w:p>
    <w:p w14:paraId="6B5965D8">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五、紫线控制</w:t>
      </w:r>
      <w:r>
        <w:rPr>
          <w:rFonts w:hint="eastAsia" w:ascii="仿宋_GB2312" w:hAnsi="宋体" w:eastAsia="仿宋_GB2312"/>
          <w:sz w:val="28"/>
          <w:szCs w:val="28"/>
        </w:rPr>
        <w:tab/>
      </w:r>
      <w:r>
        <w:rPr>
          <w:rFonts w:hint="eastAsia" w:ascii="仿宋_GB2312" w:hAnsi="宋体" w:eastAsia="仿宋_GB2312"/>
          <w:sz w:val="28"/>
          <w:szCs w:val="28"/>
        </w:rPr>
        <w:t>29</w:t>
      </w:r>
    </w:p>
    <w:p w14:paraId="42D656B0">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第十章  市政工程规划</w:t>
      </w:r>
      <w:r>
        <w:rPr>
          <w:rFonts w:hint="eastAsia" w:ascii="仿宋_GB2312" w:hAnsi="宋体" w:eastAsia="仿宋_GB2312"/>
          <w:sz w:val="28"/>
          <w:szCs w:val="28"/>
        </w:rPr>
        <w:tab/>
      </w:r>
      <w:r>
        <w:rPr>
          <w:rFonts w:hint="eastAsia" w:ascii="仿宋_GB2312" w:hAnsi="宋体" w:eastAsia="仿宋_GB2312"/>
          <w:sz w:val="28"/>
          <w:szCs w:val="28"/>
        </w:rPr>
        <w:t>29</w:t>
      </w:r>
    </w:p>
    <w:p w14:paraId="6D0B94C7">
      <w:pPr>
        <w:pStyle w:val="27"/>
        <w:tabs>
          <w:tab w:val="left" w:pos="1260"/>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一、给水工程规划</w:t>
      </w:r>
      <w:r>
        <w:rPr>
          <w:rFonts w:hint="eastAsia" w:ascii="仿宋_GB2312" w:hAnsi="宋体" w:eastAsia="仿宋_GB2312"/>
          <w:sz w:val="28"/>
          <w:szCs w:val="28"/>
        </w:rPr>
        <w:tab/>
      </w:r>
      <w:r>
        <w:rPr>
          <w:rFonts w:hint="eastAsia" w:ascii="仿宋_GB2312" w:hAnsi="宋体" w:eastAsia="仿宋_GB2312"/>
          <w:sz w:val="28"/>
          <w:szCs w:val="28"/>
        </w:rPr>
        <w:t>29</w:t>
      </w:r>
    </w:p>
    <w:p w14:paraId="03C5F3B1">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二、排水工程规划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_Toc358296674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30</w:t>
      </w:r>
      <w:r>
        <w:rPr>
          <w:rFonts w:hint="eastAsia" w:ascii="仿宋_GB2312" w:hAnsi="宋体" w:eastAsia="仿宋_GB2312"/>
          <w:sz w:val="28"/>
          <w:szCs w:val="28"/>
        </w:rPr>
        <w:fldChar w:fldCharType="end"/>
      </w:r>
    </w:p>
    <w:p w14:paraId="56C2430D">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三、电力工程规划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_Toc358296679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32</w:t>
      </w:r>
      <w:r>
        <w:rPr>
          <w:rFonts w:hint="eastAsia" w:ascii="仿宋_GB2312" w:hAnsi="宋体" w:eastAsia="仿宋_GB2312"/>
          <w:sz w:val="28"/>
          <w:szCs w:val="28"/>
        </w:rPr>
        <w:fldChar w:fldCharType="end"/>
      </w:r>
    </w:p>
    <w:p w14:paraId="021220E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四、电信工程规划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_Toc358296684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33</w:t>
      </w:r>
      <w:r>
        <w:rPr>
          <w:rFonts w:hint="eastAsia" w:ascii="仿宋_GB2312" w:hAnsi="宋体" w:eastAsia="仿宋_GB2312"/>
          <w:sz w:val="28"/>
          <w:szCs w:val="28"/>
        </w:rPr>
        <w:fldChar w:fldCharType="end"/>
      </w:r>
    </w:p>
    <w:p w14:paraId="3553DFE2">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五、燃气工程规划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_Toc358296688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33</w:t>
      </w:r>
      <w:r>
        <w:rPr>
          <w:rFonts w:hint="eastAsia" w:ascii="仿宋_GB2312" w:hAnsi="宋体" w:eastAsia="仿宋_GB2312"/>
          <w:sz w:val="28"/>
          <w:szCs w:val="28"/>
        </w:rPr>
        <w:fldChar w:fldCharType="end"/>
      </w:r>
    </w:p>
    <w:p w14:paraId="7053B2D6">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六、管线综合</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_Toc358296692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34</w:t>
      </w:r>
      <w:r>
        <w:rPr>
          <w:rFonts w:hint="eastAsia" w:ascii="仿宋_GB2312" w:hAnsi="宋体" w:eastAsia="仿宋_GB2312"/>
          <w:sz w:val="28"/>
          <w:szCs w:val="28"/>
        </w:rPr>
        <w:fldChar w:fldCharType="end"/>
      </w:r>
    </w:p>
    <w:p w14:paraId="757AA08A">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第十一章  环境保护规划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_Toc358296693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34</w:t>
      </w:r>
      <w:r>
        <w:rPr>
          <w:rFonts w:hint="eastAsia" w:ascii="仿宋_GB2312" w:hAnsi="宋体" w:eastAsia="仿宋_GB2312"/>
          <w:sz w:val="28"/>
          <w:szCs w:val="28"/>
        </w:rPr>
        <w:fldChar w:fldCharType="end"/>
      </w:r>
    </w:p>
    <w:p w14:paraId="46643BA5">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一、环境保护目标</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_Toc358296694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34</w:t>
      </w:r>
      <w:r>
        <w:rPr>
          <w:rFonts w:hint="eastAsia" w:ascii="仿宋_GB2312" w:hAnsi="宋体" w:eastAsia="仿宋_GB2312"/>
          <w:sz w:val="28"/>
          <w:szCs w:val="28"/>
        </w:rPr>
        <w:fldChar w:fldCharType="end"/>
      </w:r>
    </w:p>
    <w:p w14:paraId="466C3AEA">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二、环境保护对策与措施</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_Toc358296699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35</w:t>
      </w:r>
      <w:r>
        <w:rPr>
          <w:rFonts w:hint="eastAsia" w:ascii="仿宋_GB2312" w:hAnsi="宋体" w:eastAsia="仿宋_GB2312"/>
          <w:sz w:val="28"/>
          <w:szCs w:val="28"/>
        </w:rPr>
        <w:fldChar w:fldCharType="end"/>
      </w:r>
    </w:p>
    <w:p w14:paraId="5099B814">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三、环卫设施规划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_Toc358296704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36</w:t>
      </w:r>
      <w:r>
        <w:rPr>
          <w:rFonts w:hint="eastAsia" w:ascii="仿宋_GB2312" w:hAnsi="宋体" w:eastAsia="仿宋_GB2312"/>
          <w:sz w:val="28"/>
          <w:szCs w:val="28"/>
        </w:rPr>
        <w:fldChar w:fldCharType="end"/>
      </w:r>
    </w:p>
    <w:p w14:paraId="779A4EB5">
      <w:pPr>
        <w:pStyle w:val="23"/>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第十二章  综合防灾规划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_Toc358296707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37</w:t>
      </w:r>
      <w:r>
        <w:rPr>
          <w:rFonts w:hint="eastAsia" w:ascii="仿宋_GB2312" w:hAnsi="宋体" w:eastAsia="仿宋_GB2312"/>
          <w:sz w:val="28"/>
          <w:szCs w:val="28"/>
        </w:rPr>
        <w:fldChar w:fldCharType="end"/>
      </w:r>
    </w:p>
    <w:p w14:paraId="46F56C9D">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一、消防工程规划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_Toc358296708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37</w:t>
      </w:r>
      <w:r>
        <w:rPr>
          <w:rFonts w:hint="eastAsia" w:ascii="仿宋_GB2312" w:hAnsi="宋体" w:eastAsia="仿宋_GB2312"/>
          <w:sz w:val="28"/>
          <w:szCs w:val="28"/>
        </w:rPr>
        <w:fldChar w:fldCharType="end"/>
      </w:r>
    </w:p>
    <w:p w14:paraId="1EE7BAB0">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二、防洪防涝规划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_Toc358296712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38</w:t>
      </w:r>
      <w:r>
        <w:rPr>
          <w:rFonts w:hint="eastAsia" w:ascii="仿宋_GB2312" w:hAnsi="宋体" w:eastAsia="仿宋_GB2312"/>
          <w:sz w:val="28"/>
          <w:szCs w:val="28"/>
        </w:rPr>
        <w:fldChar w:fldCharType="end"/>
      </w:r>
    </w:p>
    <w:p w14:paraId="49C04B1C">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三、抗震工程规划</w:t>
      </w:r>
      <w:r>
        <w:rPr>
          <w:rFonts w:hint="eastAsia" w:ascii="仿宋_GB2312" w:hAnsi="宋体" w:eastAsia="仿宋_GB2312"/>
          <w:sz w:val="28"/>
          <w:szCs w:val="28"/>
        </w:rPr>
        <w:tab/>
      </w:r>
      <w:r>
        <w:rPr>
          <w:rFonts w:hint="eastAsia" w:ascii="仿宋_GB2312" w:hAnsi="宋体" w:eastAsia="仿宋_GB2312"/>
          <w:sz w:val="28"/>
          <w:szCs w:val="28"/>
        </w:rPr>
        <w:fldChar w:fldCharType="begin"/>
      </w:r>
      <w:r>
        <w:rPr>
          <w:rFonts w:hint="eastAsia" w:ascii="仿宋_GB2312" w:hAnsi="宋体" w:eastAsia="仿宋_GB2312"/>
          <w:sz w:val="28"/>
          <w:szCs w:val="28"/>
        </w:rPr>
        <w:instrText xml:space="preserve"> PAGEREF _Toc358296715 \h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38</w:t>
      </w:r>
      <w:r>
        <w:rPr>
          <w:rFonts w:hint="eastAsia" w:ascii="仿宋_GB2312" w:hAnsi="宋体" w:eastAsia="仿宋_GB2312"/>
          <w:sz w:val="28"/>
          <w:szCs w:val="28"/>
        </w:rPr>
        <w:fldChar w:fldCharType="end"/>
      </w:r>
    </w:p>
    <w:p w14:paraId="28602995">
      <w:pPr>
        <w:pStyle w:val="27"/>
        <w:tabs>
          <w:tab w:val="right" w:leader="dot" w:pos="10411"/>
        </w:tabs>
        <w:rPr>
          <w:rFonts w:hint="eastAsia" w:ascii="仿宋_GB2312" w:hAnsi="宋体" w:eastAsia="仿宋_GB2312"/>
          <w:sz w:val="28"/>
          <w:szCs w:val="28"/>
        </w:rPr>
      </w:pPr>
      <w:r>
        <w:rPr>
          <w:rFonts w:hint="eastAsia" w:ascii="仿宋_GB2312" w:hAnsi="宋体" w:eastAsia="仿宋_GB2312"/>
          <w:sz w:val="28"/>
          <w:szCs w:val="28"/>
        </w:rPr>
        <w:t>四、人防工程规划</w:t>
      </w:r>
      <w:r>
        <w:rPr>
          <w:rFonts w:hint="eastAsia" w:ascii="仿宋_GB2312" w:hAnsi="宋体" w:eastAsia="仿宋_GB2312"/>
          <w:sz w:val="28"/>
          <w:szCs w:val="28"/>
        </w:rPr>
        <w:tab/>
      </w:r>
      <w:r>
        <w:rPr>
          <w:rFonts w:hint="eastAsia" w:ascii="仿宋_GB2312" w:hAnsi="宋体" w:eastAsia="仿宋_GB2312"/>
          <w:sz w:val="28"/>
          <w:szCs w:val="28"/>
        </w:rPr>
        <w:t>38</w:t>
      </w:r>
    </w:p>
    <w:p w14:paraId="1D6BEB30">
      <w:pPr>
        <w:pStyle w:val="23"/>
        <w:tabs>
          <w:tab w:val="right" w:leader="dot" w:pos="10411"/>
        </w:tabs>
        <w:rPr>
          <w:rFonts w:hint="eastAsia" w:ascii="仿宋_GB2312" w:eastAsia="仿宋_GB2312"/>
          <w:sz w:val="28"/>
          <w:szCs w:val="28"/>
        </w:rPr>
      </w:pPr>
      <w:r>
        <w:rPr>
          <w:rFonts w:hint="eastAsia" w:ascii="仿宋_GB2312" w:hAnsi="宋体" w:eastAsia="仿宋_GB2312"/>
          <w:sz w:val="28"/>
          <w:szCs w:val="28"/>
        </w:rPr>
        <w:t>第十三章  规划实施建议</w:t>
      </w:r>
      <w:r>
        <w:rPr>
          <w:rFonts w:hint="eastAsia" w:ascii="仿宋_GB2312" w:eastAsia="仿宋_GB2312"/>
          <w:sz w:val="28"/>
          <w:szCs w:val="28"/>
        </w:rPr>
        <w:tab/>
      </w:r>
      <w:r>
        <w:rPr>
          <w:rFonts w:hint="eastAsia" w:ascii="仿宋_GB2312" w:eastAsia="仿宋_GB2312"/>
          <w:sz w:val="28"/>
          <w:szCs w:val="28"/>
        </w:rPr>
        <w:t>39</w:t>
      </w:r>
    </w:p>
    <w:p w14:paraId="61F511EB">
      <w:pPr>
        <w:spacing w:line="600" w:lineRule="exact"/>
        <w:jc w:val="left"/>
        <w:rPr>
          <w:rFonts w:hint="eastAsia" w:ascii="仿宋_GB2312" w:hAnsi="楷体" w:eastAsia="仿宋_GB2312"/>
          <w:sz w:val="28"/>
          <w:szCs w:val="28"/>
        </w:rPr>
      </w:pPr>
      <w:r>
        <w:rPr>
          <w:rFonts w:hint="eastAsia" w:ascii="仿宋_GB2312" w:hAnsi="楷体" w:eastAsia="仿宋_GB2312"/>
          <w:sz w:val="28"/>
          <w:szCs w:val="28"/>
        </w:rPr>
        <w:fldChar w:fldCharType="end"/>
      </w:r>
    </w:p>
    <w:p w14:paraId="2DCC8488">
      <w:pPr>
        <w:spacing w:line="600" w:lineRule="exact"/>
        <w:jc w:val="left"/>
        <w:rPr>
          <w:rFonts w:hint="eastAsia" w:ascii="仿宋_GB2312" w:hAnsi="楷体" w:eastAsia="仿宋_GB2312"/>
          <w:sz w:val="28"/>
          <w:szCs w:val="28"/>
        </w:rPr>
      </w:pPr>
    </w:p>
    <w:p w14:paraId="399CEE20">
      <w:pPr>
        <w:spacing w:line="600" w:lineRule="exact"/>
        <w:jc w:val="left"/>
        <w:rPr>
          <w:rFonts w:hint="eastAsia" w:ascii="仿宋_GB2312" w:hAnsi="楷体" w:eastAsia="仿宋_GB2312"/>
          <w:sz w:val="28"/>
          <w:szCs w:val="28"/>
        </w:rPr>
      </w:pPr>
    </w:p>
    <w:p w14:paraId="6D80A5DE">
      <w:pPr>
        <w:spacing w:line="600" w:lineRule="exact"/>
        <w:jc w:val="left"/>
        <w:rPr>
          <w:rFonts w:hint="eastAsia" w:ascii="仿宋_GB2312" w:hAnsi="楷体" w:eastAsia="仿宋_GB2312"/>
          <w:sz w:val="28"/>
          <w:szCs w:val="28"/>
        </w:rPr>
      </w:pPr>
    </w:p>
    <w:p w14:paraId="2EA7D293">
      <w:pPr>
        <w:spacing w:line="600" w:lineRule="exact"/>
        <w:jc w:val="left"/>
        <w:rPr>
          <w:rFonts w:hint="eastAsia" w:ascii="仿宋_GB2312" w:hAnsi="楷体" w:eastAsia="仿宋_GB2312"/>
          <w:sz w:val="28"/>
          <w:szCs w:val="28"/>
        </w:rPr>
      </w:pPr>
    </w:p>
    <w:p w14:paraId="74C13EE3">
      <w:pPr>
        <w:spacing w:line="600" w:lineRule="exact"/>
        <w:jc w:val="left"/>
        <w:rPr>
          <w:rFonts w:hint="eastAsia" w:ascii="仿宋_GB2312" w:hAnsi="楷体" w:eastAsia="仿宋_GB2312"/>
          <w:sz w:val="28"/>
          <w:szCs w:val="28"/>
        </w:rPr>
      </w:pPr>
    </w:p>
    <w:p w14:paraId="1183C97B">
      <w:pPr>
        <w:spacing w:line="600" w:lineRule="exact"/>
        <w:jc w:val="left"/>
        <w:rPr>
          <w:rFonts w:hint="eastAsia" w:ascii="仿宋_GB2312" w:hAnsi="楷体" w:eastAsia="仿宋_GB2312"/>
          <w:sz w:val="28"/>
          <w:szCs w:val="28"/>
        </w:rPr>
      </w:pPr>
    </w:p>
    <w:p w14:paraId="398928A7">
      <w:pPr>
        <w:spacing w:line="600" w:lineRule="exact"/>
        <w:jc w:val="left"/>
        <w:rPr>
          <w:rFonts w:hint="eastAsia" w:ascii="仿宋_GB2312" w:hAnsi="楷体" w:eastAsia="仿宋_GB2312"/>
          <w:sz w:val="28"/>
          <w:szCs w:val="28"/>
        </w:rPr>
      </w:pPr>
    </w:p>
    <w:p w14:paraId="52A95C4A">
      <w:pPr>
        <w:spacing w:line="600" w:lineRule="exact"/>
        <w:jc w:val="left"/>
        <w:rPr>
          <w:rFonts w:hint="eastAsia" w:ascii="仿宋_GB2312" w:hAnsi="楷体" w:eastAsia="仿宋_GB2312"/>
          <w:sz w:val="28"/>
          <w:szCs w:val="28"/>
        </w:rPr>
      </w:pPr>
    </w:p>
    <w:p w14:paraId="77B1AD6D">
      <w:pPr>
        <w:spacing w:line="600" w:lineRule="exact"/>
        <w:jc w:val="left"/>
        <w:rPr>
          <w:rFonts w:hint="eastAsia" w:ascii="仿宋_GB2312" w:hAnsi="楷体" w:eastAsia="仿宋_GB2312"/>
          <w:sz w:val="28"/>
          <w:szCs w:val="28"/>
        </w:rPr>
      </w:pPr>
    </w:p>
    <w:p w14:paraId="2738F007">
      <w:pPr>
        <w:spacing w:line="600" w:lineRule="exact"/>
        <w:jc w:val="left"/>
        <w:rPr>
          <w:rFonts w:hint="eastAsia" w:ascii="仿宋_GB2312" w:hAnsi="楷体" w:eastAsia="仿宋_GB2312"/>
          <w:sz w:val="28"/>
          <w:szCs w:val="28"/>
        </w:rPr>
      </w:pPr>
    </w:p>
    <w:p w14:paraId="4901DF49">
      <w:pPr>
        <w:spacing w:line="600" w:lineRule="exact"/>
        <w:jc w:val="left"/>
        <w:rPr>
          <w:rFonts w:hint="eastAsia" w:ascii="仿宋_GB2312" w:hAnsi="楷体" w:eastAsia="仿宋_GB2312"/>
          <w:sz w:val="28"/>
          <w:szCs w:val="28"/>
        </w:rPr>
      </w:pPr>
    </w:p>
    <w:p w14:paraId="00E973AC">
      <w:pPr>
        <w:spacing w:line="600" w:lineRule="exact"/>
        <w:jc w:val="left"/>
        <w:rPr>
          <w:rFonts w:hint="eastAsia" w:ascii="仿宋_GB2312" w:hAnsi="楷体" w:eastAsia="仿宋_GB2312"/>
          <w:sz w:val="28"/>
          <w:szCs w:val="28"/>
        </w:rPr>
      </w:pPr>
    </w:p>
    <w:p w14:paraId="011BC2DE">
      <w:pPr>
        <w:spacing w:line="600" w:lineRule="exact"/>
        <w:jc w:val="left"/>
        <w:rPr>
          <w:rFonts w:hint="eastAsia" w:ascii="仿宋_GB2312" w:hAnsi="楷体" w:eastAsia="仿宋_GB2312"/>
          <w:sz w:val="28"/>
          <w:szCs w:val="28"/>
        </w:rPr>
      </w:pPr>
    </w:p>
    <w:p w14:paraId="05D3DF4E">
      <w:pPr>
        <w:spacing w:line="600" w:lineRule="exact"/>
        <w:jc w:val="left"/>
        <w:rPr>
          <w:rFonts w:hint="eastAsia" w:ascii="仿宋_GB2312" w:hAnsi="楷体" w:eastAsia="仿宋_GB2312"/>
          <w:sz w:val="28"/>
          <w:szCs w:val="28"/>
        </w:rPr>
      </w:pPr>
    </w:p>
    <w:p w14:paraId="6D371897">
      <w:pPr>
        <w:spacing w:line="600" w:lineRule="exact"/>
        <w:jc w:val="left"/>
        <w:rPr>
          <w:rFonts w:hint="eastAsia" w:ascii="仿宋_GB2312" w:hAnsi="楷体" w:eastAsia="仿宋_GB2312"/>
          <w:sz w:val="28"/>
          <w:szCs w:val="28"/>
        </w:rPr>
      </w:pPr>
    </w:p>
    <w:p w14:paraId="7E9B62CD">
      <w:pPr>
        <w:spacing w:line="600" w:lineRule="exact"/>
        <w:jc w:val="left"/>
        <w:rPr>
          <w:rFonts w:hint="eastAsia" w:ascii="仿宋_GB2312" w:hAnsi="楷体" w:eastAsia="仿宋_GB2312"/>
          <w:sz w:val="28"/>
          <w:szCs w:val="28"/>
        </w:rPr>
      </w:pPr>
    </w:p>
    <w:p w14:paraId="54F967B1">
      <w:pPr>
        <w:spacing w:line="600" w:lineRule="exact"/>
        <w:jc w:val="left"/>
        <w:rPr>
          <w:rFonts w:hint="eastAsia" w:ascii="仿宋_GB2312" w:hAnsi="楷体" w:eastAsia="仿宋_GB2312"/>
          <w:sz w:val="28"/>
          <w:szCs w:val="28"/>
        </w:rPr>
      </w:pPr>
    </w:p>
    <w:p w14:paraId="3FFA7551">
      <w:pPr>
        <w:spacing w:line="600" w:lineRule="exact"/>
        <w:jc w:val="left"/>
        <w:rPr>
          <w:rFonts w:hint="eastAsia" w:ascii="仿宋_GB2312" w:hAnsi="楷体" w:eastAsia="仿宋_GB2312"/>
          <w:sz w:val="28"/>
          <w:szCs w:val="28"/>
        </w:rPr>
      </w:pPr>
    </w:p>
    <w:p w14:paraId="65787B34">
      <w:pPr>
        <w:spacing w:line="600" w:lineRule="exact"/>
        <w:jc w:val="left"/>
        <w:rPr>
          <w:rFonts w:hint="eastAsia" w:ascii="仿宋_GB2312" w:hAnsi="楷体" w:eastAsia="仿宋_GB2312"/>
          <w:sz w:val="28"/>
          <w:szCs w:val="28"/>
        </w:rPr>
      </w:pPr>
    </w:p>
    <w:p w14:paraId="34355D64">
      <w:pPr>
        <w:spacing w:line="600" w:lineRule="exact"/>
        <w:jc w:val="left"/>
        <w:rPr>
          <w:rFonts w:hint="eastAsia" w:ascii="楷体_GB2312" w:hAnsi="楷体" w:eastAsia="楷体_GB2312"/>
          <w:sz w:val="24"/>
        </w:rPr>
      </w:pPr>
    </w:p>
    <w:p w14:paraId="170FAD6D">
      <w:pPr>
        <w:spacing w:line="600" w:lineRule="exact"/>
        <w:jc w:val="left"/>
        <w:rPr>
          <w:rFonts w:hint="eastAsia" w:ascii="楷体_GB2312" w:hAnsi="楷体" w:eastAsia="楷体_GB2312"/>
          <w:sz w:val="24"/>
        </w:rPr>
      </w:pPr>
    </w:p>
    <w:p w14:paraId="41B16238">
      <w:pPr>
        <w:spacing w:line="600" w:lineRule="exact"/>
        <w:jc w:val="left"/>
        <w:rPr>
          <w:rFonts w:hint="eastAsia" w:ascii="楷体_GB2312" w:hAnsi="楷体" w:eastAsia="楷体_GB2312"/>
          <w:sz w:val="24"/>
        </w:rPr>
      </w:pPr>
    </w:p>
    <w:p w14:paraId="6C33163F">
      <w:pPr>
        <w:spacing w:line="600" w:lineRule="exact"/>
        <w:jc w:val="left"/>
        <w:rPr>
          <w:rFonts w:hint="eastAsia" w:ascii="楷体_GB2312" w:hAnsi="楷体" w:eastAsia="楷体_GB2312"/>
          <w:sz w:val="24"/>
        </w:rPr>
      </w:pPr>
    </w:p>
    <w:p w14:paraId="18347FCF">
      <w:pPr>
        <w:spacing w:line="600" w:lineRule="exact"/>
        <w:jc w:val="left"/>
        <w:rPr>
          <w:rFonts w:hint="eastAsia" w:ascii="楷体_GB2312" w:hAnsi="楷体" w:eastAsia="楷体_GB2312"/>
          <w:sz w:val="24"/>
        </w:rPr>
      </w:pPr>
    </w:p>
    <w:p w14:paraId="49EFD0BE">
      <w:pPr>
        <w:spacing w:line="600" w:lineRule="exact"/>
        <w:jc w:val="left"/>
        <w:rPr>
          <w:rFonts w:hint="eastAsia" w:ascii="楷体_GB2312" w:hAnsi="楷体" w:eastAsia="楷体_GB2312"/>
          <w:sz w:val="24"/>
        </w:rPr>
      </w:pPr>
    </w:p>
    <w:p w14:paraId="31090CDB">
      <w:pPr>
        <w:spacing w:line="600" w:lineRule="exact"/>
        <w:jc w:val="left"/>
        <w:rPr>
          <w:rFonts w:hint="eastAsia" w:ascii="楷体_GB2312" w:hAnsi="楷体" w:eastAsia="楷体_GB2312"/>
          <w:sz w:val="24"/>
        </w:rPr>
      </w:pPr>
    </w:p>
    <w:p w14:paraId="10B04B3A">
      <w:pPr>
        <w:spacing w:line="600" w:lineRule="exact"/>
        <w:jc w:val="left"/>
        <w:rPr>
          <w:rFonts w:hint="eastAsia" w:ascii="楷体_GB2312" w:hAnsi="楷体" w:eastAsia="楷体_GB2312"/>
          <w:sz w:val="24"/>
        </w:rPr>
      </w:pPr>
    </w:p>
    <w:p w14:paraId="4D1CFF78">
      <w:pPr>
        <w:jc w:val="center"/>
        <w:rPr>
          <w:rFonts w:ascii="方正黑体简体" w:hAnsi="宋体" w:eastAsia="方正黑体简体"/>
          <w:sz w:val="30"/>
        </w:rPr>
        <w:sectPr>
          <w:pgSz w:w="23814" w:h="16840" w:orient="landscape"/>
          <w:pgMar w:top="1985" w:right="1134" w:bottom="1701" w:left="1418" w:header="851" w:footer="992" w:gutter="0"/>
          <w:pgNumType w:start="1"/>
          <w:cols w:space="1260" w:num="2"/>
          <w:docGrid w:type="lines" w:linePitch="505" w:charSpace="-4301"/>
        </w:sectPr>
      </w:pPr>
    </w:p>
    <w:p w14:paraId="6EEC33E5">
      <w:pPr>
        <w:pStyle w:val="2"/>
        <w:adjustRightInd w:val="0"/>
        <w:spacing w:before="252" w:beforeLines="50" w:after="252" w:afterLines="50" w:line="720" w:lineRule="exact"/>
        <w:rPr>
          <w:rFonts w:ascii="方正黑体简体" w:eastAsia="方正黑体简体"/>
          <w:i/>
          <w:sz w:val="44"/>
        </w:rPr>
      </w:pPr>
      <w:bookmarkStart w:id="23" w:name="_Toc358296526"/>
      <w:bookmarkStart w:id="24" w:name="_Toc414632115"/>
      <w:bookmarkStart w:id="25" w:name="_Toc420499397"/>
      <w:r>
        <w:rPr>
          <w:rFonts w:hint="eastAsia" w:ascii="方正黑体简体" w:eastAsia="方正黑体简体"/>
          <w:kern w:val="2"/>
          <w:sz w:val="44"/>
        </w:rPr>
        <w:t>第一章</w:t>
      </w:r>
      <w:r>
        <w:rPr>
          <w:rFonts w:ascii="方正黑体简体" w:eastAsia="方正黑体简体"/>
          <w:kern w:val="2"/>
          <w:sz w:val="44"/>
        </w:rPr>
        <w:t xml:space="preserve">  </w:t>
      </w:r>
      <w:r>
        <w:rPr>
          <w:rFonts w:hint="eastAsia" w:ascii="方正黑体简体" w:eastAsia="方正黑体简体"/>
          <w:kern w:val="2"/>
          <w:sz w:val="44"/>
        </w:rPr>
        <w:t>基础分析</w:t>
      </w:r>
      <w:bookmarkEnd w:id="23"/>
      <w:bookmarkEnd w:id="24"/>
      <w:bookmarkEnd w:id="25"/>
    </w:p>
    <w:p w14:paraId="62ECCBEB">
      <w:pPr>
        <w:pStyle w:val="3"/>
        <w:numPr>
          <w:ilvl w:val="0"/>
          <w:numId w:val="3"/>
        </w:numPr>
        <w:adjustRightInd w:val="0"/>
        <w:spacing w:before="252" w:beforeLines="50" w:after="252" w:afterLines="50" w:line="720" w:lineRule="exact"/>
        <w:rPr>
          <w:rFonts w:ascii="方正黑体简体" w:hAnsi="宋体" w:eastAsia="方正黑体简体"/>
        </w:rPr>
      </w:pPr>
      <w:bookmarkStart w:id="26" w:name="_Toc358296527"/>
      <w:bookmarkStart w:id="27" w:name="_Toc414632116"/>
      <w:bookmarkStart w:id="28" w:name="_Toc420499398"/>
      <w:r>
        <w:rPr>
          <w:rFonts w:hint="eastAsia" w:ascii="方正黑体简体" w:hAnsi="宋体" w:eastAsia="方正黑体简体"/>
        </w:rPr>
        <w:t>总体背景分析</w:t>
      </w:r>
      <w:bookmarkEnd w:id="26"/>
      <w:bookmarkEnd w:id="27"/>
      <w:bookmarkEnd w:id="28"/>
    </w:p>
    <w:p w14:paraId="7ADF8EA4">
      <w:pPr>
        <w:spacing w:before="252" w:beforeLines="50" w:after="252" w:afterLines="50" w:line="720" w:lineRule="exact"/>
        <w:ind w:firstLine="518" w:firstLineChars="200"/>
        <w:rPr>
          <w:rFonts w:ascii="仿宋_GB2312" w:hAnsi="宋体" w:eastAsia="仿宋_GB2312"/>
          <w:b/>
          <w:sz w:val="32"/>
          <w:szCs w:val="32"/>
        </w:rPr>
      </w:pPr>
      <w:r>
        <w:rPr>
          <w:rFonts w:hint="eastAsia"/>
          <w:sz w:val="28"/>
          <w:szCs w:val="28"/>
        </w:rPr>
        <w:t xml:space="preserve"> </w:t>
      </w:r>
      <w:r>
        <w:rPr>
          <w:rFonts w:hint="eastAsia" w:ascii="仿宋_GB2312" w:hAnsi="宋体" w:eastAsia="仿宋_GB2312"/>
          <w:b/>
          <w:sz w:val="32"/>
          <w:szCs w:val="32"/>
        </w:rPr>
        <w:t xml:space="preserve"> （一）中央城市工作会议</w:t>
      </w:r>
    </w:p>
    <w:p w14:paraId="01B9C5EB">
      <w:pPr>
        <w:spacing w:line="720" w:lineRule="exact"/>
        <w:ind w:firstLine="518" w:firstLineChars="200"/>
        <w:rPr>
          <w:rFonts w:hint="eastAsia" w:ascii="仿宋_GB2312" w:hAnsi="宋体" w:eastAsia="仿宋_GB2312"/>
          <w:sz w:val="32"/>
          <w:szCs w:val="32"/>
        </w:rPr>
      </w:pPr>
      <w:r>
        <w:rPr>
          <w:rFonts w:hint="eastAsia" w:hAnsi="宋体"/>
          <w:sz w:val="28"/>
          <w:szCs w:val="28"/>
        </w:rPr>
        <w:t xml:space="preserve"> </w:t>
      </w:r>
      <w:r>
        <w:rPr>
          <w:rFonts w:hint="eastAsia" w:ascii="仿宋_GB2312" w:hAnsi="宋体" w:eastAsia="仿宋_GB2312"/>
          <w:sz w:val="32"/>
          <w:szCs w:val="32"/>
        </w:rPr>
        <w:t>2015年12月，时隔37年，中国再次召开中央城市工作会议。会议提出：各城市要结合资源禀赋和区位优势，明确主导产业和特色产业，强化大中小城市和小城镇产业协作协同，逐步形成横向错位发展、纵向分工协作的发展格局。要加强创新合作机制建设，构建开放高效的创新资源共享网络，以协同创新牵引城市协同发展；要加强城市设计，提倡城市修补，加强控制性详细规划的公开性和强制性。要加强对城市的空间立体性、平面协调性、风貌整体性、文脉延续性等方面的规划和管控，留住城市特有的地域环境、文化特色、建筑风格等“基因”；要统筹生产、生活、生态三大布局，提高城市发展的宜居性。</w:t>
      </w:r>
    </w:p>
    <w:p w14:paraId="0D81982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新政策进一步强调了城市功能协作，产业布局、城市设计和城市宜居性等几大特质，对城市控规在文化、景观、产业方面提出了更高要求。</w:t>
      </w:r>
    </w:p>
    <w:p w14:paraId="26926A96">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w:t>
      </w:r>
      <w:r>
        <w:rPr>
          <w:rFonts w:ascii="仿宋_GB2312" w:hAnsi="宋体" w:eastAsia="仿宋_GB2312"/>
          <w:b/>
          <w:sz w:val="32"/>
          <w:szCs w:val="32"/>
        </w:rPr>
        <w:t>《中共四川省委关于推进绿色发展建设美丽四川的决定》</w:t>
      </w:r>
    </w:p>
    <w:p w14:paraId="2CBDCB6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为全面贯彻党的十八大以来中央关于</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HYPERLINK "http://baike.baidu.com/item/%E7%BB%BF%E8%89%B2%E5%8F%91%E5%B1%95" \t "_blank"</w:instrText>
      </w:r>
      <w:r>
        <w:rPr>
          <w:rFonts w:hint="eastAsia" w:ascii="仿宋_GB2312" w:hAnsi="宋体" w:eastAsia="仿宋_GB2312"/>
          <w:sz w:val="32"/>
          <w:szCs w:val="32"/>
        </w:rPr>
        <w:fldChar w:fldCharType="separate"/>
      </w:r>
      <w:r>
        <w:rPr>
          <w:rFonts w:hint="eastAsia" w:ascii="仿宋_GB2312" w:hAnsi="宋体" w:eastAsia="仿宋_GB2312"/>
          <w:sz w:val="32"/>
          <w:szCs w:val="32"/>
        </w:rPr>
        <w:t>绿色发展</w:t>
      </w:r>
      <w:r>
        <w:rPr>
          <w:rFonts w:hint="eastAsia" w:ascii="仿宋_GB2312" w:hAnsi="宋体" w:eastAsia="仿宋_GB2312"/>
          <w:sz w:val="32"/>
          <w:szCs w:val="32"/>
        </w:rPr>
        <w:fldChar w:fldCharType="end"/>
      </w:r>
      <w:r>
        <w:rPr>
          <w:rFonts w:hint="eastAsia" w:ascii="仿宋_GB2312" w:hAnsi="宋体" w:eastAsia="仿宋_GB2312"/>
          <w:sz w:val="32"/>
          <w:szCs w:val="32"/>
        </w:rPr>
        <w:t>的新理念新战略新部署，中共四川省委十届八次全体会议通过《中共四川省委关于推进绿色发展建设美丽四川的决定》。会议深入研究推进绿色发展，建设美丽四川的一系列重大问题，其中会议提出了：重城市发展规律，更新城市规划建设理念，以“创新、绿色、智慧、人文”为方向，统筹空间、规模、产业三大结构，统筹生产、生活、生态三大布局，统筹规划、建设、管理三大环节，大力提高城市发展的宜居性、持续性。依托现有山体水系、森林与湿地、气象条件等，科学布局各类空间，合理确定城市形态，保持各具特色的城市风貌，尽量减少对自然环境的干扰和损害。</w:t>
      </w:r>
    </w:p>
    <w:p w14:paraId="6ACDA4A2">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《中共四川省委关于推进绿色发展建设美丽四川的决定》进一步强调了城市宜居性的建设，并依托现状山水资源，对城市形态进行合理布局。</w:t>
      </w:r>
    </w:p>
    <w:p w14:paraId="1EB185C5">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 xml:space="preserve">（三）中共四川省委关于全面创新改革驱动转型发展的决定 </w:t>
      </w:r>
    </w:p>
    <w:p w14:paraId="0632AEB0">
      <w:pPr>
        <w:spacing w:line="720" w:lineRule="exact"/>
        <w:rPr>
          <w:rFonts w:hint="eastAsia" w:ascii="仿宋_GB2312" w:hAnsi="宋体" w:eastAsia="仿宋_GB2312"/>
          <w:sz w:val="32"/>
          <w:szCs w:val="32"/>
        </w:rPr>
      </w:pPr>
      <w:r>
        <w:rPr>
          <w:rFonts w:hint="eastAsia"/>
          <w:b/>
          <w:bCs/>
          <w:sz w:val="28"/>
          <w:szCs w:val="28"/>
        </w:rPr>
        <w:t xml:space="preserve"> </w:t>
      </w:r>
      <w:r>
        <w:rPr>
          <w:rFonts w:hint="eastAsia" w:ascii="方正黑体简体" w:hAnsi="宋体" w:eastAsia="方正黑体简体"/>
          <w:sz w:val="28"/>
          <w:szCs w:val="28"/>
        </w:rPr>
        <w:t xml:space="preserve">   </w:t>
      </w:r>
      <w:r>
        <w:rPr>
          <w:rFonts w:hint="eastAsia" w:ascii="仿宋_GB2312" w:hAnsi="宋体" w:eastAsia="仿宋_GB2312"/>
          <w:sz w:val="32"/>
          <w:szCs w:val="32"/>
        </w:rPr>
        <w:t xml:space="preserve"> 牢固设立并切实贯彻创新、协调、绿色、开放、共享的发展理念，以实现创新驱动转型发展为目标，以推动科技创新为核心，以破除体制机制障碍为主攻方向，开展系统性、整体性、协同性创新改革试验，统筹推进经济社会和科技领域改革，加快形成适应经济发展新常态的体制机制和发展方式，推动经济增长保持中高速、产业发展迈向中高端，加快建成国家创新驱动发展先行省，奋力推进“两个跨越”。</w:t>
      </w:r>
    </w:p>
    <w:p w14:paraId="69064013">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（四）乐山市</w:t>
      </w:r>
      <w:r>
        <w:rPr>
          <w:rFonts w:hint="eastAsia" w:ascii="仿宋_GB2312" w:hAnsi="宋体" w:eastAsia="仿宋_GB2312"/>
          <w:b/>
          <w:sz w:val="32"/>
          <w:szCs w:val="32"/>
          <w:lang w:eastAsia="zh-CN"/>
        </w:rPr>
        <w:t>“</w:t>
      </w:r>
      <w:r>
        <w:rPr>
          <w:rFonts w:hint="eastAsia" w:ascii="仿宋_GB2312" w:hAnsi="宋体" w:eastAsia="仿宋_GB2312"/>
          <w:b/>
          <w:sz w:val="32"/>
          <w:szCs w:val="32"/>
          <w:lang w:val="en-US" w:eastAsia="zh-CN"/>
        </w:rPr>
        <w:t>十三五”</w:t>
      </w:r>
      <w:r>
        <w:rPr>
          <w:rFonts w:hint="eastAsia" w:ascii="仿宋_GB2312" w:hAnsi="宋体" w:eastAsia="仿宋_GB2312"/>
          <w:b/>
          <w:sz w:val="32"/>
          <w:szCs w:val="32"/>
        </w:rPr>
        <w:t xml:space="preserve">规划 </w:t>
      </w:r>
    </w:p>
    <w:p w14:paraId="2D26E788">
      <w:pPr>
        <w:spacing w:line="720" w:lineRule="exact"/>
        <w:rPr>
          <w:rFonts w:hint="eastAsia" w:ascii="仿宋_GB2312" w:hAnsi="宋体" w:eastAsia="仿宋_GB2312"/>
          <w:sz w:val="32"/>
          <w:szCs w:val="32"/>
        </w:rPr>
      </w:pPr>
      <w:r>
        <w:rPr>
          <w:rFonts w:hint="eastAsia" w:ascii="方正黑体简体" w:eastAsia="方正黑体简体"/>
          <w:b/>
          <w:bCs/>
          <w:sz w:val="28"/>
          <w:szCs w:val="28"/>
        </w:rPr>
        <w:t xml:space="preserve">  </w:t>
      </w:r>
      <w:r>
        <w:rPr>
          <w:rFonts w:hint="eastAsia" w:ascii="仿宋_GB2312" w:hAnsi="宋体" w:eastAsia="仿宋_GB2312"/>
          <w:sz w:val="32"/>
          <w:szCs w:val="32"/>
        </w:rPr>
        <w:t xml:space="preserve"> 乐山市</w:t>
      </w:r>
      <w:r>
        <w:rPr>
          <w:rFonts w:hint="eastAsia" w:ascii="仿宋_GB2312" w:hAnsi="宋体" w:eastAsia="仿宋_GB2312"/>
          <w:sz w:val="32"/>
          <w:szCs w:val="32"/>
          <w:lang w:eastAsia="zh-CN"/>
        </w:rPr>
        <w:t>“</w:t>
      </w:r>
      <w:r>
        <w:rPr>
          <w:rFonts w:hint="eastAsia" w:ascii="仿宋_GB2312" w:hAnsi="宋体" w:eastAsia="仿宋_GB2312"/>
          <w:sz w:val="32"/>
          <w:szCs w:val="32"/>
        </w:rPr>
        <w:t>十三五</w:t>
      </w:r>
      <w:r>
        <w:rPr>
          <w:rFonts w:hint="eastAsia" w:ascii="仿宋_GB2312" w:hAnsi="宋体" w:eastAsia="仿宋_GB2312"/>
          <w:sz w:val="32"/>
          <w:szCs w:val="32"/>
          <w:lang w:eastAsia="zh-CN"/>
        </w:rPr>
        <w:t>”</w:t>
      </w:r>
      <w:bookmarkStart w:id="372" w:name="_GoBack"/>
      <w:bookmarkEnd w:id="372"/>
      <w:r>
        <w:rPr>
          <w:rFonts w:hint="eastAsia" w:ascii="仿宋_GB2312" w:hAnsi="宋体" w:eastAsia="仿宋_GB2312"/>
          <w:sz w:val="32"/>
          <w:szCs w:val="32"/>
        </w:rPr>
        <w:t>规划提出，践行“五大发展理念”，扎实抓好全面建成小康社会的重点任务：围绕“绿色转型示范市”的发展定位，实施产业绿色化改造，推动发展方式由简单粗放向绿色低碳转变；实施创新驱动发展战略；加快城乡统筹、区域统筹、经济和社会统筹，推动发展格局由同质同构向协调有序转变。运用“五大发展理念”指导全市经济社会发展实践。践行绿色发展、创新发展、协调发展、开放发展、共享发展，指导全市经济社会发展实践。</w:t>
      </w:r>
    </w:p>
    <w:p w14:paraId="383A97D1">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 xml:space="preserve">（五）成都平原城市群规划 </w:t>
      </w:r>
    </w:p>
    <w:p w14:paraId="01D1133F">
      <w:pPr>
        <w:spacing w:line="720" w:lineRule="exact"/>
        <w:rPr>
          <w:rFonts w:hint="eastAsia" w:ascii="仿宋_GB2312" w:hAnsi="宋体" w:eastAsia="仿宋_GB2312"/>
          <w:sz w:val="32"/>
          <w:szCs w:val="32"/>
        </w:rPr>
      </w:pPr>
      <w:r>
        <w:rPr>
          <w:rFonts w:hint="eastAsia" w:ascii="方正黑体简体" w:eastAsia="方正黑体简体"/>
          <w:b/>
          <w:sz w:val="28"/>
          <w:szCs w:val="28"/>
        </w:rPr>
        <w:t xml:space="preserve">  </w:t>
      </w:r>
      <w:r>
        <w:rPr>
          <w:rFonts w:hint="eastAsia" w:ascii="仿宋_GB2312" w:eastAsia="仿宋_GB2312"/>
          <w:b/>
          <w:sz w:val="32"/>
          <w:szCs w:val="32"/>
        </w:rPr>
        <w:t xml:space="preserve"> </w:t>
      </w:r>
      <w:r>
        <w:rPr>
          <w:rFonts w:hint="eastAsia" w:ascii="仿宋_GB2312" w:hAnsi="宋体" w:eastAsia="仿宋_GB2312"/>
          <w:sz w:val="32"/>
          <w:szCs w:val="32"/>
        </w:rPr>
        <w:t xml:space="preserve"> 加强高效资源利用、推动创新驱动发展道路、坚持城乡统筹，实现绿色发展、转型发展、特色发展。积极发展先进制造业、战略性新兴产业和现代服务业，壮大以旅游为重点的服务业规模，加快世界级旅游目的地资源整合，发展文旅经济、商贸流通业，加强生产生活性配套服务功能，旅游线路合作、旅游配套服务等，培育形成产业走廊。加强加快发展文旅经济、商贸流通业。</w:t>
      </w:r>
    </w:p>
    <w:p w14:paraId="41ABFF55">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 xml:space="preserve">（六）规划成果信息的更新 </w:t>
      </w:r>
    </w:p>
    <w:p w14:paraId="10C2DB7B">
      <w:pPr>
        <w:spacing w:line="720" w:lineRule="exact"/>
        <w:ind w:firstLine="449" w:firstLineChars="150"/>
        <w:rPr>
          <w:rFonts w:hint="eastAsia" w:ascii="仿宋_GB2312" w:eastAsia="仿宋_GB2312"/>
          <w:sz w:val="32"/>
          <w:szCs w:val="32"/>
        </w:rPr>
      </w:pPr>
      <w:r>
        <w:rPr>
          <w:rFonts w:hint="eastAsia" w:ascii="仿宋_GB2312" w:eastAsia="仿宋_GB2312"/>
          <w:sz w:val="32"/>
          <w:szCs w:val="32"/>
        </w:rPr>
        <w:t xml:space="preserve">上一轮《乐山市中心城区肖坝片区控制性详细规划》于2013年9月经市政府批复同意，编制实施至今已有四年，较好的指导了片区的各项城市建设，由于2017版乐山城市总体规划的修编、现实发展的需求，需对肖坝片区控制性详细规划相关信息予以更新，以保证片区与城市总体发展的协调性。 </w:t>
      </w:r>
    </w:p>
    <w:p w14:paraId="0A5022EA">
      <w:pPr>
        <w:pStyle w:val="3"/>
        <w:numPr>
          <w:ilvl w:val="0"/>
          <w:numId w:val="3"/>
        </w:numPr>
        <w:adjustRightInd w:val="0"/>
        <w:spacing w:before="252" w:beforeLines="50" w:after="252" w:afterLines="50" w:line="720" w:lineRule="exact"/>
        <w:rPr>
          <w:rFonts w:ascii="方正黑体简体" w:hAnsi="宋体" w:eastAsia="方正黑体简体"/>
        </w:rPr>
      </w:pPr>
      <w:bookmarkStart w:id="29" w:name="_Toc358296528"/>
      <w:r>
        <w:rPr>
          <w:rFonts w:hint="eastAsia" w:ascii="方正黑体简体" w:hAnsi="宋体" w:eastAsia="方正黑体简体"/>
        </w:rPr>
        <w:t>区位概况</w:t>
      </w:r>
      <w:bookmarkEnd w:id="29"/>
    </w:p>
    <w:p w14:paraId="4EAB1E52">
      <w:pPr>
        <w:spacing w:before="252" w:beforeLines="50" w:after="252" w:afterLines="50"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 xml:space="preserve">（一）地理区位 </w:t>
      </w:r>
    </w:p>
    <w:p w14:paraId="2803C500">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肖坝片区位于嘉州片区南部，规划为商务文旅功能区，以发展居住、教育功能为主。</w:t>
      </w:r>
    </w:p>
    <w:p w14:paraId="721FF8E0">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北与绿心相接，东部与老城片区相邻，南面大渡河，西部与青江片区相接。面积约3.42平方公里。 </w:t>
      </w:r>
    </w:p>
    <w:p w14:paraId="216F3048">
      <w:pPr>
        <w:spacing w:before="252" w:beforeLines="50" w:after="252" w:afterLines="50"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 xml:space="preserve">（二）交通区位 </w:t>
      </w:r>
    </w:p>
    <w:p w14:paraId="19371E20">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肖坝片区可通过大件路、绿心路、滨江路，以实现与青江片区、柏杨坝片区、老城片区的连接，通达性好，区位优势明显。乐雅高速公路的建成，使肖坝片区成为乐山对外交通新窗口。优越的地理、交通区位优势为片区的发展提供了良好的条件。 </w:t>
      </w:r>
    </w:p>
    <w:p w14:paraId="1690AA05">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肖坝片区是城区向南辐射的重要节点: </w:t>
      </w:r>
    </w:p>
    <w:p w14:paraId="739D058A">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1、肖坝片区是使城市北部各功能区与南部各功能区产生紧密联系的重要节点。主要通过绿心路、大件路联通南北功能区。 </w:t>
      </w:r>
    </w:p>
    <w:p w14:paraId="35B13F6F">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2、肖坝片区是各功能区通往峨眉、沙湾的重要出口。 </w:t>
      </w:r>
    </w:p>
    <w:p w14:paraId="5E02E690">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至峨眉：大件路、乐雅高速。 </w:t>
      </w:r>
    </w:p>
    <w:p w14:paraId="1BF342AD">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至沙湾：大件路、绿心南路、乐沙生态大道；绿心路、大渡河大桥、乐沙快速通道。</w:t>
      </w:r>
    </w:p>
    <w:p w14:paraId="2A8EE37B">
      <w:pPr>
        <w:pStyle w:val="3"/>
        <w:numPr>
          <w:ilvl w:val="0"/>
          <w:numId w:val="3"/>
        </w:numPr>
        <w:adjustRightInd w:val="0"/>
        <w:spacing w:before="252" w:beforeLines="50" w:after="252" w:afterLines="50" w:line="720" w:lineRule="exact"/>
        <w:rPr>
          <w:rFonts w:ascii="方正黑体简体" w:hAnsi="宋体" w:eastAsia="方正黑体简体"/>
        </w:rPr>
      </w:pPr>
      <w:bookmarkStart w:id="30" w:name="_Toc358296529"/>
      <w:bookmarkStart w:id="31" w:name="_Toc420499399"/>
      <w:bookmarkStart w:id="32" w:name="_Toc414632117"/>
      <w:bookmarkStart w:id="33" w:name="_Toc358296532"/>
      <w:bookmarkStart w:id="34" w:name="_Toc420499400"/>
      <w:bookmarkStart w:id="35" w:name="_Toc414632118"/>
      <w:r>
        <w:rPr>
          <w:rFonts w:hint="eastAsia" w:ascii="方正黑体简体" w:hAnsi="宋体" w:eastAsia="方正黑体简体"/>
        </w:rPr>
        <w:t>区域综合交通分析</w:t>
      </w:r>
      <w:bookmarkEnd w:id="30"/>
      <w:bookmarkEnd w:id="31"/>
      <w:bookmarkEnd w:id="32"/>
    </w:p>
    <w:p w14:paraId="07D5F29A">
      <w:pPr>
        <w:spacing w:before="252" w:beforeLines="50" w:after="252" w:afterLines="50" w:line="720" w:lineRule="exact"/>
        <w:ind w:firstLine="598" w:firstLineChars="200"/>
        <w:rPr>
          <w:rFonts w:ascii="仿宋_GB2312" w:hAnsi="宋体" w:eastAsia="仿宋_GB2312"/>
          <w:b/>
          <w:sz w:val="32"/>
          <w:szCs w:val="32"/>
        </w:rPr>
      </w:pPr>
      <w:bookmarkStart w:id="36" w:name="_Toc358296530"/>
      <w:r>
        <w:rPr>
          <w:rFonts w:hint="eastAsia" w:ascii="仿宋_GB2312" w:hAnsi="宋体" w:eastAsia="仿宋_GB2312"/>
          <w:b/>
          <w:sz w:val="32"/>
          <w:szCs w:val="32"/>
        </w:rPr>
        <w:t>（一）区域交通分析</w:t>
      </w:r>
      <w:bookmarkEnd w:id="36"/>
    </w:p>
    <w:p w14:paraId="7A61F8FA">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铁路：肖坝片区距青江</w:t>
      </w:r>
      <w:r>
        <w:rPr>
          <w:rFonts w:hint="eastAsia" w:ascii="仿宋_GB2312" w:hAnsi="宋体" w:eastAsia="仿宋_GB2312"/>
          <w:sz w:val="32"/>
          <w:szCs w:val="32"/>
          <w:lang w:eastAsia="zh-CN"/>
        </w:rPr>
        <w:t>片区</w:t>
      </w:r>
      <w:r>
        <w:rPr>
          <w:rFonts w:hint="eastAsia" w:ascii="仿宋_GB2312" w:hAnsi="宋体" w:eastAsia="仿宋_GB2312"/>
          <w:sz w:val="32"/>
          <w:szCs w:val="32"/>
        </w:rPr>
        <w:t>铁路综合枢纽仅5</w:t>
      </w:r>
      <w:r>
        <w:rPr>
          <w:rFonts w:ascii="仿宋_GB2312" w:hAnsi="宋体" w:eastAsia="仿宋_GB2312"/>
          <w:sz w:val="32"/>
          <w:szCs w:val="32"/>
        </w:rPr>
        <w:t>.5</w:t>
      </w:r>
      <w:r>
        <w:rPr>
          <w:rFonts w:hint="eastAsia" w:ascii="仿宋_GB2312" w:hAnsi="宋体" w:eastAsia="仿宋_GB2312"/>
          <w:sz w:val="32"/>
          <w:szCs w:val="32"/>
        </w:rPr>
        <w:t>公里，距峨眉站27公里。</w:t>
      </w:r>
    </w:p>
    <w:p w14:paraId="528F814F">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高速公路：片区周边有成乐高速、乐雅高速等。</w:t>
      </w:r>
    </w:p>
    <w:p w14:paraId="6920A042">
      <w:pPr>
        <w:spacing w:before="252" w:beforeLines="50" w:after="252" w:afterLines="50" w:line="720" w:lineRule="exact"/>
        <w:ind w:firstLine="598" w:firstLineChars="200"/>
        <w:rPr>
          <w:rFonts w:ascii="仿宋_GB2312" w:hAnsi="宋体" w:eastAsia="仿宋_GB2312"/>
          <w:b/>
          <w:sz w:val="32"/>
          <w:szCs w:val="32"/>
        </w:rPr>
      </w:pPr>
      <w:bookmarkStart w:id="37" w:name="_Toc358296531"/>
      <w:r>
        <w:rPr>
          <w:rFonts w:hint="eastAsia" w:ascii="仿宋_GB2312" w:hAnsi="宋体" w:eastAsia="仿宋_GB2312"/>
          <w:b/>
          <w:sz w:val="32"/>
          <w:szCs w:val="32"/>
        </w:rPr>
        <w:t>（二）微观交通分析</w:t>
      </w:r>
      <w:bookmarkEnd w:id="37"/>
    </w:p>
    <w:p w14:paraId="7B0B03ED">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肖坝片区内部道路中，肖坝路、绿心路均为城市主干道，海棠路、绿心南路为城市次干道，通过片区内部、外部城市主、次干道，能实现与城市各片区的连接。</w:t>
      </w:r>
    </w:p>
    <w:p w14:paraId="7A656057">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向东（至老城片区、岷江东岸）：肖坝路、滨河路、海棠路、大桥西街； </w:t>
      </w:r>
    </w:p>
    <w:p w14:paraId="7C6AC02B">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向西（至水口片区）：绿心南路（接乐沙生态大道）；</w:t>
      </w:r>
    </w:p>
    <w:p w14:paraId="0493D227">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向北（至柏杨坝片区、青江片区）：绿心路； </w:t>
      </w:r>
    </w:p>
    <w:p w14:paraId="1EE39728">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向南（至高新区）：大渡河大桥（接高新大道）。</w:t>
      </w:r>
    </w:p>
    <w:p w14:paraId="50D6661D">
      <w:pPr>
        <w:pStyle w:val="3"/>
        <w:numPr>
          <w:ilvl w:val="0"/>
          <w:numId w:val="3"/>
        </w:numPr>
        <w:adjustRightInd w:val="0"/>
        <w:spacing w:before="252" w:beforeLines="50" w:after="252" w:afterLines="50" w:line="720" w:lineRule="exact"/>
        <w:rPr>
          <w:rFonts w:ascii="方正黑体简体" w:hAnsi="宋体" w:eastAsia="方正黑体简体"/>
        </w:rPr>
      </w:pPr>
      <w:r>
        <w:rPr>
          <w:rFonts w:hint="eastAsia" w:ascii="方正黑体简体" w:hAnsi="宋体" w:eastAsia="方正黑体简体"/>
        </w:rPr>
        <w:t>与相关规划的衔接</w:t>
      </w:r>
      <w:bookmarkEnd w:id="33"/>
      <w:bookmarkEnd w:id="34"/>
      <w:bookmarkEnd w:id="35"/>
    </w:p>
    <w:p w14:paraId="58154B15">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本次规划主要与以下相关规划相衔接 ：</w:t>
      </w:r>
    </w:p>
    <w:p w14:paraId="67E89719">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1、《乐山市城市总体规划》（2011—2030） </w:t>
      </w:r>
    </w:p>
    <w:p w14:paraId="3D15EA56">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2、《乐山历史文化名城保护规划》 </w:t>
      </w:r>
    </w:p>
    <w:p w14:paraId="1DEF4194">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3、《乐山市中心城区肖坝片区控制性详细规划》（2013年）</w:t>
      </w:r>
    </w:p>
    <w:p w14:paraId="72F4A667">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4、《乐山市城市总体规划》（2011—2030）（2017版）</w:t>
      </w:r>
    </w:p>
    <w:p w14:paraId="626A9919">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5、《乐山市中心城区农贸市场专项规划》、《乐山市中心城区停车设施专项规划》、《乐山市中心城区公厕专项规划》、《乐山市中心城区教育布点专项规划》等专项规划。</w:t>
      </w:r>
    </w:p>
    <w:p w14:paraId="7AE08E67">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其中，《乐山市城市总体规划》（2011—2030）（2017版）为本次肖坝片区控制性详细规划的法定上位规划；而在2013版的肖坝片区控制性详细规划批准实施后，土地出让、方案报批都是按该规划的要求逐步实施，对本轮肖坝片区控制性详细规划影响较大；《乐山市城市总体规划》为现状城市总体规划的优化调整方案，对本轮肖坝控规有直接指导意义，因此，本次规划将着重对以上规划进行分析。</w:t>
      </w:r>
    </w:p>
    <w:p w14:paraId="53946F1E">
      <w:pPr>
        <w:spacing w:before="252" w:beforeLines="50" w:after="252" w:afterLines="50" w:line="720" w:lineRule="exact"/>
        <w:ind w:firstLine="598" w:firstLineChars="200"/>
        <w:rPr>
          <w:rFonts w:ascii="仿宋_GB2312" w:hAnsi="宋体" w:eastAsia="仿宋_GB2312"/>
          <w:b/>
          <w:sz w:val="32"/>
          <w:szCs w:val="32"/>
        </w:rPr>
      </w:pPr>
      <w:bookmarkStart w:id="38" w:name="_Toc358296533"/>
      <w:r>
        <w:rPr>
          <w:rFonts w:hint="eastAsia" w:ascii="仿宋_GB2312" w:hAnsi="宋体" w:eastAsia="仿宋_GB2312"/>
          <w:b/>
          <w:sz w:val="32"/>
          <w:szCs w:val="32"/>
        </w:rPr>
        <w:t>（一）《乐山市城市总体规划》（</w:t>
      </w:r>
      <w:r>
        <w:rPr>
          <w:rFonts w:ascii="仿宋_GB2312" w:hAnsi="宋体" w:eastAsia="仿宋_GB2312"/>
          <w:b/>
          <w:sz w:val="32"/>
          <w:szCs w:val="32"/>
        </w:rPr>
        <w:t>201</w:t>
      </w:r>
      <w:r>
        <w:rPr>
          <w:rFonts w:hint="eastAsia" w:ascii="仿宋_GB2312" w:hAnsi="宋体" w:eastAsia="仿宋_GB2312"/>
          <w:b/>
          <w:sz w:val="32"/>
          <w:szCs w:val="32"/>
        </w:rPr>
        <w:t>1</w:t>
      </w:r>
      <w:r>
        <w:rPr>
          <w:rFonts w:ascii="仿宋_GB2312" w:hAnsi="宋体" w:eastAsia="仿宋_GB2312"/>
          <w:b/>
          <w:sz w:val="32"/>
          <w:szCs w:val="32"/>
        </w:rPr>
        <w:t>-2030</w:t>
      </w:r>
      <w:r>
        <w:rPr>
          <w:rFonts w:hint="eastAsia" w:ascii="仿宋_GB2312" w:hAnsi="宋体" w:eastAsia="仿宋_GB2312"/>
          <w:b/>
          <w:sz w:val="32"/>
          <w:szCs w:val="32"/>
        </w:rPr>
        <w:t>）评析</w:t>
      </w:r>
      <w:bookmarkEnd w:id="38"/>
    </w:p>
    <w:p w14:paraId="02498275">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1、肖坝片区受总规发展方向的影响 </w:t>
      </w:r>
    </w:p>
    <w:p w14:paraId="09B05640">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根据用地的约束条件和功能布局，大城市的建设用地发展方向可以概括为“东控、南跃、西优、北延”。 </w:t>
      </w:r>
    </w:p>
    <w:p w14:paraId="09086034">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东控：保护大佛景区，严格控制岷江东侧、岷江二桥以南地区建设活动，优化景区配套服务功能；完善旧城区基础设施，优化旧城区综合环境。</w:t>
      </w:r>
    </w:p>
    <w:p w14:paraId="75713F02">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南跃：依托大渡河和岷江向南，形成沿江沿河产城单元，完善城市生活配套功能，拓展城市发展新空间。 </w:t>
      </w:r>
    </w:p>
    <w:p w14:paraId="240B2C22">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西优：依托峨眉河向西，合理控制建设用地规模和开发强度，优化峨眉河流域生态环境。 </w:t>
      </w:r>
    </w:p>
    <w:p w14:paraId="4CAAC56D">
      <w:pPr>
        <w:tabs>
          <w:tab w:val="left" w:pos="720"/>
        </w:tabs>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北延：沿青衣江、岷江和竹公溪向北，延伸城市生活空间。</w:t>
      </w:r>
    </w:p>
    <w:p w14:paraId="64311D83">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2、肖坝片区在总规发展战略中的定位</w:t>
      </w:r>
      <w:r>
        <w:rPr>
          <w:rFonts w:ascii="仿宋_GB2312" w:hAnsi="宋体" w:eastAsia="仿宋_GB2312"/>
          <w:sz w:val="32"/>
          <w:szCs w:val="32"/>
        </w:rPr>
        <w:t xml:space="preserve"> </w:t>
      </w:r>
    </w:p>
    <w:p w14:paraId="41F72524">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乐山市中心城区空间布局规划结构确定乐山市空间布局结构为：以嘉州绿心公园为中心，拓展东、北、西、西南、东南五翼，贯通山水，形成“山耸城中，城随山转，水穿城过，山水相映，融山、水、城于一体”的城市格局，以岷江、青衣江和大渡河为三条城市空间发展轴，以自然山体和永久性绿带分隔，从而形成了</w:t>
      </w:r>
      <w:r>
        <w:rPr>
          <w:rFonts w:ascii="仿宋_GB2312" w:hAnsi="宋体" w:eastAsia="仿宋_GB2312"/>
          <w:sz w:val="32"/>
          <w:szCs w:val="32"/>
        </w:rPr>
        <w:t xml:space="preserve"> </w:t>
      </w:r>
      <w:r>
        <w:rPr>
          <w:rFonts w:hint="eastAsia" w:ascii="仿宋_GB2312" w:hAnsi="宋体" w:eastAsia="仿宋_GB2312"/>
          <w:sz w:val="32"/>
          <w:szCs w:val="32"/>
        </w:rPr>
        <w:t>“三江、三区、三带”的城市结构，同时还形成了“一主六次”的城市中心布局。在此城市布局中，肖坝片区定位如下：</w:t>
      </w:r>
      <w:r>
        <w:rPr>
          <w:rFonts w:ascii="仿宋_GB2312" w:hAnsi="宋体" w:eastAsia="仿宋_GB2312"/>
          <w:sz w:val="32"/>
          <w:szCs w:val="32"/>
        </w:rPr>
        <w:t>老城片区以西、绿心以南，青衣江、大渡河所包围的区域。肖坝片区以现状高校和科研院所为基础，形成以教育科研、文化、居住功能为主的城市组团。</w:t>
      </w:r>
      <w:bookmarkEnd w:id="8"/>
      <w:bookmarkEnd w:id="9"/>
      <w:bookmarkStart w:id="39" w:name="_Toc358296534"/>
    </w:p>
    <w:p w14:paraId="095B96A1">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（二）《乐山市中心城区肖坝片区控制性详细规划》（2013年）评析</w:t>
      </w:r>
      <w:bookmarkEnd w:id="39"/>
    </w:p>
    <w:p w14:paraId="7482642D">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肖坝片区控制性详细规划》由乐山市城乡规划设计院编制完成，该轮规划确立了肖坝片区现状主干道路网结构，并确立肖坝片区形成以发展科研文教、文化、居住功能为主的城市综合新区的总体格局，在此轮规划指导下，涉及肖坝片区内的土地拍卖、出让、建设方案的报批以及市政道路、市政管线建设等一系列的建设行为都按该规划逐步有序实施。逐步形成以西部江山一品、金杯银滩为主的居住小区；以新业中心为主的中部商业地块；以斑竹印象为代表的东部还房小区，两所大学边界得到控制。城市空间结构基本成型。对肖坝片区的建设和发展起到了一定的指引和推动作用，同时奠定了肖坝片区空间结构和城市形态。</w:t>
      </w:r>
    </w:p>
    <w:p w14:paraId="6DE08A08">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（三）《乐山市城市总体规划》（</w:t>
      </w:r>
      <w:r>
        <w:rPr>
          <w:rFonts w:ascii="仿宋_GB2312" w:hAnsi="宋体" w:eastAsia="仿宋_GB2312"/>
          <w:b/>
          <w:sz w:val="32"/>
          <w:szCs w:val="32"/>
        </w:rPr>
        <w:t>201</w:t>
      </w:r>
      <w:r>
        <w:rPr>
          <w:rFonts w:hint="eastAsia" w:ascii="仿宋_GB2312" w:hAnsi="宋体" w:eastAsia="仿宋_GB2312"/>
          <w:b/>
          <w:sz w:val="32"/>
          <w:szCs w:val="32"/>
        </w:rPr>
        <w:t>1</w:t>
      </w:r>
      <w:r>
        <w:rPr>
          <w:rFonts w:ascii="仿宋_GB2312" w:hAnsi="宋体" w:eastAsia="仿宋_GB2312"/>
          <w:b/>
          <w:sz w:val="32"/>
          <w:szCs w:val="32"/>
        </w:rPr>
        <w:t>-2030</w:t>
      </w:r>
      <w:r>
        <w:rPr>
          <w:rFonts w:hint="eastAsia" w:ascii="仿宋_GB2312" w:hAnsi="宋体" w:eastAsia="仿宋_GB2312"/>
          <w:b/>
          <w:sz w:val="32"/>
          <w:szCs w:val="32"/>
        </w:rPr>
        <w:t>）（2017版）评析</w:t>
      </w:r>
    </w:p>
    <w:p w14:paraId="4666F79C">
      <w:pPr>
        <w:spacing w:line="720" w:lineRule="exact"/>
        <w:ind w:firstLine="598" w:firstLineChars="200"/>
        <w:rPr>
          <w:rFonts w:hint="eastAsia" w:ascii="仿宋_GB2312" w:eastAsia="仿宋_GB2312"/>
          <w:b/>
          <w:sz w:val="32"/>
          <w:szCs w:val="32"/>
        </w:rPr>
      </w:pPr>
      <w:r>
        <w:rPr>
          <w:rFonts w:hint="eastAsia" w:ascii="仿宋_GB2312" w:eastAsia="仿宋_GB2312"/>
          <w:sz w:val="32"/>
          <w:szCs w:val="32"/>
        </w:rPr>
        <w:t>根据用地的约束条件和功能布局，乐山中心城区建设用地发展方向可概括为：</w:t>
      </w:r>
      <w:r>
        <w:rPr>
          <w:rFonts w:hint="eastAsia" w:ascii="仿宋_GB2312" w:eastAsia="仿宋_GB2312"/>
          <w:b/>
          <w:sz w:val="32"/>
          <w:szCs w:val="32"/>
        </w:rPr>
        <w:t>“西进南拓、中心提升、优化西南、控制东部、完善北部”。</w:t>
      </w:r>
    </w:p>
    <w:p w14:paraId="6F088A63">
      <w:pPr>
        <w:spacing w:line="720" w:lineRule="exact"/>
        <w:ind w:firstLine="598" w:firstLineChars="200"/>
        <w:rPr>
          <w:rFonts w:hint="eastAsia" w:ascii="仿宋_GB2312" w:eastAsia="仿宋_GB2312"/>
          <w:sz w:val="32"/>
          <w:szCs w:val="32"/>
        </w:rPr>
      </w:pPr>
      <w:r>
        <w:rPr>
          <w:rFonts w:hint="eastAsia" w:ascii="仿宋_GB2312" w:eastAsia="仿宋_GB2312"/>
          <w:b/>
          <w:sz w:val="32"/>
          <w:szCs w:val="32"/>
        </w:rPr>
        <w:t>西进南拓、中心提升</w:t>
      </w:r>
      <w:r>
        <w:rPr>
          <w:rFonts w:hint="eastAsia" w:ascii="仿宋_GB2312" w:eastAsia="仿宋_GB2312"/>
          <w:sz w:val="32"/>
          <w:szCs w:val="32"/>
        </w:rPr>
        <w:t>：乐山中心城区主要向西部苏片区和南部五通桥片区拓展城市发展新空间，同时优化提升嘉州中心片区的基础设施和综合环境。</w:t>
      </w:r>
    </w:p>
    <w:p w14:paraId="10E08631">
      <w:pPr>
        <w:spacing w:line="720" w:lineRule="exact"/>
        <w:ind w:firstLine="598" w:firstLineChars="200"/>
        <w:rPr>
          <w:rFonts w:hint="eastAsia" w:ascii="仿宋_GB2312" w:eastAsia="仿宋_GB2312"/>
          <w:sz w:val="32"/>
          <w:szCs w:val="32"/>
        </w:rPr>
      </w:pPr>
      <w:r>
        <w:rPr>
          <w:rFonts w:hint="eastAsia" w:ascii="仿宋_GB2312" w:eastAsia="仿宋_GB2312"/>
          <w:b/>
          <w:sz w:val="32"/>
          <w:szCs w:val="32"/>
        </w:rPr>
        <w:t>控制东部、完善北部、优化西南</w:t>
      </w:r>
      <w:r>
        <w:rPr>
          <w:rFonts w:hint="eastAsia" w:ascii="仿宋_GB2312" w:eastAsia="仿宋_GB2312"/>
          <w:sz w:val="32"/>
          <w:szCs w:val="32"/>
        </w:rPr>
        <w:t>：保护大佛景区，严格控制岷江东侧的建设活动，优化景区配套服务功能；沿青衣江、岷江和竹公溪向北完善城市的生活配套空间；西南沙湾片区，置换或退出污染严重的工矿企业，优化生态环境建设和城市环境，打造生态绿岛新城。</w:t>
      </w:r>
    </w:p>
    <w:p w14:paraId="15C34188">
      <w:pPr>
        <w:spacing w:line="720" w:lineRule="exact"/>
        <w:ind w:firstLine="598" w:firstLineChars="200"/>
        <w:rPr>
          <w:rFonts w:hint="eastAsia" w:ascii="仿宋_GB2312" w:eastAsia="仿宋_GB2312"/>
          <w:sz w:val="32"/>
          <w:szCs w:val="32"/>
        </w:rPr>
      </w:pPr>
      <w:r>
        <w:rPr>
          <w:rFonts w:hint="eastAsia" w:ascii="仿宋_GB2312" w:eastAsia="仿宋_GB2312"/>
          <w:b/>
          <w:sz w:val="32"/>
          <w:szCs w:val="32"/>
        </w:rPr>
        <w:t>城市空间结构</w:t>
      </w:r>
      <w:r>
        <w:rPr>
          <w:rFonts w:hint="eastAsia" w:ascii="仿宋_GB2312" w:eastAsia="仿宋_GB2312"/>
          <w:sz w:val="32"/>
          <w:szCs w:val="32"/>
        </w:rPr>
        <w:t>：结合乐山近期建设“一城两新区”的行动，即旧城以疏解为主，严格实行腾空建绿，修复文化遗址，塑造城市景观，再现历史文化名城的魅力：苏稽新区和冠英新区建设乐山文化旅游新中心和现代经济新中心。以及乐山城市极化发展，特色发展模式，7－10公里合理半径组织若干组团，形成产城片区原则，规划乐山城市的理想蓝图结构为</w:t>
      </w:r>
      <w:r>
        <w:rPr>
          <w:rFonts w:hint="eastAsia" w:ascii="仿宋_GB2312" w:eastAsia="仿宋_GB2312"/>
          <w:b/>
          <w:sz w:val="32"/>
          <w:szCs w:val="32"/>
        </w:rPr>
        <w:t>：“一核三城多组团，百里画卷山水城”</w:t>
      </w:r>
      <w:r>
        <w:rPr>
          <w:rFonts w:hint="eastAsia" w:ascii="仿宋_GB2312" w:eastAsia="仿宋_GB2312"/>
          <w:sz w:val="32"/>
          <w:szCs w:val="32"/>
        </w:rPr>
        <w:t>。</w:t>
      </w:r>
    </w:p>
    <w:p w14:paraId="70052BA8">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一核”是指乐山国际旅游目的地核心圈。</w:t>
      </w:r>
    </w:p>
    <w:p w14:paraId="2F061ECE">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“三城”是指由嘉州、苏稽、高新三片坏三江聚合为乐山中心主城、五通桥循环经济产业新城、沙湾文旅融合生态新城。</w:t>
      </w:r>
    </w:p>
    <w:p w14:paraId="7FB28716">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“多组团”多个景产城组团。</w:t>
      </w:r>
    </w:p>
    <w:p w14:paraId="50447ACE">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坚持“绿色打底，山河为骨、文化为魂”，景城相融，最终形成“百里画卷山水城”的城市格局。</w:t>
      </w:r>
    </w:p>
    <w:p w14:paraId="23E24C95">
      <w:pPr>
        <w:spacing w:line="720" w:lineRule="exact"/>
        <w:ind w:firstLine="598" w:firstLineChars="200"/>
        <w:rPr>
          <w:rFonts w:hint="eastAsia" w:ascii="仿宋_GB2312" w:eastAsia="仿宋_GB2312"/>
          <w:sz w:val="32"/>
          <w:szCs w:val="32"/>
        </w:rPr>
      </w:pPr>
      <w:r>
        <w:rPr>
          <w:rFonts w:hint="eastAsia" w:ascii="仿宋_GB2312" w:eastAsia="仿宋_GB2312"/>
          <w:b/>
          <w:sz w:val="32"/>
          <w:szCs w:val="32"/>
        </w:rPr>
        <w:t>功能组织：</w:t>
      </w:r>
      <w:r>
        <w:rPr>
          <w:rFonts w:hint="eastAsia" w:ascii="仿宋_GB2312" w:eastAsia="仿宋_GB2312"/>
          <w:sz w:val="32"/>
          <w:szCs w:val="32"/>
        </w:rPr>
        <w:t>乐山中心城区规划形成“7+11”功能空间，即规划7个城市职能空间和11个旅游职能空间。</w:t>
      </w:r>
    </w:p>
    <w:p w14:paraId="6C592562">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1、7个城市职能空间</w:t>
      </w:r>
    </w:p>
    <w:p w14:paraId="6FDDE633">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（1）嘉州片区：历史文化、旅游服务、城市客厅和传统商业服务，部分生活居住；</w:t>
      </w:r>
    </w:p>
    <w:p w14:paraId="38130EFA">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（2）苏稽片区：文化体育和大学城、文化休闲旅游，部分生活居住；</w:t>
      </w:r>
    </w:p>
    <w:p w14:paraId="505DB4D4">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（3）高新片区：总部经济、科创信息、金融商务、行政办公、文化创意，医疗健康、部分生活居住；</w:t>
      </w:r>
    </w:p>
    <w:p w14:paraId="34322780">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（4）冠英片区：会展商贸、文化旅游和南部产业新城服务中心，部分生活居住；</w:t>
      </w:r>
    </w:p>
    <w:p w14:paraId="0775302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（5）五通桥片区：古镇旅游和循环经济产业，部分生活居住；</w:t>
      </w:r>
    </w:p>
    <w:p w14:paraId="1D831D5E">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（6）沙湾片区：文化旅游、生态康养水城和工旅融合的绿色特色加工产业，部分生活居住；</w:t>
      </w:r>
    </w:p>
    <w:p w14:paraId="1D068FFD">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（7）牟子：生活居住。</w:t>
      </w:r>
    </w:p>
    <w:p w14:paraId="171FED07">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2、11个旅游职能空间</w:t>
      </w:r>
    </w:p>
    <w:p w14:paraId="3CB4F94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（1）乐山大佛景区：观光游憩、佛禅文化体验；</w:t>
      </w:r>
    </w:p>
    <w:p w14:paraId="23C88AFA">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（2）嘉州长卷文化休闲禅修康养板块：滨水休闲、禅修康养、佛文化旅游；</w:t>
      </w:r>
    </w:p>
    <w:p w14:paraId="1751237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（3）岷江生态湿地公园板块：湿地休闲渡假、水上运动；</w:t>
      </w:r>
    </w:p>
    <w:p w14:paraId="46A88091">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（4）竹公溪－九百洞生态湿地：生态湿地游憩、休闲度假；</w:t>
      </w:r>
    </w:p>
    <w:p w14:paraId="5FC71495">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（5）绿心生态公园：都市森林、运动休闲、海棠香国；</w:t>
      </w:r>
    </w:p>
    <w:p w14:paraId="6216499B">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（6）水口湿地休闲度假板块：湿地休闲度假、水上运动；</w:t>
      </w:r>
    </w:p>
    <w:p w14:paraId="1FEF1BD2">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（7）苏稽古镇文创运动休闲板块：结合苏稽古镇、鸟木博览苑、狄坪村窑址、峨眉河湾、西牛山郊野公园打造文化创意休闲、山地运动区；</w:t>
      </w:r>
    </w:p>
    <w:p w14:paraId="2BFCA23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（8）至乐山精品度假板块：结合洛都寺、菩提塔苑、至乐山森林公园打造以望佛禅修为主的精品度假板块；</w:t>
      </w:r>
    </w:p>
    <w:p w14:paraId="0E14A971">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（9）沙湾乐水小镇休闲度假板块：滨水休闲度假、生态康养和文化旅游；</w:t>
      </w:r>
    </w:p>
    <w:p w14:paraId="19941FED">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（10）五通桥古镇旅游板块：结合古镇、小西湖、花木科技园共同形成集盐文化体验、古镇旅游、花木观光于一体的旅游板块；</w:t>
      </w:r>
    </w:p>
    <w:p w14:paraId="24B87EC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（11）故宫文物南迁遗址公园：结合故宫文物南迁博物馆、泊滩堰打造文化展览、休闲旅游板块。</w:t>
      </w:r>
    </w:p>
    <w:p w14:paraId="5A168258">
      <w:pPr>
        <w:spacing w:line="720" w:lineRule="exact"/>
        <w:ind w:firstLine="598" w:firstLineChars="200"/>
        <w:rPr>
          <w:rFonts w:ascii="方正黑体简体" w:hAnsi="宋体" w:eastAsia="方正黑体简体"/>
          <w:sz w:val="28"/>
          <w:szCs w:val="28"/>
        </w:rPr>
      </w:pPr>
      <w:r>
        <w:rPr>
          <w:rFonts w:hint="eastAsia" w:ascii="仿宋_GB2312" w:hAnsi="宋体" w:eastAsia="仿宋_GB2312"/>
          <w:b/>
          <w:sz w:val="32"/>
          <w:szCs w:val="32"/>
        </w:rPr>
        <w:t>肖坝片区</w:t>
      </w:r>
      <w:r>
        <w:rPr>
          <w:rFonts w:hint="eastAsia" w:ascii="仿宋_GB2312" w:eastAsia="仿宋_GB2312"/>
          <w:b/>
          <w:sz w:val="32"/>
          <w:szCs w:val="32"/>
        </w:rPr>
        <w:t>在新总规中定</w:t>
      </w:r>
      <w:r>
        <w:rPr>
          <w:rFonts w:hint="eastAsia" w:ascii="仿宋_GB2312" w:hAnsi="宋体" w:eastAsia="仿宋_GB2312"/>
          <w:b/>
          <w:sz w:val="32"/>
          <w:szCs w:val="32"/>
        </w:rPr>
        <w:t>位</w:t>
      </w:r>
      <w:r>
        <w:rPr>
          <w:rFonts w:hint="eastAsia" w:ascii="仿宋_GB2312" w:hAnsi="宋体" w:eastAsia="仿宋_GB2312"/>
          <w:sz w:val="32"/>
          <w:szCs w:val="32"/>
        </w:rPr>
        <w:t>：</w:t>
      </w:r>
      <w:bookmarkStart w:id="40" w:name="_Toc420499401"/>
      <w:bookmarkStart w:id="41" w:name="_Toc414632119"/>
      <w:r>
        <w:rPr>
          <w:rFonts w:hint="eastAsia" w:ascii="仿宋_GB2312" w:hAnsi="宋体" w:eastAsia="仿宋_GB2312"/>
          <w:sz w:val="32"/>
          <w:szCs w:val="32"/>
        </w:rPr>
        <w:t>以教育和居住功能为主的城市区。</w:t>
      </w:r>
    </w:p>
    <w:p w14:paraId="5B3FEAE1">
      <w:pPr>
        <w:pStyle w:val="2"/>
        <w:adjustRightInd w:val="0"/>
        <w:spacing w:before="252" w:beforeLines="50" w:after="252" w:afterLines="50" w:line="720" w:lineRule="exact"/>
        <w:rPr>
          <w:rFonts w:ascii="方正黑体简体" w:eastAsia="方正黑体简体"/>
          <w:kern w:val="2"/>
          <w:sz w:val="44"/>
        </w:rPr>
      </w:pPr>
      <w:bookmarkStart w:id="42" w:name="_Toc358296535"/>
      <w:r>
        <w:rPr>
          <w:rFonts w:hint="eastAsia" w:ascii="方正黑体简体" w:eastAsia="方正黑体简体"/>
          <w:kern w:val="2"/>
          <w:sz w:val="44"/>
        </w:rPr>
        <w:t>第二章</w:t>
      </w:r>
      <w:r>
        <w:rPr>
          <w:rFonts w:ascii="方正黑体简体" w:eastAsia="方正黑体简体"/>
          <w:kern w:val="2"/>
          <w:sz w:val="44"/>
        </w:rPr>
        <w:t xml:space="preserve">  </w:t>
      </w:r>
      <w:r>
        <w:rPr>
          <w:rFonts w:hint="eastAsia" w:ascii="方正黑体简体" w:eastAsia="方正黑体简体"/>
          <w:kern w:val="2"/>
          <w:sz w:val="44"/>
        </w:rPr>
        <w:t>发展定位</w:t>
      </w:r>
      <w:bookmarkEnd w:id="40"/>
      <w:bookmarkEnd w:id="41"/>
      <w:bookmarkEnd w:id="42"/>
    </w:p>
    <w:p w14:paraId="131B3F3D">
      <w:pPr>
        <w:pStyle w:val="3"/>
        <w:adjustRightInd w:val="0"/>
        <w:spacing w:before="252" w:beforeLines="50" w:after="252" w:afterLines="50" w:line="720" w:lineRule="exact"/>
        <w:rPr>
          <w:rFonts w:ascii="方正黑体简体" w:hAnsi="宋体" w:eastAsia="方正黑体简体"/>
        </w:rPr>
      </w:pPr>
      <w:bookmarkStart w:id="43" w:name="_Toc358296536"/>
      <w:r>
        <w:rPr>
          <w:rFonts w:hint="eastAsia" w:ascii="方正黑体简体" w:hAnsi="宋体" w:eastAsia="方正黑体简体"/>
        </w:rPr>
        <w:t xml:space="preserve">一、 </w:t>
      </w:r>
      <w:bookmarkStart w:id="44" w:name="_Toc420499402"/>
      <w:bookmarkStart w:id="45" w:name="_Toc414632120"/>
      <w:r>
        <w:rPr>
          <w:rFonts w:hint="eastAsia" w:ascii="方正黑体简体" w:hAnsi="宋体" w:eastAsia="方正黑体简体"/>
        </w:rPr>
        <w:t>基地现状分析</w:t>
      </w:r>
      <w:bookmarkEnd w:id="43"/>
      <w:bookmarkEnd w:id="44"/>
      <w:bookmarkEnd w:id="45"/>
    </w:p>
    <w:p w14:paraId="73FBEABF">
      <w:pPr>
        <w:pStyle w:val="4"/>
        <w:numPr>
          <w:ilvl w:val="0"/>
          <w:numId w:val="0"/>
        </w:numPr>
        <w:spacing w:before="252" w:beforeLines="50" w:after="252" w:afterLines="50" w:line="720" w:lineRule="exact"/>
        <w:ind w:left="425"/>
        <w:rPr>
          <w:rFonts w:ascii="仿宋_GB2312" w:hAnsi="宋体" w:eastAsia="仿宋_GB2312"/>
          <w:bCs w:val="0"/>
        </w:rPr>
      </w:pPr>
      <w:r>
        <w:rPr>
          <w:rFonts w:hint="eastAsia" w:ascii="仿宋_GB2312" w:hAnsi="宋体" w:eastAsia="仿宋_GB2312"/>
          <w:bCs w:val="0"/>
        </w:rPr>
        <w:t>（一）自然环境条件</w:t>
      </w:r>
    </w:p>
    <w:p w14:paraId="5440774E">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肖坝片区规划范围包括老城片区以西，绿心以南，青衣江、大渡河所包围的区域,面积约3.4</w:t>
      </w:r>
      <w:r>
        <w:rPr>
          <w:rFonts w:hint="eastAsia" w:ascii="仿宋_GB2312" w:eastAsia="仿宋_GB2312"/>
          <w:sz w:val="32"/>
          <w:szCs w:val="32"/>
          <w:lang w:val="en-US" w:eastAsia="zh-CN"/>
        </w:rPr>
        <w:t>6</w:t>
      </w:r>
      <w:r>
        <w:rPr>
          <w:rFonts w:hint="eastAsia" w:ascii="仿宋_GB2312" w:eastAsia="仿宋_GB2312"/>
          <w:sz w:val="32"/>
          <w:szCs w:val="32"/>
        </w:rPr>
        <w:t>平方公里。</w:t>
      </w:r>
    </w:p>
    <w:p w14:paraId="70F3CD37">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规划区所处区域西北部、东北部为浅丘及自然山体；中部、南部用地较为平坦。区域内的制高点位于西北部斧头山，高程430.49米。</w:t>
      </w:r>
    </w:p>
    <w:p w14:paraId="7C397626">
      <w:pPr>
        <w:spacing w:line="760" w:lineRule="exact"/>
        <w:ind w:firstLine="598" w:firstLineChars="200"/>
        <w:rPr>
          <w:rFonts w:hint="eastAsia" w:ascii="仿宋_GB2312" w:hAnsi="宋体" w:eastAsia="仿宋_GB2312"/>
          <w:sz w:val="32"/>
          <w:szCs w:val="32"/>
        </w:rPr>
      </w:pPr>
      <w:r>
        <w:rPr>
          <w:rFonts w:hint="eastAsia" w:ascii="仿宋_GB2312" w:eastAsia="仿宋_GB2312"/>
          <w:sz w:val="32"/>
          <w:szCs w:val="32"/>
        </w:rPr>
        <w:t>肖坝片区大面积为第四系更新统，下部为砾石层，上部为褐黄色亚粘土。区内无大的断裂通过，初步探明该区域无不良地质，适宜各类工程建设。地震方面，乐山市位于地震活动强烈的南北地震带中南段的东缘，是多发地震区。片区地震烈度为7度。</w:t>
      </w:r>
    </w:p>
    <w:p w14:paraId="409DAB52">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乐山属中亚热带湿润气候带，四季分明，雨量充沛，年均降雨1367.0毫米；无霜期长；年平均气温17.2℃，平均日照时数为1178小时;相对湿度为81%;主导风向为偏北风。</w:t>
      </w:r>
    </w:p>
    <w:p w14:paraId="5EFE2D6E">
      <w:pPr>
        <w:pStyle w:val="4"/>
        <w:numPr>
          <w:ilvl w:val="0"/>
          <w:numId w:val="0"/>
        </w:numPr>
        <w:spacing w:before="252" w:beforeLines="50" w:after="252" w:afterLines="50" w:line="720" w:lineRule="exact"/>
        <w:ind w:left="425"/>
        <w:rPr>
          <w:rFonts w:hint="eastAsia" w:ascii="仿宋_GB2312" w:hAnsi="宋体" w:eastAsia="仿宋_GB2312"/>
          <w:bCs w:val="0"/>
        </w:rPr>
      </w:pPr>
      <w:r>
        <w:rPr>
          <w:rFonts w:hint="eastAsia" w:ascii="仿宋_GB2312" w:hAnsi="宋体" w:eastAsia="仿宋_GB2312"/>
          <w:bCs w:val="0"/>
        </w:rPr>
        <w:t>（二）现行控规实施评估</w:t>
      </w:r>
    </w:p>
    <w:p w14:paraId="60423C7F">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随着国家到市上一系列方针政策的出台，肖坝片区迎来一个新的发展契机，在功能结构上亟待提高，主要体现在以下几方面：</w:t>
      </w:r>
    </w:p>
    <w:p w14:paraId="3B1C50E5">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1、根据社区管理资料，现状大田、共和、肖坝三个社区城镇户籍人口为1.7万人，流动人口约3万人，其中大部分为成都理工在校学生。</w:t>
      </w:r>
    </w:p>
    <w:p w14:paraId="51CA9986">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2、现状交通拥堵： </w:t>
      </w:r>
    </w:p>
    <w:p w14:paraId="26A5D412">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（1）肖坝片区居住功能凸显，后期地块开发强度较大，如艳澜州、蓝山湾、新业中心等商住项目，对人口产生强大引力，导致在主要路口出现较多左转车辆，对道路顺畅度影响较大。 </w:t>
      </w:r>
    </w:p>
    <w:p w14:paraId="5855FFBA">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2）随着高新区的转型升级，乐沙快速路的建成，肖坝片区成为高新区及沙湾区车流进入主城区的重要枢纽。城市交通对车子大桥及绿心路口的设计提出来新的要求，目前车子大桥及引桥部分宽度改造已完成，绿心路口及隧道改造还处于方案比选阶段。 </w:t>
      </w:r>
    </w:p>
    <w:p w14:paraId="6A9D59A2">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（3）路外独立停车场数量过少。</w:t>
      </w:r>
    </w:p>
    <w:p w14:paraId="33046324">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3、教育设施现状分析 </w:t>
      </w:r>
    </w:p>
    <w:p w14:paraId="71994F05">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据现状调查，目前肖坝片区教育科研用地约112.92公顷，其中大学及技术学校占地103.78公顷，占该类用地的90.07%，中小学及幼儿园用地仅占该类用地的9.93%。乐山外国语中学及小学均为民办学校，招生来源为全乐山，该片区尚无公办中小学。 </w:t>
      </w:r>
    </w:p>
    <w:p w14:paraId="36E1DB0A">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结论：肖坝片区学校众多，但中小学用地规模偏小，不满足中小学人均用地标准以及未来城市发展需求；公立教学资源匮乏。 </w:t>
      </w:r>
    </w:p>
    <w:p w14:paraId="10207C57">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4、医疗卫生现状分析 </w:t>
      </w:r>
    </w:p>
    <w:p w14:paraId="60609616">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目前肖坝片区内尚无公立医院，该片区居民就医通常前往老城片区或柏杨坝片区这两处医院相对集中区域。 肖坝社区卫生院位于片区中部，理工大学南侧，占地面积1400平米。乐山市中心血站位于片区东北端，占地面积13700平米。</w:t>
      </w:r>
    </w:p>
    <w:p w14:paraId="43719DC2">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5、商业服务业分布现状</w:t>
      </w:r>
    </w:p>
    <w:p w14:paraId="11ED0F52">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主要存在问题 </w:t>
      </w:r>
    </w:p>
    <w:p w14:paraId="1F1A69A0">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（1）商业设施标准较低，规划区内除新业中心和满庭芳为集中式商业外，其余商业基本以沿街底商为主； </w:t>
      </w:r>
    </w:p>
    <w:p w14:paraId="175081DB">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（2）缺少商务设施，规划区内仅有一处。 </w:t>
      </w:r>
    </w:p>
    <w:p w14:paraId="7801D759">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（3）娱乐康体失衡，规划内娱乐康体主要依赖商业设施及底商配置； </w:t>
      </w:r>
    </w:p>
    <w:p w14:paraId="2D19175F">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（4）公用设施营业网点，除加油加气站外，其余公用设施缺少独立用地，多以底商形式为主。 </w:t>
      </w:r>
    </w:p>
    <w:p w14:paraId="61124ABC">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6、商业用地 </w:t>
      </w:r>
    </w:p>
    <w:p w14:paraId="6CE780E6">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依据规划，新业中心建成投入使用，结束了肖坝片区无独立复合式商业中心的历史。绿心路西侧商业地块因城市双修、生态保护等问题在本版规划中需要调整用地属性。 </w:t>
      </w:r>
    </w:p>
    <w:p w14:paraId="46044BE5">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7、农贸市场 </w:t>
      </w:r>
    </w:p>
    <w:p w14:paraId="4DEB9C9D">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  农贸市场按照规划修建，分别为嘉州新城农贸市场和大田农贸市场。斑竹农贸市场为临时建筑，因绿心保护措施的推进，已停止使用。 </w:t>
      </w:r>
    </w:p>
    <w:p w14:paraId="26220B2A">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8、公用设施营业网点用地 </w:t>
      </w:r>
    </w:p>
    <w:p w14:paraId="34727365">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规划区内公用设施营业网点用地消防支队东侧加油站、CNG加气站和中部科贸加油站、斑竹湾加油站三处，主要分布在区域内东部，分布较为集中。 </w:t>
      </w:r>
    </w:p>
    <w:p w14:paraId="0D596257">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9、城市建成区与绿心边界控制 </w:t>
      </w:r>
    </w:p>
    <w:p w14:paraId="097A4B0F">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乐山师范学院北面即为绿心，据现场踏勘，边界控制较好，过渡带内农房也进入有序拆迁阶段。 </w:t>
      </w:r>
    </w:p>
    <w:p w14:paraId="20FC0F20">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根据现场航拍调查，成都理工、斑竹湾小区周围没有出现侵犯绿心边界的违建行为，过渡地带内多为待拆迁的农房及待运的建筑垃圾。</w:t>
      </w:r>
    </w:p>
    <w:p w14:paraId="69B730A8">
      <w:pPr>
        <w:pStyle w:val="4"/>
        <w:numPr>
          <w:ilvl w:val="0"/>
          <w:numId w:val="0"/>
        </w:numPr>
        <w:spacing w:before="252" w:beforeLines="50" w:after="252" w:afterLines="50" w:line="720" w:lineRule="exact"/>
        <w:ind w:left="425"/>
        <w:rPr>
          <w:rFonts w:hint="eastAsia" w:ascii="仿宋_GB2312" w:hAnsi="宋体" w:eastAsia="仿宋_GB2312"/>
          <w:bCs w:val="0"/>
        </w:rPr>
      </w:pPr>
      <w:r>
        <w:rPr>
          <w:rFonts w:hint="eastAsia" w:ascii="仿宋_GB2312" w:hAnsi="宋体" w:eastAsia="仿宋_GB2312"/>
          <w:bCs w:val="0"/>
        </w:rPr>
        <w:t>（三）土地利用现状分析</w:t>
      </w:r>
    </w:p>
    <w:p w14:paraId="435BFB7B">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肖坝片区现状发展不均衡，其中东部建设较为成熟，片区内有成都理工大学、乐山市职业技术学院（斑竹湾校区）等高等院校和乐山外国语学校以及嘉州新城、蓝山湾、斑竹印象、大田还房、斑竹统建还房等居住小区，也有部分工业用地和农林用地穿插其间，城市建设用地主要分布在片区东部和南部。</w:t>
      </w:r>
    </w:p>
    <w:p w14:paraId="2CDF057E">
      <w:pPr>
        <w:spacing w:line="760" w:lineRule="exact"/>
        <w:ind w:firstLine="598" w:firstLineChars="200"/>
        <w:rPr>
          <w:rFonts w:hint="eastAsia" w:ascii="仿宋_GB2312" w:eastAsia="仿宋_GB2312"/>
          <w:sz w:val="32"/>
          <w:szCs w:val="32"/>
        </w:rPr>
      </w:pPr>
      <w:r>
        <w:rPr>
          <w:rFonts w:hint="eastAsia" w:ascii="仿宋_GB2312" w:eastAsia="仿宋_GB2312"/>
          <w:sz w:val="32"/>
          <w:szCs w:val="32"/>
        </w:rPr>
        <w:t>现状城市建设用地约3.05公顷。</w:t>
      </w:r>
    </w:p>
    <w:p w14:paraId="02B47875">
      <w:pPr>
        <w:spacing w:line="720" w:lineRule="exact"/>
        <w:jc w:val="center"/>
        <w:rPr>
          <w:rFonts w:hint="eastAsia" w:ascii="方正黑体简体" w:hAnsi="宋体" w:eastAsia="方正黑体简体"/>
          <w:b/>
          <w:sz w:val="30"/>
          <w:szCs w:val="30"/>
          <w:lang w:val="zh-CN"/>
        </w:rPr>
      </w:pPr>
      <w:bookmarkStart w:id="46" w:name="_Toc222888797"/>
      <w:r>
        <w:rPr>
          <w:rFonts w:hint="eastAsia" w:ascii="方正黑体简体" w:hAnsi="宋体" w:eastAsia="方正黑体简体"/>
          <w:b/>
          <w:sz w:val="30"/>
          <w:szCs w:val="30"/>
          <w:lang w:val="zh-CN"/>
        </w:rPr>
        <w:t>现状用地统计表</w:t>
      </w:r>
      <w:bookmarkEnd w:id="46"/>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435"/>
        <w:gridCol w:w="654"/>
        <w:gridCol w:w="675"/>
        <w:gridCol w:w="2143"/>
        <w:gridCol w:w="1092"/>
        <w:gridCol w:w="1333"/>
        <w:gridCol w:w="1183"/>
      </w:tblGrid>
      <w:tr w14:paraId="728F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noWrap w:val="0"/>
            <w:vAlign w:val="center"/>
          </w:tcPr>
          <w:p w14:paraId="7A121053">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序</w:t>
            </w:r>
          </w:p>
          <w:p w14:paraId="20AB272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号</w:t>
            </w:r>
          </w:p>
        </w:tc>
        <w:tc>
          <w:tcPr>
            <w:tcW w:w="435" w:type="dxa"/>
            <w:noWrap w:val="0"/>
            <w:vAlign w:val="center"/>
          </w:tcPr>
          <w:p w14:paraId="4898698A">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代</w:t>
            </w:r>
          </w:p>
          <w:p w14:paraId="58F5FA9F">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码</w:t>
            </w:r>
          </w:p>
        </w:tc>
        <w:tc>
          <w:tcPr>
            <w:tcW w:w="3472" w:type="dxa"/>
            <w:gridSpan w:val="3"/>
            <w:noWrap w:val="0"/>
            <w:vAlign w:val="center"/>
          </w:tcPr>
          <w:p w14:paraId="3C890F3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用地类别名称</w:t>
            </w:r>
          </w:p>
        </w:tc>
        <w:tc>
          <w:tcPr>
            <w:tcW w:w="1092" w:type="dxa"/>
            <w:noWrap w:val="0"/>
            <w:vAlign w:val="center"/>
          </w:tcPr>
          <w:p w14:paraId="214B858D">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面积</w:t>
            </w:r>
          </w:p>
          <w:p w14:paraId="5CBD655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（公顷）</w:t>
            </w:r>
          </w:p>
        </w:tc>
        <w:tc>
          <w:tcPr>
            <w:tcW w:w="1333" w:type="dxa"/>
            <w:noWrap w:val="0"/>
            <w:vAlign w:val="center"/>
          </w:tcPr>
          <w:p w14:paraId="06794BA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比例</w:t>
            </w:r>
          </w:p>
          <w:p w14:paraId="72D35F83">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w:t>
            </w:r>
          </w:p>
        </w:tc>
        <w:tc>
          <w:tcPr>
            <w:tcW w:w="1183" w:type="dxa"/>
            <w:noWrap w:val="0"/>
            <w:vAlign w:val="top"/>
          </w:tcPr>
          <w:p w14:paraId="2FE5411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备注</w:t>
            </w:r>
          </w:p>
        </w:tc>
      </w:tr>
      <w:tr w14:paraId="56D2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71C1DC2A">
            <w:pPr>
              <w:pStyle w:val="67"/>
              <w:spacing w:line="320" w:lineRule="exact"/>
              <w:ind w:firstLine="0" w:firstLineChars="0"/>
              <w:jc w:val="center"/>
              <w:rPr>
                <w:rFonts w:ascii="方正黑体简体" w:hAnsi="宋体" w:eastAsia="方正黑体简体"/>
                <w:sz w:val="24"/>
              </w:rPr>
            </w:pPr>
            <w:r>
              <w:rPr>
                <w:rFonts w:ascii="方正黑体简体" w:hAnsi="宋体" w:eastAsia="方正黑体简体"/>
                <w:sz w:val="24"/>
              </w:rPr>
              <w:t>1</w:t>
            </w:r>
          </w:p>
        </w:tc>
        <w:tc>
          <w:tcPr>
            <w:tcW w:w="435" w:type="dxa"/>
            <w:vMerge w:val="restart"/>
            <w:noWrap w:val="0"/>
            <w:vAlign w:val="center"/>
          </w:tcPr>
          <w:p w14:paraId="6EDAB7E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R</w:t>
            </w:r>
          </w:p>
        </w:tc>
        <w:tc>
          <w:tcPr>
            <w:tcW w:w="3472" w:type="dxa"/>
            <w:gridSpan w:val="3"/>
            <w:noWrap w:val="0"/>
            <w:vAlign w:val="center"/>
          </w:tcPr>
          <w:p w14:paraId="3271060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居住用地（R）</w:t>
            </w:r>
          </w:p>
        </w:tc>
        <w:tc>
          <w:tcPr>
            <w:tcW w:w="1092" w:type="dxa"/>
            <w:noWrap w:val="0"/>
            <w:vAlign w:val="center"/>
          </w:tcPr>
          <w:p w14:paraId="0304413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105.82</w:t>
            </w:r>
          </w:p>
        </w:tc>
        <w:tc>
          <w:tcPr>
            <w:tcW w:w="1333" w:type="dxa"/>
            <w:noWrap w:val="0"/>
            <w:vAlign w:val="center"/>
          </w:tcPr>
          <w:p w14:paraId="283932F6">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33.99</w:t>
            </w:r>
          </w:p>
        </w:tc>
        <w:tc>
          <w:tcPr>
            <w:tcW w:w="1183" w:type="dxa"/>
            <w:vMerge w:val="restart"/>
            <w:noWrap w:val="0"/>
            <w:vAlign w:val="top"/>
          </w:tcPr>
          <w:p w14:paraId="7141B6A7">
            <w:pPr>
              <w:pStyle w:val="67"/>
              <w:spacing w:line="320" w:lineRule="exact"/>
              <w:ind w:firstLine="0" w:firstLineChars="0"/>
              <w:jc w:val="center"/>
              <w:rPr>
                <w:rFonts w:hint="eastAsia" w:ascii="方正黑体简体" w:hAnsi="宋体" w:eastAsia="方正黑体简体"/>
                <w:sz w:val="24"/>
              </w:rPr>
            </w:pPr>
          </w:p>
        </w:tc>
      </w:tr>
      <w:tr w14:paraId="173F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6E938944">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55882380">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77F4D9C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noWrap w:val="0"/>
            <w:vAlign w:val="center"/>
          </w:tcPr>
          <w:p w14:paraId="55390B3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二类居住用地（R2</w:t>
            </w:r>
            <w:r>
              <w:rPr>
                <w:rFonts w:ascii="方正黑体简体" w:hAnsi="宋体" w:eastAsia="方正黑体简体"/>
                <w:sz w:val="24"/>
              </w:rPr>
              <w:t>）</w:t>
            </w:r>
          </w:p>
        </w:tc>
        <w:tc>
          <w:tcPr>
            <w:tcW w:w="1092" w:type="dxa"/>
            <w:noWrap w:val="0"/>
            <w:vAlign w:val="center"/>
          </w:tcPr>
          <w:p w14:paraId="3DE1EE5F">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88.22</w:t>
            </w:r>
          </w:p>
        </w:tc>
        <w:tc>
          <w:tcPr>
            <w:tcW w:w="1333" w:type="dxa"/>
            <w:vMerge w:val="restart"/>
            <w:noWrap w:val="0"/>
            <w:vAlign w:val="center"/>
          </w:tcPr>
          <w:p w14:paraId="1B76EDE6">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3FF069A9">
            <w:pPr>
              <w:pStyle w:val="67"/>
              <w:spacing w:line="320" w:lineRule="exact"/>
              <w:ind w:firstLine="0" w:firstLineChars="0"/>
              <w:jc w:val="center"/>
              <w:rPr>
                <w:rFonts w:hint="eastAsia" w:ascii="方正黑体简体" w:hAnsi="宋体" w:eastAsia="方正黑体简体"/>
                <w:sz w:val="24"/>
              </w:rPr>
            </w:pPr>
          </w:p>
        </w:tc>
      </w:tr>
      <w:tr w14:paraId="4B9B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1F179BCA">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379971D7">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548061F8">
            <w:pPr>
              <w:pStyle w:val="67"/>
              <w:spacing w:line="320" w:lineRule="exact"/>
              <w:ind w:firstLine="0" w:firstLineChars="0"/>
              <w:jc w:val="center"/>
              <w:rPr>
                <w:rFonts w:hint="eastAsia" w:ascii="方正黑体简体" w:hAnsi="宋体" w:eastAsia="方正黑体简体"/>
                <w:sz w:val="24"/>
              </w:rPr>
            </w:pPr>
          </w:p>
        </w:tc>
        <w:tc>
          <w:tcPr>
            <w:tcW w:w="675" w:type="dxa"/>
            <w:vMerge w:val="restart"/>
            <w:noWrap w:val="0"/>
            <w:vAlign w:val="center"/>
          </w:tcPr>
          <w:p w14:paraId="00FC1C6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143" w:type="dxa"/>
            <w:noWrap w:val="0"/>
            <w:vAlign w:val="center"/>
          </w:tcPr>
          <w:p w14:paraId="1356DBF3">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三类居住用地(R3)</w:t>
            </w:r>
          </w:p>
        </w:tc>
        <w:tc>
          <w:tcPr>
            <w:tcW w:w="1092" w:type="dxa"/>
            <w:noWrap w:val="0"/>
            <w:vAlign w:val="center"/>
          </w:tcPr>
          <w:p w14:paraId="01E9D2E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16.84</w:t>
            </w:r>
          </w:p>
        </w:tc>
        <w:tc>
          <w:tcPr>
            <w:tcW w:w="1333" w:type="dxa"/>
            <w:vMerge w:val="continue"/>
            <w:noWrap w:val="0"/>
            <w:vAlign w:val="center"/>
          </w:tcPr>
          <w:p w14:paraId="4A3CD688">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16B45C19">
            <w:pPr>
              <w:pStyle w:val="67"/>
              <w:spacing w:line="320" w:lineRule="exact"/>
              <w:ind w:firstLine="0" w:firstLineChars="0"/>
              <w:jc w:val="center"/>
              <w:rPr>
                <w:rFonts w:hint="eastAsia" w:ascii="方正黑体简体" w:hAnsi="宋体" w:eastAsia="方正黑体简体"/>
                <w:sz w:val="24"/>
              </w:rPr>
            </w:pPr>
          </w:p>
        </w:tc>
      </w:tr>
      <w:tr w14:paraId="4BB7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4166FF9D">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3163396D">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7DFF9B2E">
            <w:pPr>
              <w:pStyle w:val="67"/>
              <w:spacing w:line="320" w:lineRule="exact"/>
              <w:ind w:firstLine="0" w:firstLineChars="0"/>
              <w:jc w:val="center"/>
              <w:rPr>
                <w:rFonts w:hint="eastAsia" w:ascii="方正黑体简体" w:hAnsi="宋体" w:eastAsia="方正黑体简体"/>
                <w:sz w:val="24"/>
              </w:rPr>
            </w:pPr>
          </w:p>
        </w:tc>
        <w:tc>
          <w:tcPr>
            <w:tcW w:w="675" w:type="dxa"/>
            <w:vMerge w:val="continue"/>
            <w:noWrap w:val="0"/>
            <w:vAlign w:val="center"/>
          </w:tcPr>
          <w:p w14:paraId="537493B8">
            <w:pPr>
              <w:pStyle w:val="67"/>
              <w:spacing w:line="320" w:lineRule="exact"/>
              <w:ind w:firstLine="0" w:firstLineChars="0"/>
              <w:jc w:val="center"/>
              <w:rPr>
                <w:rFonts w:hint="eastAsia" w:ascii="方正黑体简体" w:hAnsi="宋体" w:eastAsia="方正黑体简体"/>
                <w:sz w:val="24"/>
              </w:rPr>
            </w:pPr>
          </w:p>
        </w:tc>
        <w:tc>
          <w:tcPr>
            <w:tcW w:w="2143" w:type="dxa"/>
            <w:noWrap w:val="0"/>
            <w:vAlign w:val="center"/>
          </w:tcPr>
          <w:p w14:paraId="4BD8023D">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服务设施用地(R22)</w:t>
            </w:r>
          </w:p>
        </w:tc>
        <w:tc>
          <w:tcPr>
            <w:tcW w:w="1092" w:type="dxa"/>
            <w:noWrap w:val="0"/>
            <w:vAlign w:val="center"/>
          </w:tcPr>
          <w:p w14:paraId="791AAE5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0.76</w:t>
            </w:r>
          </w:p>
        </w:tc>
        <w:tc>
          <w:tcPr>
            <w:tcW w:w="1333" w:type="dxa"/>
            <w:vMerge w:val="continue"/>
            <w:noWrap w:val="0"/>
            <w:vAlign w:val="center"/>
          </w:tcPr>
          <w:p w14:paraId="179AA9CA">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48816F13">
            <w:pPr>
              <w:pStyle w:val="67"/>
              <w:spacing w:line="320" w:lineRule="exact"/>
              <w:ind w:firstLine="0" w:firstLineChars="0"/>
              <w:jc w:val="center"/>
              <w:rPr>
                <w:rFonts w:hint="eastAsia" w:ascii="方正黑体简体" w:hAnsi="宋体" w:eastAsia="方正黑体简体"/>
                <w:sz w:val="24"/>
              </w:rPr>
            </w:pPr>
          </w:p>
        </w:tc>
      </w:tr>
      <w:tr w14:paraId="0ABF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2FCEA99C">
            <w:pPr>
              <w:pStyle w:val="67"/>
              <w:spacing w:line="320" w:lineRule="exact"/>
              <w:ind w:firstLine="0" w:firstLineChars="0"/>
              <w:jc w:val="center"/>
              <w:rPr>
                <w:rFonts w:ascii="方正黑体简体" w:hAnsi="宋体" w:eastAsia="方正黑体简体"/>
                <w:sz w:val="24"/>
              </w:rPr>
            </w:pPr>
            <w:r>
              <w:rPr>
                <w:rFonts w:ascii="方正黑体简体" w:hAnsi="宋体" w:eastAsia="方正黑体简体"/>
                <w:sz w:val="24"/>
              </w:rPr>
              <w:t>2</w:t>
            </w:r>
          </w:p>
        </w:tc>
        <w:tc>
          <w:tcPr>
            <w:tcW w:w="435" w:type="dxa"/>
            <w:vMerge w:val="restart"/>
            <w:noWrap w:val="0"/>
            <w:vAlign w:val="center"/>
          </w:tcPr>
          <w:p w14:paraId="14C94E9D">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A</w:t>
            </w:r>
          </w:p>
        </w:tc>
        <w:tc>
          <w:tcPr>
            <w:tcW w:w="3472" w:type="dxa"/>
            <w:gridSpan w:val="3"/>
            <w:noWrap w:val="0"/>
            <w:vAlign w:val="center"/>
          </w:tcPr>
          <w:p w14:paraId="16057515">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公共管理与公共服务用地(A)</w:t>
            </w:r>
          </w:p>
        </w:tc>
        <w:tc>
          <w:tcPr>
            <w:tcW w:w="1092" w:type="dxa"/>
            <w:noWrap w:val="0"/>
            <w:vAlign w:val="center"/>
          </w:tcPr>
          <w:p w14:paraId="7D046D8B">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120.41</w:t>
            </w:r>
          </w:p>
        </w:tc>
        <w:tc>
          <w:tcPr>
            <w:tcW w:w="1333" w:type="dxa"/>
            <w:noWrap w:val="0"/>
            <w:vAlign w:val="center"/>
          </w:tcPr>
          <w:p w14:paraId="1DA04222">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38.68</w:t>
            </w:r>
          </w:p>
        </w:tc>
        <w:tc>
          <w:tcPr>
            <w:tcW w:w="1183" w:type="dxa"/>
            <w:vMerge w:val="restart"/>
            <w:noWrap w:val="0"/>
            <w:vAlign w:val="top"/>
          </w:tcPr>
          <w:p w14:paraId="18D722A9">
            <w:pPr>
              <w:pStyle w:val="67"/>
              <w:spacing w:line="320" w:lineRule="exact"/>
              <w:ind w:firstLine="0" w:firstLineChars="0"/>
              <w:jc w:val="center"/>
              <w:rPr>
                <w:rFonts w:hint="eastAsia" w:ascii="方正黑体简体" w:hAnsi="宋体" w:eastAsia="方正黑体简体"/>
                <w:sz w:val="24"/>
              </w:rPr>
            </w:pPr>
          </w:p>
        </w:tc>
      </w:tr>
      <w:tr w14:paraId="708D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2031549D">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3829D46C">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4036542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noWrap w:val="0"/>
            <w:vAlign w:val="center"/>
          </w:tcPr>
          <w:p w14:paraId="38D3A03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行政办公用地（A1）</w:t>
            </w:r>
          </w:p>
        </w:tc>
        <w:tc>
          <w:tcPr>
            <w:tcW w:w="1092" w:type="dxa"/>
            <w:noWrap w:val="0"/>
            <w:vAlign w:val="center"/>
          </w:tcPr>
          <w:p w14:paraId="29A9AD11">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1.06</w:t>
            </w:r>
          </w:p>
        </w:tc>
        <w:tc>
          <w:tcPr>
            <w:tcW w:w="1333" w:type="dxa"/>
            <w:vMerge w:val="restart"/>
            <w:noWrap w:val="0"/>
            <w:vAlign w:val="center"/>
          </w:tcPr>
          <w:p w14:paraId="0D7F8B0C">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1C4D3C39">
            <w:pPr>
              <w:pStyle w:val="67"/>
              <w:spacing w:line="320" w:lineRule="exact"/>
              <w:ind w:firstLine="0" w:firstLineChars="0"/>
              <w:jc w:val="center"/>
              <w:rPr>
                <w:rFonts w:hint="eastAsia" w:ascii="方正黑体简体" w:hAnsi="宋体" w:eastAsia="方正黑体简体"/>
                <w:sz w:val="24"/>
              </w:rPr>
            </w:pPr>
          </w:p>
        </w:tc>
      </w:tr>
      <w:tr w14:paraId="2D89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578B2562">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7202DF8A">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2FB789DD">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6E1900DB">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教育科研用地（A3）</w:t>
            </w:r>
          </w:p>
        </w:tc>
        <w:tc>
          <w:tcPr>
            <w:tcW w:w="1092" w:type="dxa"/>
            <w:noWrap w:val="0"/>
            <w:vAlign w:val="center"/>
          </w:tcPr>
          <w:p w14:paraId="39FC8E75">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112.92</w:t>
            </w:r>
          </w:p>
        </w:tc>
        <w:tc>
          <w:tcPr>
            <w:tcW w:w="1333" w:type="dxa"/>
            <w:vMerge w:val="continue"/>
            <w:noWrap w:val="0"/>
            <w:vAlign w:val="center"/>
          </w:tcPr>
          <w:p w14:paraId="0F09A9E0">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740F4161">
            <w:pPr>
              <w:pStyle w:val="67"/>
              <w:spacing w:line="320" w:lineRule="exact"/>
              <w:ind w:firstLine="0" w:firstLineChars="0"/>
              <w:jc w:val="center"/>
              <w:rPr>
                <w:rFonts w:hint="eastAsia" w:ascii="方正黑体简体" w:hAnsi="宋体" w:eastAsia="方正黑体简体"/>
                <w:sz w:val="24"/>
              </w:rPr>
            </w:pPr>
          </w:p>
        </w:tc>
      </w:tr>
      <w:tr w14:paraId="0F75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18B56B5F">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250E0599">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09F5F602">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3789D7D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医疗卫生用地（A5）</w:t>
            </w:r>
          </w:p>
        </w:tc>
        <w:tc>
          <w:tcPr>
            <w:tcW w:w="1092" w:type="dxa"/>
            <w:noWrap w:val="0"/>
            <w:vAlign w:val="center"/>
          </w:tcPr>
          <w:p w14:paraId="5CE0C1F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1.52</w:t>
            </w:r>
          </w:p>
        </w:tc>
        <w:tc>
          <w:tcPr>
            <w:tcW w:w="1333" w:type="dxa"/>
            <w:vMerge w:val="continue"/>
            <w:noWrap w:val="0"/>
            <w:vAlign w:val="center"/>
          </w:tcPr>
          <w:p w14:paraId="1DC893DB">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44A7FF8C">
            <w:pPr>
              <w:pStyle w:val="67"/>
              <w:spacing w:line="320" w:lineRule="exact"/>
              <w:ind w:firstLine="0" w:firstLineChars="0"/>
              <w:jc w:val="center"/>
              <w:rPr>
                <w:rFonts w:hint="eastAsia" w:ascii="方正黑体简体" w:hAnsi="宋体" w:eastAsia="方正黑体简体"/>
                <w:sz w:val="24"/>
              </w:rPr>
            </w:pPr>
          </w:p>
        </w:tc>
      </w:tr>
      <w:tr w14:paraId="195C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0A84CD73">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06E6D026">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0CA29B69">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5FEE7A7B">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eastAsia="zh-CN"/>
              </w:rPr>
              <w:t>文物古迹用地（</w:t>
            </w:r>
            <w:r>
              <w:rPr>
                <w:rFonts w:hint="eastAsia" w:ascii="方正黑体简体" w:hAnsi="宋体" w:eastAsia="方正黑体简体"/>
                <w:sz w:val="24"/>
                <w:lang w:val="en-US" w:eastAsia="zh-CN"/>
              </w:rPr>
              <w:t>A7</w:t>
            </w:r>
            <w:r>
              <w:rPr>
                <w:rFonts w:hint="eastAsia" w:ascii="方正黑体简体" w:hAnsi="宋体" w:eastAsia="方正黑体简体"/>
                <w:sz w:val="24"/>
                <w:lang w:eastAsia="zh-CN"/>
              </w:rPr>
              <w:t>）</w:t>
            </w:r>
          </w:p>
        </w:tc>
        <w:tc>
          <w:tcPr>
            <w:tcW w:w="1092" w:type="dxa"/>
            <w:noWrap w:val="0"/>
            <w:vAlign w:val="center"/>
          </w:tcPr>
          <w:p w14:paraId="5F51C790">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4.92</w:t>
            </w:r>
          </w:p>
        </w:tc>
        <w:tc>
          <w:tcPr>
            <w:tcW w:w="1333" w:type="dxa"/>
            <w:vMerge w:val="continue"/>
            <w:noWrap w:val="0"/>
            <w:vAlign w:val="center"/>
          </w:tcPr>
          <w:p w14:paraId="1062921A">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45F13E59">
            <w:pPr>
              <w:pStyle w:val="67"/>
              <w:spacing w:line="320" w:lineRule="exact"/>
              <w:ind w:firstLine="0" w:firstLineChars="0"/>
              <w:jc w:val="center"/>
              <w:rPr>
                <w:rFonts w:hint="eastAsia" w:ascii="方正黑体简体" w:hAnsi="宋体" w:eastAsia="方正黑体简体"/>
                <w:sz w:val="24"/>
              </w:rPr>
            </w:pPr>
          </w:p>
        </w:tc>
      </w:tr>
      <w:tr w14:paraId="6233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4A363922">
            <w:pPr>
              <w:pStyle w:val="67"/>
              <w:spacing w:line="320" w:lineRule="exact"/>
              <w:ind w:firstLine="0" w:firstLineChars="0"/>
              <w:jc w:val="center"/>
              <w:rPr>
                <w:rFonts w:ascii="方正黑体简体" w:hAnsi="宋体" w:eastAsia="方正黑体简体"/>
                <w:sz w:val="24"/>
              </w:rPr>
            </w:pPr>
            <w:r>
              <w:rPr>
                <w:rFonts w:ascii="方正黑体简体" w:hAnsi="宋体" w:eastAsia="方正黑体简体"/>
                <w:sz w:val="24"/>
              </w:rPr>
              <w:t>3</w:t>
            </w:r>
          </w:p>
        </w:tc>
        <w:tc>
          <w:tcPr>
            <w:tcW w:w="435" w:type="dxa"/>
            <w:vMerge w:val="restart"/>
            <w:noWrap w:val="0"/>
            <w:vAlign w:val="center"/>
          </w:tcPr>
          <w:p w14:paraId="03C8350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B</w:t>
            </w:r>
          </w:p>
        </w:tc>
        <w:tc>
          <w:tcPr>
            <w:tcW w:w="3472" w:type="dxa"/>
            <w:gridSpan w:val="3"/>
            <w:tcBorders>
              <w:bottom w:val="single" w:color="auto" w:sz="4" w:space="0"/>
            </w:tcBorders>
            <w:noWrap w:val="0"/>
            <w:vAlign w:val="center"/>
          </w:tcPr>
          <w:p w14:paraId="208A480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商业服务业设施用地（B</w:t>
            </w:r>
            <w:r>
              <w:rPr>
                <w:rFonts w:ascii="方正黑体简体" w:hAnsi="宋体" w:eastAsia="方正黑体简体"/>
                <w:sz w:val="24"/>
              </w:rPr>
              <w:t>）</w:t>
            </w:r>
          </w:p>
        </w:tc>
        <w:tc>
          <w:tcPr>
            <w:tcW w:w="1092" w:type="dxa"/>
            <w:noWrap w:val="0"/>
            <w:vAlign w:val="center"/>
          </w:tcPr>
          <w:p w14:paraId="51C1B279">
            <w:pPr>
              <w:pStyle w:val="67"/>
              <w:spacing w:line="320" w:lineRule="exact"/>
              <w:ind w:firstLine="0" w:firstLineChars="0"/>
              <w:jc w:val="center"/>
              <w:rPr>
                <w:rFonts w:hint="eastAsia" w:ascii="方正黑体简体" w:hAnsi="宋体" w:eastAsia="方正黑体简体"/>
                <w:sz w:val="24"/>
                <w:lang w:val="en-US" w:eastAsia="zh-CN"/>
              </w:rPr>
            </w:pPr>
            <w:r>
              <w:rPr>
                <w:rFonts w:hint="eastAsia" w:ascii="方正黑体简体" w:hAnsi="宋体" w:eastAsia="方正黑体简体"/>
                <w:sz w:val="24"/>
              </w:rPr>
              <w:t>11.6</w:t>
            </w:r>
            <w:r>
              <w:rPr>
                <w:rFonts w:hint="eastAsia" w:ascii="方正黑体简体" w:hAnsi="宋体" w:eastAsia="方正黑体简体"/>
                <w:sz w:val="24"/>
                <w:lang w:val="en-US" w:eastAsia="zh-CN"/>
              </w:rPr>
              <w:t>4</w:t>
            </w:r>
          </w:p>
        </w:tc>
        <w:tc>
          <w:tcPr>
            <w:tcW w:w="1333" w:type="dxa"/>
            <w:noWrap w:val="0"/>
            <w:vAlign w:val="center"/>
          </w:tcPr>
          <w:p w14:paraId="3EB44EDE">
            <w:pPr>
              <w:pStyle w:val="67"/>
              <w:spacing w:line="320" w:lineRule="exact"/>
              <w:ind w:firstLine="0" w:firstLineChars="0"/>
              <w:jc w:val="center"/>
              <w:rPr>
                <w:rFonts w:hint="eastAsia" w:ascii="方正黑体简体" w:hAnsi="宋体" w:eastAsia="方正黑体简体"/>
                <w:sz w:val="24"/>
                <w:lang w:eastAsia="zh-CN"/>
              </w:rPr>
            </w:pPr>
            <w:r>
              <w:rPr>
                <w:rFonts w:hint="eastAsia" w:ascii="方正黑体简体" w:hAnsi="宋体" w:eastAsia="方正黑体简体"/>
                <w:sz w:val="24"/>
              </w:rPr>
              <w:t>3.7</w:t>
            </w:r>
            <w:r>
              <w:rPr>
                <w:rFonts w:hint="eastAsia" w:ascii="方正黑体简体" w:hAnsi="宋体" w:eastAsia="方正黑体简体"/>
                <w:sz w:val="24"/>
                <w:lang w:val="en-US" w:eastAsia="zh-CN"/>
              </w:rPr>
              <w:t>4</w:t>
            </w:r>
          </w:p>
        </w:tc>
        <w:tc>
          <w:tcPr>
            <w:tcW w:w="1183" w:type="dxa"/>
            <w:vMerge w:val="restart"/>
            <w:noWrap w:val="0"/>
            <w:vAlign w:val="top"/>
          </w:tcPr>
          <w:p w14:paraId="2BA612DF">
            <w:pPr>
              <w:pStyle w:val="67"/>
              <w:spacing w:line="320" w:lineRule="exact"/>
              <w:ind w:firstLine="0" w:firstLineChars="0"/>
              <w:jc w:val="center"/>
              <w:rPr>
                <w:rFonts w:hint="eastAsia" w:ascii="方正黑体简体" w:hAnsi="宋体" w:eastAsia="方正黑体简体"/>
                <w:sz w:val="24"/>
              </w:rPr>
            </w:pPr>
          </w:p>
          <w:p w14:paraId="37144484">
            <w:pPr>
              <w:pStyle w:val="67"/>
              <w:spacing w:line="320" w:lineRule="exact"/>
              <w:ind w:firstLine="0" w:firstLineChars="0"/>
              <w:jc w:val="center"/>
              <w:rPr>
                <w:rFonts w:hint="eastAsia" w:ascii="方正黑体简体" w:hAnsi="宋体" w:eastAsia="方正黑体简体"/>
                <w:sz w:val="24"/>
              </w:rPr>
            </w:pPr>
          </w:p>
        </w:tc>
      </w:tr>
      <w:tr w14:paraId="4801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28017A39">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76D1F4C4">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1140AE61">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tcBorders>
              <w:bottom w:val="single" w:color="auto" w:sz="4" w:space="0"/>
            </w:tcBorders>
            <w:noWrap w:val="0"/>
            <w:vAlign w:val="center"/>
          </w:tcPr>
          <w:p w14:paraId="52347FAB">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商业设施用地（B1）</w:t>
            </w:r>
          </w:p>
        </w:tc>
        <w:tc>
          <w:tcPr>
            <w:tcW w:w="1092" w:type="dxa"/>
            <w:noWrap w:val="0"/>
            <w:vAlign w:val="center"/>
          </w:tcPr>
          <w:p w14:paraId="4E0CAE6A">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8.12</w:t>
            </w:r>
          </w:p>
        </w:tc>
        <w:tc>
          <w:tcPr>
            <w:tcW w:w="1333" w:type="dxa"/>
            <w:vMerge w:val="restart"/>
            <w:noWrap w:val="0"/>
            <w:vAlign w:val="center"/>
          </w:tcPr>
          <w:p w14:paraId="3502424A">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6E1A81D8">
            <w:pPr>
              <w:pStyle w:val="67"/>
              <w:spacing w:line="320" w:lineRule="exact"/>
              <w:ind w:firstLine="0" w:firstLineChars="0"/>
              <w:jc w:val="center"/>
              <w:rPr>
                <w:rFonts w:hint="eastAsia" w:ascii="方正黑体简体" w:hAnsi="宋体" w:eastAsia="方正黑体简体"/>
                <w:sz w:val="24"/>
              </w:rPr>
            </w:pPr>
          </w:p>
        </w:tc>
      </w:tr>
      <w:tr w14:paraId="2CB1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1864B275">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69B5BC14">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51815B40">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77BE298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商务用地（B2</w:t>
            </w:r>
            <w:r>
              <w:rPr>
                <w:rFonts w:ascii="方正黑体简体" w:hAnsi="宋体" w:eastAsia="方正黑体简体"/>
                <w:sz w:val="24"/>
              </w:rPr>
              <w:t>）</w:t>
            </w:r>
          </w:p>
        </w:tc>
        <w:tc>
          <w:tcPr>
            <w:tcW w:w="1092" w:type="dxa"/>
            <w:noWrap w:val="0"/>
            <w:vAlign w:val="center"/>
          </w:tcPr>
          <w:p w14:paraId="330B569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1.64</w:t>
            </w:r>
          </w:p>
        </w:tc>
        <w:tc>
          <w:tcPr>
            <w:tcW w:w="1333" w:type="dxa"/>
            <w:vMerge w:val="continue"/>
            <w:noWrap w:val="0"/>
            <w:vAlign w:val="center"/>
          </w:tcPr>
          <w:p w14:paraId="5AA449F4">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7D75C290">
            <w:pPr>
              <w:pStyle w:val="67"/>
              <w:spacing w:line="320" w:lineRule="exact"/>
              <w:ind w:firstLine="0" w:firstLineChars="0"/>
              <w:jc w:val="center"/>
              <w:rPr>
                <w:rFonts w:hint="eastAsia" w:ascii="方正黑体简体" w:hAnsi="宋体" w:eastAsia="方正黑体简体"/>
                <w:sz w:val="24"/>
              </w:rPr>
            </w:pPr>
          </w:p>
        </w:tc>
      </w:tr>
      <w:tr w14:paraId="5C5C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0DFDBB09">
            <w:pPr>
              <w:pStyle w:val="67"/>
              <w:spacing w:line="320" w:lineRule="exact"/>
              <w:ind w:firstLine="0" w:firstLineChars="0"/>
              <w:jc w:val="center"/>
              <w:rPr>
                <w:rFonts w:ascii="方正黑体简体" w:hAnsi="宋体" w:eastAsia="方正黑体简体"/>
                <w:sz w:val="24"/>
              </w:rPr>
            </w:pPr>
          </w:p>
        </w:tc>
        <w:tc>
          <w:tcPr>
            <w:tcW w:w="435" w:type="dxa"/>
            <w:vMerge w:val="continue"/>
            <w:noWrap w:val="0"/>
            <w:vAlign w:val="center"/>
          </w:tcPr>
          <w:p w14:paraId="6CBFC768">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723B1D4A">
            <w:pPr>
              <w:pStyle w:val="67"/>
              <w:spacing w:line="320" w:lineRule="exact"/>
              <w:ind w:firstLine="0" w:firstLineChars="0"/>
              <w:jc w:val="center"/>
              <w:rPr>
                <w:rFonts w:hint="eastAsia" w:ascii="方正黑体简体" w:hAnsi="宋体" w:eastAsia="方正黑体简体"/>
                <w:sz w:val="24"/>
              </w:rPr>
            </w:pPr>
          </w:p>
        </w:tc>
        <w:tc>
          <w:tcPr>
            <w:tcW w:w="2818" w:type="dxa"/>
            <w:gridSpan w:val="2"/>
            <w:tcBorders>
              <w:bottom w:val="single" w:color="auto" w:sz="4" w:space="0"/>
            </w:tcBorders>
            <w:noWrap w:val="0"/>
            <w:vAlign w:val="center"/>
          </w:tcPr>
          <w:p w14:paraId="017E2A79">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公共设施营业网点用地(B4)</w:t>
            </w:r>
          </w:p>
        </w:tc>
        <w:tc>
          <w:tcPr>
            <w:tcW w:w="1092" w:type="dxa"/>
            <w:noWrap w:val="0"/>
            <w:vAlign w:val="center"/>
          </w:tcPr>
          <w:p w14:paraId="370B133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1.88</w:t>
            </w:r>
          </w:p>
        </w:tc>
        <w:tc>
          <w:tcPr>
            <w:tcW w:w="1333" w:type="dxa"/>
            <w:vMerge w:val="continue"/>
            <w:noWrap w:val="0"/>
            <w:vAlign w:val="center"/>
          </w:tcPr>
          <w:p w14:paraId="6D076205">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1BE1E7C6">
            <w:pPr>
              <w:pStyle w:val="67"/>
              <w:spacing w:line="320" w:lineRule="exact"/>
              <w:ind w:firstLine="0" w:firstLineChars="0"/>
              <w:jc w:val="center"/>
              <w:rPr>
                <w:rFonts w:hint="eastAsia" w:ascii="方正黑体简体" w:hAnsi="宋体" w:eastAsia="方正黑体简体"/>
                <w:sz w:val="24"/>
              </w:rPr>
            </w:pPr>
          </w:p>
        </w:tc>
      </w:tr>
      <w:tr w14:paraId="565F4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noWrap w:val="0"/>
            <w:vAlign w:val="center"/>
          </w:tcPr>
          <w:p w14:paraId="2A6B852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4</w:t>
            </w:r>
          </w:p>
        </w:tc>
        <w:tc>
          <w:tcPr>
            <w:tcW w:w="435" w:type="dxa"/>
            <w:noWrap w:val="0"/>
            <w:vAlign w:val="center"/>
          </w:tcPr>
          <w:p w14:paraId="311B4888">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M</w:t>
            </w:r>
          </w:p>
        </w:tc>
        <w:tc>
          <w:tcPr>
            <w:tcW w:w="3472" w:type="dxa"/>
            <w:gridSpan w:val="3"/>
            <w:noWrap w:val="0"/>
            <w:vAlign w:val="center"/>
          </w:tcPr>
          <w:p w14:paraId="3E9C90F9">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工业用地（M</w:t>
            </w:r>
            <w:r>
              <w:rPr>
                <w:rFonts w:ascii="方正黑体简体" w:hAnsi="宋体" w:eastAsia="方正黑体简体"/>
                <w:sz w:val="24"/>
              </w:rPr>
              <w:t>）</w:t>
            </w:r>
          </w:p>
        </w:tc>
        <w:tc>
          <w:tcPr>
            <w:tcW w:w="1092" w:type="dxa"/>
            <w:noWrap w:val="0"/>
            <w:vAlign w:val="center"/>
          </w:tcPr>
          <w:p w14:paraId="31A2FF8B">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1.8</w:t>
            </w:r>
          </w:p>
        </w:tc>
        <w:tc>
          <w:tcPr>
            <w:tcW w:w="1333" w:type="dxa"/>
            <w:noWrap w:val="0"/>
            <w:vAlign w:val="center"/>
          </w:tcPr>
          <w:p w14:paraId="5BDBA4FB">
            <w:pPr>
              <w:pStyle w:val="67"/>
              <w:spacing w:line="320" w:lineRule="exact"/>
              <w:ind w:firstLine="0" w:firstLineChars="0"/>
              <w:jc w:val="center"/>
              <w:rPr>
                <w:rFonts w:hint="eastAsia" w:ascii="方正黑体简体" w:hAnsi="宋体" w:eastAsia="方正黑体简体"/>
                <w:sz w:val="24"/>
                <w:lang w:eastAsia="zh-CN"/>
              </w:rPr>
            </w:pPr>
            <w:r>
              <w:rPr>
                <w:rFonts w:hint="eastAsia" w:ascii="方正黑体简体" w:hAnsi="宋体" w:eastAsia="方正黑体简体"/>
                <w:sz w:val="24"/>
              </w:rPr>
              <w:t>0.5</w:t>
            </w:r>
            <w:r>
              <w:rPr>
                <w:rFonts w:hint="eastAsia" w:ascii="方正黑体简体" w:hAnsi="宋体" w:eastAsia="方正黑体简体"/>
                <w:sz w:val="24"/>
                <w:lang w:val="en-US" w:eastAsia="zh-CN"/>
              </w:rPr>
              <w:t>8</w:t>
            </w:r>
          </w:p>
        </w:tc>
        <w:tc>
          <w:tcPr>
            <w:tcW w:w="1183" w:type="dxa"/>
            <w:noWrap w:val="0"/>
            <w:vAlign w:val="top"/>
          </w:tcPr>
          <w:p w14:paraId="62E7173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主要为二类工业</w:t>
            </w:r>
          </w:p>
        </w:tc>
      </w:tr>
      <w:tr w14:paraId="03A5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5B48A024">
            <w:pPr>
              <w:pStyle w:val="67"/>
              <w:spacing w:line="320" w:lineRule="exact"/>
              <w:ind w:firstLine="0" w:firstLineChars="0"/>
              <w:jc w:val="center"/>
              <w:rPr>
                <w:rFonts w:ascii="方正黑体简体" w:hAnsi="宋体" w:eastAsia="方正黑体简体"/>
                <w:sz w:val="24"/>
              </w:rPr>
            </w:pPr>
            <w:r>
              <w:rPr>
                <w:rFonts w:hint="eastAsia" w:ascii="方正黑体简体" w:hAnsi="宋体" w:eastAsia="方正黑体简体"/>
                <w:sz w:val="24"/>
              </w:rPr>
              <w:t>5</w:t>
            </w:r>
          </w:p>
        </w:tc>
        <w:tc>
          <w:tcPr>
            <w:tcW w:w="435" w:type="dxa"/>
            <w:vMerge w:val="restart"/>
            <w:noWrap w:val="0"/>
            <w:vAlign w:val="center"/>
          </w:tcPr>
          <w:p w14:paraId="1BF6E88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S</w:t>
            </w:r>
          </w:p>
        </w:tc>
        <w:tc>
          <w:tcPr>
            <w:tcW w:w="3472" w:type="dxa"/>
            <w:gridSpan w:val="3"/>
            <w:noWrap w:val="0"/>
            <w:vAlign w:val="center"/>
          </w:tcPr>
          <w:p w14:paraId="1D6F0A0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交通设施用地（S</w:t>
            </w:r>
            <w:r>
              <w:rPr>
                <w:rFonts w:ascii="方正黑体简体" w:hAnsi="宋体" w:eastAsia="方正黑体简体"/>
                <w:sz w:val="24"/>
              </w:rPr>
              <w:t>）</w:t>
            </w:r>
          </w:p>
        </w:tc>
        <w:tc>
          <w:tcPr>
            <w:tcW w:w="1092" w:type="dxa"/>
            <w:noWrap w:val="0"/>
            <w:vAlign w:val="center"/>
          </w:tcPr>
          <w:p w14:paraId="0B4DE56A">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52.55</w:t>
            </w:r>
          </w:p>
        </w:tc>
        <w:tc>
          <w:tcPr>
            <w:tcW w:w="1333" w:type="dxa"/>
            <w:noWrap w:val="0"/>
            <w:vAlign w:val="center"/>
          </w:tcPr>
          <w:p w14:paraId="7FDE77A2">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16.88</w:t>
            </w:r>
          </w:p>
        </w:tc>
        <w:tc>
          <w:tcPr>
            <w:tcW w:w="1183" w:type="dxa"/>
            <w:vMerge w:val="restart"/>
            <w:noWrap w:val="0"/>
            <w:vAlign w:val="top"/>
          </w:tcPr>
          <w:p w14:paraId="216D16D8">
            <w:pPr>
              <w:pStyle w:val="67"/>
              <w:spacing w:line="320" w:lineRule="exact"/>
              <w:ind w:firstLine="0" w:firstLineChars="0"/>
              <w:jc w:val="center"/>
              <w:rPr>
                <w:rFonts w:hint="eastAsia" w:ascii="方正黑体简体" w:hAnsi="宋体" w:eastAsia="方正黑体简体"/>
                <w:sz w:val="24"/>
              </w:rPr>
            </w:pPr>
          </w:p>
        </w:tc>
      </w:tr>
      <w:tr w14:paraId="13129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50BE29A6">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559521DC">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4EBE02AE">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noWrap w:val="0"/>
            <w:vAlign w:val="center"/>
          </w:tcPr>
          <w:p w14:paraId="457E300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城市道路用地（S1）</w:t>
            </w:r>
          </w:p>
        </w:tc>
        <w:tc>
          <w:tcPr>
            <w:tcW w:w="1092" w:type="dxa"/>
            <w:noWrap w:val="0"/>
            <w:vAlign w:val="center"/>
          </w:tcPr>
          <w:p w14:paraId="6E63FBE9">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44.99</w:t>
            </w:r>
          </w:p>
        </w:tc>
        <w:tc>
          <w:tcPr>
            <w:tcW w:w="1333" w:type="dxa"/>
            <w:vMerge w:val="restart"/>
            <w:noWrap w:val="0"/>
            <w:vAlign w:val="center"/>
          </w:tcPr>
          <w:p w14:paraId="3F1566B1">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6FBDEAC9">
            <w:pPr>
              <w:pStyle w:val="67"/>
              <w:spacing w:line="320" w:lineRule="exact"/>
              <w:ind w:firstLine="0" w:firstLineChars="0"/>
              <w:jc w:val="center"/>
              <w:rPr>
                <w:rFonts w:hint="eastAsia" w:ascii="方正黑体简体" w:hAnsi="宋体" w:eastAsia="方正黑体简体"/>
                <w:sz w:val="24"/>
              </w:rPr>
            </w:pPr>
          </w:p>
        </w:tc>
      </w:tr>
      <w:tr w14:paraId="157D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3857DB08">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59E58634">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2E08A5D8">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33656C7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交通枢纽用地（S3）</w:t>
            </w:r>
          </w:p>
        </w:tc>
        <w:tc>
          <w:tcPr>
            <w:tcW w:w="1092" w:type="dxa"/>
            <w:noWrap w:val="0"/>
            <w:vAlign w:val="center"/>
          </w:tcPr>
          <w:p w14:paraId="6209A5D1">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5.88</w:t>
            </w:r>
          </w:p>
        </w:tc>
        <w:tc>
          <w:tcPr>
            <w:tcW w:w="1333" w:type="dxa"/>
            <w:vMerge w:val="continue"/>
            <w:noWrap w:val="0"/>
            <w:vAlign w:val="center"/>
          </w:tcPr>
          <w:p w14:paraId="6B17955C">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5FDDE4C6">
            <w:pPr>
              <w:pStyle w:val="67"/>
              <w:spacing w:line="320" w:lineRule="exact"/>
              <w:ind w:firstLine="0" w:firstLineChars="0"/>
              <w:jc w:val="center"/>
              <w:rPr>
                <w:rFonts w:hint="eastAsia" w:ascii="方正黑体简体" w:hAnsi="宋体" w:eastAsia="方正黑体简体"/>
                <w:sz w:val="24"/>
              </w:rPr>
            </w:pPr>
          </w:p>
        </w:tc>
      </w:tr>
      <w:tr w14:paraId="796D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4EF65011">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7A5A341B">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022C1A8C">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3DEFDFD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交通场站用地（S4）</w:t>
            </w:r>
          </w:p>
        </w:tc>
        <w:tc>
          <w:tcPr>
            <w:tcW w:w="1092" w:type="dxa"/>
            <w:noWrap w:val="0"/>
            <w:vAlign w:val="center"/>
          </w:tcPr>
          <w:p w14:paraId="22BCA455">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1.68</w:t>
            </w:r>
          </w:p>
        </w:tc>
        <w:tc>
          <w:tcPr>
            <w:tcW w:w="1333" w:type="dxa"/>
            <w:vMerge w:val="continue"/>
            <w:noWrap w:val="0"/>
            <w:vAlign w:val="center"/>
          </w:tcPr>
          <w:p w14:paraId="27C08573">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777670F8">
            <w:pPr>
              <w:pStyle w:val="67"/>
              <w:spacing w:line="320" w:lineRule="exact"/>
              <w:ind w:firstLine="0" w:firstLineChars="0"/>
              <w:jc w:val="center"/>
              <w:rPr>
                <w:rFonts w:hint="eastAsia" w:ascii="方正黑体简体" w:hAnsi="宋体" w:eastAsia="方正黑体简体"/>
                <w:sz w:val="24"/>
              </w:rPr>
            </w:pPr>
          </w:p>
        </w:tc>
      </w:tr>
      <w:tr w14:paraId="5356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1EBD25A6">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6</w:t>
            </w:r>
          </w:p>
        </w:tc>
        <w:tc>
          <w:tcPr>
            <w:tcW w:w="435" w:type="dxa"/>
            <w:vMerge w:val="restart"/>
            <w:noWrap w:val="0"/>
            <w:vAlign w:val="center"/>
          </w:tcPr>
          <w:p w14:paraId="3DE244B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U</w:t>
            </w:r>
          </w:p>
        </w:tc>
        <w:tc>
          <w:tcPr>
            <w:tcW w:w="3472" w:type="dxa"/>
            <w:gridSpan w:val="3"/>
            <w:noWrap w:val="0"/>
            <w:vAlign w:val="center"/>
          </w:tcPr>
          <w:p w14:paraId="4A440D96">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公用设施用地</w:t>
            </w:r>
          </w:p>
        </w:tc>
        <w:tc>
          <w:tcPr>
            <w:tcW w:w="1092" w:type="dxa"/>
            <w:noWrap w:val="0"/>
            <w:vAlign w:val="center"/>
          </w:tcPr>
          <w:p w14:paraId="4C18754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3.25</w:t>
            </w:r>
          </w:p>
        </w:tc>
        <w:tc>
          <w:tcPr>
            <w:tcW w:w="1333" w:type="dxa"/>
            <w:noWrap w:val="0"/>
            <w:vAlign w:val="center"/>
          </w:tcPr>
          <w:p w14:paraId="55734F99">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1.0</w:t>
            </w:r>
            <w:r>
              <w:rPr>
                <w:rFonts w:hint="eastAsia" w:ascii="方正黑体简体" w:hAnsi="宋体" w:eastAsia="方正黑体简体"/>
                <w:sz w:val="24"/>
                <w:lang w:val="en-US" w:eastAsia="zh-CN"/>
              </w:rPr>
              <w:t>4</w:t>
            </w:r>
            <w:r>
              <w:rPr>
                <w:rFonts w:hint="eastAsia" w:ascii="方正黑体简体" w:hAnsi="宋体" w:eastAsia="方正黑体简体"/>
                <w:sz w:val="24"/>
              </w:rPr>
              <w:t xml:space="preserve">    </w:t>
            </w:r>
          </w:p>
        </w:tc>
        <w:tc>
          <w:tcPr>
            <w:tcW w:w="1183" w:type="dxa"/>
            <w:vMerge w:val="restart"/>
            <w:noWrap w:val="0"/>
            <w:vAlign w:val="top"/>
          </w:tcPr>
          <w:p w14:paraId="324A7F8A">
            <w:pPr>
              <w:pStyle w:val="67"/>
              <w:spacing w:line="320" w:lineRule="exact"/>
              <w:ind w:firstLine="0" w:firstLineChars="0"/>
              <w:jc w:val="center"/>
              <w:rPr>
                <w:rFonts w:hint="eastAsia" w:ascii="方正黑体简体" w:hAnsi="宋体" w:eastAsia="方正黑体简体"/>
                <w:sz w:val="24"/>
              </w:rPr>
            </w:pPr>
          </w:p>
        </w:tc>
      </w:tr>
      <w:tr w14:paraId="26D9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2A5709D4">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4843FBD1">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64B0865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noWrap w:val="0"/>
            <w:vAlign w:val="center"/>
          </w:tcPr>
          <w:p w14:paraId="5225EFE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供应设施用地（U1）</w:t>
            </w:r>
          </w:p>
        </w:tc>
        <w:tc>
          <w:tcPr>
            <w:tcW w:w="1092" w:type="dxa"/>
            <w:noWrap w:val="0"/>
            <w:vAlign w:val="center"/>
          </w:tcPr>
          <w:p w14:paraId="12D4D37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2.08</w:t>
            </w:r>
          </w:p>
        </w:tc>
        <w:tc>
          <w:tcPr>
            <w:tcW w:w="1333" w:type="dxa"/>
            <w:vMerge w:val="restart"/>
            <w:noWrap w:val="0"/>
            <w:vAlign w:val="center"/>
          </w:tcPr>
          <w:p w14:paraId="15780FC9">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54C25666">
            <w:pPr>
              <w:pStyle w:val="67"/>
              <w:spacing w:line="320" w:lineRule="exact"/>
              <w:ind w:firstLine="0" w:firstLineChars="0"/>
              <w:jc w:val="center"/>
              <w:rPr>
                <w:rFonts w:hint="eastAsia" w:ascii="方正黑体简体" w:hAnsi="宋体" w:eastAsia="方正黑体简体"/>
                <w:sz w:val="24"/>
              </w:rPr>
            </w:pPr>
          </w:p>
        </w:tc>
      </w:tr>
      <w:tr w14:paraId="507A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388078D0">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4B6C6A2F">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6461054C">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60AA33F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环境设施用地（U2）</w:t>
            </w:r>
          </w:p>
        </w:tc>
        <w:tc>
          <w:tcPr>
            <w:tcW w:w="1092" w:type="dxa"/>
            <w:noWrap w:val="0"/>
            <w:vAlign w:val="center"/>
          </w:tcPr>
          <w:p w14:paraId="327DE6AD">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0.05</w:t>
            </w:r>
          </w:p>
        </w:tc>
        <w:tc>
          <w:tcPr>
            <w:tcW w:w="1333" w:type="dxa"/>
            <w:vMerge w:val="continue"/>
            <w:noWrap w:val="0"/>
            <w:vAlign w:val="center"/>
          </w:tcPr>
          <w:p w14:paraId="17FAEF0D">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022FB40A">
            <w:pPr>
              <w:pStyle w:val="67"/>
              <w:spacing w:line="320" w:lineRule="exact"/>
              <w:ind w:firstLine="0" w:firstLineChars="0"/>
              <w:jc w:val="center"/>
              <w:rPr>
                <w:rFonts w:hint="eastAsia" w:ascii="方正黑体简体" w:hAnsi="宋体" w:eastAsia="方正黑体简体"/>
                <w:sz w:val="24"/>
              </w:rPr>
            </w:pPr>
          </w:p>
        </w:tc>
      </w:tr>
      <w:tr w14:paraId="7785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noWrap w:val="0"/>
            <w:vAlign w:val="center"/>
          </w:tcPr>
          <w:p w14:paraId="19A3126D">
            <w:pPr>
              <w:pStyle w:val="67"/>
              <w:spacing w:line="320" w:lineRule="exact"/>
              <w:ind w:firstLine="0" w:firstLineChars="0"/>
              <w:jc w:val="center"/>
              <w:rPr>
                <w:rFonts w:hint="eastAsia" w:ascii="方正黑体简体" w:hAnsi="宋体" w:eastAsia="方正黑体简体"/>
                <w:sz w:val="24"/>
              </w:rPr>
            </w:pPr>
          </w:p>
        </w:tc>
        <w:tc>
          <w:tcPr>
            <w:tcW w:w="435" w:type="dxa"/>
            <w:noWrap w:val="0"/>
            <w:vAlign w:val="center"/>
          </w:tcPr>
          <w:p w14:paraId="13C9BAFC">
            <w:pPr>
              <w:pStyle w:val="67"/>
              <w:spacing w:line="320" w:lineRule="exact"/>
              <w:ind w:firstLine="0" w:firstLineChars="0"/>
              <w:jc w:val="center"/>
              <w:rPr>
                <w:rFonts w:hint="eastAsia" w:ascii="方正黑体简体" w:hAnsi="宋体" w:eastAsia="方正黑体简体"/>
                <w:sz w:val="24"/>
              </w:rPr>
            </w:pPr>
          </w:p>
        </w:tc>
        <w:tc>
          <w:tcPr>
            <w:tcW w:w="654" w:type="dxa"/>
            <w:noWrap w:val="0"/>
            <w:vAlign w:val="center"/>
          </w:tcPr>
          <w:p w14:paraId="034D41F6">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4E24D0D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安全设施用地（U3）</w:t>
            </w:r>
          </w:p>
        </w:tc>
        <w:tc>
          <w:tcPr>
            <w:tcW w:w="1092" w:type="dxa"/>
            <w:noWrap w:val="0"/>
            <w:vAlign w:val="center"/>
          </w:tcPr>
          <w:p w14:paraId="6A16B383">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1.12</w:t>
            </w:r>
          </w:p>
        </w:tc>
        <w:tc>
          <w:tcPr>
            <w:tcW w:w="1333" w:type="dxa"/>
            <w:noWrap w:val="0"/>
            <w:vAlign w:val="center"/>
          </w:tcPr>
          <w:p w14:paraId="0F42A471">
            <w:pPr>
              <w:pStyle w:val="67"/>
              <w:spacing w:line="320" w:lineRule="exact"/>
              <w:ind w:firstLine="0" w:firstLineChars="0"/>
              <w:jc w:val="center"/>
              <w:rPr>
                <w:rFonts w:hint="eastAsia" w:ascii="方正黑体简体" w:hAnsi="宋体" w:eastAsia="方正黑体简体"/>
                <w:sz w:val="24"/>
              </w:rPr>
            </w:pPr>
          </w:p>
        </w:tc>
        <w:tc>
          <w:tcPr>
            <w:tcW w:w="1183" w:type="dxa"/>
            <w:noWrap w:val="0"/>
            <w:vAlign w:val="top"/>
          </w:tcPr>
          <w:p w14:paraId="596BD5E3">
            <w:pPr>
              <w:pStyle w:val="67"/>
              <w:spacing w:line="320" w:lineRule="exact"/>
              <w:ind w:firstLine="0" w:firstLineChars="0"/>
              <w:jc w:val="center"/>
              <w:rPr>
                <w:rFonts w:hint="eastAsia" w:ascii="方正黑体简体" w:hAnsi="宋体" w:eastAsia="方正黑体简体"/>
                <w:sz w:val="24"/>
              </w:rPr>
            </w:pPr>
          </w:p>
        </w:tc>
      </w:tr>
      <w:tr w14:paraId="78CC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restart"/>
            <w:noWrap w:val="0"/>
            <w:vAlign w:val="center"/>
          </w:tcPr>
          <w:p w14:paraId="71B5BFD1">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7</w:t>
            </w:r>
          </w:p>
        </w:tc>
        <w:tc>
          <w:tcPr>
            <w:tcW w:w="435" w:type="dxa"/>
            <w:vMerge w:val="restart"/>
            <w:noWrap w:val="0"/>
            <w:vAlign w:val="center"/>
          </w:tcPr>
          <w:p w14:paraId="25DABC5D">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G</w:t>
            </w:r>
          </w:p>
        </w:tc>
        <w:tc>
          <w:tcPr>
            <w:tcW w:w="3472" w:type="dxa"/>
            <w:gridSpan w:val="3"/>
            <w:noWrap w:val="0"/>
            <w:vAlign w:val="center"/>
          </w:tcPr>
          <w:p w14:paraId="19EC9B2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绿地（G</w:t>
            </w:r>
            <w:r>
              <w:rPr>
                <w:rFonts w:ascii="方正黑体简体" w:hAnsi="宋体" w:eastAsia="方正黑体简体"/>
                <w:sz w:val="24"/>
              </w:rPr>
              <w:t>）</w:t>
            </w:r>
          </w:p>
        </w:tc>
        <w:tc>
          <w:tcPr>
            <w:tcW w:w="1092" w:type="dxa"/>
            <w:noWrap w:val="0"/>
            <w:vAlign w:val="center"/>
          </w:tcPr>
          <w:p w14:paraId="33496BF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15.84</w:t>
            </w:r>
          </w:p>
        </w:tc>
        <w:tc>
          <w:tcPr>
            <w:tcW w:w="1333" w:type="dxa"/>
            <w:noWrap w:val="0"/>
            <w:vAlign w:val="center"/>
          </w:tcPr>
          <w:p w14:paraId="081F34C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5.17</w:t>
            </w:r>
          </w:p>
        </w:tc>
        <w:tc>
          <w:tcPr>
            <w:tcW w:w="1183" w:type="dxa"/>
            <w:vMerge w:val="restart"/>
            <w:noWrap w:val="0"/>
            <w:vAlign w:val="top"/>
          </w:tcPr>
          <w:p w14:paraId="2C7A2921">
            <w:pPr>
              <w:pStyle w:val="67"/>
              <w:spacing w:line="320" w:lineRule="exact"/>
              <w:ind w:firstLine="0" w:firstLineChars="0"/>
              <w:jc w:val="center"/>
              <w:rPr>
                <w:rFonts w:hint="eastAsia" w:ascii="方正黑体简体" w:hAnsi="宋体" w:eastAsia="方正黑体简体"/>
                <w:sz w:val="24"/>
              </w:rPr>
            </w:pPr>
          </w:p>
        </w:tc>
      </w:tr>
      <w:tr w14:paraId="2EF5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6AEA937A">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563B2E34">
            <w:pPr>
              <w:pStyle w:val="67"/>
              <w:spacing w:line="320" w:lineRule="exact"/>
              <w:ind w:firstLine="0" w:firstLineChars="0"/>
              <w:jc w:val="center"/>
              <w:rPr>
                <w:rFonts w:hint="eastAsia" w:ascii="方正黑体简体" w:hAnsi="宋体" w:eastAsia="方正黑体简体"/>
                <w:sz w:val="24"/>
              </w:rPr>
            </w:pPr>
          </w:p>
        </w:tc>
        <w:tc>
          <w:tcPr>
            <w:tcW w:w="654" w:type="dxa"/>
            <w:vMerge w:val="restart"/>
            <w:noWrap w:val="0"/>
            <w:vAlign w:val="center"/>
          </w:tcPr>
          <w:p w14:paraId="2881AE7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其中</w:t>
            </w:r>
          </w:p>
        </w:tc>
        <w:tc>
          <w:tcPr>
            <w:tcW w:w="2818" w:type="dxa"/>
            <w:gridSpan w:val="2"/>
            <w:noWrap w:val="0"/>
            <w:vAlign w:val="center"/>
          </w:tcPr>
          <w:p w14:paraId="16AF3A3A">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公共绿地（G1）</w:t>
            </w:r>
          </w:p>
        </w:tc>
        <w:tc>
          <w:tcPr>
            <w:tcW w:w="1092" w:type="dxa"/>
            <w:noWrap w:val="0"/>
            <w:vAlign w:val="center"/>
          </w:tcPr>
          <w:p w14:paraId="76F68123">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10.31</w:t>
            </w:r>
          </w:p>
        </w:tc>
        <w:tc>
          <w:tcPr>
            <w:tcW w:w="1333" w:type="dxa"/>
            <w:vMerge w:val="restart"/>
            <w:noWrap w:val="0"/>
            <w:vAlign w:val="center"/>
          </w:tcPr>
          <w:p w14:paraId="19C62101">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3E40BC16">
            <w:pPr>
              <w:pStyle w:val="67"/>
              <w:spacing w:line="320" w:lineRule="exact"/>
              <w:ind w:firstLine="0" w:firstLineChars="0"/>
              <w:jc w:val="center"/>
              <w:rPr>
                <w:rFonts w:hint="eastAsia" w:ascii="方正黑体简体" w:hAnsi="宋体" w:eastAsia="方正黑体简体"/>
                <w:sz w:val="24"/>
              </w:rPr>
            </w:pPr>
          </w:p>
        </w:tc>
      </w:tr>
      <w:tr w14:paraId="11A3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Merge w:val="continue"/>
            <w:noWrap w:val="0"/>
            <w:vAlign w:val="center"/>
          </w:tcPr>
          <w:p w14:paraId="1D3B6E3F">
            <w:pPr>
              <w:pStyle w:val="67"/>
              <w:spacing w:line="320" w:lineRule="exact"/>
              <w:ind w:firstLine="0" w:firstLineChars="0"/>
              <w:jc w:val="center"/>
              <w:rPr>
                <w:rFonts w:hint="eastAsia" w:ascii="方正黑体简体" w:hAnsi="宋体" w:eastAsia="方正黑体简体"/>
                <w:sz w:val="24"/>
              </w:rPr>
            </w:pPr>
          </w:p>
        </w:tc>
        <w:tc>
          <w:tcPr>
            <w:tcW w:w="435" w:type="dxa"/>
            <w:vMerge w:val="continue"/>
            <w:noWrap w:val="0"/>
            <w:vAlign w:val="center"/>
          </w:tcPr>
          <w:p w14:paraId="621099E2">
            <w:pPr>
              <w:pStyle w:val="67"/>
              <w:spacing w:line="320" w:lineRule="exact"/>
              <w:ind w:firstLine="0" w:firstLineChars="0"/>
              <w:jc w:val="center"/>
              <w:rPr>
                <w:rFonts w:hint="eastAsia" w:ascii="方正黑体简体" w:hAnsi="宋体" w:eastAsia="方正黑体简体"/>
                <w:sz w:val="24"/>
              </w:rPr>
            </w:pPr>
          </w:p>
        </w:tc>
        <w:tc>
          <w:tcPr>
            <w:tcW w:w="654" w:type="dxa"/>
            <w:vMerge w:val="continue"/>
            <w:noWrap w:val="0"/>
            <w:vAlign w:val="center"/>
          </w:tcPr>
          <w:p w14:paraId="771260C0">
            <w:pPr>
              <w:pStyle w:val="67"/>
              <w:spacing w:line="320" w:lineRule="exact"/>
              <w:ind w:firstLine="0" w:firstLineChars="0"/>
              <w:jc w:val="center"/>
              <w:rPr>
                <w:rFonts w:hint="eastAsia" w:ascii="方正黑体简体" w:hAnsi="宋体" w:eastAsia="方正黑体简体"/>
                <w:sz w:val="24"/>
              </w:rPr>
            </w:pPr>
          </w:p>
        </w:tc>
        <w:tc>
          <w:tcPr>
            <w:tcW w:w="2818" w:type="dxa"/>
            <w:gridSpan w:val="2"/>
            <w:noWrap w:val="0"/>
            <w:vAlign w:val="center"/>
          </w:tcPr>
          <w:p w14:paraId="29DE8A8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防护绿地（G2）</w:t>
            </w:r>
          </w:p>
        </w:tc>
        <w:tc>
          <w:tcPr>
            <w:tcW w:w="1092" w:type="dxa"/>
            <w:noWrap w:val="0"/>
            <w:vAlign w:val="center"/>
          </w:tcPr>
          <w:p w14:paraId="480EB20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5.53</w:t>
            </w:r>
          </w:p>
        </w:tc>
        <w:tc>
          <w:tcPr>
            <w:tcW w:w="1333" w:type="dxa"/>
            <w:vMerge w:val="continue"/>
            <w:noWrap w:val="0"/>
            <w:vAlign w:val="center"/>
          </w:tcPr>
          <w:p w14:paraId="0446CA5D">
            <w:pPr>
              <w:pStyle w:val="67"/>
              <w:spacing w:line="320" w:lineRule="exact"/>
              <w:ind w:firstLine="0" w:firstLineChars="0"/>
              <w:jc w:val="center"/>
              <w:rPr>
                <w:rFonts w:hint="eastAsia" w:ascii="方正黑体简体" w:hAnsi="宋体" w:eastAsia="方正黑体简体"/>
                <w:sz w:val="24"/>
              </w:rPr>
            </w:pPr>
          </w:p>
        </w:tc>
        <w:tc>
          <w:tcPr>
            <w:tcW w:w="1183" w:type="dxa"/>
            <w:vMerge w:val="continue"/>
            <w:noWrap w:val="0"/>
            <w:vAlign w:val="top"/>
          </w:tcPr>
          <w:p w14:paraId="079446B3">
            <w:pPr>
              <w:pStyle w:val="67"/>
              <w:spacing w:line="320" w:lineRule="exact"/>
              <w:ind w:firstLine="0" w:firstLineChars="0"/>
              <w:jc w:val="center"/>
              <w:rPr>
                <w:rFonts w:hint="eastAsia" w:ascii="方正黑体简体" w:hAnsi="宋体" w:eastAsia="方正黑体简体"/>
                <w:sz w:val="24"/>
              </w:rPr>
            </w:pPr>
          </w:p>
        </w:tc>
      </w:tr>
      <w:tr w14:paraId="1DFF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noWrap w:val="0"/>
            <w:vAlign w:val="center"/>
          </w:tcPr>
          <w:p w14:paraId="266C7DF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8</w:t>
            </w:r>
          </w:p>
        </w:tc>
        <w:tc>
          <w:tcPr>
            <w:tcW w:w="435" w:type="dxa"/>
            <w:noWrap w:val="0"/>
            <w:vAlign w:val="center"/>
          </w:tcPr>
          <w:p w14:paraId="1F9607E7">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H</w:t>
            </w:r>
          </w:p>
        </w:tc>
        <w:tc>
          <w:tcPr>
            <w:tcW w:w="3472" w:type="dxa"/>
            <w:gridSpan w:val="3"/>
            <w:noWrap w:val="0"/>
            <w:vAlign w:val="center"/>
          </w:tcPr>
          <w:p w14:paraId="1878B4B0">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城市建设用地</w:t>
            </w:r>
          </w:p>
        </w:tc>
        <w:tc>
          <w:tcPr>
            <w:tcW w:w="1092" w:type="dxa"/>
            <w:noWrap w:val="0"/>
            <w:vAlign w:val="center"/>
          </w:tcPr>
          <w:p w14:paraId="3CC4BA74">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311.31</w:t>
            </w:r>
          </w:p>
        </w:tc>
        <w:tc>
          <w:tcPr>
            <w:tcW w:w="1333" w:type="dxa"/>
            <w:noWrap w:val="0"/>
            <w:vAlign w:val="center"/>
          </w:tcPr>
          <w:p w14:paraId="2B0A9D7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100</w:t>
            </w:r>
          </w:p>
        </w:tc>
        <w:tc>
          <w:tcPr>
            <w:tcW w:w="1183" w:type="dxa"/>
            <w:noWrap w:val="0"/>
            <w:vAlign w:val="top"/>
          </w:tcPr>
          <w:p w14:paraId="02D48537">
            <w:pPr>
              <w:pStyle w:val="67"/>
              <w:spacing w:line="320" w:lineRule="exact"/>
              <w:ind w:firstLine="0" w:firstLineChars="0"/>
              <w:jc w:val="center"/>
              <w:rPr>
                <w:rFonts w:hint="eastAsia" w:ascii="方正黑体简体" w:hAnsi="宋体" w:eastAsia="方正黑体简体"/>
                <w:sz w:val="24"/>
              </w:rPr>
            </w:pPr>
          </w:p>
        </w:tc>
      </w:tr>
      <w:tr w14:paraId="3665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noWrap w:val="0"/>
            <w:vAlign w:val="center"/>
          </w:tcPr>
          <w:p w14:paraId="5BD51369">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9</w:t>
            </w:r>
          </w:p>
        </w:tc>
        <w:tc>
          <w:tcPr>
            <w:tcW w:w="435" w:type="dxa"/>
            <w:noWrap w:val="0"/>
            <w:vAlign w:val="center"/>
          </w:tcPr>
          <w:p w14:paraId="4D5CC6E4">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E</w:t>
            </w:r>
          </w:p>
        </w:tc>
        <w:tc>
          <w:tcPr>
            <w:tcW w:w="3472" w:type="dxa"/>
            <w:gridSpan w:val="3"/>
            <w:noWrap w:val="0"/>
            <w:vAlign w:val="center"/>
          </w:tcPr>
          <w:p w14:paraId="199C7702">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非建设用地（E）</w:t>
            </w:r>
          </w:p>
        </w:tc>
        <w:tc>
          <w:tcPr>
            <w:tcW w:w="1092" w:type="dxa"/>
            <w:noWrap w:val="0"/>
            <w:vAlign w:val="center"/>
          </w:tcPr>
          <w:p w14:paraId="1FFD8762">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34.59</w:t>
            </w:r>
          </w:p>
        </w:tc>
        <w:tc>
          <w:tcPr>
            <w:tcW w:w="1333" w:type="dxa"/>
            <w:noWrap w:val="0"/>
            <w:vAlign w:val="center"/>
          </w:tcPr>
          <w:p w14:paraId="45A272CE">
            <w:pPr>
              <w:pStyle w:val="67"/>
              <w:spacing w:line="320" w:lineRule="exact"/>
              <w:ind w:firstLine="0" w:firstLineChars="0"/>
              <w:jc w:val="center"/>
              <w:rPr>
                <w:rFonts w:hint="eastAsia" w:ascii="方正黑体简体" w:hAnsi="宋体" w:eastAsia="方正黑体简体"/>
                <w:sz w:val="24"/>
              </w:rPr>
            </w:pPr>
          </w:p>
        </w:tc>
        <w:tc>
          <w:tcPr>
            <w:tcW w:w="1183" w:type="dxa"/>
            <w:noWrap w:val="0"/>
            <w:vAlign w:val="top"/>
          </w:tcPr>
          <w:p w14:paraId="534724E8">
            <w:pPr>
              <w:pStyle w:val="67"/>
              <w:spacing w:line="320" w:lineRule="exact"/>
              <w:ind w:firstLine="0" w:firstLineChars="0"/>
              <w:jc w:val="center"/>
              <w:rPr>
                <w:rFonts w:hint="eastAsia" w:ascii="方正黑体简体" w:hAnsi="宋体" w:eastAsia="方正黑体简体"/>
                <w:sz w:val="24"/>
              </w:rPr>
            </w:pPr>
          </w:p>
        </w:tc>
      </w:tr>
      <w:tr w14:paraId="074F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42" w:type="dxa"/>
            <w:gridSpan w:val="5"/>
            <w:noWrap w:val="0"/>
            <w:vAlign w:val="center"/>
          </w:tcPr>
          <w:p w14:paraId="24F2C2DC">
            <w:pPr>
              <w:pStyle w:val="67"/>
              <w:spacing w:line="320" w:lineRule="exact"/>
              <w:ind w:firstLine="0" w:firstLineChars="0"/>
              <w:jc w:val="center"/>
              <w:rPr>
                <w:rFonts w:hint="eastAsia" w:ascii="方正黑体简体" w:hAnsi="宋体" w:eastAsia="方正黑体简体"/>
                <w:sz w:val="24"/>
              </w:rPr>
            </w:pPr>
            <w:r>
              <w:rPr>
                <w:rFonts w:hint="eastAsia" w:ascii="方正黑体简体" w:hAnsi="宋体" w:eastAsia="方正黑体简体"/>
                <w:sz w:val="24"/>
              </w:rPr>
              <w:t>城乡用地</w:t>
            </w:r>
          </w:p>
        </w:tc>
        <w:tc>
          <w:tcPr>
            <w:tcW w:w="1092" w:type="dxa"/>
            <w:noWrap w:val="0"/>
            <w:vAlign w:val="center"/>
          </w:tcPr>
          <w:p w14:paraId="6BD6F9E2">
            <w:pPr>
              <w:pStyle w:val="67"/>
              <w:spacing w:line="320" w:lineRule="exact"/>
              <w:ind w:firstLine="0" w:firstLineChars="0"/>
              <w:jc w:val="center"/>
              <w:rPr>
                <w:rFonts w:hint="default" w:ascii="方正黑体简体" w:hAnsi="宋体" w:eastAsia="方正黑体简体"/>
                <w:sz w:val="24"/>
                <w:lang w:val="en-US" w:eastAsia="zh-CN"/>
              </w:rPr>
            </w:pPr>
            <w:r>
              <w:rPr>
                <w:rFonts w:hint="eastAsia" w:ascii="方正黑体简体" w:hAnsi="宋体" w:eastAsia="方正黑体简体"/>
                <w:sz w:val="24"/>
              </w:rPr>
              <w:t>34</w:t>
            </w:r>
            <w:r>
              <w:rPr>
                <w:rFonts w:hint="eastAsia" w:ascii="方正黑体简体" w:hAnsi="宋体" w:eastAsia="方正黑体简体"/>
                <w:sz w:val="24"/>
                <w:lang w:val="en-US" w:eastAsia="zh-CN"/>
              </w:rPr>
              <w:t>5.90</w:t>
            </w:r>
          </w:p>
        </w:tc>
        <w:tc>
          <w:tcPr>
            <w:tcW w:w="1333" w:type="dxa"/>
            <w:noWrap w:val="0"/>
            <w:vAlign w:val="center"/>
          </w:tcPr>
          <w:p w14:paraId="7AABF745">
            <w:pPr>
              <w:pStyle w:val="67"/>
              <w:spacing w:line="320" w:lineRule="exact"/>
              <w:ind w:firstLine="0" w:firstLineChars="0"/>
              <w:jc w:val="center"/>
              <w:rPr>
                <w:rFonts w:hint="eastAsia" w:ascii="方正黑体简体" w:hAnsi="宋体" w:eastAsia="方正黑体简体"/>
                <w:sz w:val="24"/>
              </w:rPr>
            </w:pPr>
          </w:p>
        </w:tc>
        <w:tc>
          <w:tcPr>
            <w:tcW w:w="1183" w:type="dxa"/>
            <w:noWrap w:val="0"/>
            <w:vAlign w:val="top"/>
          </w:tcPr>
          <w:p w14:paraId="1EE8C556">
            <w:pPr>
              <w:pStyle w:val="67"/>
              <w:spacing w:line="320" w:lineRule="exact"/>
              <w:ind w:firstLine="0" w:firstLineChars="0"/>
              <w:jc w:val="center"/>
              <w:rPr>
                <w:rFonts w:hint="eastAsia" w:ascii="方正黑体简体" w:hAnsi="宋体" w:eastAsia="方正黑体简体"/>
                <w:sz w:val="24"/>
              </w:rPr>
            </w:pPr>
          </w:p>
        </w:tc>
      </w:tr>
    </w:tbl>
    <w:p w14:paraId="24E3DB37">
      <w:pPr>
        <w:pStyle w:val="4"/>
        <w:numPr>
          <w:ilvl w:val="0"/>
          <w:numId w:val="0"/>
        </w:numPr>
        <w:spacing w:before="252" w:beforeLines="50" w:after="252" w:afterLines="50" w:line="720" w:lineRule="exact"/>
        <w:ind w:left="425"/>
        <w:rPr>
          <w:rFonts w:ascii="仿宋_GB2312" w:hAnsi="宋体" w:eastAsia="仿宋_GB2312"/>
          <w:bCs w:val="0"/>
        </w:rPr>
      </w:pPr>
      <w:bookmarkStart w:id="47" w:name="_Toc358296540"/>
      <w:r>
        <w:rPr>
          <w:rFonts w:hint="eastAsia" w:ascii="仿宋_GB2312" w:hAnsi="宋体" w:eastAsia="仿宋_GB2312"/>
          <w:bCs w:val="0"/>
        </w:rPr>
        <w:t>（四）河流水系</w:t>
      </w:r>
      <w:bookmarkEnd w:id="47"/>
    </w:p>
    <w:p w14:paraId="23E0E9E1">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（1）河流分布</w:t>
      </w:r>
    </w:p>
    <w:p w14:paraId="3F3B7C5A">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 xml:space="preserve">片区内主要有青衣江和大渡河，两大水系在片区南侧交汇后往东汇入岷江。 </w:t>
      </w:r>
    </w:p>
    <w:p w14:paraId="3AD5E5D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（2）防洪、防涝标准</w:t>
      </w:r>
    </w:p>
    <w:p w14:paraId="639A2B16">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根据《乐山市总体规划》等规划，确定肖坝片区内青衣江防洪标准为五十年一遇、防涝标准为三十年一遇。</w:t>
      </w:r>
    </w:p>
    <w:p w14:paraId="0646F9D5">
      <w:pPr>
        <w:pStyle w:val="4"/>
        <w:numPr>
          <w:ilvl w:val="0"/>
          <w:numId w:val="0"/>
        </w:numPr>
        <w:spacing w:before="252" w:beforeLines="50" w:after="252" w:afterLines="50" w:line="720" w:lineRule="exact"/>
        <w:ind w:left="425"/>
        <w:rPr>
          <w:rFonts w:ascii="仿宋_GB2312" w:hAnsi="宋体" w:eastAsia="仿宋_GB2312"/>
          <w:bCs w:val="0"/>
        </w:rPr>
      </w:pPr>
      <w:bookmarkStart w:id="48" w:name="_Toc358296541"/>
      <w:r>
        <w:rPr>
          <w:rFonts w:hint="eastAsia" w:ascii="仿宋_GB2312" w:hAnsi="宋体" w:eastAsia="仿宋_GB2312"/>
          <w:bCs w:val="0"/>
        </w:rPr>
        <w:t>（五）基地</w:t>
      </w:r>
      <w:r>
        <w:rPr>
          <w:rFonts w:ascii="仿宋_GB2312" w:hAnsi="宋体" w:eastAsia="仿宋_GB2312"/>
          <w:bCs w:val="0"/>
        </w:rPr>
        <w:t>GIS</w:t>
      </w:r>
      <w:r>
        <w:rPr>
          <w:rFonts w:hint="eastAsia" w:ascii="仿宋_GB2312" w:hAnsi="宋体" w:eastAsia="仿宋_GB2312"/>
          <w:bCs w:val="0"/>
        </w:rPr>
        <w:t>分析</w:t>
      </w:r>
      <w:bookmarkEnd w:id="48"/>
    </w:p>
    <w:p w14:paraId="1FED2E41">
      <w:pPr>
        <w:spacing w:line="720" w:lineRule="exact"/>
        <w:ind w:firstLine="598" w:firstLineChars="200"/>
        <w:rPr>
          <w:rFonts w:ascii="仿宋_GB2312" w:eastAsia="仿宋_GB2312"/>
          <w:sz w:val="32"/>
          <w:szCs w:val="32"/>
        </w:rPr>
      </w:pPr>
      <w:r>
        <w:rPr>
          <w:rFonts w:hint="eastAsia" w:ascii="仿宋_GB2312" w:eastAsia="仿宋_GB2312"/>
          <w:sz w:val="32"/>
          <w:szCs w:val="32"/>
        </w:rPr>
        <w:t>规划范围内地形呈西高东低之势，海拔最高点位于西部斧头山，高程430.49米，海拔最低点位于肖坝东端。</w:t>
      </w:r>
    </w:p>
    <w:p w14:paraId="06E92211">
      <w:pPr>
        <w:pStyle w:val="3"/>
        <w:adjustRightInd w:val="0"/>
        <w:spacing w:before="252" w:beforeLines="50" w:after="252" w:afterLines="50" w:line="640" w:lineRule="exact"/>
        <w:rPr>
          <w:rFonts w:ascii="方正黑体简体" w:hAnsi="Calibri" w:eastAsia="方正黑体简体"/>
          <w:bCs w:val="0"/>
        </w:rPr>
      </w:pPr>
      <w:bookmarkStart w:id="49" w:name="_Toc414632121"/>
      <w:bookmarkStart w:id="50" w:name="_Toc358296542"/>
      <w:bookmarkStart w:id="51" w:name="_Toc420499403"/>
      <w:r>
        <w:rPr>
          <w:rFonts w:hint="eastAsia" w:ascii="方正黑体简体" w:hAnsi="Calibri" w:eastAsia="方正黑体简体"/>
          <w:bCs w:val="0"/>
        </w:rPr>
        <w:t>二、</w:t>
      </w:r>
      <w:bookmarkEnd w:id="49"/>
      <w:bookmarkEnd w:id="50"/>
      <w:bookmarkEnd w:id="51"/>
      <w:bookmarkStart w:id="52" w:name="_Toc358296544"/>
      <w:r>
        <w:rPr>
          <w:rFonts w:hint="eastAsia" w:ascii="方正黑体简体" w:hAnsi="Calibri" w:eastAsia="方正黑体简体"/>
          <w:bCs w:val="0"/>
        </w:rPr>
        <w:t>自然特色分析</w:t>
      </w:r>
      <w:bookmarkEnd w:id="52"/>
    </w:p>
    <w:p w14:paraId="4BC612D5">
      <w:pPr>
        <w:spacing w:line="720" w:lineRule="exact"/>
        <w:ind w:firstLine="598" w:firstLineChars="200"/>
        <w:rPr>
          <w:rFonts w:ascii="仿宋_GB2312" w:eastAsia="仿宋_GB2312"/>
          <w:sz w:val="32"/>
          <w:szCs w:val="32"/>
        </w:rPr>
      </w:pPr>
      <w:r>
        <w:rPr>
          <w:rFonts w:hint="eastAsia" w:ascii="仿宋_GB2312" w:eastAsia="仿宋_GB2312"/>
          <w:sz w:val="32"/>
          <w:szCs w:val="32"/>
        </w:rPr>
        <w:t>肖坝片区外有滨水履带连绵，内有山势蜿蜒游走，经20多年空间演变，形成背倚绿心坐观两河汇流，东靠大佛西眺峨嵋金顶的独特自然山水格局。构建了肖坝片区山、河、城融合的城市空间形态。</w:t>
      </w:r>
    </w:p>
    <w:p w14:paraId="72A48FE1">
      <w:pPr>
        <w:pStyle w:val="3"/>
        <w:adjustRightInd w:val="0"/>
        <w:spacing w:before="252" w:beforeLines="50" w:after="252" w:afterLines="50" w:line="640" w:lineRule="exact"/>
        <w:rPr>
          <w:rFonts w:ascii="方正黑体简体" w:hAnsi="Calibri" w:eastAsia="方正黑体简体"/>
          <w:bCs w:val="0"/>
        </w:rPr>
      </w:pPr>
      <w:bookmarkStart w:id="53" w:name="_Toc420499404"/>
      <w:bookmarkStart w:id="54" w:name="_Toc414632122"/>
      <w:bookmarkStart w:id="55" w:name="_Toc358296545"/>
      <w:r>
        <w:rPr>
          <w:rFonts w:hint="eastAsia" w:ascii="方正黑体简体" w:hAnsi="Calibri" w:eastAsia="方正黑体简体"/>
          <w:bCs w:val="0"/>
        </w:rPr>
        <w:t>三、肖坝片区</w:t>
      </w:r>
      <w:bookmarkEnd w:id="53"/>
      <w:bookmarkEnd w:id="54"/>
      <w:r>
        <w:rPr>
          <w:rFonts w:hint="eastAsia" w:ascii="方正黑体简体" w:hAnsi="Calibri" w:eastAsia="方正黑体简体"/>
          <w:bCs w:val="0"/>
        </w:rPr>
        <w:t>建设情况小结</w:t>
      </w:r>
      <w:bookmarkEnd w:id="55"/>
    </w:p>
    <w:p w14:paraId="189789FC">
      <w:pPr>
        <w:spacing w:line="720" w:lineRule="exact"/>
        <w:ind w:firstLine="598" w:firstLineChars="200"/>
        <w:rPr>
          <w:rFonts w:ascii="仿宋_GB2312" w:eastAsia="仿宋_GB2312"/>
          <w:sz w:val="32"/>
          <w:szCs w:val="32"/>
        </w:rPr>
      </w:pPr>
      <w:r>
        <w:rPr>
          <w:rFonts w:hint="eastAsia" w:ascii="仿宋_GB2312" w:eastAsia="仿宋_GB2312"/>
          <w:sz w:val="32"/>
          <w:szCs w:val="32"/>
        </w:rPr>
        <w:t xml:space="preserve">肖坝片区早期以疏解老城居住功能为目的兴建，面积为中心城区建设用地面积的2.8%，。 20多年来片区建设主要以居住及大学教育功能为主，随着人口增多，区域交通设施提升，肖坝片区交通地位愈加重要，单一的片区城市职能面临复合化的要求。 </w:t>
      </w:r>
    </w:p>
    <w:p w14:paraId="131EF5A9">
      <w:pPr>
        <w:pStyle w:val="3"/>
        <w:adjustRightInd w:val="0"/>
        <w:spacing w:before="252" w:beforeLines="50" w:after="252" w:afterLines="50" w:line="640" w:lineRule="exact"/>
        <w:rPr>
          <w:rFonts w:ascii="方正黑体简体" w:hAnsi="Calibri" w:eastAsia="方正黑体简体"/>
          <w:bCs w:val="0"/>
        </w:rPr>
      </w:pPr>
      <w:bookmarkStart w:id="56" w:name="_Toc414632123"/>
      <w:bookmarkStart w:id="57" w:name="_Toc420499405"/>
      <w:bookmarkStart w:id="58" w:name="_Toc358296546"/>
      <w:r>
        <w:rPr>
          <w:rFonts w:hint="eastAsia" w:ascii="方正黑体简体" w:hAnsi="Calibri" w:eastAsia="方正黑体简体"/>
          <w:bCs w:val="0"/>
        </w:rPr>
        <w:t>四、本次规划的</w:t>
      </w:r>
      <w:bookmarkEnd w:id="56"/>
      <w:bookmarkEnd w:id="57"/>
      <w:bookmarkEnd w:id="58"/>
      <w:r>
        <w:rPr>
          <w:rFonts w:hint="eastAsia" w:ascii="方正黑体简体" w:hAnsi="Calibri" w:eastAsia="方正黑体简体"/>
          <w:bCs w:val="0"/>
        </w:rPr>
        <w:t>相关研究</w:t>
      </w:r>
    </w:p>
    <w:p w14:paraId="310B5752">
      <w:pPr>
        <w:spacing w:line="720" w:lineRule="exact"/>
        <w:ind w:firstLine="598" w:firstLineChars="200"/>
        <w:rPr>
          <w:rFonts w:ascii="仿宋_GB2312" w:eastAsia="仿宋_GB2312"/>
          <w:sz w:val="32"/>
          <w:szCs w:val="32"/>
        </w:rPr>
      </w:pPr>
      <w:r>
        <w:rPr>
          <w:rFonts w:hint="eastAsia" w:ascii="仿宋_GB2312" w:eastAsia="仿宋_GB2312"/>
          <w:sz w:val="32"/>
          <w:szCs w:val="32"/>
        </w:rPr>
        <w:t xml:space="preserve">1、肖坝片区以585核工业设计院为基础，自2002年以外国语学校修建为标志，启动了作为疏解老城区居住功能的新区建设，历经16年，已发展成为以居住，大学教育为主的城市功能区。随着总规修编确定的“西进南拓，中心提升”的空间战略，肖坝片区面临着交通功能比重增加，综合环境提升优化两大任务。 </w:t>
      </w:r>
    </w:p>
    <w:p w14:paraId="726D60E0">
      <w:pPr>
        <w:spacing w:line="720" w:lineRule="exact"/>
        <w:ind w:firstLine="598" w:firstLineChars="200"/>
        <w:rPr>
          <w:rFonts w:hint="eastAsia"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本次控规项目组探索自上而下与自下而上相结合，政府引导与社区合作的多元策略，立足资源和问题导向，确定“精准、精致、精细”的规划思路，以公共空间与民生功能完善为主线，整合存量与潜力，缝合城市生活网络，落实推动城市更新建设。</w:t>
      </w:r>
    </w:p>
    <w:p w14:paraId="40FD4F35">
      <w:pPr>
        <w:spacing w:line="720" w:lineRule="exact"/>
        <w:ind w:firstLine="598" w:firstLineChars="200"/>
        <w:rPr>
          <w:rFonts w:hint="eastAsia" w:ascii="方正黑体简体" w:eastAsia="方正黑体简体"/>
          <w:b/>
          <w:bCs/>
          <w:sz w:val="28"/>
          <w:szCs w:val="28"/>
        </w:rPr>
      </w:pPr>
      <w:r>
        <w:rPr>
          <w:rFonts w:ascii="仿宋_GB2312" w:eastAsia="仿宋_GB2312"/>
          <w:sz w:val="32"/>
          <w:szCs w:val="32"/>
        </w:rPr>
        <w:t xml:space="preserve"> </w:t>
      </w:r>
      <w:r>
        <w:rPr>
          <w:rFonts w:hint="eastAsia" w:ascii="仿宋_GB2312" w:eastAsia="仿宋_GB2312"/>
          <w:sz w:val="32"/>
          <w:szCs w:val="32"/>
        </w:rPr>
        <w:t>针对肖坝发展所面临的问题，梳理制约瓶颈，明确发展的路径与目标，研判更新方式，优化和控制城市建设，并为乐山市建成片区控规工作提供前瞻性的探索和示范。</w:t>
      </w:r>
      <w:r>
        <w:rPr>
          <w:rFonts w:hint="eastAsia" w:ascii="方正黑体简体" w:eastAsia="方正黑体简体"/>
          <w:b/>
          <w:bCs/>
          <w:sz w:val="28"/>
          <w:szCs w:val="28"/>
        </w:rPr>
        <w:t xml:space="preserve"> </w:t>
      </w:r>
    </w:p>
    <w:p w14:paraId="4AAA1AD0">
      <w:pPr>
        <w:pStyle w:val="3"/>
        <w:adjustRightInd w:val="0"/>
        <w:spacing w:before="252" w:beforeLines="50" w:after="252" w:afterLines="50" w:line="660" w:lineRule="exact"/>
        <w:rPr>
          <w:rFonts w:ascii="方正黑体简体" w:hAnsi="Calibri" w:eastAsia="方正黑体简体"/>
          <w:bCs w:val="0"/>
        </w:rPr>
      </w:pPr>
      <w:bookmarkStart w:id="59" w:name="_Toc420499406"/>
      <w:bookmarkStart w:id="60" w:name="_Toc414632124"/>
      <w:bookmarkStart w:id="61" w:name="_Toc358296549"/>
      <w:r>
        <w:rPr>
          <w:rFonts w:hint="eastAsia" w:ascii="方正黑体简体" w:hAnsi="Calibri" w:eastAsia="方正黑体简体"/>
          <w:bCs w:val="0"/>
        </w:rPr>
        <w:t>五、肖坝片区的战略定位</w:t>
      </w:r>
      <w:bookmarkEnd w:id="59"/>
      <w:bookmarkEnd w:id="60"/>
      <w:r>
        <w:rPr>
          <w:rFonts w:hint="eastAsia" w:ascii="方正黑体简体" w:hAnsi="Calibri" w:eastAsia="方正黑体简体"/>
          <w:bCs w:val="0"/>
        </w:rPr>
        <w:t>及功能考量</w:t>
      </w:r>
      <w:bookmarkEnd w:id="61"/>
    </w:p>
    <w:p w14:paraId="4D00D19B">
      <w:pPr>
        <w:spacing w:line="720" w:lineRule="exact"/>
        <w:ind w:firstLine="598" w:firstLineChars="200"/>
        <w:rPr>
          <w:rFonts w:ascii="仿宋_GB2312" w:hAnsi="宋体" w:eastAsia="仿宋_GB2312"/>
          <w:b/>
          <w:sz w:val="32"/>
          <w:szCs w:val="32"/>
        </w:rPr>
      </w:pPr>
      <w:bookmarkStart w:id="62" w:name="_Toc358296550"/>
      <w:r>
        <w:rPr>
          <w:rFonts w:hint="eastAsia" w:ascii="仿宋_GB2312" w:hAnsi="宋体" w:eastAsia="仿宋_GB2312"/>
          <w:b/>
          <w:sz w:val="32"/>
          <w:szCs w:val="32"/>
        </w:rPr>
        <w:t>（一）发展定位</w:t>
      </w:r>
      <w:bookmarkEnd w:id="62"/>
      <w:r>
        <w:rPr>
          <w:rFonts w:ascii="仿宋_GB2312" w:hAnsi="宋体" w:eastAsia="仿宋_GB2312"/>
          <w:b/>
          <w:sz w:val="32"/>
          <w:szCs w:val="32"/>
        </w:rPr>
        <w:t xml:space="preserve"> </w:t>
      </w:r>
    </w:p>
    <w:p w14:paraId="2EED32E8">
      <w:pPr>
        <w:spacing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 xml:space="preserve">以居住、教育功能为主的城市区。 </w:t>
      </w:r>
    </w:p>
    <w:p w14:paraId="650DA5A5">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该定位解读如下：</w:t>
      </w:r>
    </w:p>
    <w:p w14:paraId="72419DF5">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肖坝片区依托大渡河、青衣江和</w:t>
      </w:r>
      <w:r>
        <w:rPr>
          <w:rFonts w:hint="eastAsia" w:ascii="仿宋_GB2312" w:eastAsia="仿宋_GB2312"/>
          <w:sz w:val="32"/>
          <w:szCs w:val="32"/>
        </w:rPr>
        <w:t>斧头山肖坝崖墓</w:t>
      </w:r>
      <w:r>
        <w:rPr>
          <w:rFonts w:hint="eastAsia" w:ascii="仿宋_GB2312" w:hAnsi="宋体" w:eastAsia="仿宋_GB2312"/>
          <w:sz w:val="32"/>
          <w:szCs w:val="32"/>
        </w:rPr>
        <w:t>的有利区位和自身的文化优势，积极发展文化产业，同时结合高新区总部经济区的建设，打造承接成都，对接川南，辐射攀西的重要高教科创聚集地。</w:t>
      </w:r>
    </w:p>
    <w:p w14:paraId="2789C757">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肖坝位于世界遗产乐山大佛景区和峨眉山景区之间，同时辐射周边其他旅游节点，独特的地理优势和区位特征使肖坝地区必然成为乐山旅游乃至蜀南地区旅游的服务中心之一。</w:t>
      </w:r>
    </w:p>
    <w:p w14:paraId="606B6AC4">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将结合城市教育园区的建设，以及作为嘉州主中心重要组成部分与车子次中心和老城次中心形成环绕绿心公园的公共服务环。新功能的引入，特别是历史文化、旅游服务、教育科研等功能，将肖坝的总体定位确定为乐山城市新区。同时，肖坝的功能不应是单纯对乐山城市功能的疏解，更重要的是肖坝功能与嘉州主中心整体功能的互补。</w:t>
      </w:r>
    </w:p>
    <w:p w14:paraId="1231EB16">
      <w:pPr>
        <w:spacing w:line="720" w:lineRule="exact"/>
        <w:ind w:firstLine="598" w:firstLineChars="200"/>
        <w:rPr>
          <w:rFonts w:ascii="仿宋_GB2312" w:hAnsi="宋体" w:eastAsia="仿宋_GB2312"/>
          <w:b/>
          <w:sz w:val="32"/>
          <w:szCs w:val="32"/>
        </w:rPr>
      </w:pPr>
      <w:bookmarkStart w:id="63" w:name="_Toc358296551"/>
      <w:r>
        <w:rPr>
          <w:rFonts w:hint="eastAsia" w:ascii="仿宋_GB2312" w:hAnsi="宋体" w:eastAsia="仿宋_GB2312"/>
          <w:b/>
          <w:sz w:val="32"/>
          <w:szCs w:val="32"/>
        </w:rPr>
        <w:t>（二）功能确定</w:t>
      </w:r>
      <w:bookmarkEnd w:id="63"/>
    </w:p>
    <w:p w14:paraId="53ECC28C">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两大核心功能：生态宜居、教育科研。</w:t>
      </w:r>
    </w:p>
    <w:p w14:paraId="22337821">
      <w:pPr>
        <w:spacing w:line="660" w:lineRule="exact"/>
        <w:rPr>
          <w:rFonts w:ascii="方正黑体简体" w:hAnsi="宋体" w:eastAsia="方正黑体简体"/>
          <w:sz w:val="28"/>
          <w:szCs w:val="28"/>
        </w:rPr>
      </w:pPr>
      <w:r>
        <w:rPr>
          <w:rFonts w:hint="eastAsia" w:ascii="方正黑体简体" w:hAnsi="宋体" w:eastAsia="方正黑体简体"/>
          <w:sz w:val="28"/>
          <w:szCs w:val="28"/>
        </w:rPr>
        <w:t xml:space="preserve">    </w:t>
      </w:r>
    </w:p>
    <w:p w14:paraId="53A16FC1">
      <w:pPr>
        <w:pStyle w:val="2"/>
        <w:adjustRightInd w:val="0"/>
        <w:spacing w:before="252" w:beforeLines="50" w:after="252" w:afterLines="50" w:line="720" w:lineRule="exact"/>
        <w:rPr>
          <w:rFonts w:ascii="方正黑体简体" w:eastAsia="方正黑体简体"/>
          <w:kern w:val="2"/>
          <w:sz w:val="44"/>
        </w:rPr>
      </w:pPr>
      <w:bookmarkStart w:id="64" w:name="_Toc216520006"/>
      <w:bookmarkStart w:id="65" w:name="_Toc358296552"/>
      <w:bookmarkStart w:id="66" w:name="_Toc420499407"/>
      <w:bookmarkStart w:id="67" w:name="_Toc222897528"/>
      <w:bookmarkStart w:id="68" w:name="_Toc414632125"/>
      <w:r>
        <w:rPr>
          <w:rFonts w:hint="eastAsia" w:ascii="方正黑体简体" w:eastAsia="方正黑体简体"/>
          <w:kern w:val="2"/>
          <w:sz w:val="44"/>
        </w:rPr>
        <w:t>第三章</w:t>
      </w:r>
      <w:r>
        <w:rPr>
          <w:rFonts w:ascii="方正黑体简体" w:eastAsia="方正黑体简体"/>
          <w:kern w:val="2"/>
          <w:sz w:val="44"/>
        </w:rPr>
        <w:t xml:space="preserve">  </w:t>
      </w:r>
      <w:r>
        <w:rPr>
          <w:rFonts w:hint="eastAsia" w:ascii="方正黑体简体" w:eastAsia="方正黑体简体"/>
          <w:kern w:val="2"/>
          <w:sz w:val="44"/>
        </w:rPr>
        <w:t>规划总则</w:t>
      </w:r>
      <w:bookmarkEnd w:id="64"/>
      <w:bookmarkEnd w:id="65"/>
      <w:bookmarkEnd w:id="66"/>
      <w:bookmarkEnd w:id="67"/>
      <w:bookmarkEnd w:id="68"/>
    </w:p>
    <w:p w14:paraId="72CC9085">
      <w:pPr>
        <w:pStyle w:val="3"/>
        <w:adjustRightInd w:val="0"/>
        <w:spacing w:before="252" w:beforeLines="50" w:after="252" w:afterLines="50" w:line="660" w:lineRule="exact"/>
        <w:rPr>
          <w:rFonts w:ascii="方正黑体简体" w:hAnsi="Calibri" w:eastAsia="方正黑体简体"/>
          <w:bCs w:val="0"/>
        </w:rPr>
      </w:pPr>
      <w:bookmarkStart w:id="69" w:name="_Toc414632126"/>
      <w:bookmarkStart w:id="70" w:name="_Toc222897529"/>
      <w:bookmarkStart w:id="71" w:name="_Toc358296553"/>
      <w:bookmarkStart w:id="72" w:name="_Toc216520007"/>
      <w:bookmarkStart w:id="73" w:name="_Toc420499408"/>
      <w:r>
        <w:rPr>
          <w:rFonts w:hint="eastAsia" w:ascii="方正黑体简体" w:hAnsi="Calibri" w:eastAsia="方正黑体简体"/>
          <w:bCs w:val="0"/>
        </w:rPr>
        <w:t>一、规划依据</w:t>
      </w:r>
      <w:bookmarkEnd w:id="69"/>
      <w:bookmarkEnd w:id="70"/>
      <w:bookmarkEnd w:id="71"/>
      <w:bookmarkEnd w:id="72"/>
      <w:bookmarkEnd w:id="73"/>
    </w:p>
    <w:p w14:paraId="0D6758A5">
      <w:pPr>
        <w:spacing w:line="720" w:lineRule="exact"/>
        <w:ind w:firstLine="598" w:firstLineChars="200"/>
        <w:rPr>
          <w:rFonts w:ascii="仿宋_GB2312" w:eastAsia="仿宋_GB2312"/>
          <w:sz w:val="32"/>
          <w:szCs w:val="32"/>
        </w:rPr>
      </w:pPr>
      <w:r>
        <w:rPr>
          <w:rFonts w:hint="eastAsia" w:ascii="仿宋_GB2312" w:eastAsia="仿宋_GB2312"/>
          <w:sz w:val="32"/>
          <w:szCs w:val="32"/>
        </w:rPr>
        <w:t>本次规划主要依据以下法规、规范、技术标准和文件：</w:t>
      </w:r>
    </w:p>
    <w:p w14:paraId="59A78B85">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1、《中华人民共和国城乡规划法》（20</w:t>
      </w:r>
      <w:r>
        <w:rPr>
          <w:rFonts w:hint="eastAsia" w:ascii="仿宋_GB2312" w:eastAsia="仿宋_GB2312"/>
          <w:sz w:val="32"/>
          <w:szCs w:val="32"/>
          <w:lang w:val="en-US" w:eastAsia="zh-CN"/>
        </w:rPr>
        <w:t>19</w:t>
      </w:r>
      <w:r>
        <w:rPr>
          <w:rFonts w:hint="eastAsia" w:ascii="仿宋_GB2312" w:eastAsia="仿宋_GB2312"/>
          <w:sz w:val="32"/>
          <w:szCs w:val="32"/>
        </w:rPr>
        <w:t>）；</w:t>
      </w:r>
    </w:p>
    <w:p w14:paraId="6CC3862D">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2、《城市规划编制办法》（2005）；</w:t>
      </w:r>
    </w:p>
    <w:p w14:paraId="3E55E05C">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3、《城市用地分类与规划建设用地标准》（GB50137-2011）；</w:t>
      </w:r>
    </w:p>
    <w:p w14:paraId="6E60C0C5">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4、《城市</w:t>
      </w:r>
      <w:r>
        <w:rPr>
          <w:rFonts w:hint="eastAsia" w:ascii="仿宋_GB2312" w:eastAsia="仿宋_GB2312"/>
          <w:sz w:val="32"/>
          <w:szCs w:val="32"/>
          <w:lang w:eastAsia="zh-CN"/>
        </w:rPr>
        <w:t>综合交通体系规划标准</w:t>
      </w:r>
      <w:r>
        <w:rPr>
          <w:rFonts w:hint="eastAsia" w:ascii="仿宋_GB2312" w:eastAsia="仿宋_GB2312"/>
          <w:sz w:val="32"/>
          <w:szCs w:val="32"/>
        </w:rPr>
        <w:t>》（GB</w:t>
      </w:r>
      <w:r>
        <w:rPr>
          <w:rFonts w:hint="eastAsia" w:ascii="仿宋_GB2312" w:eastAsia="仿宋_GB2312"/>
          <w:sz w:val="32"/>
          <w:szCs w:val="32"/>
          <w:lang w:val="en-US" w:eastAsia="zh-CN"/>
        </w:rPr>
        <w:t xml:space="preserve">/T </w:t>
      </w:r>
      <w:r>
        <w:rPr>
          <w:rFonts w:hint="eastAsia" w:ascii="仿宋_GB2312" w:eastAsia="仿宋_GB2312"/>
          <w:sz w:val="32"/>
          <w:szCs w:val="32"/>
        </w:rPr>
        <w:t>5</w:t>
      </w:r>
      <w:r>
        <w:rPr>
          <w:rFonts w:hint="eastAsia" w:ascii="仿宋_GB2312" w:eastAsia="仿宋_GB2312"/>
          <w:sz w:val="32"/>
          <w:szCs w:val="32"/>
          <w:lang w:val="en-US" w:eastAsia="zh-CN"/>
        </w:rPr>
        <w:t>1328</w:t>
      </w:r>
      <w:r>
        <w:rPr>
          <w:rFonts w:hint="eastAsia" w:ascii="仿宋_GB2312" w:eastAsia="仿宋_GB2312"/>
          <w:sz w:val="32"/>
          <w:szCs w:val="32"/>
        </w:rPr>
        <w:t>-</w:t>
      </w:r>
      <w:r>
        <w:rPr>
          <w:rFonts w:hint="eastAsia" w:ascii="仿宋_GB2312" w:eastAsia="仿宋_GB2312"/>
          <w:sz w:val="32"/>
          <w:szCs w:val="32"/>
          <w:lang w:val="en-US" w:eastAsia="zh-CN"/>
        </w:rPr>
        <w:t>2018</w:t>
      </w:r>
      <w:r>
        <w:rPr>
          <w:rFonts w:hint="eastAsia" w:ascii="仿宋_GB2312" w:eastAsia="仿宋_GB2312"/>
          <w:sz w:val="32"/>
          <w:szCs w:val="32"/>
        </w:rPr>
        <w:t>）；</w:t>
      </w:r>
    </w:p>
    <w:p w14:paraId="7FFE03B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5、《城市用地竖向规划规范》（CJJ83-</w:t>
      </w:r>
      <w:r>
        <w:rPr>
          <w:rFonts w:hint="eastAsia" w:ascii="仿宋_GB2312" w:eastAsia="仿宋_GB2312"/>
          <w:sz w:val="32"/>
          <w:szCs w:val="32"/>
          <w:lang w:val="en-US" w:eastAsia="zh-CN"/>
        </w:rPr>
        <w:t>2016</w:t>
      </w:r>
      <w:r>
        <w:rPr>
          <w:rFonts w:hint="eastAsia" w:ascii="仿宋_GB2312" w:eastAsia="仿宋_GB2312"/>
          <w:sz w:val="32"/>
          <w:szCs w:val="32"/>
        </w:rPr>
        <w:t>）；</w:t>
      </w:r>
    </w:p>
    <w:p w14:paraId="3399311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6、《城市居住区规划设计</w:t>
      </w:r>
      <w:r>
        <w:rPr>
          <w:rFonts w:hint="eastAsia" w:ascii="仿宋_GB2312" w:eastAsia="仿宋_GB2312"/>
          <w:sz w:val="32"/>
          <w:szCs w:val="32"/>
          <w:lang w:eastAsia="zh-CN"/>
        </w:rPr>
        <w:t>标准</w:t>
      </w:r>
      <w:r>
        <w:rPr>
          <w:rFonts w:hint="eastAsia" w:ascii="仿宋_GB2312" w:eastAsia="仿宋_GB2312"/>
          <w:sz w:val="32"/>
          <w:szCs w:val="32"/>
        </w:rPr>
        <w:t>》（GB50180-</w:t>
      </w:r>
      <w:r>
        <w:rPr>
          <w:rFonts w:hint="eastAsia" w:ascii="仿宋_GB2312" w:eastAsia="仿宋_GB2312"/>
          <w:sz w:val="32"/>
          <w:szCs w:val="32"/>
          <w:lang w:val="en-US" w:eastAsia="zh-CN"/>
        </w:rPr>
        <w:t>2018</w:t>
      </w:r>
      <w:r>
        <w:rPr>
          <w:rFonts w:hint="eastAsia" w:ascii="仿宋_GB2312" w:eastAsia="仿宋_GB2312"/>
          <w:sz w:val="32"/>
          <w:szCs w:val="32"/>
        </w:rPr>
        <w:t>）；</w:t>
      </w:r>
    </w:p>
    <w:p w14:paraId="7D5BE031">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7、《城市规划强制性内容暂行规定》（2002）；</w:t>
      </w:r>
    </w:p>
    <w:p w14:paraId="1B011454">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8、《城市、镇控制性详细规划编制审批办法》（2011）；</w:t>
      </w:r>
    </w:p>
    <w:p w14:paraId="22F86917">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9、《乐山市城市总体规划》（2011-2030）（2017版）；</w:t>
      </w:r>
    </w:p>
    <w:p w14:paraId="7D08A350">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10、《乐山市土地利用总体规划(2006-2020)》；</w:t>
      </w:r>
    </w:p>
    <w:p w14:paraId="19C9B84E">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11、《乐山历史文化名城保护规划》 （2011-2030）；</w:t>
      </w:r>
    </w:p>
    <w:p w14:paraId="4D0D4807">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12、《四川省乐山市肖坝崖墓保护规划》(2013-2030)</w:t>
      </w:r>
    </w:p>
    <w:p w14:paraId="29BCD3C0">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13、《乐山市中心城区肖坝片区控制性详细规划》（2013）；</w:t>
      </w:r>
    </w:p>
    <w:p w14:paraId="79CE774E">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14、《乐山市城市规划管理技术规定》（2019）</w:t>
      </w:r>
    </w:p>
    <w:p w14:paraId="2E864BA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15、乐山市各专项规划；</w:t>
      </w:r>
    </w:p>
    <w:p w14:paraId="23FE739B">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16、乐山市志及统计年鉴；</w:t>
      </w:r>
    </w:p>
    <w:p w14:paraId="2ADBA5EF">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17、国家及四川省、乐山市相关的技术标准、规范和规定；</w:t>
      </w:r>
    </w:p>
    <w:p w14:paraId="054797DD">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18、其它相关资料。</w:t>
      </w:r>
    </w:p>
    <w:p w14:paraId="7336DAEE">
      <w:pPr>
        <w:pStyle w:val="3"/>
        <w:adjustRightInd w:val="0"/>
        <w:spacing w:before="252" w:beforeLines="50" w:after="252" w:afterLines="50" w:line="660" w:lineRule="exact"/>
        <w:rPr>
          <w:rFonts w:ascii="方正黑体简体" w:hAnsi="Calibri" w:eastAsia="方正黑体简体"/>
          <w:bCs w:val="0"/>
        </w:rPr>
      </w:pPr>
      <w:bookmarkStart w:id="74" w:name="_Toc414632127"/>
      <w:bookmarkStart w:id="75" w:name="_Toc358296554"/>
      <w:bookmarkStart w:id="76" w:name="_Toc420499409"/>
      <w:r>
        <w:rPr>
          <w:rFonts w:hint="eastAsia" w:ascii="方正黑体简体" w:hAnsi="Calibri" w:eastAsia="方正黑体简体"/>
          <w:bCs w:val="0"/>
        </w:rPr>
        <w:t>二、规划原则</w:t>
      </w:r>
      <w:bookmarkEnd w:id="74"/>
      <w:bookmarkEnd w:id="75"/>
      <w:bookmarkEnd w:id="76"/>
    </w:p>
    <w:p w14:paraId="2580C474">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1、总体协调性原则：遵循“珍惜和合理利用土地”的基本国策，加强对土地资源的统筹安排，合理布置各类用地，依据规划区的总体定位，达成土地利用与景观、生态和人文要素的协调，实现肖坝片区的良性发展。</w:t>
      </w:r>
    </w:p>
    <w:p w14:paraId="05D29A75">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2、生态性原则：遵循生态系统整体性、异质性原则，在保护自然生态环境、注重灾害防治的前提下，利用片区优势和特色，创造充分体现地方文化特色的人居环境和景观风貌。</w:t>
      </w:r>
    </w:p>
    <w:p w14:paraId="49CB92A9">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3、可持续发展原则：着眼城市远期发展，科学配置空间资源，完善基础设施配套，优化城市布局结构；统一规划，分期实施。</w:t>
      </w:r>
    </w:p>
    <w:p w14:paraId="767C379A">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4、适度混合性原则：适度增强片区功能的复合性。根据现代城市规划理论、组团城市建设实践及发展趋势，结合肖坝片区实际，规划力图在功能分区相对明确的同时，充分考虑可兼容用地功能的适度混合给现代城市带来的舒适和方便，使片区配套更为完善，空间形象更为丰满，片区更具活力。</w:t>
      </w:r>
    </w:p>
    <w:p w14:paraId="1466D0AA">
      <w:pPr>
        <w:spacing w:line="720" w:lineRule="exact"/>
        <w:ind w:firstLine="598" w:firstLineChars="200"/>
        <w:rPr>
          <w:rFonts w:hint="eastAsia" w:ascii="仿宋_GB2312" w:eastAsia="仿宋_GB2312"/>
          <w:sz w:val="32"/>
          <w:szCs w:val="32"/>
        </w:rPr>
      </w:pPr>
      <w:r>
        <w:rPr>
          <w:rFonts w:hint="eastAsia" w:ascii="仿宋_GB2312" w:eastAsia="仿宋_GB2312"/>
          <w:sz w:val="32"/>
          <w:szCs w:val="32"/>
        </w:rPr>
        <w:t>5、可操作性原则：在满足城市发展要求的前提下，尽可能利用现状，降低工程量和工程造价，提高土地利用效益；通过增加规划的弹性和用地的兼容性，使规划成果具有更好的操作性。</w:t>
      </w:r>
    </w:p>
    <w:p w14:paraId="03F5B839">
      <w:pPr>
        <w:pStyle w:val="3"/>
        <w:adjustRightInd w:val="0"/>
        <w:spacing w:before="252" w:beforeLines="50" w:after="252" w:afterLines="50" w:line="660" w:lineRule="exact"/>
        <w:rPr>
          <w:rFonts w:ascii="方正黑体简体" w:hAnsi="Calibri" w:eastAsia="方正黑体简体"/>
          <w:bCs w:val="0"/>
        </w:rPr>
      </w:pPr>
      <w:bookmarkStart w:id="77" w:name="_Toc420499410"/>
      <w:bookmarkStart w:id="78" w:name="_Toc358296555"/>
      <w:bookmarkStart w:id="79" w:name="_Toc414632128"/>
      <w:r>
        <w:rPr>
          <w:rFonts w:hint="eastAsia" w:ascii="方正黑体简体" w:hAnsi="Calibri" w:eastAsia="方正黑体简体"/>
          <w:bCs w:val="0"/>
        </w:rPr>
        <w:t>三、规划范围</w:t>
      </w:r>
      <w:bookmarkEnd w:id="77"/>
      <w:bookmarkEnd w:id="78"/>
      <w:bookmarkEnd w:id="79"/>
    </w:p>
    <w:p w14:paraId="22C2B278">
      <w:pPr>
        <w:spacing w:line="720" w:lineRule="exact"/>
        <w:ind w:firstLine="598" w:firstLineChars="200"/>
        <w:rPr>
          <w:rFonts w:ascii="仿宋_GB2312" w:eastAsia="仿宋_GB2312"/>
          <w:sz w:val="32"/>
          <w:szCs w:val="32"/>
        </w:rPr>
      </w:pPr>
      <w:r>
        <w:rPr>
          <w:rFonts w:hint="eastAsia" w:ascii="仿宋_GB2312" w:eastAsia="仿宋_GB2312"/>
          <w:sz w:val="32"/>
          <w:szCs w:val="32"/>
        </w:rPr>
        <w:t>肖坝片区规划范围包括老城片区以西，绿心以南，青衣江、大渡河所包围的区域。规划面积</w:t>
      </w:r>
      <w:r>
        <w:rPr>
          <w:rFonts w:hint="eastAsia" w:ascii="仿宋_GB2312" w:eastAsia="仿宋_GB2312"/>
          <w:sz w:val="32"/>
          <w:szCs w:val="32"/>
          <w:lang w:eastAsia="zh-CN"/>
        </w:rPr>
        <w:t>345.90</w:t>
      </w:r>
      <w:r>
        <w:rPr>
          <w:rFonts w:hint="eastAsia" w:ascii="仿宋_GB2312" w:eastAsia="仿宋_GB2312"/>
          <w:sz w:val="32"/>
          <w:szCs w:val="32"/>
        </w:rPr>
        <w:t>公顷。</w:t>
      </w:r>
    </w:p>
    <w:p w14:paraId="66FE3721">
      <w:pPr>
        <w:pStyle w:val="3"/>
        <w:adjustRightInd w:val="0"/>
        <w:spacing w:before="252" w:beforeLines="50" w:after="252" w:afterLines="50" w:line="660" w:lineRule="exact"/>
        <w:rPr>
          <w:rFonts w:ascii="方正黑体简体" w:hAnsi="Calibri" w:eastAsia="方正黑体简体"/>
          <w:bCs w:val="0"/>
        </w:rPr>
      </w:pPr>
      <w:bookmarkStart w:id="80" w:name="_Toc414632129"/>
      <w:bookmarkStart w:id="81" w:name="_Toc420499411"/>
      <w:bookmarkStart w:id="82" w:name="_Toc358296556"/>
      <w:r>
        <w:rPr>
          <w:rFonts w:hint="eastAsia" w:ascii="方正黑体简体" w:hAnsi="Calibri" w:eastAsia="方正黑体简体"/>
          <w:bCs w:val="0"/>
        </w:rPr>
        <w:t>四、人口规模</w:t>
      </w:r>
      <w:bookmarkEnd w:id="80"/>
      <w:bookmarkEnd w:id="81"/>
      <w:bookmarkEnd w:id="82"/>
    </w:p>
    <w:p w14:paraId="16B42B84">
      <w:pPr>
        <w:spacing w:line="720" w:lineRule="exact"/>
        <w:ind w:firstLine="518" w:firstLineChars="200"/>
        <w:rPr>
          <w:rFonts w:hint="eastAsia" w:ascii="仿宋_GB2312" w:eastAsia="仿宋_GB2312"/>
          <w:sz w:val="32"/>
          <w:szCs w:val="32"/>
        </w:rPr>
      </w:pPr>
      <w:bookmarkStart w:id="83" w:name="_Toc414632130"/>
      <w:bookmarkStart w:id="84" w:name="_Toc420499412"/>
      <w:r>
        <w:rPr>
          <w:rFonts w:hint="eastAsia" w:ascii="方正黑体简体" w:hAnsi="宋体" w:eastAsia="方正黑体简体"/>
          <w:sz w:val="28"/>
          <w:szCs w:val="28"/>
        </w:rPr>
        <w:t xml:space="preserve">   </w:t>
      </w:r>
      <w:r>
        <w:rPr>
          <w:rFonts w:hint="eastAsia" w:ascii="仿宋_GB2312" w:eastAsia="仿宋_GB2312"/>
          <w:sz w:val="32"/>
          <w:szCs w:val="32"/>
        </w:rPr>
        <w:t>规划范围区内总人口：</w:t>
      </w:r>
      <w:r>
        <w:rPr>
          <w:rFonts w:hint="eastAsia" w:ascii="仿宋_GB2312" w:eastAsia="仿宋_GB2312"/>
          <w:sz w:val="32"/>
          <w:szCs w:val="32"/>
          <w:lang w:val="en-US" w:eastAsia="zh-CN"/>
        </w:rPr>
        <w:t>3.5</w:t>
      </w:r>
      <w:r>
        <w:rPr>
          <w:rFonts w:hint="eastAsia" w:ascii="仿宋_GB2312" w:eastAsia="仿宋_GB2312"/>
          <w:sz w:val="32"/>
          <w:szCs w:val="32"/>
        </w:rPr>
        <w:t>万人 。</w:t>
      </w:r>
    </w:p>
    <w:p w14:paraId="48991E90">
      <w:pPr>
        <w:spacing w:line="720" w:lineRule="exact"/>
        <w:ind w:firstLine="518" w:firstLineChars="200"/>
        <w:rPr>
          <w:rFonts w:ascii="方正黑体简体" w:hAnsi="宋体" w:eastAsia="方正黑体简体"/>
          <w:sz w:val="28"/>
          <w:szCs w:val="28"/>
        </w:rPr>
      </w:pPr>
    </w:p>
    <w:p w14:paraId="188B4553">
      <w:pPr>
        <w:pStyle w:val="2"/>
        <w:adjustRightInd w:val="0"/>
        <w:spacing w:before="252" w:beforeLines="50" w:after="252" w:afterLines="50" w:line="720" w:lineRule="exact"/>
        <w:rPr>
          <w:rFonts w:ascii="方正黑体简体" w:eastAsia="方正黑体简体"/>
          <w:kern w:val="2"/>
          <w:sz w:val="44"/>
        </w:rPr>
      </w:pPr>
      <w:bookmarkStart w:id="85" w:name="_Toc358296557"/>
      <w:r>
        <w:rPr>
          <w:rFonts w:hint="eastAsia" w:ascii="方正黑体简体" w:eastAsia="方正黑体简体"/>
          <w:kern w:val="2"/>
          <w:sz w:val="44"/>
        </w:rPr>
        <w:t>第四章</w:t>
      </w:r>
      <w:r>
        <w:rPr>
          <w:rFonts w:ascii="方正黑体简体" w:eastAsia="方正黑体简体"/>
          <w:kern w:val="2"/>
          <w:sz w:val="44"/>
        </w:rPr>
        <w:t xml:space="preserve">  </w:t>
      </w:r>
      <w:r>
        <w:rPr>
          <w:rFonts w:hint="eastAsia" w:ascii="方正黑体简体" w:eastAsia="方正黑体简体"/>
          <w:kern w:val="2"/>
          <w:sz w:val="44"/>
        </w:rPr>
        <w:t>土地利用规划</w:t>
      </w:r>
      <w:bookmarkEnd w:id="83"/>
      <w:bookmarkEnd w:id="84"/>
      <w:bookmarkEnd w:id="85"/>
    </w:p>
    <w:p w14:paraId="562EEF58">
      <w:pPr>
        <w:pStyle w:val="3"/>
        <w:adjustRightInd w:val="0"/>
        <w:spacing w:before="252" w:beforeLines="50" w:after="252" w:afterLines="50" w:line="660" w:lineRule="exact"/>
        <w:rPr>
          <w:rFonts w:ascii="方正黑体简体" w:hAnsi="Calibri" w:eastAsia="方正黑体简体"/>
          <w:bCs w:val="0"/>
        </w:rPr>
      </w:pPr>
      <w:bookmarkStart w:id="86" w:name="_Toc358296558"/>
      <w:r>
        <w:rPr>
          <w:rFonts w:hint="eastAsia" w:ascii="方正黑体简体" w:hAnsi="Calibri" w:eastAsia="方正黑体简体"/>
          <w:bCs w:val="0"/>
        </w:rPr>
        <w:t>一、规划</w:t>
      </w:r>
      <w:bookmarkEnd w:id="86"/>
      <w:r>
        <w:rPr>
          <w:rFonts w:hint="eastAsia" w:ascii="方正黑体简体" w:hAnsi="Calibri" w:eastAsia="方正黑体简体"/>
          <w:bCs w:val="0"/>
        </w:rPr>
        <w:t>策略</w:t>
      </w:r>
    </w:p>
    <w:p w14:paraId="4E00519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（一）社区质量不统一 ：片区居住类型、居住质量多元化、不统一。生活服务质量需求不匹配：片区公共服务设施尚不完善，与实际发展需求尚有差距；个性化、高端化服务短缺。 </w:t>
      </w:r>
    </w:p>
    <w:p w14:paraId="50FA3D4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对策1：优化生活环境品质--重点改造、全面提升、完善多级服务网络、服务质量提升 </w:t>
      </w:r>
    </w:p>
    <w:p w14:paraId="0198A0D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重点改造、全面提升旧社区和建设标准一般的住宅； 统筹规划片区内公共服务设施，形成片区级--居住区级二级公共服务中心体系； 结合现有存量土地，弥补现状服务缺口，通过片区业态引导和现有服务设施升级应对未来服务需求。 </w:t>
      </w:r>
    </w:p>
    <w:p w14:paraId="53A7D1E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二）外部通勤交通组织不畅：区域出入交通组织困难，道路高负荷运转。高峰时段干道压力过大：区域路网系统不完善，主干道两侧交通联系不畅、通行效率低。机动交通以外的交通供给与引导不足：公共交通接驳供给思路单一，效率低下；绿色交通体验不佳，绿色交通出行引导不足。 </w:t>
      </w:r>
    </w:p>
    <w:p w14:paraId="443A668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对策2：提高支撑条件服务能力--提高区域交通效能、塑造倡导绿色出行 </w:t>
      </w:r>
    </w:p>
    <w:p w14:paraId="0557CBE1">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根据出行特征和规划引导的出行方式划分道路类型：片区与城市其他区域对外联系通道、片区内部单元之间交通型通道、单元内部绿色出行通道等； 通过环境设施营造、片区文化塑造，倡导绿色出行方式：绿色交通基础设施投入、相关交通企业服务运营方式。 </w:t>
      </w:r>
    </w:p>
    <w:p w14:paraId="501FF5C0">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三）绿色空间不足：区域无绿色廊道，局部建设密度过高，绿色开放空间较少。游憩空间不满足使用者需求：开放游憩空间布局不均、类型单一、品质不高、无法满足使用者的多元活动需求。场所特征不突出：部分街道建筑整体形象不统一，风貌混杂，商业业态较为低端，缺乏标志性开放空间和景观。 </w:t>
      </w:r>
    </w:p>
    <w:p w14:paraId="7E7A916B">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对策3：塑造城市形象--显山露水、构建多级开放空间网络、打造街道景观 </w:t>
      </w:r>
    </w:p>
    <w:p w14:paraId="0E6957C6">
      <w:pPr>
        <w:spacing w:line="720" w:lineRule="exact"/>
        <w:ind w:firstLine="598" w:firstLineChars="200"/>
        <w:rPr>
          <w:rFonts w:ascii="方正黑体简体" w:hAnsi="宋体" w:eastAsia="方正黑体简体"/>
          <w:sz w:val="28"/>
          <w:szCs w:val="28"/>
        </w:rPr>
      </w:pPr>
      <w:r>
        <w:rPr>
          <w:rFonts w:hint="eastAsia" w:ascii="仿宋_GB2312" w:hAnsi="宋体" w:eastAsia="仿宋_GB2312"/>
          <w:sz w:val="32"/>
          <w:szCs w:val="32"/>
        </w:rPr>
        <w:t>显山露水，开拓绿色廊道强化山水关系，结合建筑场地织补开放空间，疏解高密度建设区；结合日常活动，构建串联工作、生活的绿色路径，以散步和日常锻炼为主，实现工作、生活、休憩紧密结合；在片区内打造景观型、通勤型、游憩型街道风貌秩序，增强区域形象特征，构建新的街道景观布局模式。</w:t>
      </w:r>
      <w:r>
        <w:rPr>
          <w:rFonts w:hint="eastAsia" w:ascii="方正黑体简体" w:hAnsi="宋体" w:eastAsia="方正黑体简体"/>
          <w:sz w:val="28"/>
          <w:szCs w:val="28"/>
        </w:rPr>
        <w:t xml:space="preserve"> </w:t>
      </w:r>
    </w:p>
    <w:p w14:paraId="35F15992">
      <w:pPr>
        <w:pStyle w:val="3"/>
        <w:adjustRightInd w:val="0"/>
        <w:spacing w:before="252" w:beforeLines="50" w:after="252" w:afterLines="50" w:line="720" w:lineRule="exact"/>
        <w:rPr>
          <w:rFonts w:ascii="方正黑体简体" w:hAnsi="Calibri" w:eastAsia="方正黑体简体"/>
          <w:bCs w:val="0"/>
        </w:rPr>
      </w:pPr>
      <w:r>
        <w:rPr>
          <w:rFonts w:hint="eastAsia" w:ascii="方正黑体简体" w:hAnsi="Calibri" w:eastAsia="方正黑体简体"/>
          <w:bCs w:val="0"/>
        </w:rPr>
        <w:t xml:space="preserve">二、本次规划针对13版控规用地布局重要调整内容 </w:t>
      </w:r>
    </w:p>
    <w:p w14:paraId="3DD9501A">
      <w:pPr>
        <w:pStyle w:val="4"/>
        <w:numPr>
          <w:ilvl w:val="0"/>
          <w:numId w:val="0"/>
        </w:numPr>
        <w:spacing w:before="252" w:beforeLines="50" w:after="252" w:afterLines="50" w:line="720" w:lineRule="exact"/>
        <w:ind w:left="425"/>
        <w:rPr>
          <w:rFonts w:hint="eastAsia" w:ascii="仿宋_GB2312" w:hAnsi="宋体" w:eastAsia="仿宋_GB2312"/>
          <w:bCs w:val="0"/>
        </w:rPr>
      </w:pPr>
      <w:r>
        <w:rPr>
          <w:rFonts w:hint="eastAsia" w:ascii="仿宋_GB2312" w:hAnsi="宋体" w:eastAsia="仿宋_GB2312"/>
          <w:bCs w:val="0"/>
        </w:rPr>
        <w:t>（一）规划边界调整</w:t>
      </w:r>
    </w:p>
    <w:p w14:paraId="604D8A8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乐山市中心城区绿心保护规划》2018年已获政府批准，本次控规以审定通过的绿心范围线为界，由此划定肖坝片区北面范围线，因此在本版控规中受变化变化影响最大的是教育用地，其次为商业，皆有部分布局及广场停车场布局需调整。相比于上一版控规，建设用地面积减少约70.45ha。</w:t>
      </w:r>
    </w:p>
    <w:tbl>
      <w:tblPr>
        <w:tblStyle w:val="3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3492"/>
        <w:gridCol w:w="3492"/>
      </w:tblGrid>
      <w:tr w14:paraId="0C46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7895DCFE">
            <w:pPr>
              <w:jc w:val="center"/>
              <w:rPr>
                <w:rFonts w:hint="eastAsia" w:ascii="方正黑体简体" w:hAnsi="宋体" w:eastAsia="方正黑体简体"/>
                <w:b/>
                <w:sz w:val="24"/>
              </w:rPr>
            </w:pPr>
            <w:r>
              <w:rPr>
                <w:rFonts w:hint="eastAsia" w:ascii="方正黑体简体" w:hAnsi="宋体" w:eastAsia="方正黑体简体"/>
                <w:b/>
                <w:sz w:val="24"/>
              </w:rPr>
              <w:t>用地类别</w:t>
            </w:r>
          </w:p>
        </w:tc>
        <w:tc>
          <w:tcPr>
            <w:tcW w:w="3492" w:type="dxa"/>
            <w:noWrap w:val="0"/>
            <w:vAlign w:val="top"/>
          </w:tcPr>
          <w:p w14:paraId="6A963974">
            <w:pPr>
              <w:jc w:val="center"/>
              <w:rPr>
                <w:rFonts w:ascii="方正黑体简体" w:hAnsi="宋体" w:eastAsia="方正黑体简体"/>
                <w:b/>
                <w:sz w:val="24"/>
              </w:rPr>
            </w:pPr>
            <w:r>
              <w:rPr>
                <w:rFonts w:hint="eastAsia" w:ascii="方正黑体简体" w:hAnsi="宋体" w:eastAsia="方正黑体简体"/>
                <w:b/>
                <w:sz w:val="24"/>
              </w:rPr>
              <w:t xml:space="preserve">减少面积（Ha） </w:t>
            </w:r>
          </w:p>
        </w:tc>
        <w:tc>
          <w:tcPr>
            <w:tcW w:w="3492" w:type="dxa"/>
            <w:noWrap w:val="0"/>
            <w:vAlign w:val="top"/>
          </w:tcPr>
          <w:p w14:paraId="76FA422B">
            <w:pPr>
              <w:jc w:val="center"/>
              <w:rPr>
                <w:rFonts w:ascii="方正黑体简体" w:hAnsi="宋体" w:eastAsia="方正黑体简体"/>
                <w:b/>
                <w:sz w:val="24"/>
              </w:rPr>
            </w:pPr>
            <w:r>
              <w:rPr>
                <w:rFonts w:hint="eastAsia" w:ascii="方正黑体简体" w:hAnsi="宋体" w:eastAsia="方正黑体简体"/>
                <w:b/>
                <w:sz w:val="24"/>
              </w:rPr>
              <w:t xml:space="preserve">变更类别 </w:t>
            </w:r>
          </w:p>
        </w:tc>
      </w:tr>
      <w:tr w14:paraId="6C04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3E850BF1">
            <w:pPr>
              <w:jc w:val="center"/>
              <w:rPr>
                <w:rFonts w:ascii="方正黑体简体" w:hAnsi="宋体" w:eastAsia="方正黑体简体"/>
                <w:sz w:val="24"/>
              </w:rPr>
            </w:pPr>
            <w:r>
              <w:rPr>
                <w:rFonts w:hint="eastAsia" w:ascii="方正黑体简体" w:hAnsi="宋体" w:eastAsia="方正黑体简体"/>
                <w:sz w:val="24"/>
              </w:rPr>
              <w:t xml:space="preserve">YD-A3(教育) </w:t>
            </w:r>
          </w:p>
        </w:tc>
        <w:tc>
          <w:tcPr>
            <w:tcW w:w="3492" w:type="dxa"/>
            <w:noWrap w:val="0"/>
            <w:vAlign w:val="top"/>
          </w:tcPr>
          <w:p w14:paraId="6E42178D">
            <w:pPr>
              <w:jc w:val="center"/>
              <w:rPr>
                <w:rFonts w:ascii="方正黑体简体" w:hAnsi="宋体" w:eastAsia="方正黑体简体"/>
                <w:sz w:val="24"/>
              </w:rPr>
            </w:pPr>
            <w:r>
              <w:rPr>
                <w:rFonts w:hint="eastAsia" w:ascii="方正黑体简体" w:hAnsi="宋体" w:eastAsia="方正黑体简体"/>
                <w:sz w:val="24"/>
              </w:rPr>
              <w:t xml:space="preserve">49.52 </w:t>
            </w:r>
          </w:p>
        </w:tc>
        <w:tc>
          <w:tcPr>
            <w:tcW w:w="3492" w:type="dxa"/>
            <w:noWrap w:val="0"/>
            <w:vAlign w:val="top"/>
          </w:tcPr>
          <w:p w14:paraId="6042B02B">
            <w:pPr>
              <w:jc w:val="center"/>
              <w:rPr>
                <w:rFonts w:ascii="方正黑体简体" w:hAnsi="宋体" w:eastAsia="方正黑体简体"/>
                <w:sz w:val="24"/>
              </w:rPr>
            </w:pPr>
            <w:r>
              <w:rPr>
                <w:rFonts w:hint="eastAsia" w:ascii="方正黑体简体" w:hAnsi="宋体" w:eastAsia="方正黑体简体"/>
                <w:sz w:val="24"/>
              </w:rPr>
              <w:t xml:space="preserve">生态绿地 </w:t>
            </w:r>
          </w:p>
        </w:tc>
      </w:tr>
      <w:tr w14:paraId="747E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1BEBA0D1">
            <w:pPr>
              <w:jc w:val="center"/>
              <w:rPr>
                <w:rFonts w:ascii="方正黑体简体" w:hAnsi="宋体" w:eastAsia="方正黑体简体"/>
                <w:sz w:val="24"/>
              </w:rPr>
            </w:pPr>
            <w:r>
              <w:rPr>
                <w:rFonts w:hint="eastAsia" w:ascii="方正黑体简体" w:hAnsi="宋体" w:eastAsia="方正黑体简体"/>
                <w:sz w:val="24"/>
              </w:rPr>
              <w:t xml:space="preserve">YD-B1（商业） </w:t>
            </w:r>
          </w:p>
        </w:tc>
        <w:tc>
          <w:tcPr>
            <w:tcW w:w="3492" w:type="dxa"/>
            <w:noWrap w:val="0"/>
            <w:vAlign w:val="top"/>
          </w:tcPr>
          <w:p w14:paraId="2A9AB934">
            <w:pPr>
              <w:jc w:val="center"/>
              <w:rPr>
                <w:rFonts w:ascii="方正黑体简体" w:hAnsi="宋体" w:eastAsia="方正黑体简体"/>
                <w:sz w:val="24"/>
              </w:rPr>
            </w:pPr>
            <w:r>
              <w:rPr>
                <w:rFonts w:hint="eastAsia" w:ascii="方正黑体简体" w:hAnsi="宋体" w:eastAsia="方正黑体简体"/>
                <w:sz w:val="24"/>
              </w:rPr>
              <w:t xml:space="preserve">15.75 </w:t>
            </w:r>
          </w:p>
        </w:tc>
        <w:tc>
          <w:tcPr>
            <w:tcW w:w="3492" w:type="dxa"/>
            <w:noWrap w:val="0"/>
            <w:vAlign w:val="top"/>
          </w:tcPr>
          <w:p w14:paraId="3D622A63">
            <w:pPr>
              <w:jc w:val="center"/>
              <w:rPr>
                <w:rFonts w:ascii="方正黑体简体" w:hAnsi="宋体" w:eastAsia="方正黑体简体"/>
                <w:sz w:val="24"/>
              </w:rPr>
            </w:pPr>
            <w:r>
              <w:rPr>
                <w:rFonts w:hint="eastAsia" w:ascii="方正黑体简体" w:hAnsi="宋体" w:eastAsia="方正黑体简体"/>
                <w:sz w:val="24"/>
              </w:rPr>
              <w:t>生态绿地</w:t>
            </w:r>
          </w:p>
        </w:tc>
      </w:tr>
      <w:tr w14:paraId="4976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4753111B">
            <w:pPr>
              <w:jc w:val="center"/>
              <w:rPr>
                <w:rFonts w:ascii="方正黑体简体" w:hAnsi="宋体" w:eastAsia="方正黑体简体"/>
                <w:sz w:val="24"/>
              </w:rPr>
            </w:pPr>
            <w:r>
              <w:rPr>
                <w:rFonts w:hint="eastAsia" w:ascii="方正黑体简体" w:hAnsi="宋体" w:eastAsia="方正黑体简体"/>
                <w:sz w:val="24"/>
              </w:rPr>
              <w:t xml:space="preserve">YD-G3（广场） </w:t>
            </w:r>
          </w:p>
        </w:tc>
        <w:tc>
          <w:tcPr>
            <w:tcW w:w="3492" w:type="dxa"/>
            <w:noWrap w:val="0"/>
            <w:vAlign w:val="top"/>
          </w:tcPr>
          <w:p w14:paraId="2B033DB6">
            <w:pPr>
              <w:jc w:val="center"/>
              <w:rPr>
                <w:rFonts w:ascii="方正黑体简体" w:hAnsi="宋体" w:eastAsia="方正黑体简体"/>
                <w:sz w:val="24"/>
              </w:rPr>
            </w:pPr>
            <w:r>
              <w:rPr>
                <w:rFonts w:hint="eastAsia" w:ascii="方正黑体简体" w:hAnsi="宋体" w:eastAsia="方正黑体简体"/>
                <w:sz w:val="24"/>
              </w:rPr>
              <w:t xml:space="preserve"> 0.74 </w:t>
            </w:r>
          </w:p>
        </w:tc>
        <w:tc>
          <w:tcPr>
            <w:tcW w:w="3492" w:type="dxa"/>
            <w:noWrap w:val="0"/>
            <w:vAlign w:val="top"/>
          </w:tcPr>
          <w:p w14:paraId="336FA53F">
            <w:pPr>
              <w:jc w:val="center"/>
              <w:rPr>
                <w:rFonts w:ascii="方正黑体简体" w:hAnsi="宋体" w:eastAsia="方正黑体简体"/>
                <w:sz w:val="24"/>
              </w:rPr>
            </w:pPr>
            <w:r>
              <w:rPr>
                <w:rFonts w:hint="eastAsia" w:ascii="方正黑体简体" w:hAnsi="宋体" w:eastAsia="方正黑体简体"/>
                <w:sz w:val="24"/>
              </w:rPr>
              <w:t>生态绿地</w:t>
            </w:r>
          </w:p>
        </w:tc>
      </w:tr>
      <w:tr w14:paraId="775F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411F7934">
            <w:pPr>
              <w:jc w:val="center"/>
              <w:rPr>
                <w:rFonts w:ascii="方正黑体简体" w:hAnsi="宋体" w:eastAsia="方正黑体简体"/>
                <w:sz w:val="24"/>
              </w:rPr>
            </w:pPr>
            <w:r>
              <w:rPr>
                <w:rFonts w:hint="eastAsia" w:ascii="方正黑体简体" w:hAnsi="宋体" w:eastAsia="方正黑体简体"/>
                <w:sz w:val="24"/>
              </w:rPr>
              <w:t xml:space="preserve">YD-R2（居住） </w:t>
            </w:r>
          </w:p>
        </w:tc>
        <w:tc>
          <w:tcPr>
            <w:tcW w:w="3492" w:type="dxa"/>
            <w:noWrap w:val="0"/>
            <w:vAlign w:val="top"/>
          </w:tcPr>
          <w:p w14:paraId="4B2D1DF5">
            <w:pPr>
              <w:jc w:val="center"/>
              <w:rPr>
                <w:rFonts w:ascii="方正黑体简体" w:hAnsi="宋体" w:eastAsia="方正黑体简体"/>
                <w:sz w:val="24"/>
              </w:rPr>
            </w:pPr>
            <w:r>
              <w:rPr>
                <w:rFonts w:hint="eastAsia" w:ascii="方正黑体简体" w:hAnsi="宋体" w:eastAsia="方正黑体简体"/>
                <w:sz w:val="24"/>
              </w:rPr>
              <w:t xml:space="preserve">3.30 </w:t>
            </w:r>
          </w:p>
        </w:tc>
        <w:tc>
          <w:tcPr>
            <w:tcW w:w="3492" w:type="dxa"/>
            <w:noWrap w:val="0"/>
            <w:vAlign w:val="top"/>
          </w:tcPr>
          <w:p w14:paraId="7B8AC5DD">
            <w:pPr>
              <w:jc w:val="center"/>
              <w:rPr>
                <w:rFonts w:ascii="方正黑体简体" w:hAnsi="宋体" w:eastAsia="方正黑体简体"/>
                <w:sz w:val="24"/>
              </w:rPr>
            </w:pPr>
            <w:r>
              <w:rPr>
                <w:rFonts w:hint="eastAsia" w:ascii="方正黑体简体" w:hAnsi="宋体" w:eastAsia="方正黑体简体"/>
                <w:sz w:val="24"/>
              </w:rPr>
              <w:t>生态绿地</w:t>
            </w:r>
          </w:p>
        </w:tc>
      </w:tr>
      <w:tr w14:paraId="43AD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72D62742">
            <w:pPr>
              <w:jc w:val="center"/>
              <w:rPr>
                <w:rFonts w:ascii="方正黑体简体" w:hAnsi="宋体" w:eastAsia="方正黑体简体"/>
                <w:sz w:val="24"/>
              </w:rPr>
            </w:pPr>
            <w:r>
              <w:rPr>
                <w:rFonts w:hint="eastAsia" w:ascii="方正黑体简体" w:hAnsi="宋体" w:eastAsia="方正黑体简体"/>
                <w:sz w:val="24"/>
              </w:rPr>
              <w:t xml:space="preserve">YD-S4（停车场） </w:t>
            </w:r>
          </w:p>
        </w:tc>
        <w:tc>
          <w:tcPr>
            <w:tcW w:w="3492" w:type="dxa"/>
            <w:noWrap w:val="0"/>
            <w:vAlign w:val="top"/>
          </w:tcPr>
          <w:p w14:paraId="2BAD539A">
            <w:pPr>
              <w:jc w:val="center"/>
              <w:rPr>
                <w:rFonts w:ascii="方正黑体简体" w:hAnsi="宋体" w:eastAsia="方正黑体简体"/>
                <w:sz w:val="24"/>
              </w:rPr>
            </w:pPr>
            <w:r>
              <w:rPr>
                <w:rFonts w:hint="eastAsia" w:ascii="方正黑体简体" w:hAnsi="宋体" w:eastAsia="方正黑体简体"/>
                <w:sz w:val="24"/>
              </w:rPr>
              <w:t xml:space="preserve">1.14 </w:t>
            </w:r>
          </w:p>
        </w:tc>
        <w:tc>
          <w:tcPr>
            <w:tcW w:w="3492" w:type="dxa"/>
            <w:noWrap w:val="0"/>
            <w:vAlign w:val="top"/>
          </w:tcPr>
          <w:p w14:paraId="3A46B635">
            <w:pPr>
              <w:jc w:val="center"/>
              <w:rPr>
                <w:rFonts w:ascii="方正黑体简体" w:hAnsi="宋体" w:eastAsia="方正黑体简体"/>
                <w:sz w:val="24"/>
              </w:rPr>
            </w:pPr>
            <w:r>
              <w:rPr>
                <w:rFonts w:hint="eastAsia" w:ascii="方正黑体简体" w:hAnsi="宋体" w:eastAsia="方正黑体简体"/>
                <w:sz w:val="24"/>
              </w:rPr>
              <w:t>生态绿地</w:t>
            </w:r>
          </w:p>
        </w:tc>
      </w:tr>
      <w:tr w14:paraId="1FDA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7" w:type="dxa"/>
            <w:noWrap w:val="0"/>
            <w:vAlign w:val="top"/>
          </w:tcPr>
          <w:p w14:paraId="1554896B">
            <w:pPr>
              <w:jc w:val="center"/>
              <w:rPr>
                <w:rFonts w:ascii="方正黑体简体" w:hAnsi="宋体" w:eastAsia="方正黑体简体"/>
                <w:sz w:val="24"/>
              </w:rPr>
            </w:pPr>
            <w:r>
              <w:rPr>
                <w:rFonts w:hint="eastAsia" w:ascii="方正黑体简体" w:hAnsi="宋体" w:eastAsia="方正黑体简体"/>
                <w:sz w:val="24"/>
              </w:rPr>
              <w:t xml:space="preserve">合计 </w:t>
            </w:r>
          </w:p>
        </w:tc>
        <w:tc>
          <w:tcPr>
            <w:tcW w:w="3492" w:type="dxa"/>
            <w:noWrap w:val="0"/>
            <w:vAlign w:val="top"/>
          </w:tcPr>
          <w:p w14:paraId="21E82607">
            <w:pPr>
              <w:jc w:val="center"/>
              <w:rPr>
                <w:rFonts w:ascii="方正黑体简体" w:hAnsi="宋体" w:eastAsia="方正黑体简体"/>
                <w:sz w:val="24"/>
              </w:rPr>
            </w:pPr>
            <w:r>
              <w:rPr>
                <w:rFonts w:hint="eastAsia" w:ascii="方正黑体简体" w:hAnsi="宋体" w:eastAsia="方正黑体简体"/>
                <w:sz w:val="24"/>
              </w:rPr>
              <w:t xml:space="preserve">70.45 </w:t>
            </w:r>
          </w:p>
        </w:tc>
        <w:tc>
          <w:tcPr>
            <w:tcW w:w="3492" w:type="dxa"/>
            <w:noWrap w:val="0"/>
            <w:vAlign w:val="top"/>
          </w:tcPr>
          <w:p w14:paraId="25718E0D">
            <w:pPr>
              <w:jc w:val="left"/>
              <w:rPr>
                <w:rFonts w:ascii="方正黑体简体" w:hAnsi="宋体" w:eastAsia="方正黑体简体"/>
                <w:sz w:val="24"/>
              </w:rPr>
            </w:pPr>
          </w:p>
        </w:tc>
      </w:tr>
    </w:tbl>
    <w:p w14:paraId="70348CA5">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（二）重要道路调整</w:t>
      </w:r>
    </w:p>
    <w:p w14:paraId="5FD7BEAD">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因城市总规修编，使区内主要干道发生改变，主要是绿心下穿隧道及过江隧道位置有所调整。本版控规以最新的修编方案为依据。 </w:t>
      </w:r>
    </w:p>
    <w:p w14:paraId="2144CC1F">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（三）重要地块调整</w:t>
      </w:r>
    </w:p>
    <w:p w14:paraId="5471131E">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因城市双修对山体水体、城市绿斑等方面作出重要指引，以及绿心保护规划重新确定了绿心边界，相邻区域控规需按照已批边界进行用地调整，为响应最新政策，本版规划将以下用地进行了调整。 </w:t>
      </w:r>
    </w:p>
    <w:p w14:paraId="409C942F">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1、文化设施用地：根据最新的肖坝崖墓保护规划重新划分了建设用地与崖墓保护区 。</w:t>
      </w:r>
    </w:p>
    <w:p w14:paraId="626B58B8">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2、教育科研用地：因绿心边界变化，对应减少该类用地。</w:t>
      </w:r>
    </w:p>
    <w:p w14:paraId="66E0FA13">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3、医疗卫生用地：保留血站用地，新增肖坝社区卫生院用地。</w:t>
      </w:r>
    </w:p>
    <w:p w14:paraId="43E37EA7">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4、文物古迹用地：根据最新的肖坝崖墓保护规划新增该类用地</w:t>
      </w:r>
      <w:r>
        <w:rPr>
          <w:rFonts w:hint="eastAsia" w:ascii="仿宋_GB2312" w:hAnsi="宋体" w:eastAsia="仿宋_GB2312"/>
          <w:sz w:val="32"/>
          <w:szCs w:val="32"/>
          <w:lang w:val="en-US" w:eastAsia="zh-CN"/>
        </w:rPr>
        <w:t>,根据国内首座可控核聚变实验装置旧址保护范围线将教育用地改为该类用地</w:t>
      </w:r>
      <w:r>
        <w:rPr>
          <w:rFonts w:hint="eastAsia" w:ascii="仿宋_GB2312" w:hAnsi="宋体" w:eastAsia="仿宋_GB2312"/>
          <w:sz w:val="32"/>
          <w:szCs w:val="32"/>
        </w:rPr>
        <w:t xml:space="preserve">。 </w:t>
      </w:r>
    </w:p>
    <w:p w14:paraId="655EF533">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5、商业设施用地：因绿心边界变化，对应减少该类用地 。</w:t>
      </w:r>
    </w:p>
    <w:p w14:paraId="0312BA03">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6、公园绿地：根据最新总规修编方案，斧头山用地</w:t>
      </w:r>
      <w:r>
        <w:rPr>
          <w:rFonts w:hint="eastAsia" w:ascii="仿宋_GB2312" w:hAnsi="宋体" w:eastAsia="仿宋_GB2312"/>
          <w:sz w:val="32"/>
          <w:szCs w:val="32"/>
          <w:lang w:eastAsia="zh-CN"/>
        </w:rPr>
        <w:t>规划为</w:t>
      </w:r>
      <w:r>
        <w:rPr>
          <w:rFonts w:hint="eastAsia" w:ascii="仿宋_GB2312" w:hAnsi="宋体" w:eastAsia="仿宋_GB2312"/>
          <w:sz w:val="32"/>
          <w:szCs w:val="32"/>
        </w:rPr>
        <w:t>生态绿地，导致</w:t>
      </w:r>
      <w:r>
        <w:rPr>
          <w:rFonts w:hint="eastAsia" w:ascii="仿宋_GB2312" w:hAnsi="宋体" w:eastAsia="仿宋_GB2312"/>
          <w:sz w:val="32"/>
          <w:szCs w:val="32"/>
          <w:lang w:eastAsia="zh-CN"/>
        </w:rPr>
        <w:t>片区内绿地面积</w:t>
      </w:r>
      <w:r>
        <w:rPr>
          <w:rFonts w:hint="eastAsia" w:ascii="仿宋_GB2312" w:hAnsi="宋体" w:eastAsia="仿宋_GB2312"/>
          <w:sz w:val="32"/>
          <w:szCs w:val="32"/>
        </w:rPr>
        <w:t>大幅减少，在</w:t>
      </w:r>
      <w:r>
        <w:rPr>
          <w:rFonts w:hint="eastAsia" w:ascii="仿宋_GB2312" w:hAnsi="宋体" w:eastAsia="仿宋_GB2312"/>
          <w:sz w:val="32"/>
          <w:szCs w:val="32"/>
          <w:lang w:eastAsia="zh-CN"/>
        </w:rPr>
        <w:t>艳澜洲桥头及</w:t>
      </w:r>
      <w:r>
        <w:rPr>
          <w:rFonts w:hint="eastAsia" w:ascii="仿宋_GB2312" w:hAnsi="宋体" w:eastAsia="仿宋_GB2312"/>
          <w:sz w:val="32"/>
          <w:szCs w:val="32"/>
        </w:rPr>
        <w:t>赛公桥附近新增公园绿地 。</w:t>
      </w:r>
    </w:p>
    <w:p w14:paraId="60FFAA63">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7、住宅用地：根据最新总规修编方案，减少斧头山临河居住用地，因绿地边界变化，减少邻绿心的居住用地。</w:t>
      </w:r>
    </w:p>
    <w:tbl>
      <w:tblPr>
        <w:tblStyle w:val="3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2025"/>
        <w:gridCol w:w="2410"/>
        <w:gridCol w:w="2410"/>
      </w:tblGrid>
      <w:tr w14:paraId="7D93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B543D9F">
            <w:pPr>
              <w:spacing w:line="360" w:lineRule="exact"/>
              <w:jc w:val="center"/>
              <w:rPr>
                <w:rFonts w:ascii="方正黑体简体" w:hAnsi="宋体" w:eastAsia="方正黑体简体"/>
                <w:b/>
                <w:sz w:val="24"/>
              </w:rPr>
            </w:pPr>
            <w:r>
              <w:rPr>
                <w:rFonts w:ascii="方正黑体简体" w:hAnsi="宋体" w:eastAsia="方正黑体简体"/>
                <w:b/>
                <w:sz w:val="24"/>
              </w:rPr>
              <w:t>用地编码</w:t>
            </w:r>
          </w:p>
        </w:tc>
        <w:tc>
          <w:tcPr>
            <w:tcW w:w="2025" w:type="dxa"/>
            <w:noWrap w:val="0"/>
            <w:vAlign w:val="bottom"/>
          </w:tcPr>
          <w:p w14:paraId="36DA5748">
            <w:pPr>
              <w:spacing w:line="360" w:lineRule="exact"/>
              <w:jc w:val="center"/>
              <w:rPr>
                <w:rFonts w:ascii="方正黑体简体" w:hAnsi="宋体" w:eastAsia="方正黑体简体"/>
                <w:b/>
                <w:sz w:val="24"/>
              </w:rPr>
            </w:pPr>
            <w:r>
              <w:rPr>
                <w:rFonts w:ascii="方正黑体简体" w:hAnsi="宋体" w:eastAsia="方正黑体简体"/>
                <w:b/>
                <w:sz w:val="24"/>
              </w:rPr>
              <w:t>用地性质</w:t>
            </w:r>
          </w:p>
        </w:tc>
        <w:tc>
          <w:tcPr>
            <w:tcW w:w="2410" w:type="dxa"/>
            <w:noWrap w:val="0"/>
            <w:vAlign w:val="bottom"/>
          </w:tcPr>
          <w:p w14:paraId="42BF25F4">
            <w:pPr>
              <w:spacing w:line="360" w:lineRule="exact"/>
              <w:jc w:val="center"/>
              <w:rPr>
                <w:rFonts w:ascii="方正黑体简体" w:hAnsi="宋体" w:eastAsia="方正黑体简体"/>
                <w:b/>
                <w:sz w:val="24"/>
              </w:rPr>
            </w:pPr>
            <w:r>
              <w:rPr>
                <w:rFonts w:hint="eastAsia" w:ascii="方正黑体简体" w:hAnsi="宋体" w:eastAsia="方正黑体简体"/>
                <w:b/>
                <w:sz w:val="24"/>
              </w:rPr>
              <w:t>2013</w:t>
            </w:r>
            <w:r>
              <w:rPr>
                <w:rFonts w:ascii="方正黑体简体" w:hAnsi="宋体" w:eastAsia="方正黑体简体"/>
                <w:b/>
                <w:sz w:val="24"/>
              </w:rPr>
              <w:t>版面积</w:t>
            </w:r>
            <w:r>
              <w:rPr>
                <w:rFonts w:hint="eastAsia" w:ascii="方正黑体简体" w:hAnsi="宋体" w:eastAsia="方正黑体简体"/>
                <w:b/>
                <w:sz w:val="24"/>
              </w:rPr>
              <w:t>(</w:t>
            </w:r>
            <w:r>
              <w:rPr>
                <w:rFonts w:ascii="方正黑体简体" w:hAnsi="宋体" w:eastAsia="方正黑体简体"/>
                <w:b/>
                <w:sz w:val="24"/>
              </w:rPr>
              <w:t>公顷</w:t>
            </w:r>
            <w:r>
              <w:rPr>
                <w:rFonts w:hint="eastAsia" w:ascii="方正黑体简体" w:hAnsi="宋体" w:eastAsia="方正黑体简体"/>
                <w:b/>
                <w:sz w:val="24"/>
              </w:rPr>
              <w:t>)</w:t>
            </w:r>
          </w:p>
        </w:tc>
        <w:tc>
          <w:tcPr>
            <w:tcW w:w="2410" w:type="dxa"/>
            <w:noWrap w:val="0"/>
            <w:vAlign w:val="bottom"/>
          </w:tcPr>
          <w:p w14:paraId="45733E20">
            <w:pPr>
              <w:spacing w:line="360" w:lineRule="exact"/>
              <w:jc w:val="center"/>
              <w:rPr>
                <w:rFonts w:ascii="方正黑体简体" w:hAnsi="宋体" w:eastAsia="方正黑体简体"/>
                <w:b/>
                <w:sz w:val="24"/>
              </w:rPr>
            </w:pPr>
            <w:r>
              <w:rPr>
                <w:rFonts w:hint="eastAsia" w:ascii="方正黑体简体" w:hAnsi="宋体" w:eastAsia="方正黑体简体"/>
                <w:b/>
                <w:sz w:val="24"/>
              </w:rPr>
              <w:t>2018</w:t>
            </w:r>
            <w:r>
              <w:rPr>
                <w:rFonts w:ascii="方正黑体简体" w:hAnsi="宋体" w:eastAsia="方正黑体简体"/>
                <w:b/>
                <w:sz w:val="24"/>
              </w:rPr>
              <w:t>修编面积</w:t>
            </w:r>
            <w:r>
              <w:rPr>
                <w:rFonts w:hint="eastAsia" w:ascii="方正黑体简体" w:hAnsi="宋体" w:eastAsia="方正黑体简体"/>
                <w:b/>
                <w:sz w:val="24"/>
              </w:rPr>
              <w:t>(</w:t>
            </w:r>
            <w:r>
              <w:rPr>
                <w:rFonts w:ascii="方正黑体简体" w:hAnsi="宋体" w:eastAsia="方正黑体简体"/>
                <w:b/>
                <w:sz w:val="24"/>
              </w:rPr>
              <w:t>公顷</w:t>
            </w:r>
            <w:r>
              <w:rPr>
                <w:rFonts w:hint="eastAsia" w:ascii="方正黑体简体" w:hAnsi="宋体" w:eastAsia="方正黑体简体"/>
                <w:b/>
                <w:sz w:val="24"/>
              </w:rPr>
              <w:t>)</w:t>
            </w:r>
          </w:p>
        </w:tc>
      </w:tr>
      <w:tr w14:paraId="6D2AA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0AF6D96B">
            <w:pPr>
              <w:spacing w:line="360" w:lineRule="exact"/>
              <w:jc w:val="center"/>
              <w:rPr>
                <w:rFonts w:ascii="方正黑体简体" w:hAnsi="宋体" w:eastAsia="方正黑体简体"/>
                <w:sz w:val="24"/>
              </w:rPr>
            </w:pPr>
            <w:r>
              <w:rPr>
                <w:rFonts w:hint="eastAsia" w:ascii="方正黑体简体" w:hAnsi="宋体" w:eastAsia="方正黑体简体"/>
                <w:sz w:val="24"/>
              </w:rPr>
              <w:t>YD-A1</w:t>
            </w:r>
          </w:p>
        </w:tc>
        <w:tc>
          <w:tcPr>
            <w:tcW w:w="2025" w:type="dxa"/>
            <w:noWrap w:val="0"/>
            <w:vAlign w:val="bottom"/>
          </w:tcPr>
          <w:p w14:paraId="0970ACFF">
            <w:pPr>
              <w:spacing w:line="360" w:lineRule="exact"/>
              <w:jc w:val="center"/>
              <w:rPr>
                <w:rFonts w:ascii="方正黑体简体" w:hAnsi="宋体" w:eastAsia="方正黑体简体"/>
                <w:sz w:val="24"/>
              </w:rPr>
            </w:pPr>
            <w:r>
              <w:rPr>
                <w:rFonts w:ascii="方正黑体简体" w:hAnsi="宋体" w:eastAsia="方正黑体简体"/>
                <w:sz w:val="24"/>
              </w:rPr>
              <w:t>行政办公</w:t>
            </w:r>
          </w:p>
        </w:tc>
        <w:tc>
          <w:tcPr>
            <w:tcW w:w="2410" w:type="dxa"/>
            <w:noWrap w:val="0"/>
            <w:vAlign w:val="bottom"/>
          </w:tcPr>
          <w:p w14:paraId="3F4A8A43">
            <w:pPr>
              <w:spacing w:line="360" w:lineRule="exact"/>
              <w:jc w:val="center"/>
              <w:rPr>
                <w:rFonts w:ascii="方正黑体简体" w:hAnsi="宋体" w:eastAsia="方正黑体简体"/>
                <w:sz w:val="24"/>
              </w:rPr>
            </w:pPr>
            <w:r>
              <w:rPr>
                <w:rFonts w:hint="eastAsia" w:ascii="方正黑体简体" w:hAnsi="宋体" w:eastAsia="方正黑体简体"/>
                <w:sz w:val="24"/>
              </w:rPr>
              <w:t>0.98</w:t>
            </w:r>
          </w:p>
        </w:tc>
        <w:tc>
          <w:tcPr>
            <w:tcW w:w="2410" w:type="dxa"/>
            <w:noWrap w:val="0"/>
            <w:vAlign w:val="bottom"/>
          </w:tcPr>
          <w:p w14:paraId="695EB50F">
            <w:pPr>
              <w:spacing w:line="360" w:lineRule="exact"/>
              <w:jc w:val="center"/>
              <w:rPr>
                <w:rFonts w:hint="eastAsia" w:ascii="方正黑体简体" w:hAnsi="宋体" w:eastAsia="方正黑体简体"/>
                <w:sz w:val="24"/>
              </w:rPr>
            </w:pPr>
            <w:r>
              <w:rPr>
                <w:rFonts w:hint="eastAsia" w:ascii="方正黑体简体" w:hAnsi="宋体" w:eastAsia="方正黑体简体"/>
                <w:sz w:val="24"/>
              </w:rPr>
              <w:t>1.01</w:t>
            </w:r>
          </w:p>
        </w:tc>
      </w:tr>
      <w:tr w14:paraId="16AA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572CF665">
            <w:pPr>
              <w:spacing w:line="360" w:lineRule="exact"/>
              <w:jc w:val="center"/>
              <w:rPr>
                <w:rFonts w:ascii="方正黑体简体" w:hAnsi="宋体" w:eastAsia="方正黑体简体"/>
                <w:sz w:val="24"/>
              </w:rPr>
            </w:pPr>
            <w:r>
              <w:rPr>
                <w:rFonts w:hint="eastAsia" w:ascii="方正黑体简体" w:hAnsi="宋体" w:eastAsia="方正黑体简体"/>
                <w:sz w:val="24"/>
              </w:rPr>
              <w:t>YD-A2</w:t>
            </w:r>
          </w:p>
        </w:tc>
        <w:tc>
          <w:tcPr>
            <w:tcW w:w="2025" w:type="dxa"/>
            <w:noWrap w:val="0"/>
            <w:vAlign w:val="bottom"/>
          </w:tcPr>
          <w:p w14:paraId="1CE35966">
            <w:pPr>
              <w:spacing w:line="360" w:lineRule="exact"/>
              <w:jc w:val="center"/>
              <w:rPr>
                <w:rFonts w:ascii="方正黑体简体" w:hAnsi="宋体" w:eastAsia="方正黑体简体"/>
                <w:sz w:val="24"/>
              </w:rPr>
            </w:pPr>
            <w:r>
              <w:rPr>
                <w:rFonts w:ascii="方正黑体简体" w:hAnsi="宋体" w:eastAsia="方正黑体简体"/>
                <w:sz w:val="24"/>
              </w:rPr>
              <w:t>文化设施</w:t>
            </w:r>
          </w:p>
        </w:tc>
        <w:tc>
          <w:tcPr>
            <w:tcW w:w="2410" w:type="dxa"/>
            <w:noWrap w:val="0"/>
            <w:vAlign w:val="bottom"/>
          </w:tcPr>
          <w:p w14:paraId="3CCDB3A8">
            <w:pPr>
              <w:spacing w:line="360" w:lineRule="exact"/>
              <w:jc w:val="center"/>
              <w:rPr>
                <w:rFonts w:ascii="方正黑体简体" w:hAnsi="宋体" w:eastAsia="方正黑体简体"/>
                <w:sz w:val="24"/>
              </w:rPr>
            </w:pPr>
            <w:r>
              <w:rPr>
                <w:rFonts w:hint="eastAsia" w:ascii="方正黑体简体" w:hAnsi="宋体" w:eastAsia="方正黑体简体"/>
                <w:sz w:val="24"/>
              </w:rPr>
              <w:t>4.86</w:t>
            </w:r>
          </w:p>
        </w:tc>
        <w:tc>
          <w:tcPr>
            <w:tcW w:w="2410" w:type="dxa"/>
            <w:noWrap w:val="0"/>
            <w:vAlign w:val="bottom"/>
          </w:tcPr>
          <w:p w14:paraId="69B190E0">
            <w:pPr>
              <w:spacing w:line="360" w:lineRule="exact"/>
              <w:jc w:val="center"/>
              <w:rPr>
                <w:rFonts w:hint="eastAsia" w:ascii="方正黑体简体" w:hAnsi="宋体" w:eastAsia="方正黑体简体"/>
                <w:sz w:val="24"/>
                <w:lang w:eastAsia="zh-CN"/>
              </w:rPr>
            </w:pPr>
            <w:r>
              <w:rPr>
                <w:rFonts w:hint="eastAsia" w:ascii="方正黑体简体" w:hAnsi="宋体" w:eastAsia="方正黑体简体"/>
                <w:sz w:val="24"/>
                <w:lang w:val="en-US" w:eastAsia="zh-CN"/>
              </w:rPr>
              <w:t>0</w:t>
            </w:r>
          </w:p>
        </w:tc>
      </w:tr>
      <w:tr w14:paraId="1221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0875C32B">
            <w:pPr>
              <w:spacing w:line="360" w:lineRule="exact"/>
              <w:jc w:val="center"/>
              <w:rPr>
                <w:rFonts w:ascii="方正黑体简体" w:hAnsi="宋体" w:eastAsia="方正黑体简体"/>
                <w:sz w:val="24"/>
              </w:rPr>
            </w:pPr>
            <w:r>
              <w:rPr>
                <w:rFonts w:hint="eastAsia" w:ascii="方正黑体简体" w:hAnsi="宋体" w:eastAsia="方正黑体简体"/>
                <w:sz w:val="24"/>
              </w:rPr>
              <w:t>YD-A3</w:t>
            </w:r>
          </w:p>
        </w:tc>
        <w:tc>
          <w:tcPr>
            <w:tcW w:w="2025" w:type="dxa"/>
            <w:noWrap w:val="0"/>
            <w:vAlign w:val="bottom"/>
          </w:tcPr>
          <w:p w14:paraId="11B94F51">
            <w:pPr>
              <w:spacing w:line="360" w:lineRule="exact"/>
              <w:jc w:val="center"/>
              <w:rPr>
                <w:rFonts w:ascii="方正黑体简体" w:hAnsi="宋体" w:eastAsia="方正黑体简体"/>
                <w:sz w:val="24"/>
              </w:rPr>
            </w:pPr>
            <w:r>
              <w:rPr>
                <w:rFonts w:ascii="方正黑体简体" w:hAnsi="宋体" w:eastAsia="方正黑体简体"/>
                <w:sz w:val="24"/>
              </w:rPr>
              <w:t>教育科研</w:t>
            </w:r>
          </w:p>
        </w:tc>
        <w:tc>
          <w:tcPr>
            <w:tcW w:w="2410" w:type="dxa"/>
            <w:noWrap w:val="0"/>
            <w:vAlign w:val="bottom"/>
          </w:tcPr>
          <w:p w14:paraId="1782D329">
            <w:pPr>
              <w:spacing w:line="360" w:lineRule="exact"/>
              <w:jc w:val="center"/>
              <w:rPr>
                <w:rFonts w:ascii="方正黑体简体" w:hAnsi="宋体" w:eastAsia="方正黑体简体"/>
                <w:sz w:val="24"/>
              </w:rPr>
            </w:pPr>
            <w:r>
              <w:rPr>
                <w:rFonts w:hint="eastAsia" w:ascii="方正黑体简体" w:hAnsi="宋体" w:eastAsia="方正黑体简体"/>
                <w:sz w:val="24"/>
              </w:rPr>
              <w:t>171.75</w:t>
            </w:r>
          </w:p>
        </w:tc>
        <w:tc>
          <w:tcPr>
            <w:tcW w:w="2410" w:type="dxa"/>
            <w:noWrap w:val="0"/>
            <w:vAlign w:val="bottom"/>
          </w:tcPr>
          <w:p w14:paraId="29A73644">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111.44</w:t>
            </w:r>
          </w:p>
        </w:tc>
      </w:tr>
      <w:tr w14:paraId="0C0C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15ABAFB7">
            <w:pPr>
              <w:spacing w:line="360" w:lineRule="exact"/>
              <w:jc w:val="center"/>
              <w:rPr>
                <w:rFonts w:ascii="方正黑体简体" w:hAnsi="宋体" w:eastAsia="方正黑体简体"/>
                <w:sz w:val="24"/>
              </w:rPr>
            </w:pPr>
            <w:r>
              <w:rPr>
                <w:rFonts w:hint="eastAsia" w:ascii="方正黑体简体" w:hAnsi="宋体" w:eastAsia="方正黑体简体"/>
                <w:sz w:val="24"/>
              </w:rPr>
              <w:t>YD-A5</w:t>
            </w:r>
          </w:p>
        </w:tc>
        <w:tc>
          <w:tcPr>
            <w:tcW w:w="2025" w:type="dxa"/>
            <w:noWrap w:val="0"/>
            <w:vAlign w:val="bottom"/>
          </w:tcPr>
          <w:p w14:paraId="6F52AD34">
            <w:pPr>
              <w:spacing w:line="360" w:lineRule="exact"/>
              <w:jc w:val="center"/>
              <w:rPr>
                <w:rFonts w:ascii="方正黑体简体" w:hAnsi="宋体" w:eastAsia="方正黑体简体"/>
                <w:sz w:val="24"/>
              </w:rPr>
            </w:pPr>
            <w:r>
              <w:rPr>
                <w:rFonts w:ascii="方正黑体简体" w:hAnsi="宋体" w:eastAsia="方正黑体简体"/>
                <w:sz w:val="24"/>
              </w:rPr>
              <w:t>医疗卫生</w:t>
            </w:r>
          </w:p>
        </w:tc>
        <w:tc>
          <w:tcPr>
            <w:tcW w:w="2410" w:type="dxa"/>
            <w:noWrap w:val="0"/>
            <w:vAlign w:val="bottom"/>
          </w:tcPr>
          <w:p w14:paraId="3F47E9DA">
            <w:pPr>
              <w:spacing w:line="360" w:lineRule="exact"/>
              <w:jc w:val="center"/>
              <w:rPr>
                <w:rFonts w:ascii="方正黑体简体" w:hAnsi="宋体" w:eastAsia="方正黑体简体"/>
                <w:sz w:val="24"/>
              </w:rPr>
            </w:pPr>
            <w:r>
              <w:rPr>
                <w:rFonts w:hint="eastAsia" w:ascii="方正黑体简体" w:hAnsi="宋体" w:eastAsia="方正黑体简体"/>
                <w:sz w:val="24"/>
              </w:rPr>
              <w:t>0</w:t>
            </w:r>
          </w:p>
        </w:tc>
        <w:tc>
          <w:tcPr>
            <w:tcW w:w="2410" w:type="dxa"/>
            <w:noWrap w:val="0"/>
            <w:vAlign w:val="bottom"/>
          </w:tcPr>
          <w:p w14:paraId="7CA6DE7E">
            <w:pPr>
              <w:spacing w:line="360" w:lineRule="exact"/>
              <w:jc w:val="center"/>
              <w:rPr>
                <w:rFonts w:hint="eastAsia" w:ascii="方正黑体简体" w:hAnsi="宋体" w:eastAsia="方正黑体简体"/>
                <w:sz w:val="24"/>
              </w:rPr>
            </w:pPr>
            <w:r>
              <w:rPr>
                <w:rFonts w:hint="eastAsia" w:ascii="方正黑体简体" w:hAnsi="宋体" w:eastAsia="方正黑体简体"/>
                <w:sz w:val="24"/>
              </w:rPr>
              <w:t>1.76</w:t>
            </w:r>
          </w:p>
        </w:tc>
      </w:tr>
      <w:tr w14:paraId="5B74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62CA8A6E">
            <w:pPr>
              <w:spacing w:line="360" w:lineRule="exact"/>
              <w:jc w:val="center"/>
              <w:rPr>
                <w:rFonts w:ascii="方正黑体简体" w:hAnsi="宋体" w:eastAsia="方正黑体简体"/>
                <w:sz w:val="24"/>
              </w:rPr>
            </w:pPr>
            <w:r>
              <w:rPr>
                <w:rFonts w:hint="eastAsia" w:ascii="方正黑体简体" w:hAnsi="宋体" w:eastAsia="方正黑体简体"/>
                <w:sz w:val="24"/>
              </w:rPr>
              <w:t>YD-A7</w:t>
            </w:r>
          </w:p>
        </w:tc>
        <w:tc>
          <w:tcPr>
            <w:tcW w:w="2025" w:type="dxa"/>
            <w:noWrap w:val="0"/>
            <w:vAlign w:val="bottom"/>
          </w:tcPr>
          <w:p w14:paraId="73206003">
            <w:pPr>
              <w:spacing w:line="360" w:lineRule="exact"/>
              <w:jc w:val="center"/>
              <w:rPr>
                <w:rFonts w:ascii="方正黑体简体" w:hAnsi="宋体" w:eastAsia="方正黑体简体"/>
                <w:sz w:val="24"/>
              </w:rPr>
            </w:pPr>
            <w:r>
              <w:rPr>
                <w:rFonts w:ascii="方正黑体简体" w:hAnsi="宋体" w:eastAsia="方正黑体简体"/>
                <w:sz w:val="24"/>
              </w:rPr>
              <w:t>文物古迹</w:t>
            </w:r>
          </w:p>
        </w:tc>
        <w:tc>
          <w:tcPr>
            <w:tcW w:w="2410" w:type="dxa"/>
            <w:noWrap w:val="0"/>
            <w:vAlign w:val="bottom"/>
          </w:tcPr>
          <w:p w14:paraId="2D707981">
            <w:pPr>
              <w:spacing w:line="360" w:lineRule="exact"/>
              <w:jc w:val="center"/>
              <w:rPr>
                <w:rFonts w:ascii="方正黑体简体" w:hAnsi="宋体" w:eastAsia="方正黑体简体"/>
                <w:sz w:val="24"/>
              </w:rPr>
            </w:pPr>
            <w:r>
              <w:rPr>
                <w:rFonts w:hint="eastAsia" w:ascii="方正黑体简体" w:hAnsi="宋体" w:eastAsia="方正黑体简体"/>
                <w:sz w:val="24"/>
              </w:rPr>
              <w:t>0</w:t>
            </w:r>
          </w:p>
        </w:tc>
        <w:tc>
          <w:tcPr>
            <w:tcW w:w="2410" w:type="dxa"/>
            <w:noWrap w:val="0"/>
            <w:vAlign w:val="bottom"/>
          </w:tcPr>
          <w:p w14:paraId="53F812CD">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7.31</w:t>
            </w:r>
          </w:p>
        </w:tc>
      </w:tr>
      <w:tr w14:paraId="7AAC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0AF6AF1B">
            <w:pPr>
              <w:spacing w:line="360" w:lineRule="exact"/>
              <w:jc w:val="center"/>
              <w:rPr>
                <w:rFonts w:ascii="方正黑体简体" w:hAnsi="宋体" w:eastAsia="方正黑体简体"/>
                <w:sz w:val="24"/>
              </w:rPr>
            </w:pPr>
            <w:r>
              <w:rPr>
                <w:rFonts w:hint="eastAsia" w:ascii="方正黑体简体" w:hAnsi="宋体" w:eastAsia="方正黑体简体"/>
                <w:sz w:val="24"/>
              </w:rPr>
              <w:t>YD-B1</w:t>
            </w:r>
          </w:p>
        </w:tc>
        <w:tc>
          <w:tcPr>
            <w:tcW w:w="2025" w:type="dxa"/>
            <w:noWrap w:val="0"/>
            <w:vAlign w:val="bottom"/>
          </w:tcPr>
          <w:p w14:paraId="629A6564">
            <w:pPr>
              <w:spacing w:line="360" w:lineRule="exact"/>
              <w:jc w:val="center"/>
              <w:rPr>
                <w:rFonts w:ascii="方正黑体简体" w:hAnsi="宋体" w:eastAsia="方正黑体简体"/>
                <w:sz w:val="24"/>
              </w:rPr>
            </w:pPr>
            <w:r>
              <w:rPr>
                <w:rFonts w:ascii="方正黑体简体" w:hAnsi="宋体" w:eastAsia="方正黑体简体"/>
                <w:sz w:val="24"/>
              </w:rPr>
              <w:t>商业设施</w:t>
            </w:r>
          </w:p>
        </w:tc>
        <w:tc>
          <w:tcPr>
            <w:tcW w:w="2410" w:type="dxa"/>
            <w:noWrap w:val="0"/>
            <w:vAlign w:val="bottom"/>
          </w:tcPr>
          <w:p w14:paraId="4584DC18">
            <w:pPr>
              <w:spacing w:line="360" w:lineRule="exact"/>
              <w:jc w:val="center"/>
              <w:rPr>
                <w:rFonts w:ascii="方正黑体简体" w:hAnsi="宋体" w:eastAsia="方正黑体简体"/>
                <w:sz w:val="24"/>
              </w:rPr>
            </w:pPr>
            <w:r>
              <w:rPr>
                <w:rFonts w:hint="eastAsia" w:ascii="方正黑体简体" w:hAnsi="宋体" w:eastAsia="方正黑体简体"/>
                <w:sz w:val="24"/>
              </w:rPr>
              <w:t>26.1</w:t>
            </w:r>
          </w:p>
        </w:tc>
        <w:tc>
          <w:tcPr>
            <w:tcW w:w="2410" w:type="dxa"/>
            <w:noWrap w:val="0"/>
            <w:vAlign w:val="bottom"/>
          </w:tcPr>
          <w:p w14:paraId="242D9A7C">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10.33</w:t>
            </w:r>
          </w:p>
        </w:tc>
      </w:tr>
      <w:tr w14:paraId="0226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1915050">
            <w:pPr>
              <w:spacing w:line="360" w:lineRule="exact"/>
              <w:jc w:val="center"/>
              <w:rPr>
                <w:rFonts w:ascii="方正黑体简体" w:hAnsi="宋体" w:eastAsia="方正黑体简体"/>
                <w:sz w:val="24"/>
              </w:rPr>
            </w:pPr>
            <w:r>
              <w:rPr>
                <w:rFonts w:hint="eastAsia" w:ascii="方正黑体简体" w:hAnsi="宋体" w:eastAsia="方正黑体简体"/>
                <w:sz w:val="24"/>
              </w:rPr>
              <w:t>YD-B2</w:t>
            </w:r>
          </w:p>
        </w:tc>
        <w:tc>
          <w:tcPr>
            <w:tcW w:w="2025" w:type="dxa"/>
            <w:noWrap w:val="0"/>
            <w:vAlign w:val="bottom"/>
          </w:tcPr>
          <w:p w14:paraId="4D850060">
            <w:pPr>
              <w:spacing w:line="360" w:lineRule="exact"/>
              <w:jc w:val="center"/>
              <w:rPr>
                <w:rFonts w:ascii="方正黑体简体" w:hAnsi="宋体" w:eastAsia="方正黑体简体"/>
                <w:sz w:val="24"/>
              </w:rPr>
            </w:pPr>
            <w:r>
              <w:rPr>
                <w:rFonts w:ascii="方正黑体简体" w:hAnsi="宋体" w:eastAsia="方正黑体简体"/>
                <w:sz w:val="24"/>
              </w:rPr>
              <w:t>商务设施</w:t>
            </w:r>
          </w:p>
        </w:tc>
        <w:tc>
          <w:tcPr>
            <w:tcW w:w="2410" w:type="dxa"/>
            <w:noWrap w:val="0"/>
            <w:vAlign w:val="bottom"/>
          </w:tcPr>
          <w:p w14:paraId="071D6D11">
            <w:pPr>
              <w:spacing w:line="360" w:lineRule="exact"/>
              <w:jc w:val="center"/>
              <w:rPr>
                <w:rFonts w:ascii="方正黑体简体" w:hAnsi="宋体" w:eastAsia="方正黑体简体"/>
                <w:sz w:val="24"/>
              </w:rPr>
            </w:pPr>
            <w:r>
              <w:rPr>
                <w:rFonts w:hint="eastAsia" w:ascii="方正黑体简体" w:hAnsi="宋体" w:eastAsia="方正黑体简体"/>
                <w:sz w:val="24"/>
              </w:rPr>
              <w:t>1.68</w:t>
            </w:r>
          </w:p>
        </w:tc>
        <w:tc>
          <w:tcPr>
            <w:tcW w:w="2410" w:type="dxa"/>
            <w:noWrap w:val="0"/>
            <w:vAlign w:val="bottom"/>
          </w:tcPr>
          <w:p w14:paraId="0358A354">
            <w:pPr>
              <w:spacing w:line="360" w:lineRule="exact"/>
              <w:jc w:val="center"/>
              <w:rPr>
                <w:rFonts w:ascii="方正黑体简体" w:hAnsi="宋体" w:eastAsia="方正黑体简体"/>
                <w:sz w:val="24"/>
              </w:rPr>
            </w:pPr>
            <w:r>
              <w:rPr>
                <w:rFonts w:hint="eastAsia" w:ascii="方正黑体简体" w:hAnsi="宋体" w:eastAsia="方正黑体简体"/>
                <w:sz w:val="24"/>
              </w:rPr>
              <w:t xml:space="preserve">1.68 </w:t>
            </w:r>
          </w:p>
        </w:tc>
      </w:tr>
      <w:tr w14:paraId="6A08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37F57D94">
            <w:pPr>
              <w:spacing w:line="360" w:lineRule="exact"/>
              <w:jc w:val="center"/>
              <w:rPr>
                <w:rFonts w:ascii="方正黑体简体" w:hAnsi="宋体" w:eastAsia="方正黑体简体"/>
                <w:sz w:val="24"/>
              </w:rPr>
            </w:pPr>
            <w:r>
              <w:rPr>
                <w:rFonts w:hint="eastAsia" w:ascii="方正黑体简体" w:hAnsi="宋体" w:eastAsia="方正黑体简体"/>
                <w:sz w:val="24"/>
              </w:rPr>
              <w:t>YD-B4</w:t>
            </w:r>
          </w:p>
        </w:tc>
        <w:tc>
          <w:tcPr>
            <w:tcW w:w="2025" w:type="dxa"/>
            <w:noWrap w:val="0"/>
            <w:vAlign w:val="bottom"/>
          </w:tcPr>
          <w:p w14:paraId="4C038BD8">
            <w:pPr>
              <w:spacing w:line="360" w:lineRule="exact"/>
              <w:jc w:val="center"/>
              <w:rPr>
                <w:rFonts w:ascii="方正黑体简体" w:hAnsi="宋体" w:eastAsia="方正黑体简体"/>
                <w:sz w:val="24"/>
              </w:rPr>
            </w:pPr>
            <w:r>
              <w:rPr>
                <w:rFonts w:ascii="方正黑体简体" w:hAnsi="宋体" w:eastAsia="方正黑体简体"/>
                <w:sz w:val="24"/>
              </w:rPr>
              <w:t>公用设施营业网点</w:t>
            </w:r>
          </w:p>
        </w:tc>
        <w:tc>
          <w:tcPr>
            <w:tcW w:w="2410" w:type="dxa"/>
            <w:noWrap w:val="0"/>
            <w:vAlign w:val="bottom"/>
          </w:tcPr>
          <w:p w14:paraId="2884459B">
            <w:pPr>
              <w:spacing w:line="360" w:lineRule="exact"/>
              <w:jc w:val="center"/>
              <w:rPr>
                <w:rFonts w:ascii="方正黑体简体" w:hAnsi="宋体" w:eastAsia="方正黑体简体"/>
                <w:sz w:val="24"/>
              </w:rPr>
            </w:pPr>
            <w:r>
              <w:rPr>
                <w:rFonts w:hint="eastAsia" w:ascii="方正黑体简体" w:hAnsi="宋体" w:eastAsia="方正黑体简体"/>
                <w:sz w:val="24"/>
              </w:rPr>
              <w:t>2.23</w:t>
            </w:r>
          </w:p>
        </w:tc>
        <w:tc>
          <w:tcPr>
            <w:tcW w:w="2410" w:type="dxa"/>
            <w:noWrap w:val="0"/>
            <w:vAlign w:val="bottom"/>
          </w:tcPr>
          <w:p w14:paraId="203BE2C0">
            <w:pPr>
              <w:spacing w:line="360" w:lineRule="exact"/>
              <w:jc w:val="center"/>
              <w:rPr>
                <w:rFonts w:hint="eastAsia" w:ascii="方正黑体简体" w:hAnsi="宋体" w:eastAsia="方正黑体简体"/>
                <w:sz w:val="24"/>
              </w:rPr>
            </w:pPr>
            <w:r>
              <w:rPr>
                <w:rFonts w:hint="eastAsia" w:ascii="方正黑体简体" w:hAnsi="宋体" w:eastAsia="方正黑体简体"/>
                <w:sz w:val="24"/>
              </w:rPr>
              <w:t>1.</w:t>
            </w:r>
            <w:r>
              <w:rPr>
                <w:rFonts w:hint="eastAsia" w:ascii="方正黑体简体" w:hAnsi="宋体" w:eastAsia="方正黑体简体"/>
                <w:sz w:val="24"/>
                <w:lang w:val="en-US" w:eastAsia="zh-CN"/>
              </w:rPr>
              <w:t>5</w:t>
            </w:r>
            <w:r>
              <w:rPr>
                <w:rFonts w:hint="eastAsia" w:ascii="方正黑体简体" w:hAnsi="宋体" w:eastAsia="方正黑体简体"/>
                <w:sz w:val="24"/>
              </w:rPr>
              <w:t>1</w:t>
            </w:r>
          </w:p>
        </w:tc>
      </w:tr>
      <w:tr w14:paraId="0331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5A3742D">
            <w:pPr>
              <w:spacing w:line="360" w:lineRule="exact"/>
              <w:jc w:val="center"/>
              <w:rPr>
                <w:rFonts w:ascii="方正黑体简体" w:hAnsi="宋体" w:eastAsia="方正黑体简体"/>
                <w:sz w:val="24"/>
              </w:rPr>
            </w:pPr>
            <w:r>
              <w:rPr>
                <w:rFonts w:hint="eastAsia" w:ascii="方正黑体简体" w:hAnsi="宋体" w:eastAsia="方正黑体简体"/>
                <w:sz w:val="24"/>
              </w:rPr>
              <w:t>YD-G1</w:t>
            </w:r>
          </w:p>
        </w:tc>
        <w:tc>
          <w:tcPr>
            <w:tcW w:w="2025" w:type="dxa"/>
            <w:noWrap w:val="0"/>
            <w:vAlign w:val="bottom"/>
          </w:tcPr>
          <w:p w14:paraId="0A159175">
            <w:pPr>
              <w:spacing w:line="360" w:lineRule="exact"/>
              <w:jc w:val="center"/>
              <w:rPr>
                <w:rFonts w:ascii="方正黑体简体" w:hAnsi="宋体" w:eastAsia="方正黑体简体"/>
                <w:sz w:val="24"/>
              </w:rPr>
            </w:pPr>
            <w:r>
              <w:rPr>
                <w:rFonts w:ascii="方正黑体简体" w:hAnsi="宋体" w:eastAsia="方正黑体简体"/>
                <w:sz w:val="24"/>
              </w:rPr>
              <w:t>公园绿地</w:t>
            </w:r>
          </w:p>
        </w:tc>
        <w:tc>
          <w:tcPr>
            <w:tcW w:w="2410" w:type="dxa"/>
            <w:noWrap w:val="0"/>
            <w:vAlign w:val="bottom"/>
          </w:tcPr>
          <w:p w14:paraId="32B6FC9C">
            <w:pPr>
              <w:spacing w:line="360" w:lineRule="exact"/>
              <w:jc w:val="center"/>
              <w:rPr>
                <w:rFonts w:ascii="方正黑体简体" w:hAnsi="宋体" w:eastAsia="方正黑体简体"/>
                <w:sz w:val="24"/>
              </w:rPr>
            </w:pPr>
            <w:r>
              <w:rPr>
                <w:rFonts w:hint="eastAsia" w:ascii="方正黑体简体" w:hAnsi="宋体" w:eastAsia="方正黑体简体"/>
                <w:sz w:val="24"/>
              </w:rPr>
              <w:t>41.78</w:t>
            </w:r>
          </w:p>
        </w:tc>
        <w:tc>
          <w:tcPr>
            <w:tcW w:w="2410" w:type="dxa"/>
            <w:noWrap w:val="0"/>
            <w:vAlign w:val="bottom"/>
          </w:tcPr>
          <w:p w14:paraId="44112194">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23.48</w:t>
            </w:r>
          </w:p>
        </w:tc>
      </w:tr>
      <w:tr w14:paraId="134C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31E10AFA">
            <w:pPr>
              <w:spacing w:line="360" w:lineRule="exact"/>
              <w:jc w:val="center"/>
              <w:rPr>
                <w:rFonts w:ascii="方正黑体简体" w:hAnsi="宋体" w:eastAsia="方正黑体简体"/>
                <w:sz w:val="24"/>
              </w:rPr>
            </w:pPr>
            <w:r>
              <w:rPr>
                <w:rFonts w:hint="eastAsia" w:ascii="方正黑体简体" w:hAnsi="宋体" w:eastAsia="方正黑体简体"/>
                <w:sz w:val="24"/>
              </w:rPr>
              <w:t>YD-G2</w:t>
            </w:r>
          </w:p>
        </w:tc>
        <w:tc>
          <w:tcPr>
            <w:tcW w:w="2025" w:type="dxa"/>
            <w:noWrap w:val="0"/>
            <w:vAlign w:val="bottom"/>
          </w:tcPr>
          <w:p w14:paraId="6477225F">
            <w:pPr>
              <w:spacing w:line="360" w:lineRule="exact"/>
              <w:jc w:val="center"/>
              <w:rPr>
                <w:rFonts w:ascii="方正黑体简体" w:hAnsi="宋体" w:eastAsia="方正黑体简体"/>
                <w:sz w:val="24"/>
              </w:rPr>
            </w:pPr>
            <w:r>
              <w:rPr>
                <w:rFonts w:ascii="方正黑体简体" w:hAnsi="宋体" w:eastAsia="方正黑体简体"/>
                <w:sz w:val="24"/>
              </w:rPr>
              <w:t>防护绿地</w:t>
            </w:r>
          </w:p>
        </w:tc>
        <w:tc>
          <w:tcPr>
            <w:tcW w:w="2410" w:type="dxa"/>
            <w:noWrap w:val="0"/>
            <w:vAlign w:val="bottom"/>
          </w:tcPr>
          <w:p w14:paraId="6E6EA146">
            <w:pPr>
              <w:spacing w:line="360" w:lineRule="exact"/>
              <w:jc w:val="center"/>
              <w:rPr>
                <w:rFonts w:ascii="方正黑体简体" w:hAnsi="宋体" w:eastAsia="方正黑体简体"/>
                <w:sz w:val="24"/>
              </w:rPr>
            </w:pPr>
            <w:r>
              <w:rPr>
                <w:rFonts w:hint="eastAsia" w:ascii="方正黑体简体" w:hAnsi="宋体" w:eastAsia="方正黑体简体"/>
                <w:sz w:val="24"/>
              </w:rPr>
              <w:t>15.55</w:t>
            </w:r>
          </w:p>
        </w:tc>
        <w:tc>
          <w:tcPr>
            <w:tcW w:w="2410" w:type="dxa"/>
            <w:noWrap w:val="0"/>
            <w:vAlign w:val="bottom"/>
          </w:tcPr>
          <w:p w14:paraId="53EE983D">
            <w:pPr>
              <w:spacing w:line="360" w:lineRule="exact"/>
              <w:jc w:val="center"/>
              <w:rPr>
                <w:rFonts w:hint="eastAsia" w:ascii="方正黑体简体" w:hAnsi="宋体" w:eastAsia="方正黑体简体"/>
                <w:sz w:val="24"/>
              </w:rPr>
            </w:pPr>
            <w:r>
              <w:rPr>
                <w:rFonts w:hint="eastAsia" w:ascii="方正黑体简体" w:hAnsi="宋体" w:eastAsia="方正黑体简体"/>
                <w:sz w:val="24"/>
              </w:rPr>
              <w:t>5.25</w:t>
            </w:r>
          </w:p>
        </w:tc>
      </w:tr>
      <w:tr w14:paraId="2B32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912A883">
            <w:pPr>
              <w:spacing w:line="360" w:lineRule="exact"/>
              <w:jc w:val="center"/>
              <w:rPr>
                <w:rFonts w:ascii="方正黑体简体" w:hAnsi="宋体" w:eastAsia="方正黑体简体"/>
                <w:sz w:val="24"/>
              </w:rPr>
            </w:pPr>
            <w:r>
              <w:rPr>
                <w:rFonts w:hint="eastAsia" w:ascii="方正黑体简体" w:hAnsi="宋体" w:eastAsia="方正黑体简体"/>
                <w:sz w:val="24"/>
              </w:rPr>
              <w:t>YD-G3</w:t>
            </w:r>
          </w:p>
        </w:tc>
        <w:tc>
          <w:tcPr>
            <w:tcW w:w="2025" w:type="dxa"/>
            <w:noWrap w:val="0"/>
            <w:vAlign w:val="bottom"/>
          </w:tcPr>
          <w:p w14:paraId="57DA4B92">
            <w:pPr>
              <w:spacing w:line="360" w:lineRule="exact"/>
              <w:jc w:val="center"/>
              <w:rPr>
                <w:rFonts w:ascii="方正黑体简体" w:hAnsi="宋体" w:eastAsia="方正黑体简体"/>
                <w:sz w:val="24"/>
              </w:rPr>
            </w:pPr>
            <w:r>
              <w:rPr>
                <w:rFonts w:ascii="方正黑体简体" w:hAnsi="宋体" w:eastAsia="方正黑体简体"/>
                <w:sz w:val="24"/>
              </w:rPr>
              <w:t>广场用地</w:t>
            </w:r>
          </w:p>
        </w:tc>
        <w:tc>
          <w:tcPr>
            <w:tcW w:w="2410" w:type="dxa"/>
            <w:noWrap w:val="0"/>
            <w:vAlign w:val="bottom"/>
          </w:tcPr>
          <w:p w14:paraId="29D80CB3">
            <w:pPr>
              <w:spacing w:line="360" w:lineRule="exact"/>
              <w:jc w:val="center"/>
              <w:rPr>
                <w:rFonts w:ascii="方正黑体简体" w:hAnsi="宋体" w:eastAsia="方正黑体简体"/>
                <w:sz w:val="24"/>
              </w:rPr>
            </w:pPr>
            <w:r>
              <w:rPr>
                <w:rFonts w:hint="eastAsia" w:ascii="方正黑体简体" w:hAnsi="宋体" w:eastAsia="方正黑体简体"/>
                <w:sz w:val="24"/>
              </w:rPr>
              <w:t>1.94</w:t>
            </w:r>
          </w:p>
        </w:tc>
        <w:tc>
          <w:tcPr>
            <w:tcW w:w="2410" w:type="dxa"/>
            <w:noWrap w:val="0"/>
            <w:vAlign w:val="bottom"/>
          </w:tcPr>
          <w:p w14:paraId="18D5CAA4">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0.71</w:t>
            </w:r>
          </w:p>
        </w:tc>
      </w:tr>
      <w:tr w14:paraId="0EDA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446E0D7B">
            <w:pPr>
              <w:spacing w:line="360" w:lineRule="exact"/>
              <w:jc w:val="center"/>
              <w:rPr>
                <w:rFonts w:ascii="方正黑体简体" w:hAnsi="宋体" w:eastAsia="方正黑体简体"/>
                <w:sz w:val="24"/>
              </w:rPr>
            </w:pPr>
            <w:r>
              <w:rPr>
                <w:rFonts w:hint="eastAsia" w:ascii="方正黑体简体" w:hAnsi="宋体" w:eastAsia="方正黑体简体"/>
                <w:sz w:val="24"/>
              </w:rPr>
              <w:t>YD-R2</w:t>
            </w:r>
          </w:p>
        </w:tc>
        <w:tc>
          <w:tcPr>
            <w:tcW w:w="2025" w:type="dxa"/>
            <w:noWrap w:val="0"/>
            <w:vAlign w:val="bottom"/>
          </w:tcPr>
          <w:p w14:paraId="5450FA30">
            <w:pPr>
              <w:spacing w:line="360" w:lineRule="exact"/>
              <w:jc w:val="center"/>
              <w:rPr>
                <w:rFonts w:ascii="方正黑体简体" w:hAnsi="宋体" w:eastAsia="方正黑体简体"/>
                <w:sz w:val="24"/>
              </w:rPr>
            </w:pPr>
            <w:r>
              <w:rPr>
                <w:rFonts w:ascii="方正黑体简体" w:hAnsi="宋体" w:eastAsia="方正黑体简体"/>
                <w:sz w:val="24"/>
              </w:rPr>
              <w:t>住宅用地</w:t>
            </w:r>
          </w:p>
        </w:tc>
        <w:tc>
          <w:tcPr>
            <w:tcW w:w="2410" w:type="dxa"/>
            <w:noWrap w:val="0"/>
            <w:vAlign w:val="bottom"/>
          </w:tcPr>
          <w:p w14:paraId="229335E9">
            <w:pPr>
              <w:spacing w:line="360" w:lineRule="exact"/>
              <w:jc w:val="center"/>
              <w:rPr>
                <w:rFonts w:ascii="方正黑体简体" w:hAnsi="宋体" w:eastAsia="方正黑体简体"/>
                <w:sz w:val="24"/>
              </w:rPr>
            </w:pPr>
            <w:r>
              <w:rPr>
                <w:rFonts w:hint="eastAsia" w:ascii="方正黑体简体" w:hAnsi="宋体" w:eastAsia="方正黑体简体"/>
                <w:sz w:val="24"/>
              </w:rPr>
              <w:t>106.97</w:t>
            </w:r>
          </w:p>
        </w:tc>
        <w:tc>
          <w:tcPr>
            <w:tcW w:w="2410" w:type="dxa"/>
            <w:noWrap w:val="0"/>
            <w:vAlign w:val="bottom"/>
          </w:tcPr>
          <w:p w14:paraId="259CC73B">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107.84</w:t>
            </w:r>
          </w:p>
        </w:tc>
      </w:tr>
      <w:tr w14:paraId="5356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5983CDC">
            <w:pPr>
              <w:spacing w:line="360" w:lineRule="exact"/>
              <w:jc w:val="center"/>
              <w:rPr>
                <w:rFonts w:ascii="方正黑体简体" w:hAnsi="宋体" w:eastAsia="方正黑体简体"/>
                <w:sz w:val="24"/>
              </w:rPr>
            </w:pPr>
            <w:r>
              <w:rPr>
                <w:rFonts w:hint="eastAsia" w:ascii="方正黑体简体" w:hAnsi="宋体" w:eastAsia="方正黑体简体"/>
                <w:sz w:val="24"/>
              </w:rPr>
              <w:t>YD-S1</w:t>
            </w:r>
          </w:p>
        </w:tc>
        <w:tc>
          <w:tcPr>
            <w:tcW w:w="2025" w:type="dxa"/>
            <w:noWrap w:val="0"/>
            <w:vAlign w:val="bottom"/>
          </w:tcPr>
          <w:p w14:paraId="52410F63">
            <w:pPr>
              <w:spacing w:line="360" w:lineRule="exact"/>
              <w:jc w:val="center"/>
              <w:rPr>
                <w:rFonts w:ascii="方正黑体简体" w:hAnsi="宋体" w:eastAsia="方正黑体简体"/>
                <w:sz w:val="24"/>
              </w:rPr>
            </w:pPr>
            <w:r>
              <w:rPr>
                <w:rFonts w:ascii="方正黑体简体" w:hAnsi="宋体" w:eastAsia="方正黑体简体"/>
                <w:sz w:val="24"/>
              </w:rPr>
              <w:t>道路用地</w:t>
            </w:r>
          </w:p>
        </w:tc>
        <w:tc>
          <w:tcPr>
            <w:tcW w:w="2410" w:type="dxa"/>
            <w:noWrap w:val="0"/>
            <w:vAlign w:val="bottom"/>
          </w:tcPr>
          <w:p w14:paraId="43226AEB">
            <w:pPr>
              <w:spacing w:line="360" w:lineRule="exact"/>
              <w:jc w:val="center"/>
              <w:rPr>
                <w:rFonts w:ascii="方正黑体简体" w:hAnsi="宋体" w:eastAsia="方正黑体简体"/>
                <w:sz w:val="24"/>
              </w:rPr>
            </w:pPr>
            <w:r>
              <w:rPr>
                <w:rFonts w:hint="eastAsia" w:ascii="方正黑体简体" w:hAnsi="宋体" w:eastAsia="方正黑体简体"/>
                <w:sz w:val="24"/>
              </w:rPr>
              <w:t>49.64</w:t>
            </w:r>
          </w:p>
        </w:tc>
        <w:tc>
          <w:tcPr>
            <w:tcW w:w="2410" w:type="dxa"/>
            <w:noWrap w:val="0"/>
            <w:vAlign w:val="bottom"/>
          </w:tcPr>
          <w:p w14:paraId="12AA7624">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45.41</w:t>
            </w:r>
          </w:p>
        </w:tc>
      </w:tr>
      <w:tr w14:paraId="5970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60F4F136">
            <w:pPr>
              <w:spacing w:line="360" w:lineRule="exact"/>
              <w:jc w:val="center"/>
              <w:rPr>
                <w:rFonts w:ascii="方正黑体简体" w:hAnsi="宋体" w:eastAsia="方正黑体简体"/>
                <w:sz w:val="24"/>
              </w:rPr>
            </w:pPr>
            <w:r>
              <w:rPr>
                <w:rFonts w:hint="eastAsia" w:ascii="方正黑体简体" w:hAnsi="宋体" w:eastAsia="方正黑体简体"/>
                <w:sz w:val="24"/>
              </w:rPr>
              <w:t>YD-S3</w:t>
            </w:r>
          </w:p>
        </w:tc>
        <w:tc>
          <w:tcPr>
            <w:tcW w:w="2025" w:type="dxa"/>
            <w:noWrap w:val="0"/>
            <w:vAlign w:val="bottom"/>
          </w:tcPr>
          <w:p w14:paraId="31E1BAC7">
            <w:pPr>
              <w:spacing w:line="360" w:lineRule="exact"/>
              <w:jc w:val="center"/>
              <w:rPr>
                <w:rFonts w:ascii="方正黑体简体" w:hAnsi="宋体" w:eastAsia="方正黑体简体"/>
                <w:sz w:val="24"/>
              </w:rPr>
            </w:pPr>
            <w:r>
              <w:rPr>
                <w:rFonts w:ascii="方正黑体简体" w:hAnsi="宋体" w:eastAsia="方正黑体简体"/>
                <w:sz w:val="24"/>
              </w:rPr>
              <w:t>综合交通枢纽</w:t>
            </w:r>
          </w:p>
        </w:tc>
        <w:tc>
          <w:tcPr>
            <w:tcW w:w="2410" w:type="dxa"/>
            <w:noWrap w:val="0"/>
            <w:vAlign w:val="bottom"/>
          </w:tcPr>
          <w:p w14:paraId="3DC5F4D0">
            <w:pPr>
              <w:spacing w:line="360" w:lineRule="exact"/>
              <w:jc w:val="center"/>
              <w:rPr>
                <w:rFonts w:ascii="方正黑体简体" w:hAnsi="宋体" w:eastAsia="方正黑体简体"/>
                <w:sz w:val="24"/>
              </w:rPr>
            </w:pPr>
            <w:r>
              <w:rPr>
                <w:rFonts w:hint="eastAsia" w:ascii="方正黑体简体" w:hAnsi="宋体" w:eastAsia="方正黑体简体"/>
                <w:sz w:val="24"/>
              </w:rPr>
              <w:t>9.6</w:t>
            </w:r>
          </w:p>
        </w:tc>
        <w:tc>
          <w:tcPr>
            <w:tcW w:w="2410" w:type="dxa"/>
            <w:noWrap w:val="0"/>
            <w:vAlign w:val="bottom"/>
          </w:tcPr>
          <w:p w14:paraId="6109075B">
            <w:pPr>
              <w:spacing w:line="360" w:lineRule="exact"/>
              <w:jc w:val="center"/>
              <w:rPr>
                <w:rFonts w:ascii="方正黑体简体" w:hAnsi="宋体" w:eastAsia="方正黑体简体"/>
                <w:sz w:val="24"/>
              </w:rPr>
            </w:pPr>
            <w:r>
              <w:rPr>
                <w:rFonts w:hint="eastAsia" w:ascii="方正黑体简体" w:hAnsi="宋体" w:eastAsia="方正黑体简体"/>
                <w:sz w:val="24"/>
              </w:rPr>
              <w:t xml:space="preserve">3.35 </w:t>
            </w:r>
          </w:p>
        </w:tc>
      </w:tr>
      <w:tr w14:paraId="1370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25845F67">
            <w:pPr>
              <w:spacing w:line="360" w:lineRule="exact"/>
              <w:jc w:val="center"/>
              <w:rPr>
                <w:rFonts w:ascii="方正黑体简体" w:hAnsi="宋体" w:eastAsia="方正黑体简体"/>
                <w:sz w:val="24"/>
              </w:rPr>
            </w:pPr>
            <w:r>
              <w:rPr>
                <w:rFonts w:hint="eastAsia" w:ascii="方正黑体简体" w:hAnsi="宋体" w:eastAsia="方正黑体简体"/>
                <w:sz w:val="24"/>
              </w:rPr>
              <w:t>YD-S4</w:t>
            </w:r>
          </w:p>
        </w:tc>
        <w:tc>
          <w:tcPr>
            <w:tcW w:w="2025" w:type="dxa"/>
            <w:noWrap w:val="0"/>
            <w:vAlign w:val="bottom"/>
          </w:tcPr>
          <w:p w14:paraId="78C05053">
            <w:pPr>
              <w:spacing w:line="360" w:lineRule="exact"/>
              <w:jc w:val="center"/>
              <w:rPr>
                <w:rFonts w:ascii="方正黑体简体" w:hAnsi="宋体" w:eastAsia="方正黑体简体"/>
                <w:sz w:val="24"/>
              </w:rPr>
            </w:pPr>
            <w:r>
              <w:rPr>
                <w:rFonts w:ascii="方正黑体简体" w:hAnsi="宋体" w:eastAsia="方正黑体简体"/>
                <w:sz w:val="24"/>
              </w:rPr>
              <w:t>交通场站</w:t>
            </w:r>
          </w:p>
        </w:tc>
        <w:tc>
          <w:tcPr>
            <w:tcW w:w="2410" w:type="dxa"/>
            <w:noWrap w:val="0"/>
            <w:vAlign w:val="bottom"/>
          </w:tcPr>
          <w:p w14:paraId="7DF13089">
            <w:pPr>
              <w:spacing w:line="360" w:lineRule="exact"/>
              <w:jc w:val="center"/>
              <w:rPr>
                <w:rFonts w:ascii="方正黑体简体" w:hAnsi="宋体" w:eastAsia="方正黑体简体"/>
                <w:sz w:val="24"/>
              </w:rPr>
            </w:pPr>
            <w:r>
              <w:rPr>
                <w:rFonts w:hint="eastAsia" w:ascii="方正黑体简体" w:hAnsi="宋体" w:eastAsia="方正黑体简体"/>
                <w:sz w:val="24"/>
              </w:rPr>
              <w:t>4.1</w:t>
            </w:r>
          </w:p>
        </w:tc>
        <w:tc>
          <w:tcPr>
            <w:tcW w:w="2410" w:type="dxa"/>
            <w:noWrap w:val="0"/>
            <w:vAlign w:val="bottom"/>
          </w:tcPr>
          <w:p w14:paraId="5CB3F716">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1.78</w:t>
            </w:r>
          </w:p>
        </w:tc>
      </w:tr>
      <w:tr w14:paraId="6756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4C865E0F">
            <w:pPr>
              <w:spacing w:line="360" w:lineRule="exact"/>
              <w:jc w:val="center"/>
              <w:rPr>
                <w:rFonts w:ascii="方正黑体简体" w:hAnsi="宋体" w:eastAsia="方正黑体简体"/>
                <w:sz w:val="24"/>
              </w:rPr>
            </w:pPr>
            <w:r>
              <w:rPr>
                <w:rFonts w:hint="eastAsia" w:ascii="方正黑体简体" w:hAnsi="宋体" w:eastAsia="方正黑体简体"/>
                <w:sz w:val="24"/>
              </w:rPr>
              <w:t>YD-U1</w:t>
            </w:r>
          </w:p>
        </w:tc>
        <w:tc>
          <w:tcPr>
            <w:tcW w:w="2025" w:type="dxa"/>
            <w:noWrap w:val="0"/>
            <w:vAlign w:val="bottom"/>
          </w:tcPr>
          <w:p w14:paraId="03D1621E">
            <w:pPr>
              <w:spacing w:line="360" w:lineRule="exact"/>
              <w:jc w:val="center"/>
              <w:rPr>
                <w:rFonts w:ascii="方正黑体简体" w:hAnsi="宋体" w:eastAsia="方正黑体简体"/>
                <w:sz w:val="24"/>
              </w:rPr>
            </w:pPr>
            <w:r>
              <w:rPr>
                <w:rFonts w:ascii="方正黑体简体" w:hAnsi="宋体" w:eastAsia="方正黑体简体"/>
                <w:sz w:val="24"/>
              </w:rPr>
              <w:t>供应设施</w:t>
            </w:r>
          </w:p>
        </w:tc>
        <w:tc>
          <w:tcPr>
            <w:tcW w:w="2410" w:type="dxa"/>
            <w:noWrap w:val="0"/>
            <w:vAlign w:val="bottom"/>
          </w:tcPr>
          <w:p w14:paraId="27DDE2A3">
            <w:pPr>
              <w:spacing w:line="360" w:lineRule="exact"/>
              <w:jc w:val="center"/>
              <w:rPr>
                <w:rFonts w:ascii="方正黑体简体" w:hAnsi="宋体" w:eastAsia="方正黑体简体"/>
                <w:sz w:val="24"/>
              </w:rPr>
            </w:pPr>
            <w:r>
              <w:rPr>
                <w:rFonts w:hint="eastAsia" w:ascii="方正黑体简体" w:hAnsi="宋体" w:eastAsia="方正黑体简体"/>
                <w:sz w:val="24"/>
              </w:rPr>
              <w:t>0.37</w:t>
            </w:r>
          </w:p>
        </w:tc>
        <w:tc>
          <w:tcPr>
            <w:tcW w:w="2410" w:type="dxa"/>
            <w:noWrap w:val="0"/>
            <w:vAlign w:val="bottom"/>
          </w:tcPr>
          <w:p w14:paraId="727A3202">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0.37</w:t>
            </w:r>
          </w:p>
        </w:tc>
      </w:tr>
      <w:tr w14:paraId="23E7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5826A49E">
            <w:pPr>
              <w:spacing w:line="360" w:lineRule="exact"/>
              <w:jc w:val="center"/>
              <w:rPr>
                <w:rFonts w:hint="eastAsia" w:ascii="方正黑体简体" w:hAnsi="宋体" w:eastAsia="方正黑体简体"/>
                <w:sz w:val="24"/>
                <w:lang w:eastAsia="zh-CN"/>
              </w:rPr>
            </w:pPr>
            <w:r>
              <w:rPr>
                <w:rFonts w:hint="eastAsia" w:ascii="方正黑体简体" w:hAnsi="宋体" w:eastAsia="方正黑体简体"/>
                <w:sz w:val="24"/>
              </w:rPr>
              <w:t>YD-U</w:t>
            </w:r>
            <w:r>
              <w:rPr>
                <w:rFonts w:hint="eastAsia" w:ascii="方正黑体简体" w:hAnsi="宋体" w:eastAsia="方正黑体简体"/>
                <w:sz w:val="24"/>
                <w:lang w:val="en-US" w:eastAsia="zh-CN"/>
              </w:rPr>
              <w:t>2</w:t>
            </w:r>
          </w:p>
        </w:tc>
        <w:tc>
          <w:tcPr>
            <w:tcW w:w="2025" w:type="dxa"/>
            <w:noWrap w:val="0"/>
            <w:vAlign w:val="bottom"/>
          </w:tcPr>
          <w:p w14:paraId="01E93B60">
            <w:pPr>
              <w:spacing w:line="360" w:lineRule="exact"/>
              <w:jc w:val="center"/>
              <w:rPr>
                <w:rFonts w:ascii="方正黑体简体" w:hAnsi="宋体" w:eastAsia="方正黑体简体"/>
                <w:sz w:val="24"/>
              </w:rPr>
            </w:pPr>
            <w:r>
              <w:rPr>
                <w:rFonts w:hint="eastAsia" w:ascii="方正黑体简体" w:hAnsi="宋体" w:eastAsia="方正黑体简体"/>
                <w:sz w:val="24"/>
                <w:lang w:eastAsia="zh-CN"/>
              </w:rPr>
              <w:t>环境</w:t>
            </w:r>
            <w:r>
              <w:rPr>
                <w:rFonts w:ascii="方正黑体简体" w:hAnsi="宋体" w:eastAsia="方正黑体简体"/>
                <w:sz w:val="24"/>
              </w:rPr>
              <w:t>设施</w:t>
            </w:r>
          </w:p>
        </w:tc>
        <w:tc>
          <w:tcPr>
            <w:tcW w:w="2410" w:type="dxa"/>
            <w:noWrap w:val="0"/>
            <w:vAlign w:val="bottom"/>
          </w:tcPr>
          <w:p w14:paraId="36AB7AB0">
            <w:pPr>
              <w:spacing w:line="360" w:lineRule="exact"/>
              <w:jc w:val="center"/>
              <w:rPr>
                <w:rFonts w:hint="eastAsia" w:ascii="方正黑体简体" w:hAnsi="宋体" w:eastAsia="方正黑体简体"/>
                <w:sz w:val="24"/>
                <w:lang w:eastAsia="zh-CN"/>
              </w:rPr>
            </w:pPr>
            <w:r>
              <w:rPr>
                <w:rFonts w:hint="eastAsia" w:ascii="方正黑体简体" w:hAnsi="宋体" w:eastAsia="方正黑体简体"/>
                <w:sz w:val="24"/>
                <w:lang w:val="en-US" w:eastAsia="zh-CN"/>
              </w:rPr>
              <w:t>0</w:t>
            </w:r>
          </w:p>
        </w:tc>
        <w:tc>
          <w:tcPr>
            <w:tcW w:w="2410" w:type="dxa"/>
            <w:noWrap w:val="0"/>
            <w:vAlign w:val="bottom"/>
          </w:tcPr>
          <w:p w14:paraId="79D7818A">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0.09</w:t>
            </w:r>
          </w:p>
        </w:tc>
      </w:tr>
      <w:tr w14:paraId="79BD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31908DA1">
            <w:pPr>
              <w:spacing w:line="360" w:lineRule="exact"/>
              <w:jc w:val="center"/>
              <w:rPr>
                <w:rFonts w:ascii="方正黑体简体" w:hAnsi="宋体" w:eastAsia="方正黑体简体"/>
                <w:sz w:val="24"/>
              </w:rPr>
            </w:pPr>
            <w:r>
              <w:rPr>
                <w:rFonts w:hint="eastAsia" w:ascii="方正黑体简体" w:hAnsi="宋体" w:eastAsia="方正黑体简体"/>
                <w:sz w:val="24"/>
              </w:rPr>
              <w:t>YD-U3</w:t>
            </w:r>
          </w:p>
        </w:tc>
        <w:tc>
          <w:tcPr>
            <w:tcW w:w="2025" w:type="dxa"/>
            <w:noWrap w:val="0"/>
            <w:vAlign w:val="bottom"/>
          </w:tcPr>
          <w:p w14:paraId="48DBD1F5">
            <w:pPr>
              <w:spacing w:line="360" w:lineRule="exact"/>
              <w:jc w:val="center"/>
              <w:rPr>
                <w:rFonts w:ascii="方正黑体简体" w:hAnsi="宋体" w:eastAsia="方正黑体简体"/>
                <w:sz w:val="24"/>
              </w:rPr>
            </w:pPr>
            <w:r>
              <w:rPr>
                <w:rFonts w:ascii="方正黑体简体" w:hAnsi="宋体" w:eastAsia="方正黑体简体"/>
                <w:sz w:val="24"/>
              </w:rPr>
              <w:t>安全设施</w:t>
            </w:r>
          </w:p>
        </w:tc>
        <w:tc>
          <w:tcPr>
            <w:tcW w:w="2410" w:type="dxa"/>
            <w:noWrap w:val="0"/>
            <w:vAlign w:val="bottom"/>
          </w:tcPr>
          <w:p w14:paraId="6E6D4AB5">
            <w:pPr>
              <w:spacing w:line="360" w:lineRule="exact"/>
              <w:jc w:val="center"/>
              <w:rPr>
                <w:rFonts w:ascii="方正黑体简体" w:hAnsi="宋体" w:eastAsia="方正黑体简体"/>
                <w:sz w:val="24"/>
              </w:rPr>
            </w:pPr>
            <w:r>
              <w:rPr>
                <w:rFonts w:hint="eastAsia" w:ascii="方正黑体简体" w:hAnsi="宋体" w:eastAsia="方正黑体简体"/>
                <w:sz w:val="24"/>
              </w:rPr>
              <w:t>1.12</w:t>
            </w:r>
          </w:p>
        </w:tc>
        <w:tc>
          <w:tcPr>
            <w:tcW w:w="2410" w:type="dxa"/>
            <w:noWrap w:val="0"/>
            <w:vAlign w:val="bottom"/>
          </w:tcPr>
          <w:p w14:paraId="51362310">
            <w:pPr>
              <w:spacing w:line="360" w:lineRule="exact"/>
              <w:jc w:val="center"/>
              <w:rPr>
                <w:rFonts w:ascii="方正黑体简体" w:hAnsi="宋体" w:eastAsia="方正黑体简体"/>
                <w:sz w:val="24"/>
              </w:rPr>
            </w:pPr>
            <w:r>
              <w:rPr>
                <w:rFonts w:hint="eastAsia" w:ascii="方正黑体简体" w:hAnsi="宋体" w:eastAsia="方正黑体简体"/>
                <w:sz w:val="24"/>
              </w:rPr>
              <w:t xml:space="preserve">1.12 </w:t>
            </w:r>
          </w:p>
        </w:tc>
      </w:tr>
      <w:tr w14:paraId="6EFC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noWrap w:val="0"/>
            <w:vAlign w:val="bottom"/>
          </w:tcPr>
          <w:p w14:paraId="122C33B4">
            <w:pPr>
              <w:spacing w:line="360" w:lineRule="exact"/>
              <w:jc w:val="center"/>
              <w:rPr>
                <w:rFonts w:ascii="方正黑体简体" w:hAnsi="宋体" w:eastAsia="方正黑体简体"/>
                <w:sz w:val="24"/>
              </w:rPr>
            </w:pPr>
            <w:r>
              <w:rPr>
                <w:rFonts w:ascii="方正黑体简体" w:hAnsi="宋体" w:eastAsia="方正黑体简体"/>
                <w:sz w:val="24"/>
              </w:rPr>
              <w:t>总计</w:t>
            </w:r>
          </w:p>
        </w:tc>
        <w:tc>
          <w:tcPr>
            <w:tcW w:w="2025" w:type="dxa"/>
            <w:noWrap w:val="0"/>
            <w:vAlign w:val="bottom"/>
          </w:tcPr>
          <w:p w14:paraId="3F68339D">
            <w:pPr>
              <w:spacing w:line="360" w:lineRule="exact"/>
              <w:jc w:val="center"/>
              <w:rPr>
                <w:rFonts w:ascii="方正黑体简体" w:hAnsi="宋体" w:eastAsia="方正黑体简体"/>
                <w:sz w:val="24"/>
              </w:rPr>
            </w:pPr>
          </w:p>
        </w:tc>
        <w:tc>
          <w:tcPr>
            <w:tcW w:w="2410" w:type="dxa"/>
            <w:noWrap w:val="0"/>
            <w:vAlign w:val="bottom"/>
          </w:tcPr>
          <w:p w14:paraId="009F2457">
            <w:pPr>
              <w:spacing w:line="360" w:lineRule="exact"/>
              <w:jc w:val="center"/>
              <w:rPr>
                <w:rFonts w:ascii="方正黑体简体" w:hAnsi="宋体" w:eastAsia="方正黑体简体"/>
                <w:sz w:val="24"/>
              </w:rPr>
            </w:pPr>
            <w:r>
              <w:rPr>
                <w:rFonts w:hint="eastAsia" w:ascii="方正黑体简体" w:hAnsi="宋体" w:eastAsia="方正黑体简体"/>
                <w:sz w:val="24"/>
              </w:rPr>
              <w:t>438.67</w:t>
            </w:r>
          </w:p>
        </w:tc>
        <w:tc>
          <w:tcPr>
            <w:tcW w:w="2410" w:type="dxa"/>
            <w:noWrap w:val="0"/>
            <w:vAlign w:val="bottom"/>
          </w:tcPr>
          <w:p w14:paraId="341EFDC8">
            <w:pPr>
              <w:spacing w:line="360" w:lineRule="exact"/>
              <w:jc w:val="center"/>
              <w:rPr>
                <w:rFonts w:hint="default" w:ascii="方正黑体简体" w:hAnsi="宋体" w:eastAsia="方正黑体简体"/>
                <w:sz w:val="24"/>
                <w:lang w:val="en-US" w:eastAsia="zh-CN"/>
              </w:rPr>
            </w:pPr>
            <w:r>
              <w:rPr>
                <w:rFonts w:hint="eastAsia" w:ascii="方正黑体简体" w:hAnsi="宋体" w:eastAsia="方正黑体简体"/>
                <w:sz w:val="24"/>
              </w:rPr>
              <w:t>32</w:t>
            </w:r>
            <w:r>
              <w:rPr>
                <w:rFonts w:hint="eastAsia" w:ascii="方正黑体简体" w:hAnsi="宋体" w:eastAsia="方正黑体简体"/>
                <w:sz w:val="24"/>
                <w:lang w:val="en-US" w:eastAsia="zh-CN"/>
              </w:rPr>
              <w:t>5.49</w:t>
            </w:r>
          </w:p>
        </w:tc>
      </w:tr>
    </w:tbl>
    <w:p w14:paraId="54A03427">
      <w:pPr>
        <w:pStyle w:val="3"/>
        <w:adjustRightInd w:val="0"/>
        <w:spacing w:before="252" w:beforeLines="50" w:after="252" w:afterLines="50" w:line="720" w:lineRule="exact"/>
        <w:rPr>
          <w:rFonts w:ascii="方正黑体简体" w:hAnsi="Calibri" w:eastAsia="方正黑体简体"/>
          <w:bCs w:val="0"/>
        </w:rPr>
      </w:pPr>
      <w:r>
        <w:rPr>
          <w:rFonts w:hint="eastAsia" w:ascii="方正黑体简体" w:hAnsi="宋体" w:eastAsia="方正黑体简体"/>
          <w:sz w:val="28"/>
          <w:szCs w:val="28"/>
        </w:rPr>
        <w:t xml:space="preserve">  </w:t>
      </w:r>
      <w:bookmarkStart w:id="87" w:name="_Toc420499414"/>
      <w:bookmarkStart w:id="88" w:name="_Toc414632132"/>
      <w:bookmarkStart w:id="89" w:name="_Toc358296562"/>
      <w:r>
        <w:rPr>
          <w:rFonts w:hint="eastAsia" w:ascii="方正黑体简体" w:hAnsi="Calibri" w:eastAsia="方正黑体简体"/>
          <w:bCs w:val="0"/>
        </w:rPr>
        <w:t>三、土地利用</w:t>
      </w:r>
      <w:bookmarkEnd w:id="87"/>
      <w:bookmarkEnd w:id="88"/>
      <w:bookmarkEnd w:id="89"/>
    </w:p>
    <w:p w14:paraId="594AE89D">
      <w:pPr>
        <w:spacing w:before="252" w:beforeLines="50" w:after="252" w:afterLines="50" w:line="720" w:lineRule="exact"/>
        <w:ind w:firstLine="598" w:firstLineChars="200"/>
        <w:rPr>
          <w:rFonts w:ascii="仿宋_GB2312" w:hAnsi="宋体" w:eastAsia="仿宋_GB2312"/>
          <w:b/>
          <w:sz w:val="32"/>
          <w:szCs w:val="32"/>
        </w:rPr>
      </w:pPr>
      <w:bookmarkStart w:id="90" w:name="_Toc358296563"/>
      <w:r>
        <w:rPr>
          <w:rFonts w:hint="eastAsia" w:ascii="仿宋_GB2312" w:hAnsi="宋体" w:eastAsia="仿宋_GB2312"/>
          <w:b/>
          <w:sz w:val="32"/>
          <w:szCs w:val="32"/>
        </w:rPr>
        <w:t>（一）用地布局总体结构</w:t>
      </w:r>
      <w:bookmarkEnd w:id="90"/>
    </w:p>
    <w:p w14:paraId="34FC1FF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总体用地结构上突出沿青衣路和肖坝路形成的肖坝片区的综合功能轴带，由西向东依次形成：游憩--居住--教育--居住--教育等主体功能区。</w:t>
      </w:r>
    </w:p>
    <w:p w14:paraId="14113449">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（二）各类建设用地指标</w:t>
      </w:r>
    </w:p>
    <w:p w14:paraId="377E1E50">
      <w:pPr>
        <w:spacing w:line="66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肖坝片区总用地面积</w:t>
      </w:r>
      <w:r>
        <w:rPr>
          <w:rFonts w:hint="eastAsia" w:ascii="仿宋_GB2312" w:hAnsi="宋体" w:eastAsia="仿宋_GB2312"/>
          <w:sz w:val="32"/>
          <w:szCs w:val="32"/>
          <w:lang w:eastAsia="zh-CN"/>
        </w:rPr>
        <w:t>345.90</w:t>
      </w:r>
      <w:r>
        <w:rPr>
          <w:rFonts w:hint="eastAsia" w:ascii="仿宋_GB2312" w:hAnsi="宋体" w:eastAsia="仿宋_GB2312"/>
          <w:sz w:val="32"/>
          <w:szCs w:val="32"/>
        </w:rPr>
        <w:t>公顷，其中规划城市建设用地32</w:t>
      </w:r>
      <w:r>
        <w:rPr>
          <w:rFonts w:hint="eastAsia" w:ascii="仿宋_GB2312" w:hAnsi="宋体" w:eastAsia="仿宋_GB2312"/>
          <w:sz w:val="32"/>
          <w:szCs w:val="32"/>
          <w:lang w:val="en-US" w:eastAsia="zh-CN"/>
        </w:rPr>
        <w:t>5.49</w:t>
      </w:r>
      <w:r>
        <w:rPr>
          <w:rFonts w:hint="eastAsia" w:ascii="仿宋_GB2312" w:hAnsi="宋体" w:eastAsia="仿宋_GB2312"/>
          <w:sz w:val="32"/>
          <w:szCs w:val="32"/>
        </w:rPr>
        <w:t>公顷，非建设用地20.</w:t>
      </w:r>
      <w:r>
        <w:rPr>
          <w:rFonts w:hint="eastAsia" w:ascii="仿宋_GB2312" w:hAnsi="宋体" w:eastAsia="仿宋_GB2312"/>
          <w:sz w:val="32"/>
          <w:szCs w:val="32"/>
          <w:lang w:val="en-US" w:eastAsia="zh-CN"/>
        </w:rPr>
        <w:t>41</w:t>
      </w:r>
      <w:r>
        <w:rPr>
          <w:rFonts w:hint="eastAsia" w:ascii="仿宋_GB2312" w:hAnsi="宋体" w:eastAsia="仿宋_GB2312"/>
          <w:sz w:val="32"/>
          <w:szCs w:val="32"/>
        </w:rPr>
        <w:t>公顷。</w:t>
      </w:r>
    </w:p>
    <w:p w14:paraId="2986216E">
      <w:pPr>
        <w:spacing w:line="6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在城市建设用地中，规划居住用地107.84公顷，占总建设用地面积的33.</w:t>
      </w:r>
      <w:r>
        <w:rPr>
          <w:rFonts w:hint="eastAsia" w:ascii="仿宋_GB2312" w:hAnsi="宋体" w:eastAsia="仿宋_GB2312"/>
          <w:sz w:val="32"/>
          <w:szCs w:val="32"/>
          <w:lang w:val="en-US" w:eastAsia="zh-CN"/>
        </w:rPr>
        <w:t>13</w:t>
      </w:r>
      <w:r>
        <w:rPr>
          <w:rFonts w:ascii="仿宋_GB2312" w:hAnsi="宋体" w:eastAsia="仿宋_GB2312"/>
          <w:sz w:val="32"/>
          <w:szCs w:val="32"/>
        </w:rPr>
        <w:t>%</w:t>
      </w:r>
      <w:r>
        <w:rPr>
          <w:rFonts w:hint="eastAsia" w:ascii="仿宋_GB2312" w:hAnsi="宋体" w:eastAsia="仿宋_GB2312"/>
          <w:sz w:val="32"/>
          <w:szCs w:val="32"/>
        </w:rPr>
        <w:t>；公共管理与公共服务设施用地</w:t>
      </w:r>
      <w:r>
        <w:rPr>
          <w:rFonts w:hint="eastAsia" w:ascii="仿宋_GB2312" w:hAnsi="宋体" w:eastAsia="仿宋_GB2312"/>
          <w:sz w:val="32"/>
          <w:szCs w:val="32"/>
          <w:lang w:val="en-US" w:eastAsia="zh-CN"/>
        </w:rPr>
        <w:t>121.53</w:t>
      </w:r>
      <w:r>
        <w:rPr>
          <w:rFonts w:hint="eastAsia" w:ascii="仿宋_GB2312" w:hAnsi="宋体" w:eastAsia="仿宋_GB2312"/>
          <w:sz w:val="32"/>
          <w:szCs w:val="32"/>
        </w:rPr>
        <w:t>公顷，占总建设用地面积的3</w:t>
      </w:r>
      <w:r>
        <w:rPr>
          <w:rFonts w:hint="eastAsia" w:ascii="仿宋_GB2312" w:hAnsi="宋体" w:eastAsia="仿宋_GB2312"/>
          <w:sz w:val="32"/>
          <w:szCs w:val="32"/>
          <w:lang w:val="en-US" w:eastAsia="zh-CN"/>
        </w:rPr>
        <w:t>7.34</w:t>
      </w:r>
      <w:r>
        <w:rPr>
          <w:rFonts w:ascii="仿宋_GB2312" w:hAnsi="宋体" w:eastAsia="仿宋_GB2312"/>
          <w:sz w:val="32"/>
          <w:szCs w:val="32"/>
        </w:rPr>
        <w:t>%</w:t>
      </w:r>
      <w:r>
        <w:rPr>
          <w:rFonts w:hint="eastAsia" w:ascii="仿宋_GB2312" w:hAnsi="宋体" w:eastAsia="仿宋_GB2312"/>
          <w:sz w:val="32"/>
          <w:szCs w:val="32"/>
        </w:rPr>
        <w:t>；商业服务业设施用地</w:t>
      </w:r>
      <w:r>
        <w:rPr>
          <w:rFonts w:hint="eastAsia" w:ascii="仿宋_GB2312" w:hAnsi="宋体" w:eastAsia="仿宋_GB2312"/>
          <w:sz w:val="32"/>
          <w:szCs w:val="32"/>
          <w:lang w:val="en-US" w:eastAsia="zh-CN"/>
        </w:rPr>
        <w:t>13.52</w:t>
      </w:r>
      <w:r>
        <w:rPr>
          <w:rFonts w:hint="eastAsia" w:ascii="仿宋_GB2312" w:hAnsi="宋体" w:eastAsia="仿宋_GB2312"/>
          <w:sz w:val="32"/>
          <w:szCs w:val="32"/>
        </w:rPr>
        <w:t>公顷，占总建设用地面积的4.</w:t>
      </w:r>
      <w:r>
        <w:rPr>
          <w:rFonts w:hint="eastAsia" w:ascii="仿宋_GB2312" w:hAnsi="宋体" w:eastAsia="仿宋_GB2312"/>
          <w:sz w:val="32"/>
          <w:szCs w:val="32"/>
          <w:lang w:val="en-US" w:eastAsia="zh-CN"/>
        </w:rPr>
        <w:t>1</w:t>
      </w:r>
      <w:r>
        <w:rPr>
          <w:rFonts w:hint="eastAsia" w:ascii="仿宋_GB2312" w:hAnsi="宋体" w:eastAsia="仿宋_GB2312"/>
          <w:sz w:val="32"/>
          <w:szCs w:val="32"/>
        </w:rPr>
        <w:t>5</w:t>
      </w:r>
      <w:r>
        <w:rPr>
          <w:rFonts w:ascii="仿宋_GB2312" w:hAnsi="宋体" w:eastAsia="仿宋_GB2312"/>
          <w:sz w:val="32"/>
          <w:szCs w:val="32"/>
        </w:rPr>
        <w:t>%</w:t>
      </w:r>
      <w:r>
        <w:rPr>
          <w:rFonts w:hint="eastAsia" w:ascii="仿宋_GB2312" w:hAnsi="宋体" w:eastAsia="仿宋_GB2312"/>
          <w:sz w:val="32"/>
          <w:szCs w:val="32"/>
        </w:rPr>
        <w:t>；交通设施用地</w:t>
      </w:r>
      <w:r>
        <w:rPr>
          <w:rFonts w:hint="eastAsia" w:ascii="仿宋_GB2312" w:hAnsi="宋体" w:eastAsia="仿宋_GB2312"/>
          <w:sz w:val="32"/>
          <w:szCs w:val="32"/>
          <w:lang w:val="en-US" w:eastAsia="zh-CN"/>
        </w:rPr>
        <w:t>50.54</w:t>
      </w:r>
      <w:r>
        <w:rPr>
          <w:rFonts w:hint="eastAsia" w:ascii="仿宋_GB2312" w:hAnsi="宋体" w:eastAsia="仿宋_GB2312"/>
          <w:sz w:val="32"/>
          <w:szCs w:val="32"/>
        </w:rPr>
        <w:t>公顷，占总建设用地面积的15.</w:t>
      </w:r>
      <w:r>
        <w:rPr>
          <w:rFonts w:hint="eastAsia" w:ascii="仿宋_GB2312" w:hAnsi="宋体" w:eastAsia="仿宋_GB2312"/>
          <w:sz w:val="32"/>
          <w:szCs w:val="32"/>
          <w:lang w:val="en-US" w:eastAsia="zh-CN"/>
        </w:rPr>
        <w:t>53</w:t>
      </w:r>
      <w:r>
        <w:rPr>
          <w:rFonts w:hint="eastAsia" w:ascii="仿宋_GB2312" w:hAnsi="宋体" w:eastAsia="仿宋_GB2312"/>
          <w:sz w:val="32"/>
          <w:szCs w:val="32"/>
        </w:rPr>
        <w:t>％；公用设施用地</w:t>
      </w:r>
      <w:r>
        <w:rPr>
          <w:rFonts w:hint="eastAsia" w:ascii="仿宋_GB2312" w:hAnsi="宋体" w:eastAsia="仿宋_GB2312"/>
          <w:sz w:val="32"/>
          <w:szCs w:val="32"/>
          <w:lang w:val="en-US" w:eastAsia="zh-CN"/>
        </w:rPr>
        <w:t>1.58</w:t>
      </w:r>
      <w:r>
        <w:rPr>
          <w:rFonts w:hint="eastAsia" w:ascii="仿宋_GB2312" w:hAnsi="宋体" w:eastAsia="仿宋_GB2312"/>
          <w:sz w:val="32"/>
          <w:szCs w:val="32"/>
        </w:rPr>
        <w:t>公顷，占总建设用地的0.</w:t>
      </w:r>
      <w:r>
        <w:rPr>
          <w:rFonts w:hint="eastAsia" w:ascii="仿宋_GB2312" w:hAnsi="宋体" w:eastAsia="仿宋_GB2312"/>
          <w:sz w:val="32"/>
          <w:szCs w:val="32"/>
          <w:lang w:val="en-US" w:eastAsia="zh-CN"/>
        </w:rPr>
        <w:t>49</w:t>
      </w:r>
      <w:r>
        <w:rPr>
          <w:rFonts w:ascii="仿宋_GB2312" w:hAnsi="宋体" w:eastAsia="仿宋_GB2312"/>
          <w:sz w:val="32"/>
          <w:szCs w:val="32"/>
        </w:rPr>
        <w:t>%</w:t>
      </w:r>
      <w:r>
        <w:rPr>
          <w:rFonts w:hint="eastAsia" w:ascii="仿宋_GB2312" w:hAnsi="宋体" w:eastAsia="仿宋_GB2312"/>
          <w:sz w:val="32"/>
          <w:szCs w:val="32"/>
        </w:rPr>
        <w:t>；绿地与广场用地</w:t>
      </w:r>
      <w:r>
        <w:rPr>
          <w:rFonts w:hint="eastAsia" w:ascii="仿宋_GB2312" w:hAnsi="宋体" w:eastAsia="仿宋_GB2312"/>
          <w:sz w:val="32"/>
          <w:szCs w:val="32"/>
          <w:lang w:val="en-US" w:eastAsia="zh-CN"/>
        </w:rPr>
        <w:t>29.44</w:t>
      </w:r>
      <w:r>
        <w:rPr>
          <w:rFonts w:hint="eastAsia" w:ascii="仿宋_GB2312" w:hAnsi="宋体" w:eastAsia="仿宋_GB2312"/>
          <w:sz w:val="32"/>
          <w:szCs w:val="32"/>
        </w:rPr>
        <w:t>公顷，占总建设用地的</w:t>
      </w:r>
      <w:r>
        <w:rPr>
          <w:rFonts w:hint="eastAsia" w:ascii="仿宋_GB2312" w:hAnsi="宋体" w:eastAsia="仿宋_GB2312"/>
          <w:sz w:val="32"/>
          <w:szCs w:val="32"/>
          <w:lang w:val="en-US" w:eastAsia="zh-CN"/>
        </w:rPr>
        <w:t>9.04</w:t>
      </w:r>
      <w:r>
        <w:rPr>
          <w:rFonts w:ascii="仿宋_GB2312" w:hAnsi="宋体" w:eastAsia="仿宋_GB2312"/>
          <w:sz w:val="32"/>
          <w:szCs w:val="32"/>
        </w:rPr>
        <w:t>%</w:t>
      </w:r>
      <w:r>
        <w:rPr>
          <w:rFonts w:hint="eastAsia" w:ascii="仿宋_GB2312" w:hAnsi="宋体" w:eastAsia="仿宋_GB2312"/>
          <w:sz w:val="32"/>
          <w:szCs w:val="32"/>
        </w:rPr>
        <w:t>，弹性留白用地1.</w:t>
      </w:r>
      <w:r>
        <w:rPr>
          <w:rFonts w:hint="eastAsia" w:ascii="仿宋_GB2312" w:hAnsi="宋体" w:eastAsia="仿宋_GB2312"/>
          <w:sz w:val="32"/>
          <w:szCs w:val="32"/>
          <w:lang w:val="en-US" w:eastAsia="zh-CN"/>
        </w:rPr>
        <w:t>04</w:t>
      </w:r>
      <w:r>
        <w:rPr>
          <w:rFonts w:hint="eastAsia" w:ascii="仿宋_GB2312" w:hAnsi="宋体" w:eastAsia="仿宋_GB2312"/>
          <w:sz w:val="32"/>
          <w:szCs w:val="32"/>
        </w:rPr>
        <w:t>公顷，占总建设用地的0.3</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p>
    <w:p w14:paraId="13B7C0F6">
      <w:pPr>
        <w:spacing w:line="660" w:lineRule="exact"/>
        <w:ind w:firstLine="598" w:firstLineChars="200"/>
        <w:rPr>
          <w:rFonts w:hint="eastAsia" w:ascii="仿宋_GB2312" w:hAnsi="宋体" w:eastAsia="仿宋_GB2312"/>
          <w:sz w:val="32"/>
          <w:szCs w:val="32"/>
        </w:rPr>
      </w:pPr>
    </w:p>
    <w:p w14:paraId="3687D285">
      <w:pPr>
        <w:spacing w:line="720" w:lineRule="exact"/>
        <w:jc w:val="center"/>
        <w:rPr>
          <w:rFonts w:ascii="方正黑体简体" w:hAnsi="宋体" w:eastAsia="方正黑体简体"/>
          <w:b/>
          <w:sz w:val="30"/>
          <w:szCs w:val="30"/>
          <w:lang w:val="zh-CN"/>
        </w:rPr>
      </w:pPr>
      <w:r>
        <w:rPr>
          <w:rFonts w:hint="eastAsia" w:ascii="方正黑体简体" w:hAnsi="宋体" w:eastAsia="方正黑体简体"/>
          <w:b/>
          <w:sz w:val="30"/>
          <w:szCs w:val="30"/>
          <w:lang w:val="zh-CN"/>
        </w:rPr>
        <w:t>城乡用地分类规划汇总表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3778"/>
        <w:gridCol w:w="2653"/>
        <w:gridCol w:w="2648"/>
      </w:tblGrid>
      <w:tr w14:paraId="7D4D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noWrap w:val="0"/>
            <w:vAlign w:val="center"/>
          </w:tcPr>
          <w:p w14:paraId="489D8E37">
            <w:pPr>
              <w:jc w:val="center"/>
              <w:rPr>
                <w:rFonts w:ascii="方正黑体简体" w:hAnsi="宋体" w:eastAsia="方正黑体简体"/>
                <w:b/>
                <w:sz w:val="24"/>
              </w:rPr>
            </w:pPr>
            <w:bookmarkStart w:id="91" w:name="_Toc328050200"/>
            <w:r>
              <w:rPr>
                <w:rFonts w:hint="eastAsia" w:ascii="方正黑体简体" w:hAnsi="宋体" w:eastAsia="方正黑体简体"/>
                <w:b/>
                <w:sz w:val="24"/>
              </w:rPr>
              <w:t>代码</w:t>
            </w:r>
            <w:bookmarkEnd w:id="91"/>
          </w:p>
        </w:tc>
        <w:tc>
          <w:tcPr>
            <w:tcW w:w="3778" w:type="dxa"/>
            <w:noWrap w:val="0"/>
            <w:vAlign w:val="center"/>
          </w:tcPr>
          <w:p w14:paraId="19A121E4">
            <w:pPr>
              <w:jc w:val="center"/>
              <w:rPr>
                <w:rFonts w:ascii="方正黑体简体" w:hAnsi="宋体" w:eastAsia="方正黑体简体"/>
                <w:b/>
                <w:sz w:val="24"/>
              </w:rPr>
            </w:pPr>
            <w:bookmarkStart w:id="92" w:name="_Toc328050201"/>
            <w:r>
              <w:rPr>
                <w:rFonts w:hint="eastAsia" w:ascii="方正黑体简体" w:hAnsi="宋体" w:eastAsia="方正黑体简体"/>
                <w:b/>
                <w:sz w:val="24"/>
              </w:rPr>
              <w:t>用地类别</w:t>
            </w:r>
            <w:bookmarkEnd w:id="92"/>
          </w:p>
        </w:tc>
        <w:tc>
          <w:tcPr>
            <w:tcW w:w="2653" w:type="dxa"/>
            <w:noWrap w:val="0"/>
            <w:vAlign w:val="center"/>
          </w:tcPr>
          <w:p w14:paraId="6E655970">
            <w:pPr>
              <w:jc w:val="center"/>
              <w:rPr>
                <w:rFonts w:ascii="方正黑体简体" w:hAnsi="宋体" w:eastAsia="方正黑体简体"/>
                <w:b/>
                <w:sz w:val="24"/>
              </w:rPr>
            </w:pPr>
            <w:bookmarkStart w:id="93" w:name="_Toc328050202"/>
            <w:r>
              <w:rPr>
                <w:rFonts w:hint="eastAsia" w:ascii="方正黑体简体" w:hAnsi="宋体" w:eastAsia="方正黑体简体"/>
                <w:b/>
                <w:sz w:val="24"/>
              </w:rPr>
              <w:t>现状面积（</w:t>
            </w:r>
            <w:r>
              <w:rPr>
                <w:rFonts w:ascii="方正黑体简体" w:hAnsi="宋体" w:eastAsia="方正黑体简体"/>
                <w:b/>
                <w:sz w:val="24"/>
              </w:rPr>
              <w:t>ha</w:t>
            </w:r>
            <w:r>
              <w:rPr>
                <w:rFonts w:hint="eastAsia" w:ascii="方正黑体简体" w:hAnsi="宋体" w:eastAsia="方正黑体简体"/>
                <w:b/>
                <w:sz w:val="24"/>
              </w:rPr>
              <w:t>）</w:t>
            </w:r>
            <w:bookmarkEnd w:id="93"/>
          </w:p>
        </w:tc>
        <w:tc>
          <w:tcPr>
            <w:tcW w:w="2648" w:type="dxa"/>
            <w:noWrap w:val="0"/>
            <w:vAlign w:val="center"/>
          </w:tcPr>
          <w:p w14:paraId="2B13412E">
            <w:pPr>
              <w:jc w:val="center"/>
              <w:rPr>
                <w:rFonts w:ascii="方正黑体简体" w:hAnsi="宋体" w:eastAsia="方正黑体简体"/>
                <w:b/>
                <w:sz w:val="24"/>
              </w:rPr>
            </w:pPr>
            <w:bookmarkStart w:id="94" w:name="_Toc328050203"/>
            <w:r>
              <w:rPr>
                <w:rFonts w:hint="eastAsia" w:ascii="方正黑体简体" w:hAnsi="宋体" w:eastAsia="方正黑体简体"/>
                <w:b/>
                <w:sz w:val="24"/>
              </w:rPr>
              <w:t>规划面积（</w:t>
            </w:r>
            <w:r>
              <w:rPr>
                <w:rFonts w:ascii="方正黑体简体" w:hAnsi="宋体" w:eastAsia="方正黑体简体"/>
                <w:b/>
                <w:sz w:val="24"/>
              </w:rPr>
              <w:t>ha</w:t>
            </w:r>
            <w:r>
              <w:rPr>
                <w:rFonts w:hint="eastAsia" w:ascii="方正黑体简体" w:hAnsi="宋体" w:eastAsia="方正黑体简体"/>
                <w:b/>
                <w:sz w:val="24"/>
              </w:rPr>
              <w:t>）</w:t>
            </w:r>
            <w:bookmarkEnd w:id="94"/>
          </w:p>
        </w:tc>
      </w:tr>
      <w:tr w14:paraId="2C81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7" w:type="dxa"/>
            <w:noWrap w:val="0"/>
            <w:vAlign w:val="center"/>
          </w:tcPr>
          <w:p w14:paraId="1F156E32">
            <w:pPr>
              <w:jc w:val="center"/>
              <w:rPr>
                <w:rFonts w:ascii="方正黑体简体" w:hAnsi="宋体" w:eastAsia="方正黑体简体"/>
                <w:sz w:val="24"/>
              </w:rPr>
            </w:pPr>
            <w:r>
              <w:rPr>
                <w:rFonts w:ascii="方正黑体简体" w:hAnsi="宋体" w:eastAsia="方正黑体简体"/>
                <w:sz w:val="24"/>
              </w:rPr>
              <w:t>H</w:t>
            </w:r>
          </w:p>
        </w:tc>
        <w:tc>
          <w:tcPr>
            <w:tcW w:w="3778" w:type="dxa"/>
            <w:noWrap w:val="0"/>
            <w:vAlign w:val="center"/>
          </w:tcPr>
          <w:p w14:paraId="7CBD9DC2">
            <w:pPr>
              <w:jc w:val="center"/>
              <w:rPr>
                <w:rFonts w:ascii="方正黑体简体" w:hAnsi="宋体" w:eastAsia="方正黑体简体"/>
                <w:sz w:val="24"/>
              </w:rPr>
            </w:pPr>
            <w:r>
              <w:rPr>
                <w:rFonts w:hint="eastAsia" w:ascii="方正黑体简体" w:hAnsi="宋体" w:eastAsia="方正黑体简体"/>
                <w:sz w:val="24"/>
              </w:rPr>
              <w:t>建设用地</w:t>
            </w:r>
          </w:p>
        </w:tc>
        <w:tc>
          <w:tcPr>
            <w:tcW w:w="2653" w:type="dxa"/>
            <w:noWrap w:val="0"/>
            <w:vAlign w:val="center"/>
          </w:tcPr>
          <w:p w14:paraId="2EAEA8CA">
            <w:pPr>
              <w:jc w:val="center"/>
              <w:rPr>
                <w:rFonts w:ascii="方正黑体简体" w:hAnsi="宋体" w:eastAsia="方正黑体简体"/>
                <w:sz w:val="24"/>
              </w:rPr>
            </w:pPr>
            <w:r>
              <w:rPr>
                <w:rFonts w:hint="eastAsia" w:ascii="方正黑体简体" w:hAnsi="宋体" w:eastAsia="方正黑体简体"/>
                <w:sz w:val="24"/>
              </w:rPr>
              <w:t>331.51</w:t>
            </w:r>
          </w:p>
        </w:tc>
        <w:tc>
          <w:tcPr>
            <w:tcW w:w="2648" w:type="dxa"/>
            <w:noWrap w:val="0"/>
            <w:vAlign w:val="center"/>
          </w:tcPr>
          <w:p w14:paraId="3F9CA005">
            <w:pPr>
              <w:jc w:val="center"/>
              <w:rPr>
                <w:rFonts w:hint="default" w:ascii="方正黑体简体" w:hAnsi="宋体" w:eastAsia="方正黑体简体"/>
                <w:sz w:val="24"/>
                <w:lang w:val="en-US" w:eastAsia="zh-CN"/>
              </w:rPr>
            </w:pPr>
            <w:r>
              <w:rPr>
                <w:rFonts w:hint="eastAsia" w:ascii="方正黑体简体" w:hAnsi="宋体" w:eastAsia="方正黑体简体"/>
                <w:sz w:val="24"/>
              </w:rPr>
              <w:t>32</w:t>
            </w:r>
            <w:r>
              <w:rPr>
                <w:rFonts w:hint="eastAsia" w:ascii="方正黑体简体" w:hAnsi="宋体" w:eastAsia="方正黑体简体"/>
                <w:sz w:val="24"/>
                <w:lang w:val="en-US" w:eastAsia="zh-CN"/>
              </w:rPr>
              <w:t>5.49</w:t>
            </w:r>
          </w:p>
        </w:tc>
      </w:tr>
      <w:tr w14:paraId="5F1C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397" w:type="dxa"/>
            <w:noWrap w:val="0"/>
            <w:vAlign w:val="center"/>
          </w:tcPr>
          <w:p w14:paraId="2724FA56">
            <w:pPr>
              <w:jc w:val="center"/>
              <w:rPr>
                <w:rFonts w:ascii="方正黑体简体" w:hAnsi="宋体" w:eastAsia="方正黑体简体"/>
                <w:sz w:val="24"/>
              </w:rPr>
            </w:pPr>
            <w:r>
              <w:rPr>
                <w:rFonts w:ascii="方正黑体简体" w:hAnsi="宋体" w:eastAsia="方正黑体简体"/>
                <w:sz w:val="24"/>
              </w:rPr>
              <w:t>E</w:t>
            </w:r>
          </w:p>
        </w:tc>
        <w:tc>
          <w:tcPr>
            <w:tcW w:w="3778" w:type="dxa"/>
            <w:noWrap w:val="0"/>
            <w:vAlign w:val="center"/>
          </w:tcPr>
          <w:p w14:paraId="67C82F23">
            <w:pPr>
              <w:jc w:val="center"/>
              <w:rPr>
                <w:rFonts w:ascii="方正黑体简体" w:hAnsi="宋体" w:eastAsia="方正黑体简体"/>
                <w:sz w:val="24"/>
              </w:rPr>
            </w:pPr>
            <w:r>
              <w:rPr>
                <w:rFonts w:hint="eastAsia" w:ascii="方正黑体简体" w:hAnsi="宋体" w:eastAsia="方正黑体简体"/>
                <w:sz w:val="24"/>
              </w:rPr>
              <w:t>非建设用地</w:t>
            </w:r>
          </w:p>
        </w:tc>
        <w:tc>
          <w:tcPr>
            <w:tcW w:w="2653" w:type="dxa"/>
            <w:noWrap w:val="0"/>
            <w:vAlign w:val="center"/>
          </w:tcPr>
          <w:p w14:paraId="470925D1">
            <w:pPr>
              <w:jc w:val="center"/>
              <w:rPr>
                <w:rFonts w:ascii="方正黑体简体" w:hAnsi="宋体" w:eastAsia="方正黑体简体"/>
                <w:sz w:val="24"/>
              </w:rPr>
            </w:pPr>
            <w:r>
              <w:rPr>
                <w:rFonts w:hint="eastAsia" w:ascii="方正黑体简体" w:hAnsi="宋体" w:eastAsia="方正黑体简体"/>
                <w:sz w:val="24"/>
              </w:rPr>
              <w:t>107.17</w:t>
            </w:r>
          </w:p>
        </w:tc>
        <w:tc>
          <w:tcPr>
            <w:tcW w:w="2648" w:type="dxa"/>
            <w:noWrap w:val="0"/>
            <w:vAlign w:val="center"/>
          </w:tcPr>
          <w:p w14:paraId="1521055C">
            <w:pPr>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20.41</w:t>
            </w:r>
          </w:p>
        </w:tc>
      </w:tr>
      <w:tr w14:paraId="0077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75" w:type="dxa"/>
            <w:gridSpan w:val="2"/>
            <w:noWrap w:val="0"/>
            <w:vAlign w:val="center"/>
          </w:tcPr>
          <w:p w14:paraId="0D873532">
            <w:pPr>
              <w:jc w:val="center"/>
              <w:rPr>
                <w:rFonts w:ascii="方正黑体简体" w:hAnsi="宋体" w:eastAsia="方正黑体简体"/>
                <w:sz w:val="24"/>
              </w:rPr>
            </w:pPr>
            <w:r>
              <w:rPr>
                <w:rFonts w:hint="eastAsia" w:ascii="方正黑体简体" w:hAnsi="宋体" w:eastAsia="方正黑体简体"/>
                <w:sz w:val="24"/>
              </w:rPr>
              <w:t>规划范围用地</w:t>
            </w:r>
          </w:p>
        </w:tc>
        <w:tc>
          <w:tcPr>
            <w:tcW w:w="2653" w:type="dxa"/>
            <w:noWrap w:val="0"/>
            <w:vAlign w:val="center"/>
          </w:tcPr>
          <w:p w14:paraId="28866BFC">
            <w:pPr>
              <w:jc w:val="center"/>
              <w:rPr>
                <w:rFonts w:hint="default" w:ascii="方正黑体简体" w:hAnsi="宋体" w:eastAsia="方正黑体简体"/>
                <w:sz w:val="24"/>
                <w:lang w:val="en-US" w:eastAsia="zh-CN"/>
              </w:rPr>
            </w:pPr>
            <w:r>
              <w:rPr>
                <w:rFonts w:hint="eastAsia" w:ascii="方正黑体简体" w:hAnsi="宋体" w:eastAsia="方正黑体简体"/>
                <w:sz w:val="24"/>
                <w:lang w:val="en-US" w:eastAsia="zh-CN"/>
              </w:rPr>
              <w:t>438.68</w:t>
            </w:r>
          </w:p>
        </w:tc>
        <w:tc>
          <w:tcPr>
            <w:tcW w:w="2648" w:type="dxa"/>
            <w:noWrap w:val="0"/>
            <w:vAlign w:val="center"/>
          </w:tcPr>
          <w:p w14:paraId="4C54E5FA">
            <w:pPr>
              <w:jc w:val="center"/>
              <w:rPr>
                <w:rFonts w:hint="eastAsia" w:ascii="方正黑体简体" w:hAnsi="宋体" w:eastAsia="方正黑体简体"/>
                <w:sz w:val="24"/>
                <w:lang w:eastAsia="zh-CN"/>
              </w:rPr>
            </w:pPr>
            <w:r>
              <w:rPr>
                <w:rFonts w:hint="eastAsia" w:ascii="方正黑体简体" w:hAnsi="宋体" w:eastAsia="方正黑体简体"/>
                <w:sz w:val="24"/>
                <w:lang w:eastAsia="zh-CN"/>
              </w:rPr>
              <w:t>345.90</w:t>
            </w:r>
          </w:p>
        </w:tc>
      </w:tr>
    </w:tbl>
    <w:p w14:paraId="3580CC7E">
      <w:pPr>
        <w:spacing w:line="720" w:lineRule="exact"/>
        <w:jc w:val="center"/>
        <w:rPr>
          <w:rFonts w:ascii="方正黑体简体" w:hAnsi="宋体" w:eastAsia="方正黑体简体"/>
          <w:b/>
          <w:sz w:val="30"/>
          <w:szCs w:val="30"/>
          <w:lang w:val="zh-CN"/>
        </w:rPr>
      </w:pPr>
      <w:r>
        <w:rPr>
          <w:rFonts w:hint="eastAsia" w:ascii="方正黑体简体" w:hAnsi="宋体" w:eastAsia="方正黑体简体"/>
          <w:b/>
          <w:sz w:val="30"/>
          <w:szCs w:val="30"/>
          <w:lang w:val="zh-CN"/>
        </w:rPr>
        <w:t>城市建设用地汇总表</w:t>
      </w:r>
    </w:p>
    <w:tbl>
      <w:tblPr>
        <w:tblStyle w:val="32"/>
        <w:tblW w:w="10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446"/>
        <w:gridCol w:w="425"/>
        <w:gridCol w:w="3824"/>
        <w:gridCol w:w="1754"/>
        <w:gridCol w:w="2066"/>
        <w:gridCol w:w="1437"/>
      </w:tblGrid>
      <w:tr w14:paraId="0B21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4" w:type="dxa"/>
            <w:noWrap w:val="0"/>
            <w:vAlign w:val="center"/>
          </w:tcPr>
          <w:p w14:paraId="5ECD6900">
            <w:pPr>
              <w:spacing w:line="380" w:lineRule="exact"/>
              <w:jc w:val="center"/>
              <w:rPr>
                <w:rFonts w:ascii="方正黑体简体" w:hAnsi="宋体" w:eastAsia="方正黑体简体"/>
                <w:b/>
                <w:szCs w:val="21"/>
              </w:rPr>
            </w:pPr>
            <w:bookmarkStart w:id="95" w:name="_Toc328050204"/>
            <w:bookmarkStart w:id="96" w:name="_Toc414632133"/>
            <w:bookmarkStart w:id="97" w:name="_Toc420499415"/>
            <w:bookmarkStart w:id="98" w:name="_Toc358296564"/>
            <w:r>
              <w:rPr>
                <w:rFonts w:hint="eastAsia" w:ascii="方正黑体简体" w:hAnsi="宋体" w:eastAsia="方正黑体简体"/>
                <w:b/>
                <w:szCs w:val="21"/>
              </w:rPr>
              <w:t>序</w:t>
            </w:r>
            <w:bookmarkEnd w:id="95"/>
          </w:p>
          <w:p w14:paraId="7716231B">
            <w:pPr>
              <w:spacing w:line="380" w:lineRule="exact"/>
              <w:jc w:val="center"/>
              <w:rPr>
                <w:rFonts w:ascii="方正黑体简体" w:hAnsi="宋体" w:eastAsia="方正黑体简体"/>
                <w:b/>
                <w:szCs w:val="21"/>
              </w:rPr>
            </w:pPr>
            <w:bookmarkStart w:id="99" w:name="_Toc328050205"/>
            <w:r>
              <w:rPr>
                <w:rFonts w:hint="eastAsia" w:ascii="方正黑体简体" w:hAnsi="宋体" w:eastAsia="方正黑体简体"/>
                <w:b/>
                <w:szCs w:val="21"/>
              </w:rPr>
              <w:t>号</w:t>
            </w:r>
            <w:bookmarkEnd w:id="99"/>
          </w:p>
        </w:tc>
        <w:tc>
          <w:tcPr>
            <w:tcW w:w="446" w:type="dxa"/>
            <w:noWrap w:val="0"/>
            <w:vAlign w:val="center"/>
          </w:tcPr>
          <w:p w14:paraId="0F47FD90">
            <w:pPr>
              <w:spacing w:line="380" w:lineRule="exact"/>
              <w:jc w:val="center"/>
              <w:rPr>
                <w:rFonts w:ascii="方正黑体简体" w:hAnsi="宋体" w:eastAsia="方正黑体简体"/>
                <w:b/>
                <w:szCs w:val="21"/>
              </w:rPr>
            </w:pPr>
            <w:bookmarkStart w:id="100" w:name="_Toc328050206"/>
            <w:r>
              <w:rPr>
                <w:rFonts w:hint="eastAsia" w:ascii="方正黑体简体" w:hAnsi="宋体" w:eastAsia="方正黑体简体"/>
                <w:b/>
                <w:szCs w:val="21"/>
              </w:rPr>
              <w:t>代</w:t>
            </w:r>
            <w:bookmarkEnd w:id="100"/>
          </w:p>
          <w:p w14:paraId="41806F2E">
            <w:pPr>
              <w:spacing w:line="380" w:lineRule="exact"/>
              <w:jc w:val="center"/>
              <w:rPr>
                <w:rFonts w:ascii="方正黑体简体" w:hAnsi="宋体" w:eastAsia="方正黑体简体"/>
                <w:b/>
                <w:szCs w:val="21"/>
              </w:rPr>
            </w:pPr>
            <w:bookmarkStart w:id="101" w:name="_Toc328050207"/>
            <w:r>
              <w:rPr>
                <w:rFonts w:hint="eastAsia" w:ascii="方正黑体简体" w:hAnsi="宋体" w:eastAsia="方正黑体简体"/>
                <w:b/>
                <w:szCs w:val="21"/>
              </w:rPr>
              <w:t>号</w:t>
            </w:r>
            <w:bookmarkEnd w:id="101"/>
          </w:p>
        </w:tc>
        <w:tc>
          <w:tcPr>
            <w:tcW w:w="4249" w:type="dxa"/>
            <w:gridSpan w:val="2"/>
            <w:noWrap w:val="0"/>
            <w:vAlign w:val="center"/>
          </w:tcPr>
          <w:p w14:paraId="2F22124A">
            <w:pPr>
              <w:spacing w:line="380" w:lineRule="exact"/>
              <w:jc w:val="center"/>
              <w:rPr>
                <w:rFonts w:ascii="方正黑体简体" w:hAnsi="宋体" w:eastAsia="方正黑体简体"/>
                <w:b/>
                <w:szCs w:val="21"/>
              </w:rPr>
            </w:pPr>
            <w:bookmarkStart w:id="102" w:name="_Toc328050208"/>
            <w:r>
              <w:rPr>
                <w:rFonts w:hint="eastAsia" w:ascii="方正黑体简体" w:hAnsi="宋体" w:eastAsia="方正黑体简体"/>
                <w:b/>
                <w:szCs w:val="21"/>
              </w:rPr>
              <w:t>用  地  名  称</w:t>
            </w:r>
            <w:bookmarkEnd w:id="102"/>
          </w:p>
        </w:tc>
        <w:tc>
          <w:tcPr>
            <w:tcW w:w="1754" w:type="dxa"/>
            <w:noWrap w:val="0"/>
            <w:vAlign w:val="center"/>
          </w:tcPr>
          <w:p w14:paraId="03108F47">
            <w:pPr>
              <w:spacing w:line="380" w:lineRule="exact"/>
              <w:jc w:val="center"/>
              <w:rPr>
                <w:rFonts w:ascii="方正黑体简体" w:hAnsi="宋体" w:eastAsia="方正黑体简体"/>
                <w:b/>
                <w:szCs w:val="21"/>
              </w:rPr>
            </w:pPr>
            <w:bookmarkStart w:id="103" w:name="_Toc328050209"/>
            <w:r>
              <w:rPr>
                <w:rFonts w:hint="eastAsia" w:ascii="方正黑体简体" w:hAnsi="宋体" w:eastAsia="方正黑体简体"/>
                <w:b/>
                <w:szCs w:val="21"/>
              </w:rPr>
              <w:t>面 积</w:t>
            </w:r>
            <w:bookmarkEnd w:id="103"/>
          </w:p>
          <w:p w14:paraId="2745FDE7">
            <w:pPr>
              <w:spacing w:line="380" w:lineRule="exact"/>
              <w:jc w:val="center"/>
              <w:rPr>
                <w:rFonts w:ascii="方正黑体简体" w:hAnsi="宋体" w:eastAsia="方正黑体简体"/>
                <w:b/>
                <w:szCs w:val="21"/>
              </w:rPr>
            </w:pPr>
            <w:bookmarkStart w:id="104" w:name="_Toc328050210"/>
            <w:r>
              <w:rPr>
                <w:rFonts w:hint="eastAsia" w:ascii="方正黑体简体" w:hAnsi="宋体" w:eastAsia="方正黑体简体"/>
                <w:b/>
                <w:szCs w:val="21"/>
              </w:rPr>
              <w:t>(h㎡)</w:t>
            </w:r>
            <w:bookmarkEnd w:id="104"/>
          </w:p>
        </w:tc>
        <w:tc>
          <w:tcPr>
            <w:tcW w:w="2066" w:type="dxa"/>
            <w:noWrap w:val="0"/>
            <w:vAlign w:val="center"/>
          </w:tcPr>
          <w:p w14:paraId="3D810145">
            <w:pPr>
              <w:spacing w:line="380" w:lineRule="exact"/>
              <w:jc w:val="center"/>
              <w:rPr>
                <w:rFonts w:ascii="方正黑体简体" w:hAnsi="宋体" w:eastAsia="方正黑体简体"/>
                <w:b/>
                <w:szCs w:val="21"/>
              </w:rPr>
            </w:pPr>
            <w:bookmarkStart w:id="105" w:name="_Toc328050211"/>
            <w:r>
              <w:rPr>
                <w:rFonts w:hint="eastAsia" w:ascii="方正黑体简体" w:hAnsi="宋体" w:eastAsia="方正黑体简体"/>
                <w:b/>
                <w:szCs w:val="21"/>
              </w:rPr>
              <w:t>占城市建设用地比例（%）</w:t>
            </w:r>
            <w:bookmarkEnd w:id="105"/>
          </w:p>
        </w:tc>
        <w:tc>
          <w:tcPr>
            <w:tcW w:w="1437" w:type="dxa"/>
            <w:noWrap w:val="0"/>
            <w:vAlign w:val="center"/>
          </w:tcPr>
          <w:p w14:paraId="0A53F508">
            <w:pPr>
              <w:spacing w:line="380" w:lineRule="exact"/>
              <w:jc w:val="center"/>
              <w:rPr>
                <w:rFonts w:ascii="方正黑体简体" w:hAnsi="宋体" w:eastAsia="方正黑体简体"/>
                <w:b/>
                <w:szCs w:val="21"/>
              </w:rPr>
            </w:pPr>
            <w:bookmarkStart w:id="106" w:name="_Toc328050212"/>
            <w:r>
              <w:rPr>
                <w:rFonts w:hint="eastAsia" w:ascii="方正黑体简体" w:hAnsi="宋体" w:eastAsia="方正黑体简体"/>
                <w:b/>
                <w:szCs w:val="21"/>
              </w:rPr>
              <w:t>备注</w:t>
            </w:r>
            <w:bookmarkEnd w:id="106"/>
          </w:p>
        </w:tc>
      </w:tr>
      <w:tr w14:paraId="5185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trPr>
        <w:tc>
          <w:tcPr>
            <w:tcW w:w="524" w:type="dxa"/>
            <w:noWrap w:val="0"/>
            <w:vAlign w:val="center"/>
          </w:tcPr>
          <w:p w14:paraId="2D3E5698">
            <w:pPr>
              <w:spacing w:line="320" w:lineRule="exact"/>
              <w:jc w:val="center"/>
              <w:rPr>
                <w:rFonts w:ascii="方正黑体简体" w:hAnsi="宋体" w:eastAsia="方正黑体简体"/>
                <w:szCs w:val="21"/>
              </w:rPr>
            </w:pPr>
            <w:bookmarkStart w:id="107" w:name="_Toc328050213"/>
            <w:r>
              <w:rPr>
                <w:rFonts w:hint="eastAsia" w:ascii="方正黑体简体" w:hAnsi="宋体" w:eastAsia="方正黑体简体"/>
                <w:szCs w:val="21"/>
              </w:rPr>
              <w:t>1</w:t>
            </w:r>
            <w:bookmarkEnd w:id="107"/>
          </w:p>
        </w:tc>
        <w:tc>
          <w:tcPr>
            <w:tcW w:w="446" w:type="dxa"/>
            <w:noWrap w:val="0"/>
            <w:vAlign w:val="center"/>
          </w:tcPr>
          <w:p w14:paraId="3F6AC73A">
            <w:pPr>
              <w:spacing w:line="320" w:lineRule="exact"/>
              <w:jc w:val="center"/>
              <w:rPr>
                <w:rFonts w:ascii="方正黑体简体" w:hAnsi="宋体" w:eastAsia="方正黑体简体"/>
                <w:szCs w:val="21"/>
              </w:rPr>
            </w:pPr>
            <w:bookmarkStart w:id="108" w:name="_Toc328050214"/>
            <w:r>
              <w:rPr>
                <w:rFonts w:hint="eastAsia" w:ascii="方正黑体简体" w:hAnsi="宋体" w:eastAsia="方正黑体简体"/>
                <w:szCs w:val="21"/>
              </w:rPr>
              <w:t>R</w:t>
            </w:r>
            <w:bookmarkEnd w:id="108"/>
          </w:p>
        </w:tc>
        <w:tc>
          <w:tcPr>
            <w:tcW w:w="4249" w:type="dxa"/>
            <w:gridSpan w:val="2"/>
            <w:noWrap w:val="0"/>
            <w:vAlign w:val="center"/>
          </w:tcPr>
          <w:p w14:paraId="09ADF31A">
            <w:pPr>
              <w:spacing w:line="320" w:lineRule="exact"/>
              <w:ind w:firstLine="315"/>
              <w:jc w:val="center"/>
              <w:rPr>
                <w:rFonts w:ascii="方正黑体简体" w:hAnsi="宋体" w:eastAsia="方正黑体简体"/>
                <w:szCs w:val="21"/>
              </w:rPr>
            </w:pPr>
            <w:bookmarkStart w:id="109" w:name="_Toc328050215"/>
            <w:r>
              <w:rPr>
                <w:rFonts w:hint="eastAsia" w:ascii="方正黑体简体" w:hAnsi="宋体" w:eastAsia="方正黑体简体"/>
                <w:szCs w:val="21"/>
              </w:rPr>
              <w:t>二类居住用地(R</w:t>
            </w:r>
            <w:r>
              <w:rPr>
                <w:rFonts w:hint="eastAsia" w:ascii="方正黑体简体" w:hAnsi="宋体" w:eastAsia="方正黑体简体"/>
                <w:szCs w:val="21"/>
                <w:vertAlign w:val="subscript"/>
              </w:rPr>
              <w:t>2</w:t>
            </w:r>
            <w:r>
              <w:rPr>
                <w:rFonts w:hint="eastAsia" w:ascii="方正黑体简体" w:hAnsi="宋体" w:eastAsia="方正黑体简体"/>
                <w:szCs w:val="21"/>
              </w:rPr>
              <w:t>)</w:t>
            </w:r>
            <w:bookmarkEnd w:id="109"/>
          </w:p>
        </w:tc>
        <w:tc>
          <w:tcPr>
            <w:tcW w:w="1754" w:type="dxa"/>
            <w:noWrap w:val="0"/>
            <w:vAlign w:val="bottom"/>
          </w:tcPr>
          <w:p w14:paraId="79FD1EBF">
            <w:pPr>
              <w:spacing w:line="320" w:lineRule="exact"/>
              <w:jc w:val="center"/>
              <w:rPr>
                <w:rFonts w:hint="eastAsia" w:ascii="方正黑体简体" w:hAnsi="宋体" w:eastAsia="方正黑体简体"/>
                <w:szCs w:val="21"/>
                <w:lang w:val="en-US" w:eastAsia="zh-CN"/>
              </w:rPr>
            </w:pPr>
            <w:r>
              <w:rPr>
                <w:rFonts w:hint="eastAsia" w:ascii="方正黑体简体" w:hAnsi="宋体" w:eastAsia="方正黑体简体"/>
                <w:szCs w:val="21"/>
                <w:lang w:val="en-US" w:eastAsia="zh-CN"/>
              </w:rPr>
              <w:t xml:space="preserve">107.84 </w:t>
            </w:r>
          </w:p>
        </w:tc>
        <w:tc>
          <w:tcPr>
            <w:tcW w:w="2066" w:type="dxa"/>
            <w:noWrap w:val="0"/>
            <w:vAlign w:val="center"/>
          </w:tcPr>
          <w:p w14:paraId="19C44B88">
            <w:pPr>
              <w:spacing w:line="320" w:lineRule="exact"/>
              <w:jc w:val="center"/>
              <w:rPr>
                <w:rFonts w:hint="eastAsia" w:ascii="方正黑体简体" w:hAnsi="宋体" w:eastAsia="方正黑体简体"/>
                <w:szCs w:val="21"/>
                <w:lang w:val="en-US" w:eastAsia="zh-CN"/>
              </w:rPr>
            </w:pPr>
            <w:r>
              <w:rPr>
                <w:rFonts w:hint="eastAsia" w:ascii="方正黑体简体" w:hAnsi="宋体" w:eastAsia="方正黑体简体"/>
                <w:szCs w:val="21"/>
                <w:lang w:val="en-US" w:eastAsia="zh-CN"/>
              </w:rPr>
              <w:t xml:space="preserve">33.13 </w:t>
            </w:r>
          </w:p>
        </w:tc>
        <w:tc>
          <w:tcPr>
            <w:tcW w:w="1437" w:type="dxa"/>
            <w:noWrap w:val="0"/>
            <w:vAlign w:val="center"/>
          </w:tcPr>
          <w:p w14:paraId="30169D6F">
            <w:pPr>
              <w:spacing w:line="320" w:lineRule="exact"/>
              <w:jc w:val="center"/>
              <w:rPr>
                <w:rFonts w:ascii="方正黑体简体" w:hAnsi="宋体" w:eastAsia="方正黑体简体"/>
                <w:szCs w:val="21"/>
              </w:rPr>
            </w:pPr>
          </w:p>
        </w:tc>
      </w:tr>
      <w:tr w14:paraId="6BBE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trPr>
        <w:tc>
          <w:tcPr>
            <w:tcW w:w="524" w:type="dxa"/>
            <w:vMerge w:val="restart"/>
            <w:noWrap w:val="0"/>
            <w:vAlign w:val="center"/>
          </w:tcPr>
          <w:p w14:paraId="769FF3CD">
            <w:pPr>
              <w:spacing w:line="320" w:lineRule="exact"/>
              <w:jc w:val="center"/>
              <w:rPr>
                <w:rFonts w:ascii="方正黑体简体" w:hAnsi="宋体" w:eastAsia="方正黑体简体"/>
                <w:szCs w:val="21"/>
              </w:rPr>
            </w:pPr>
            <w:bookmarkStart w:id="110" w:name="_Toc328050218"/>
            <w:r>
              <w:rPr>
                <w:rFonts w:hint="eastAsia" w:ascii="方正黑体简体" w:hAnsi="宋体" w:eastAsia="方正黑体简体"/>
                <w:szCs w:val="21"/>
              </w:rPr>
              <w:t>2</w:t>
            </w:r>
            <w:bookmarkEnd w:id="110"/>
          </w:p>
        </w:tc>
        <w:tc>
          <w:tcPr>
            <w:tcW w:w="446" w:type="dxa"/>
            <w:vMerge w:val="restart"/>
            <w:noWrap w:val="0"/>
            <w:vAlign w:val="center"/>
          </w:tcPr>
          <w:p w14:paraId="55E6AD3D">
            <w:pPr>
              <w:spacing w:line="320" w:lineRule="exact"/>
              <w:jc w:val="center"/>
              <w:rPr>
                <w:rFonts w:ascii="方正黑体简体" w:hAnsi="宋体" w:eastAsia="方正黑体简体"/>
                <w:szCs w:val="21"/>
              </w:rPr>
            </w:pPr>
            <w:bookmarkStart w:id="111" w:name="_Toc328050219"/>
            <w:r>
              <w:rPr>
                <w:rFonts w:hint="eastAsia" w:ascii="方正黑体简体" w:hAnsi="宋体" w:eastAsia="方正黑体简体"/>
                <w:szCs w:val="21"/>
              </w:rPr>
              <w:t>A</w:t>
            </w:r>
            <w:bookmarkEnd w:id="111"/>
          </w:p>
        </w:tc>
        <w:tc>
          <w:tcPr>
            <w:tcW w:w="4249" w:type="dxa"/>
            <w:gridSpan w:val="2"/>
            <w:noWrap w:val="0"/>
            <w:vAlign w:val="center"/>
          </w:tcPr>
          <w:p w14:paraId="56EF72AF">
            <w:pPr>
              <w:spacing w:line="320" w:lineRule="exact"/>
              <w:jc w:val="center"/>
              <w:rPr>
                <w:rFonts w:ascii="方正黑体简体" w:hAnsi="宋体" w:eastAsia="方正黑体简体"/>
                <w:szCs w:val="21"/>
              </w:rPr>
            </w:pPr>
            <w:bookmarkStart w:id="112" w:name="_Toc328050220"/>
            <w:r>
              <w:rPr>
                <w:rFonts w:hint="eastAsia" w:ascii="方正黑体简体" w:hAnsi="宋体" w:eastAsia="方正黑体简体"/>
                <w:szCs w:val="21"/>
              </w:rPr>
              <w:t>公共管理与公共服务用地</w:t>
            </w:r>
            <w:bookmarkEnd w:id="112"/>
          </w:p>
        </w:tc>
        <w:tc>
          <w:tcPr>
            <w:tcW w:w="1754" w:type="dxa"/>
            <w:noWrap w:val="0"/>
            <w:vAlign w:val="center"/>
          </w:tcPr>
          <w:p w14:paraId="62A2D18B">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121.53</w:t>
            </w:r>
          </w:p>
        </w:tc>
        <w:tc>
          <w:tcPr>
            <w:tcW w:w="2066" w:type="dxa"/>
            <w:noWrap w:val="0"/>
            <w:vAlign w:val="center"/>
          </w:tcPr>
          <w:p w14:paraId="5013A1BC">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37.34</w:t>
            </w:r>
          </w:p>
        </w:tc>
        <w:tc>
          <w:tcPr>
            <w:tcW w:w="1437" w:type="dxa"/>
            <w:vMerge w:val="restart"/>
            <w:noWrap w:val="0"/>
            <w:vAlign w:val="center"/>
          </w:tcPr>
          <w:p w14:paraId="71ED7D97">
            <w:pPr>
              <w:spacing w:line="320" w:lineRule="exact"/>
              <w:jc w:val="center"/>
              <w:rPr>
                <w:rFonts w:ascii="方正黑体简体" w:hAnsi="宋体" w:eastAsia="方正黑体简体"/>
                <w:szCs w:val="21"/>
              </w:rPr>
            </w:pPr>
          </w:p>
        </w:tc>
      </w:tr>
      <w:tr w14:paraId="2056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5BDAD753">
            <w:pPr>
              <w:spacing w:line="320" w:lineRule="exact"/>
              <w:jc w:val="center"/>
              <w:rPr>
                <w:rFonts w:ascii="方正黑体简体" w:hAnsi="宋体" w:eastAsia="方正黑体简体"/>
                <w:szCs w:val="21"/>
              </w:rPr>
            </w:pPr>
          </w:p>
        </w:tc>
        <w:tc>
          <w:tcPr>
            <w:tcW w:w="446" w:type="dxa"/>
            <w:vMerge w:val="continue"/>
            <w:noWrap w:val="0"/>
            <w:vAlign w:val="center"/>
          </w:tcPr>
          <w:p w14:paraId="005652D2">
            <w:pPr>
              <w:spacing w:line="320" w:lineRule="exact"/>
              <w:jc w:val="center"/>
              <w:rPr>
                <w:rFonts w:ascii="方正黑体简体" w:hAnsi="宋体" w:eastAsia="方正黑体简体"/>
                <w:szCs w:val="21"/>
              </w:rPr>
            </w:pPr>
          </w:p>
        </w:tc>
        <w:tc>
          <w:tcPr>
            <w:tcW w:w="425" w:type="dxa"/>
            <w:vMerge w:val="restart"/>
            <w:noWrap w:val="0"/>
            <w:vAlign w:val="center"/>
          </w:tcPr>
          <w:p w14:paraId="57B2827C">
            <w:pPr>
              <w:spacing w:line="320" w:lineRule="exact"/>
              <w:jc w:val="center"/>
              <w:rPr>
                <w:rFonts w:ascii="方正黑体简体" w:hAnsi="宋体" w:eastAsia="方正黑体简体"/>
                <w:szCs w:val="21"/>
              </w:rPr>
            </w:pPr>
            <w:bookmarkStart w:id="113" w:name="_Toc328050223"/>
            <w:r>
              <w:rPr>
                <w:rFonts w:hint="eastAsia" w:ascii="方正黑体简体" w:hAnsi="宋体" w:eastAsia="方正黑体简体"/>
                <w:szCs w:val="21"/>
              </w:rPr>
              <w:t>其</w:t>
            </w:r>
            <w:bookmarkEnd w:id="113"/>
          </w:p>
          <w:p w14:paraId="26AA1432">
            <w:pPr>
              <w:spacing w:line="320" w:lineRule="exact"/>
              <w:jc w:val="center"/>
              <w:rPr>
                <w:rFonts w:ascii="方正黑体简体" w:hAnsi="宋体" w:eastAsia="方正黑体简体"/>
                <w:szCs w:val="21"/>
              </w:rPr>
            </w:pPr>
          </w:p>
          <w:p w14:paraId="479379C0">
            <w:pPr>
              <w:spacing w:line="320" w:lineRule="exact"/>
              <w:jc w:val="center"/>
              <w:rPr>
                <w:rFonts w:ascii="方正黑体简体" w:hAnsi="宋体" w:eastAsia="方正黑体简体"/>
                <w:szCs w:val="21"/>
              </w:rPr>
            </w:pPr>
          </w:p>
          <w:p w14:paraId="5985CE35">
            <w:pPr>
              <w:spacing w:line="320" w:lineRule="exact"/>
              <w:jc w:val="center"/>
              <w:rPr>
                <w:rFonts w:ascii="方正黑体简体" w:hAnsi="宋体" w:eastAsia="方正黑体简体"/>
                <w:szCs w:val="21"/>
              </w:rPr>
            </w:pPr>
            <w:bookmarkStart w:id="114" w:name="_Toc328050224"/>
            <w:r>
              <w:rPr>
                <w:rFonts w:hint="eastAsia" w:ascii="方正黑体简体" w:hAnsi="宋体" w:eastAsia="方正黑体简体"/>
                <w:szCs w:val="21"/>
              </w:rPr>
              <w:t>中</w:t>
            </w:r>
            <w:bookmarkEnd w:id="114"/>
          </w:p>
        </w:tc>
        <w:tc>
          <w:tcPr>
            <w:tcW w:w="3824" w:type="dxa"/>
            <w:noWrap w:val="0"/>
            <w:vAlign w:val="center"/>
          </w:tcPr>
          <w:p w14:paraId="2BD7E712">
            <w:pPr>
              <w:spacing w:line="320" w:lineRule="exact"/>
              <w:jc w:val="center"/>
              <w:rPr>
                <w:rFonts w:ascii="方正黑体简体" w:hAnsi="宋体" w:eastAsia="方正黑体简体"/>
                <w:szCs w:val="21"/>
              </w:rPr>
            </w:pPr>
            <w:bookmarkStart w:id="115" w:name="_Toc328050225"/>
            <w:r>
              <w:rPr>
                <w:rFonts w:hint="eastAsia" w:ascii="方正黑体简体" w:hAnsi="宋体" w:eastAsia="方正黑体简体"/>
                <w:szCs w:val="21"/>
              </w:rPr>
              <w:t>行政办公用地(A</w:t>
            </w:r>
            <w:r>
              <w:rPr>
                <w:rFonts w:hint="eastAsia" w:ascii="方正黑体简体" w:hAnsi="宋体" w:eastAsia="方正黑体简体"/>
                <w:szCs w:val="21"/>
                <w:vertAlign w:val="subscript"/>
              </w:rPr>
              <w:t>1</w:t>
            </w:r>
            <w:r>
              <w:rPr>
                <w:rFonts w:hint="eastAsia" w:ascii="方正黑体简体" w:hAnsi="宋体" w:eastAsia="方正黑体简体"/>
                <w:szCs w:val="21"/>
              </w:rPr>
              <w:t>)</w:t>
            </w:r>
            <w:bookmarkEnd w:id="115"/>
          </w:p>
        </w:tc>
        <w:tc>
          <w:tcPr>
            <w:tcW w:w="1754" w:type="dxa"/>
            <w:noWrap w:val="0"/>
            <w:vAlign w:val="center"/>
          </w:tcPr>
          <w:p w14:paraId="3B3E14C6">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1.01</w:t>
            </w:r>
          </w:p>
        </w:tc>
        <w:tc>
          <w:tcPr>
            <w:tcW w:w="2066" w:type="dxa"/>
            <w:vMerge w:val="restart"/>
            <w:noWrap w:val="0"/>
            <w:vAlign w:val="center"/>
          </w:tcPr>
          <w:p w14:paraId="5E091315">
            <w:pPr>
              <w:spacing w:line="320" w:lineRule="exact"/>
              <w:jc w:val="center"/>
              <w:rPr>
                <w:rFonts w:ascii="方正黑体简体" w:hAnsi="宋体" w:eastAsia="方正黑体简体"/>
                <w:szCs w:val="21"/>
              </w:rPr>
            </w:pPr>
          </w:p>
        </w:tc>
        <w:tc>
          <w:tcPr>
            <w:tcW w:w="1437" w:type="dxa"/>
            <w:vMerge w:val="continue"/>
            <w:noWrap w:val="0"/>
            <w:vAlign w:val="center"/>
          </w:tcPr>
          <w:p w14:paraId="1511298B">
            <w:pPr>
              <w:spacing w:line="320" w:lineRule="exact"/>
              <w:jc w:val="center"/>
              <w:rPr>
                <w:rFonts w:ascii="方正黑体简体" w:hAnsi="宋体" w:eastAsia="方正黑体简体"/>
                <w:szCs w:val="21"/>
              </w:rPr>
            </w:pPr>
          </w:p>
        </w:tc>
      </w:tr>
      <w:tr w14:paraId="29F8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295951FC">
            <w:pPr>
              <w:spacing w:line="320" w:lineRule="exact"/>
              <w:jc w:val="center"/>
              <w:rPr>
                <w:rFonts w:ascii="方正黑体简体" w:hAnsi="宋体" w:eastAsia="方正黑体简体"/>
                <w:szCs w:val="21"/>
              </w:rPr>
            </w:pPr>
          </w:p>
        </w:tc>
        <w:tc>
          <w:tcPr>
            <w:tcW w:w="446" w:type="dxa"/>
            <w:vMerge w:val="continue"/>
            <w:noWrap w:val="0"/>
            <w:vAlign w:val="center"/>
          </w:tcPr>
          <w:p w14:paraId="4B0E744A">
            <w:pPr>
              <w:spacing w:line="320" w:lineRule="exact"/>
              <w:jc w:val="center"/>
              <w:rPr>
                <w:rFonts w:ascii="方正黑体简体" w:hAnsi="宋体" w:eastAsia="方正黑体简体"/>
                <w:szCs w:val="21"/>
              </w:rPr>
            </w:pPr>
          </w:p>
        </w:tc>
        <w:tc>
          <w:tcPr>
            <w:tcW w:w="425" w:type="dxa"/>
            <w:vMerge w:val="continue"/>
            <w:noWrap w:val="0"/>
            <w:vAlign w:val="center"/>
          </w:tcPr>
          <w:p w14:paraId="1B662CFD">
            <w:pPr>
              <w:spacing w:line="320" w:lineRule="exact"/>
              <w:jc w:val="center"/>
              <w:rPr>
                <w:rFonts w:ascii="方正黑体简体" w:hAnsi="宋体" w:eastAsia="方正黑体简体"/>
                <w:szCs w:val="21"/>
              </w:rPr>
            </w:pPr>
          </w:p>
        </w:tc>
        <w:tc>
          <w:tcPr>
            <w:tcW w:w="3824" w:type="dxa"/>
            <w:noWrap w:val="0"/>
            <w:vAlign w:val="center"/>
          </w:tcPr>
          <w:p w14:paraId="6634B5E3">
            <w:pPr>
              <w:spacing w:line="320" w:lineRule="exact"/>
              <w:jc w:val="center"/>
              <w:rPr>
                <w:rFonts w:ascii="方正黑体简体" w:hAnsi="宋体" w:eastAsia="方正黑体简体"/>
                <w:szCs w:val="21"/>
              </w:rPr>
            </w:pPr>
            <w:bookmarkStart w:id="116" w:name="_Toc328050229"/>
            <w:r>
              <w:rPr>
                <w:rFonts w:hint="eastAsia" w:ascii="方正黑体简体" w:hAnsi="宋体" w:eastAsia="方正黑体简体"/>
                <w:szCs w:val="21"/>
              </w:rPr>
              <w:t>教育科研用地(A</w:t>
            </w:r>
            <w:r>
              <w:rPr>
                <w:rFonts w:hint="eastAsia" w:ascii="方正黑体简体" w:hAnsi="宋体" w:eastAsia="方正黑体简体"/>
                <w:szCs w:val="21"/>
                <w:vertAlign w:val="subscript"/>
              </w:rPr>
              <w:t>3</w:t>
            </w:r>
            <w:r>
              <w:rPr>
                <w:rFonts w:hint="eastAsia" w:ascii="方正黑体简体" w:hAnsi="宋体" w:eastAsia="方正黑体简体"/>
                <w:szCs w:val="21"/>
              </w:rPr>
              <w:t>)</w:t>
            </w:r>
            <w:bookmarkEnd w:id="116"/>
          </w:p>
        </w:tc>
        <w:tc>
          <w:tcPr>
            <w:tcW w:w="1754" w:type="dxa"/>
            <w:noWrap w:val="0"/>
            <w:vAlign w:val="center"/>
          </w:tcPr>
          <w:p w14:paraId="191494D9">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111.44</w:t>
            </w:r>
          </w:p>
        </w:tc>
        <w:tc>
          <w:tcPr>
            <w:tcW w:w="2066" w:type="dxa"/>
            <w:vMerge w:val="continue"/>
            <w:noWrap w:val="0"/>
            <w:vAlign w:val="center"/>
          </w:tcPr>
          <w:p w14:paraId="24392334">
            <w:pPr>
              <w:spacing w:line="320" w:lineRule="exact"/>
              <w:jc w:val="center"/>
              <w:rPr>
                <w:rFonts w:ascii="方正黑体简体" w:hAnsi="宋体" w:eastAsia="方正黑体简体"/>
                <w:szCs w:val="21"/>
              </w:rPr>
            </w:pPr>
          </w:p>
        </w:tc>
        <w:tc>
          <w:tcPr>
            <w:tcW w:w="1437" w:type="dxa"/>
            <w:vMerge w:val="continue"/>
            <w:noWrap w:val="0"/>
            <w:vAlign w:val="center"/>
          </w:tcPr>
          <w:p w14:paraId="10788075">
            <w:pPr>
              <w:spacing w:line="320" w:lineRule="exact"/>
              <w:jc w:val="center"/>
              <w:rPr>
                <w:rFonts w:ascii="方正黑体简体" w:hAnsi="宋体" w:eastAsia="方正黑体简体"/>
                <w:szCs w:val="21"/>
              </w:rPr>
            </w:pPr>
          </w:p>
        </w:tc>
      </w:tr>
      <w:tr w14:paraId="76F6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524" w:type="dxa"/>
            <w:vMerge w:val="continue"/>
            <w:noWrap w:val="0"/>
            <w:vAlign w:val="center"/>
          </w:tcPr>
          <w:p w14:paraId="0F06C674">
            <w:pPr>
              <w:spacing w:line="320" w:lineRule="exact"/>
              <w:jc w:val="center"/>
              <w:rPr>
                <w:rFonts w:ascii="方正黑体简体" w:hAnsi="宋体" w:eastAsia="方正黑体简体"/>
                <w:szCs w:val="21"/>
              </w:rPr>
            </w:pPr>
          </w:p>
        </w:tc>
        <w:tc>
          <w:tcPr>
            <w:tcW w:w="446" w:type="dxa"/>
            <w:vMerge w:val="continue"/>
            <w:noWrap w:val="0"/>
            <w:vAlign w:val="center"/>
          </w:tcPr>
          <w:p w14:paraId="1496CAD2">
            <w:pPr>
              <w:spacing w:line="320" w:lineRule="exact"/>
              <w:jc w:val="center"/>
              <w:rPr>
                <w:rFonts w:ascii="方正黑体简体" w:hAnsi="宋体" w:eastAsia="方正黑体简体"/>
                <w:szCs w:val="21"/>
              </w:rPr>
            </w:pPr>
          </w:p>
        </w:tc>
        <w:tc>
          <w:tcPr>
            <w:tcW w:w="425" w:type="dxa"/>
            <w:vMerge w:val="continue"/>
            <w:noWrap w:val="0"/>
            <w:vAlign w:val="center"/>
          </w:tcPr>
          <w:p w14:paraId="3468F9FC">
            <w:pPr>
              <w:spacing w:line="320" w:lineRule="exact"/>
              <w:jc w:val="center"/>
              <w:rPr>
                <w:rFonts w:ascii="方正黑体简体" w:hAnsi="宋体" w:eastAsia="方正黑体简体"/>
                <w:szCs w:val="21"/>
              </w:rPr>
            </w:pPr>
          </w:p>
        </w:tc>
        <w:tc>
          <w:tcPr>
            <w:tcW w:w="3824" w:type="dxa"/>
            <w:noWrap w:val="0"/>
            <w:vAlign w:val="center"/>
          </w:tcPr>
          <w:p w14:paraId="130149FA">
            <w:pPr>
              <w:spacing w:line="320" w:lineRule="exact"/>
              <w:jc w:val="center"/>
              <w:rPr>
                <w:rFonts w:ascii="方正黑体简体" w:hAnsi="宋体" w:eastAsia="方正黑体简体"/>
                <w:szCs w:val="21"/>
              </w:rPr>
            </w:pPr>
            <w:bookmarkStart w:id="117" w:name="_Toc328050231"/>
            <w:r>
              <w:rPr>
                <w:rFonts w:hint="eastAsia" w:ascii="方正黑体简体" w:hAnsi="宋体" w:eastAsia="方正黑体简体"/>
                <w:szCs w:val="21"/>
              </w:rPr>
              <w:t>医疗卫生用地(A</w:t>
            </w:r>
            <w:r>
              <w:rPr>
                <w:rFonts w:hint="eastAsia" w:ascii="方正黑体简体" w:hAnsi="宋体" w:eastAsia="方正黑体简体"/>
                <w:szCs w:val="21"/>
                <w:vertAlign w:val="subscript"/>
              </w:rPr>
              <w:t>5</w:t>
            </w:r>
            <w:r>
              <w:rPr>
                <w:rFonts w:hint="eastAsia" w:ascii="方正黑体简体" w:hAnsi="宋体" w:eastAsia="方正黑体简体"/>
                <w:szCs w:val="21"/>
              </w:rPr>
              <w:t>)</w:t>
            </w:r>
            <w:bookmarkEnd w:id="117"/>
          </w:p>
        </w:tc>
        <w:tc>
          <w:tcPr>
            <w:tcW w:w="1754" w:type="dxa"/>
            <w:noWrap w:val="0"/>
            <w:vAlign w:val="center"/>
          </w:tcPr>
          <w:p w14:paraId="3A7A1DF9">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1.76</w:t>
            </w:r>
          </w:p>
        </w:tc>
        <w:tc>
          <w:tcPr>
            <w:tcW w:w="2066" w:type="dxa"/>
            <w:vMerge w:val="continue"/>
            <w:noWrap w:val="0"/>
            <w:vAlign w:val="center"/>
          </w:tcPr>
          <w:p w14:paraId="2A29BE7F">
            <w:pPr>
              <w:spacing w:line="320" w:lineRule="exact"/>
              <w:jc w:val="center"/>
              <w:rPr>
                <w:rFonts w:ascii="方正黑体简体" w:hAnsi="宋体" w:eastAsia="方正黑体简体"/>
                <w:szCs w:val="21"/>
              </w:rPr>
            </w:pPr>
          </w:p>
        </w:tc>
        <w:tc>
          <w:tcPr>
            <w:tcW w:w="1437" w:type="dxa"/>
            <w:vMerge w:val="continue"/>
            <w:noWrap w:val="0"/>
            <w:vAlign w:val="center"/>
          </w:tcPr>
          <w:p w14:paraId="37423B4D">
            <w:pPr>
              <w:spacing w:line="320" w:lineRule="exact"/>
              <w:jc w:val="center"/>
              <w:rPr>
                <w:rFonts w:ascii="方正黑体简体" w:hAnsi="宋体" w:eastAsia="方正黑体简体"/>
                <w:szCs w:val="21"/>
              </w:rPr>
            </w:pPr>
          </w:p>
        </w:tc>
      </w:tr>
      <w:tr w14:paraId="2723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524" w:type="dxa"/>
            <w:vMerge w:val="continue"/>
            <w:noWrap w:val="0"/>
            <w:vAlign w:val="center"/>
          </w:tcPr>
          <w:p w14:paraId="68D7F6EF">
            <w:pPr>
              <w:spacing w:line="320" w:lineRule="exact"/>
              <w:jc w:val="center"/>
              <w:rPr>
                <w:rFonts w:ascii="方正黑体简体" w:hAnsi="宋体" w:eastAsia="方正黑体简体"/>
                <w:szCs w:val="21"/>
              </w:rPr>
            </w:pPr>
          </w:p>
        </w:tc>
        <w:tc>
          <w:tcPr>
            <w:tcW w:w="446" w:type="dxa"/>
            <w:vMerge w:val="continue"/>
            <w:noWrap w:val="0"/>
            <w:vAlign w:val="center"/>
          </w:tcPr>
          <w:p w14:paraId="6CE38883">
            <w:pPr>
              <w:spacing w:line="320" w:lineRule="exact"/>
              <w:jc w:val="center"/>
              <w:rPr>
                <w:rFonts w:ascii="方正黑体简体" w:hAnsi="宋体" w:eastAsia="方正黑体简体"/>
                <w:szCs w:val="21"/>
              </w:rPr>
            </w:pPr>
          </w:p>
        </w:tc>
        <w:tc>
          <w:tcPr>
            <w:tcW w:w="425" w:type="dxa"/>
            <w:vMerge w:val="continue"/>
            <w:noWrap w:val="0"/>
            <w:vAlign w:val="center"/>
          </w:tcPr>
          <w:p w14:paraId="27093C13">
            <w:pPr>
              <w:spacing w:line="320" w:lineRule="exact"/>
              <w:jc w:val="center"/>
              <w:rPr>
                <w:rFonts w:ascii="方正黑体简体" w:hAnsi="宋体" w:eastAsia="方正黑体简体"/>
                <w:szCs w:val="21"/>
              </w:rPr>
            </w:pPr>
          </w:p>
        </w:tc>
        <w:tc>
          <w:tcPr>
            <w:tcW w:w="3824" w:type="dxa"/>
            <w:noWrap w:val="0"/>
            <w:vAlign w:val="center"/>
          </w:tcPr>
          <w:p w14:paraId="39C5FF1D">
            <w:pPr>
              <w:spacing w:line="320" w:lineRule="exact"/>
              <w:jc w:val="center"/>
              <w:rPr>
                <w:rFonts w:ascii="方正黑体简体" w:hAnsi="宋体" w:eastAsia="方正黑体简体"/>
                <w:szCs w:val="21"/>
              </w:rPr>
            </w:pPr>
            <w:r>
              <w:rPr>
                <w:rFonts w:hint="eastAsia" w:ascii="方正黑体简体" w:hAnsi="宋体" w:eastAsia="方正黑体简体"/>
                <w:szCs w:val="21"/>
              </w:rPr>
              <w:t>文物古迹用地（A</w:t>
            </w:r>
            <w:r>
              <w:rPr>
                <w:rFonts w:hint="eastAsia" w:ascii="方正黑体简体" w:hAnsi="宋体" w:eastAsia="方正黑体简体"/>
                <w:szCs w:val="21"/>
                <w:vertAlign w:val="subscript"/>
              </w:rPr>
              <w:t>7</w:t>
            </w:r>
            <w:r>
              <w:rPr>
                <w:rFonts w:hint="eastAsia" w:ascii="方正黑体简体" w:hAnsi="宋体" w:eastAsia="方正黑体简体"/>
                <w:szCs w:val="21"/>
              </w:rPr>
              <w:t>）</w:t>
            </w:r>
          </w:p>
        </w:tc>
        <w:tc>
          <w:tcPr>
            <w:tcW w:w="1754" w:type="dxa"/>
            <w:noWrap w:val="0"/>
            <w:vAlign w:val="center"/>
          </w:tcPr>
          <w:p w14:paraId="571F7FAA">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7.31</w:t>
            </w:r>
          </w:p>
        </w:tc>
        <w:tc>
          <w:tcPr>
            <w:tcW w:w="2066" w:type="dxa"/>
            <w:vMerge w:val="continue"/>
            <w:noWrap w:val="0"/>
            <w:vAlign w:val="center"/>
          </w:tcPr>
          <w:p w14:paraId="6CCEBB68">
            <w:pPr>
              <w:spacing w:line="320" w:lineRule="exact"/>
              <w:jc w:val="center"/>
              <w:rPr>
                <w:rFonts w:ascii="方正黑体简体" w:hAnsi="宋体" w:eastAsia="方正黑体简体"/>
                <w:szCs w:val="21"/>
              </w:rPr>
            </w:pPr>
          </w:p>
        </w:tc>
        <w:tc>
          <w:tcPr>
            <w:tcW w:w="1437" w:type="dxa"/>
            <w:vMerge w:val="continue"/>
            <w:noWrap w:val="0"/>
            <w:vAlign w:val="center"/>
          </w:tcPr>
          <w:p w14:paraId="659D2781">
            <w:pPr>
              <w:spacing w:line="320" w:lineRule="exact"/>
              <w:jc w:val="center"/>
              <w:rPr>
                <w:rFonts w:ascii="方正黑体简体" w:hAnsi="宋体" w:eastAsia="方正黑体简体"/>
                <w:szCs w:val="21"/>
              </w:rPr>
            </w:pPr>
          </w:p>
        </w:tc>
      </w:tr>
      <w:tr w14:paraId="2272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restart"/>
            <w:noWrap w:val="0"/>
            <w:vAlign w:val="center"/>
          </w:tcPr>
          <w:p w14:paraId="56EFD2B5">
            <w:pPr>
              <w:spacing w:line="320" w:lineRule="exact"/>
              <w:jc w:val="center"/>
              <w:rPr>
                <w:rFonts w:ascii="方正黑体简体" w:hAnsi="宋体" w:eastAsia="方正黑体简体"/>
                <w:szCs w:val="21"/>
              </w:rPr>
            </w:pPr>
            <w:bookmarkStart w:id="118" w:name="_Toc328050233"/>
            <w:r>
              <w:rPr>
                <w:rFonts w:hint="eastAsia" w:ascii="方正黑体简体" w:hAnsi="宋体" w:eastAsia="方正黑体简体"/>
                <w:szCs w:val="21"/>
              </w:rPr>
              <w:t>3</w:t>
            </w:r>
            <w:bookmarkEnd w:id="118"/>
          </w:p>
        </w:tc>
        <w:tc>
          <w:tcPr>
            <w:tcW w:w="446" w:type="dxa"/>
            <w:vMerge w:val="restart"/>
            <w:noWrap w:val="0"/>
            <w:vAlign w:val="center"/>
          </w:tcPr>
          <w:p w14:paraId="0E6FF9D8">
            <w:pPr>
              <w:spacing w:line="320" w:lineRule="exact"/>
              <w:jc w:val="center"/>
              <w:rPr>
                <w:rFonts w:ascii="方正黑体简体" w:hAnsi="宋体" w:eastAsia="方正黑体简体"/>
                <w:szCs w:val="21"/>
              </w:rPr>
            </w:pPr>
            <w:bookmarkStart w:id="119" w:name="_Toc328050234"/>
            <w:r>
              <w:rPr>
                <w:rFonts w:hint="eastAsia" w:ascii="方正黑体简体" w:hAnsi="宋体" w:eastAsia="方正黑体简体"/>
                <w:szCs w:val="21"/>
              </w:rPr>
              <w:t>B</w:t>
            </w:r>
            <w:bookmarkEnd w:id="119"/>
          </w:p>
        </w:tc>
        <w:tc>
          <w:tcPr>
            <w:tcW w:w="4249" w:type="dxa"/>
            <w:gridSpan w:val="2"/>
            <w:noWrap w:val="0"/>
            <w:vAlign w:val="center"/>
          </w:tcPr>
          <w:p w14:paraId="1A5017EF">
            <w:pPr>
              <w:spacing w:line="320" w:lineRule="exact"/>
              <w:jc w:val="center"/>
              <w:rPr>
                <w:rFonts w:ascii="方正黑体简体" w:hAnsi="宋体" w:eastAsia="方正黑体简体"/>
                <w:szCs w:val="21"/>
              </w:rPr>
            </w:pPr>
            <w:bookmarkStart w:id="120" w:name="_Toc328050235"/>
            <w:r>
              <w:rPr>
                <w:rFonts w:hint="eastAsia" w:ascii="方正黑体简体" w:hAnsi="宋体" w:eastAsia="方正黑体简体"/>
                <w:szCs w:val="21"/>
              </w:rPr>
              <w:t>商业服务业设施用地</w:t>
            </w:r>
            <w:bookmarkEnd w:id="120"/>
          </w:p>
        </w:tc>
        <w:tc>
          <w:tcPr>
            <w:tcW w:w="1754" w:type="dxa"/>
            <w:noWrap w:val="0"/>
            <w:vAlign w:val="center"/>
          </w:tcPr>
          <w:p w14:paraId="015CF01C">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13.52</w:t>
            </w:r>
          </w:p>
        </w:tc>
        <w:tc>
          <w:tcPr>
            <w:tcW w:w="2066" w:type="dxa"/>
            <w:noWrap w:val="0"/>
            <w:vAlign w:val="center"/>
          </w:tcPr>
          <w:p w14:paraId="0B2802AE">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4.</w:t>
            </w:r>
            <w:r>
              <w:rPr>
                <w:rFonts w:hint="eastAsia" w:ascii="方正黑体简体" w:hAnsi="宋体" w:eastAsia="方正黑体简体"/>
                <w:szCs w:val="21"/>
                <w:lang w:val="en-US" w:eastAsia="zh-CN"/>
              </w:rPr>
              <w:t>1</w:t>
            </w:r>
            <w:r>
              <w:rPr>
                <w:rFonts w:hint="eastAsia" w:ascii="方正黑体简体" w:hAnsi="宋体" w:eastAsia="方正黑体简体"/>
                <w:szCs w:val="21"/>
              </w:rPr>
              <w:t>5</w:t>
            </w:r>
          </w:p>
        </w:tc>
        <w:tc>
          <w:tcPr>
            <w:tcW w:w="1437" w:type="dxa"/>
            <w:vMerge w:val="restart"/>
            <w:noWrap w:val="0"/>
            <w:vAlign w:val="center"/>
          </w:tcPr>
          <w:p w14:paraId="68958C2E">
            <w:pPr>
              <w:spacing w:line="320" w:lineRule="exact"/>
              <w:jc w:val="center"/>
              <w:rPr>
                <w:rFonts w:ascii="方正黑体简体" w:hAnsi="宋体" w:eastAsia="方正黑体简体"/>
                <w:szCs w:val="21"/>
              </w:rPr>
            </w:pPr>
          </w:p>
        </w:tc>
      </w:tr>
      <w:tr w14:paraId="6CC1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trPr>
        <w:tc>
          <w:tcPr>
            <w:tcW w:w="524" w:type="dxa"/>
            <w:vMerge w:val="continue"/>
            <w:noWrap w:val="0"/>
            <w:vAlign w:val="center"/>
          </w:tcPr>
          <w:p w14:paraId="27133AD0">
            <w:pPr>
              <w:spacing w:line="320" w:lineRule="exact"/>
              <w:jc w:val="center"/>
              <w:rPr>
                <w:rFonts w:ascii="方正黑体简体" w:hAnsi="宋体" w:eastAsia="方正黑体简体"/>
                <w:szCs w:val="21"/>
              </w:rPr>
            </w:pPr>
          </w:p>
        </w:tc>
        <w:tc>
          <w:tcPr>
            <w:tcW w:w="446" w:type="dxa"/>
            <w:vMerge w:val="continue"/>
            <w:noWrap w:val="0"/>
            <w:vAlign w:val="center"/>
          </w:tcPr>
          <w:p w14:paraId="7A256D65">
            <w:pPr>
              <w:spacing w:line="320" w:lineRule="exact"/>
              <w:jc w:val="center"/>
              <w:rPr>
                <w:rFonts w:ascii="方正黑体简体" w:hAnsi="宋体" w:eastAsia="方正黑体简体"/>
                <w:szCs w:val="21"/>
              </w:rPr>
            </w:pPr>
          </w:p>
        </w:tc>
        <w:tc>
          <w:tcPr>
            <w:tcW w:w="425" w:type="dxa"/>
            <w:vMerge w:val="restart"/>
            <w:noWrap w:val="0"/>
            <w:vAlign w:val="center"/>
          </w:tcPr>
          <w:p w14:paraId="1DF14A4E">
            <w:pPr>
              <w:spacing w:line="320" w:lineRule="exact"/>
              <w:jc w:val="center"/>
              <w:rPr>
                <w:rFonts w:ascii="方正黑体简体" w:hAnsi="宋体" w:eastAsia="方正黑体简体"/>
                <w:szCs w:val="21"/>
              </w:rPr>
            </w:pPr>
            <w:bookmarkStart w:id="121" w:name="_Toc328050238"/>
            <w:r>
              <w:rPr>
                <w:rFonts w:hint="eastAsia" w:ascii="方正黑体简体" w:hAnsi="宋体" w:eastAsia="方正黑体简体"/>
                <w:szCs w:val="21"/>
              </w:rPr>
              <w:t>其中</w:t>
            </w:r>
            <w:bookmarkEnd w:id="121"/>
          </w:p>
        </w:tc>
        <w:tc>
          <w:tcPr>
            <w:tcW w:w="3824" w:type="dxa"/>
            <w:noWrap w:val="0"/>
            <w:vAlign w:val="center"/>
          </w:tcPr>
          <w:p w14:paraId="3E9589F2">
            <w:pPr>
              <w:spacing w:line="320" w:lineRule="exact"/>
              <w:jc w:val="center"/>
              <w:rPr>
                <w:rFonts w:ascii="方正黑体简体" w:hAnsi="宋体" w:eastAsia="方正黑体简体"/>
                <w:szCs w:val="21"/>
              </w:rPr>
            </w:pPr>
            <w:bookmarkStart w:id="122" w:name="_Toc328050239"/>
            <w:r>
              <w:rPr>
                <w:rFonts w:hint="eastAsia" w:ascii="方正黑体简体" w:hAnsi="宋体" w:eastAsia="方正黑体简体"/>
                <w:szCs w:val="21"/>
              </w:rPr>
              <w:t>商业用地(B</w:t>
            </w:r>
            <w:r>
              <w:rPr>
                <w:rFonts w:hint="eastAsia" w:ascii="方正黑体简体" w:hAnsi="宋体" w:eastAsia="方正黑体简体"/>
                <w:szCs w:val="21"/>
                <w:vertAlign w:val="subscript"/>
              </w:rPr>
              <w:t>1</w:t>
            </w:r>
            <w:r>
              <w:rPr>
                <w:rFonts w:hint="eastAsia" w:ascii="方正黑体简体" w:hAnsi="宋体" w:eastAsia="方正黑体简体"/>
                <w:szCs w:val="21"/>
              </w:rPr>
              <w:t>)</w:t>
            </w:r>
            <w:bookmarkEnd w:id="122"/>
          </w:p>
        </w:tc>
        <w:tc>
          <w:tcPr>
            <w:tcW w:w="1754" w:type="dxa"/>
            <w:noWrap w:val="0"/>
            <w:vAlign w:val="center"/>
          </w:tcPr>
          <w:p w14:paraId="3126AC32">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10.33</w:t>
            </w:r>
          </w:p>
        </w:tc>
        <w:tc>
          <w:tcPr>
            <w:tcW w:w="2066" w:type="dxa"/>
            <w:vMerge w:val="restart"/>
            <w:noWrap w:val="0"/>
            <w:vAlign w:val="center"/>
          </w:tcPr>
          <w:p w14:paraId="654215FF">
            <w:pPr>
              <w:spacing w:line="320" w:lineRule="exact"/>
              <w:jc w:val="center"/>
              <w:rPr>
                <w:rFonts w:ascii="方正黑体简体" w:hAnsi="宋体" w:eastAsia="方正黑体简体"/>
                <w:szCs w:val="21"/>
              </w:rPr>
            </w:pPr>
          </w:p>
          <w:p w14:paraId="491084FE">
            <w:pPr>
              <w:spacing w:line="320" w:lineRule="exact"/>
              <w:jc w:val="center"/>
              <w:rPr>
                <w:rFonts w:ascii="方正黑体简体" w:hAnsi="宋体" w:eastAsia="方正黑体简体"/>
                <w:szCs w:val="21"/>
              </w:rPr>
            </w:pPr>
          </w:p>
        </w:tc>
        <w:tc>
          <w:tcPr>
            <w:tcW w:w="1437" w:type="dxa"/>
            <w:vMerge w:val="continue"/>
            <w:noWrap w:val="0"/>
            <w:vAlign w:val="center"/>
          </w:tcPr>
          <w:p w14:paraId="51F3DBE4">
            <w:pPr>
              <w:spacing w:line="320" w:lineRule="exact"/>
              <w:jc w:val="center"/>
              <w:rPr>
                <w:rFonts w:ascii="方正黑体简体" w:hAnsi="宋体" w:eastAsia="方正黑体简体"/>
                <w:szCs w:val="21"/>
              </w:rPr>
            </w:pPr>
          </w:p>
        </w:tc>
      </w:tr>
      <w:tr w14:paraId="7393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24" w:type="dxa"/>
            <w:vMerge w:val="continue"/>
            <w:noWrap w:val="0"/>
            <w:vAlign w:val="center"/>
          </w:tcPr>
          <w:p w14:paraId="4C6105E8">
            <w:pPr>
              <w:spacing w:line="320" w:lineRule="exact"/>
              <w:jc w:val="center"/>
              <w:rPr>
                <w:rFonts w:ascii="方正黑体简体" w:hAnsi="宋体" w:eastAsia="方正黑体简体"/>
                <w:szCs w:val="21"/>
              </w:rPr>
            </w:pPr>
          </w:p>
        </w:tc>
        <w:tc>
          <w:tcPr>
            <w:tcW w:w="446" w:type="dxa"/>
            <w:vMerge w:val="continue"/>
            <w:noWrap w:val="0"/>
            <w:vAlign w:val="center"/>
          </w:tcPr>
          <w:p w14:paraId="1094C8E0">
            <w:pPr>
              <w:spacing w:line="320" w:lineRule="exact"/>
              <w:jc w:val="center"/>
              <w:rPr>
                <w:rFonts w:ascii="方正黑体简体" w:hAnsi="宋体" w:eastAsia="方正黑体简体"/>
                <w:szCs w:val="21"/>
              </w:rPr>
            </w:pPr>
          </w:p>
        </w:tc>
        <w:tc>
          <w:tcPr>
            <w:tcW w:w="425" w:type="dxa"/>
            <w:vMerge w:val="continue"/>
            <w:noWrap w:val="0"/>
            <w:vAlign w:val="center"/>
          </w:tcPr>
          <w:p w14:paraId="64DD568A">
            <w:pPr>
              <w:spacing w:line="320" w:lineRule="exact"/>
              <w:jc w:val="center"/>
              <w:rPr>
                <w:rFonts w:ascii="方正黑体简体" w:hAnsi="宋体" w:eastAsia="方正黑体简体"/>
                <w:szCs w:val="21"/>
              </w:rPr>
            </w:pPr>
          </w:p>
        </w:tc>
        <w:tc>
          <w:tcPr>
            <w:tcW w:w="3824" w:type="dxa"/>
            <w:noWrap w:val="0"/>
            <w:vAlign w:val="center"/>
          </w:tcPr>
          <w:p w14:paraId="7208A5E7">
            <w:pPr>
              <w:spacing w:line="320" w:lineRule="exact"/>
              <w:jc w:val="center"/>
              <w:rPr>
                <w:rFonts w:ascii="方正黑体简体" w:hAnsi="宋体" w:eastAsia="方正黑体简体"/>
                <w:szCs w:val="21"/>
              </w:rPr>
            </w:pPr>
            <w:bookmarkStart w:id="123" w:name="_Toc328050241"/>
            <w:r>
              <w:rPr>
                <w:rFonts w:hint="eastAsia" w:ascii="方正黑体简体" w:hAnsi="宋体" w:eastAsia="方正黑体简体"/>
                <w:szCs w:val="21"/>
              </w:rPr>
              <w:t>商务用地(B</w:t>
            </w:r>
            <w:r>
              <w:rPr>
                <w:rFonts w:hint="eastAsia" w:ascii="方正黑体简体" w:hAnsi="宋体" w:eastAsia="方正黑体简体"/>
                <w:szCs w:val="21"/>
                <w:vertAlign w:val="subscript"/>
              </w:rPr>
              <w:t>2</w:t>
            </w:r>
            <w:r>
              <w:rPr>
                <w:rFonts w:hint="eastAsia" w:ascii="方正黑体简体" w:hAnsi="宋体" w:eastAsia="方正黑体简体"/>
                <w:szCs w:val="21"/>
              </w:rPr>
              <w:t>)</w:t>
            </w:r>
            <w:bookmarkEnd w:id="123"/>
          </w:p>
        </w:tc>
        <w:tc>
          <w:tcPr>
            <w:tcW w:w="1754" w:type="dxa"/>
            <w:noWrap w:val="0"/>
            <w:vAlign w:val="center"/>
          </w:tcPr>
          <w:p w14:paraId="033078FB">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1.68</w:t>
            </w:r>
          </w:p>
        </w:tc>
        <w:tc>
          <w:tcPr>
            <w:tcW w:w="2066" w:type="dxa"/>
            <w:vMerge w:val="continue"/>
            <w:noWrap w:val="0"/>
            <w:vAlign w:val="center"/>
          </w:tcPr>
          <w:p w14:paraId="16EFDD69">
            <w:pPr>
              <w:spacing w:line="320" w:lineRule="exact"/>
              <w:jc w:val="center"/>
              <w:rPr>
                <w:rFonts w:ascii="方正黑体简体" w:hAnsi="宋体" w:eastAsia="方正黑体简体"/>
                <w:szCs w:val="21"/>
              </w:rPr>
            </w:pPr>
          </w:p>
        </w:tc>
        <w:tc>
          <w:tcPr>
            <w:tcW w:w="1437" w:type="dxa"/>
            <w:vMerge w:val="continue"/>
            <w:noWrap w:val="0"/>
            <w:vAlign w:val="center"/>
          </w:tcPr>
          <w:p w14:paraId="64E88265">
            <w:pPr>
              <w:spacing w:line="320" w:lineRule="exact"/>
              <w:jc w:val="center"/>
              <w:rPr>
                <w:rFonts w:ascii="方正黑体简体" w:hAnsi="宋体" w:eastAsia="方正黑体简体"/>
                <w:szCs w:val="21"/>
              </w:rPr>
            </w:pPr>
          </w:p>
        </w:tc>
      </w:tr>
      <w:tr w14:paraId="6363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524" w:type="dxa"/>
            <w:vMerge w:val="continue"/>
            <w:noWrap w:val="0"/>
            <w:vAlign w:val="center"/>
          </w:tcPr>
          <w:p w14:paraId="59B2D828">
            <w:pPr>
              <w:spacing w:line="320" w:lineRule="exact"/>
              <w:jc w:val="center"/>
              <w:rPr>
                <w:rFonts w:ascii="方正黑体简体" w:hAnsi="宋体" w:eastAsia="方正黑体简体"/>
                <w:szCs w:val="21"/>
              </w:rPr>
            </w:pPr>
          </w:p>
        </w:tc>
        <w:tc>
          <w:tcPr>
            <w:tcW w:w="446" w:type="dxa"/>
            <w:vMerge w:val="continue"/>
            <w:noWrap w:val="0"/>
            <w:vAlign w:val="center"/>
          </w:tcPr>
          <w:p w14:paraId="5061A5FB">
            <w:pPr>
              <w:spacing w:line="320" w:lineRule="exact"/>
              <w:jc w:val="center"/>
              <w:rPr>
                <w:rFonts w:ascii="方正黑体简体" w:hAnsi="宋体" w:eastAsia="方正黑体简体"/>
                <w:szCs w:val="21"/>
              </w:rPr>
            </w:pPr>
          </w:p>
        </w:tc>
        <w:tc>
          <w:tcPr>
            <w:tcW w:w="425" w:type="dxa"/>
            <w:vMerge w:val="continue"/>
            <w:noWrap w:val="0"/>
            <w:vAlign w:val="center"/>
          </w:tcPr>
          <w:p w14:paraId="0E3AA462">
            <w:pPr>
              <w:spacing w:line="320" w:lineRule="exact"/>
              <w:jc w:val="center"/>
              <w:rPr>
                <w:rFonts w:ascii="方正黑体简体" w:hAnsi="宋体" w:eastAsia="方正黑体简体"/>
                <w:szCs w:val="21"/>
              </w:rPr>
            </w:pPr>
          </w:p>
        </w:tc>
        <w:tc>
          <w:tcPr>
            <w:tcW w:w="3824" w:type="dxa"/>
            <w:noWrap w:val="0"/>
            <w:vAlign w:val="center"/>
          </w:tcPr>
          <w:p w14:paraId="38EDB2F4">
            <w:pPr>
              <w:spacing w:line="320" w:lineRule="exact"/>
              <w:jc w:val="center"/>
              <w:rPr>
                <w:rFonts w:ascii="方正黑体简体" w:hAnsi="宋体" w:eastAsia="方正黑体简体"/>
                <w:szCs w:val="21"/>
              </w:rPr>
            </w:pPr>
            <w:bookmarkStart w:id="124" w:name="_Toc328050243"/>
            <w:r>
              <w:rPr>
                <w:rFonts w:hint="eastAsia" w:ascii="方正黑体简体" w:hAnsi="宋体" w:eastAsia="方正黑体简体"/>
                <w:szCs w:val="21"/>
              </w:rPr>
              <w:t>公用设施营业网点用地(B</w:t>
            </w:r>
            <w:r>
              <w:rPr>
                <w:rFonts w:hint="eastAsia" w:ascii="方正黑体简体" w:hAnsi="宋体" w:eastAsia="方正黑体简体"/>
                <w:szCs w:val="21"/>
                <w:vertAlign w:val="subscript"/>
              </w:rPr>
              <w:t>4</w:t>
            </w:r>
            <w:r>
              <w:rPr>
                <w:rFonts w:hint="eastAsia" w:ascii="方正黑体简体" w:hAnsi="宋体" w:eastAsia="方正黑体简体"/>
                <w:szCs w:val="21"/>
              </w:rPr>
              <w:t>)</w:t>
            </w:r>
            <w:bookmarkEnd w:id="124"/>
          </w:p>
        </w:tc>
        <w:tc>
          <w:tcPr>
            <w:tcW w:w="1754" w:type="dxa"/>
            <w:noWrap w:val="0"/>
            <w:vAlign w:val="center"/>
          </w:tcPr>
          <w:p w14:paraId="351DC682">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1.</w:t>
            </w:r>
            <w:r>
              <w:rPr>
                <w:rFonts w:hint="eastAsia" w:ascii="方正黑体简体" w:hAnsi="宋体" w:eastAsia="方正黑体简体"/>
                <w:szCs w:val="21"/>
                <w:lang w:val="en-US" w:eastAsia="zh-CN"/>
              </w:rPr>
              <w:t>5</w:t>
            </w:r>
            <w:r>
              <w:rPr>
                <w:rFonts w:hint="eastAsia" w:ascii="方正黑体简体" w:hAnsi="宋体" w:eastAsia="方正黑体简体"/>
                <w:szCs w:val="21"/>
              </w:rPr>
              <w:t>1</w:t>
            </w:r>
          </w:p>
        </w:tc>
        <w:tc>
          <w:tcPr>
            <w:tcW w:w="2066" w:type="dxa"/>
            <w:vMerge w:val="continue"/>
            <w:noWrap w:val="0"/>
            <w:vAlign w:val="center"/>
          </w:tcPr>
          <w:p w14:paraId="40D4C9B0">
            <w:pPr>
              <w:spacing w:line="320" w:lineRule="exact"/>
              <w:jc w:val="center"/>
              <w:rPr>
                <w:rFonts w:ascii="方正黑体简体" w:hAnsi="宋体" w:eastAsia="方正黑体简体"/>
                <w:szCs w:val="21"/>
              </w:rPr>
            </w:pPr>
          </w:p>
        </w:tc>
        <w:tc>
          <w:tcPr>
            <w:tcW w:w="1437" w:type="dxa"/>
            <w:vMerge w:val="continue"/>
            <w:noWrap w:val="0"/>
            <w:vAlign w:val="center"/>
          </w:tcPr>
          <w:p w14:paraId="24F4910F">
            <w:pPr>
              <w:spacing w:line="320" w:lineRule="exact"/>
              <w:jc w:val="center"/>
              <w:rPr>
                <w:rFonts w:ascii="方正黑体简体" w:hAnsi="宋体" w:eastAsia="方正黑体简体"/>
                <w:szCs w:val="21"/>
              </w:rPr>
            </w:pPr>
          </w:p>
        </w:tc>
      </w:tr>
      <w:tr w14:paraId="7BA9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524" w:type="dxa"/>
            <w:vMerge w:val="restart"/>
            <w:noWrap w:val="0"/>
            <w:vAlign w:val="center"/>
          </w:tcPr>
          <w:p w14:paraId="22D7F640">
            <w:pPr>
              <w:spacing w:line="320" w:lineRule="exact"/>
              <w:jc w:val="center"/>
              <w:rPr>
                <w:rFonts w:ascii="方正黑体简体" w:hAnsi="宋体" w:eastAsia="方正黑体简体"/>
                <w:szCs w:val="21"/>
              </w:rPr>
            </w:pPr>
            <w:r>
              <w:rPr>
                <w:rFonts w:hint="eastAsia" w:ascii="方正黑体简体" w:hAnsi="宋体" w:eastAsia="方正黑体简体"/>
                <w:szCs w:val="21"/>
              </w:rPr>
              <w:t>4</w:t>
            </w:r>
          </w:p>
        </w:tc>
        <w:tc>
          <w:tcPr>
            <w:tcW w:w="446" w:type="dxa"/>
            <w:vMerge w:val="restart"/>
            <w:noWrap w:val="0"/>
            <w:vAlign w:val="center"/>
          </w:tcPr>
          <w:p w14:paraId="2CD6F304">
            <w:pPr>
              <w:spacing w:line="320" w:lineRule="exact"/>
              <w:jc w:val="center"/>
              <w:rPr>
                <w:rFonts w:ascii="方正黑体简体" w:hAnsi="宋体" w:eastAsia="方正黑体简体"/>
                <w:szCs w:val="21"/>
              </w:rPr>
            </w:pPr>
            <w:bookmarkStart w:id="125" w:name="_Toc328050259"/>
            <w:r>
              <w:rPr>
                <w:rFonts w:hint="eastAsia" w:ascii="方正黑体简体" w:hAnsi="宋体" w:eastAsia="方正黑体简体"/>
                <w:szCs w:val="21"/>
              </w:rPr>
              <w:t>S</w:t>
            </w:r>
            <w:bookmarkEnd w:id="125"/>
          </w:p>
        </w:tc>
        <w:tc>
          <w:tcPr>
            <w:tcW w:w="4249" w:type="dxa"/>
            <w:gridSpan w:val="2"/>
            <w:noWrap w:val="0"/>
            <w:vAlign w:val="center"/>
          </w:tcPr>
          <w:p w14:paraId="18589F00">
            <w:pPr>
              <w:spacing w:line="320" w:lineRule="exact"/>
              <w:jc w:val="center"/>
              <w:rPr>
                <w:rFonts w:ascii="方正黑体简体" w:hAnsi="宋体" w:eastAsia="方正黑体简体"/>
                <w:szCs w:val="21"/>
              </w:rPr>
            </w:pPr>
            <w:bookmarkStart w:id="126" w:name="_Toc328050260"/>
            <w:r>
              <w:rPr>
                <w:rFonts w:hint="eastAsia" w:ascii="方正黑体简体" w:hAnsi="宋体" w:eastAsia="方正黑体简体"/>
                <w:szCs w:val="21"/>
              </w:rPr>
              <w:t>交通设施用地</w:t>
            </w:r>
            <w:bookmarkEnd w:id="126"/>
          </w:p>
        </w:tc>
        <w:tc>
          <w:tcPr>
            <w:tcW w:w="1754" w:type="dxa"/>
            <w:noWrap w:val="0"/>
            <w:vAlign w:val="center"/>
          </w:tcPr>
          <w:p w14:paraId="4CE6E90A">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50.54</w:t>
            </w:r>
          </w:p>
        </w:tc>
        <w:tc>
          <w:tcPr>
            <w:tcW w:w="2066" w:type="dxa"/>
            <w:noWrap w:val="0"/>
            <w:vAlign w:val="center"/>
          </w:tcPr>
          <w:p w14:paraId="1F5B0A25">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15.53</w:t>
            </w:r>
          </w:p>
        </w:tc>
        <w:tc>
          <w:tcPr>
            <w:tcW w:w="1437" w:type="dxa"/>
            <w:vMerge w:val="restart"/>
            <w:noWrap w:val="0"/>
            <w:vAlign w:val="center"/>
          </w:tcPr>
          <w:p w14:paraId="7A4DEDC6">
            <w:pPr>
              <w:spacing w:line="320" w:lineRule="exact"/>
              <w:jc w:val="center"/>
              <w:rPr>
                <w:rFonts w:ascii="方正黑体简体" w:hAnsi="宋体" w:eastAsia="方正黑体简体"/>
                <w:szCs w:val="21"/>
              </w:rPr>
            </w:pPr>
          </w:p>
        </w:tc>
      </w:tr>
      <w:tr w14:paraId="36D8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64D038BF">
            <w:pPr>
              <w:spacing w:line="320" w:lineRule="exact"/>
              <w:jc w:val="center"/>
              <w:rPr>
                <w:rFonts w:ascii="方正黑体简体" w:hAnsi="宋体" w:eastAsia="方正黑体简体"/>
                <w:szCs w:val="21"/>
              </w:rPr>
            </w:pPr>
          </w:p>
        </w:tc>
        <w:tc>
          <w:tcPr>
            <w:tcW w:w="446" w:type="dxa"/>
            <w:vMerge w:val="continue"/>
            <w:noWrap w:val="0"/>
            <w:vAlign w:val="center"/>
          </w:tcPr>
          <w:p w14:paraId="7290011A">
            <w:pPr>
              <w:spacing w:line="320" w:lineRule="exact"/>
              <w:jc w:val="center"/>
              <w:rPr>
                <w:rFonts w:ascii="方正黑体简体" w:hAnsi="宋体" w:eastAsia="方正黑体简体"/>
                <w:szCs w:val="21"/>
              </w:rPr>
            </w:pPr>
          </w:p>
        </w:tc>
        <w:tc>
          <w:tcPr>
            <w:tcW w:w="425" w:type="dxa"/>
            <w:vMerge w:val="restart"/>
            <w:noWrap w:val="0"/>
            <w:vAlign w:val="center"/>
          </w:tcPr>
          <w:p w14:paraId="14405C54">
            <w:pPr>
              <w:spacing w:line="320" w:lineRule="exact"/>
              <w:jc w:val="center"/>
              <w:rPr>
                <w:rFonts w:ascii="方正黑体简体" w:hAnsi="宋体" w:eastAsia="方正黑体简体"/>
                <w:szCs w:val="21"/>
              </w:rPr>
            </w:pPr>
            <w:bookmarkStart w:id="127" w:name="_Toc328050263"/>
            <w:r>
              <w:rPr>
                <w:rFonts w:hint="eastAsia" w:ascii="方正黑体简体" w:hAnsi="宋体" w:eastAsia="方正黑体简体"/>
                <w:szCs w:val="21"/>
              </w:rPr>
              <w:t>其中</w:t>
            </w:r>
            <w:bookmarkEnd w:id="127"/>
          </w:p>
        </w:tc>
        <w:tc>
          <w:tcPr>
            <w:tcW w:w="3824" w:type="dxa"/>
            <w:noWrap w:val="0"/>
            <w:vAlign w:val="center"/>
          </w:tcPr>
          <w:p w14:paraId="6CBD5648">
            <w:pPr>
              <w:spacing w:line="320" w:lineRule="exact"/>
              <w:jc w:val="center"/>
              <w:rPr>
                <w:rFonts w:ascii="方正黑体简体" w:hAnsi="宋体" w:eastAsia="方正黑体简体"/>
                <w:szCs w:val="21"/>
              </w:rPr>
            </w:pPr>
            <w:bookmarkStart w:id="128" w:name="_Toc328050264"/>
            <w:r>
              <w:rPr>
                <w:rFonts w:hint="eastAsia" w:ascii="方正黑体简体" w:hAnsi="宋体" w:eastAsia="方正黑体简体"/>
                <w:szCs w:val="21"/>
              </w:rPr>
              <w:t>城市道路用地(S</w:t>
            </w:r>
            <w:r>
              <w:rPr>
                <w:rFonts w:hint="eastAsia" w:ascii="方正黑体简体" w:hAnsi="宋体" w:eastAsia="方正黑体简体"/>
                <w:szCs w:val="21"/>
                <w:vertAlign w:val="subscript"/>
              </w:rPr>
              <w:t>1</w:t>
            </w:r>
            <w:r>
              <w:rPr>
                <w:rFonts w:hint="eastAsia" w:ascii="方正黑体简体" w:hAnsi="宋体" w:eastAsia="方正黑体简体"/>
                <w:szCs w:val="21"/>
              </w:rPr>
              <w:t>)</w:t>
            </w:r>
            <w:bookmarkEnd w:id="128"/>
          </w:p>
        </w:tc>
        <w:tc>
          <w:tcPr>
            <w:tcW w:w="1754" w:type="dxa"/>
            <w:noWrap w:val="0"/>
            <w:vAlign w:val="center"/>
          </w:tcPr>
          <w:p w14:paraId="204A56E8">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45.41</w:t>
            </w:r>
          </w:p>
        </w:tc>
        <w:tc>
          <w:tcPr>
            <w:tcW w:w="2066" w:type="dxa"/>
            <w:vMerge w:val="restart"/>
            <w:noWrap w:val="0"/>
            <w:vAlign w:val="center"/>
          </w:tcPr>
          <w:p w14:paraId="3EF603B8">
            <w:pPr>
              <w:spacing w:line="320" w:lineRule="exact"/>
              <w:jc w:val="center"/>
              <w:rPr>
                <w:rFonts w:ascii="方正黑体简体" w:hAnsi="宋体" w:eastAsia="方正黑体简体"/>
                <w:szCs w:val="21"/>
              </w:rPr>
            </w:pPr>
          </w:p>
        </w:tc>
        <w:tc>
          <w:tcPr>
            <w:tcW w:w="1437" w:type="dxa"/>
            <w:vMerge w:val="continue"/>
            <w:noWrap w:val="0"/>
            <w:vAlign w:val="center"/>
          </w:tcPr>
          <w:p w14:paraId="273C862F">
            <w:pPr>
              <w:spacing w:line="320" w:lineRule="exact"/>
              <w:jc w:val="center"/>
              <w:rPr>
                <w:rFonts w:ascii="方正黑体简体" w:hAnsi="宋体" w:eastAsia="方正黑体简体"/>
                <w:szCs w:val="21"/>
              </w:rPr>
            </w:pPr>
          </w:p>
        </w:tc>
      </w:tr>
      <w:tr w14:paraId="21BA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7A59C341">
            <w:pPr>
              <w:spacing w:line="320" w:lineRule="exact"/>
              <w:jc w:val="center"/>
              <w:rPr>
                <w:rFonts w:ascii="方正黑体简体" w:hAnsi="宋体" w:eastAsia="方正黑体简体"/>
                <w:szCs w:val="21"/>
              </w:rPr>
            </w:pPr>
          </w:p>
        </w:tc>
        <w:tc>
          <w:tcPr>
            <w:tcW w:w="446" w:type="dxa"/>
            <w:vMerge w:val="continue"/>
            <w:noWrap w:val="0"/>
            <w:vAlign w:val="center"/>
          </w:tcPr>
          <w:p w14:paraId="09AC2C71">
            <w:pPr>
              <w:spacing w:line="320" w:lineRule="exact"/>
              <w:jc w:val="center"/>
              <w:rPr>
                <w:rFonts w:ascii="方正黑体简体" w:hAnsi="宋体" w:eastAsia="方正黑体简体"/>
                <w:szCs w:val="21"/>
              </w:rPr>
            </w:pPr>
          </w:p>
        </w:tc>
        <w:tc>
          <w:tcPr>
            <w:tcW w:w="425" w:type="dxa"/>
            <w:vMerge w:val="continue"/>
            <w:noWrap w:val="0"/>
            <w:vAlign w:val="center"/>
          </w:tcPr>
          <w:p w14:paraId="32BFECFA">
            <w:pPr>
              <w:spacing w:line="320" w:lineRule="exact"/>
              <w:jc w:val="center"/>
              <w:rPr>
                <w:rFonts w:ascii="方正黑体简体" w:hAnsi="宋体" w:eastAsia="方正黑体简体"/>
                <w:szCs w:val="21"/>
              </w:rPr>
            </w:pPr>
          </w:p>
        </w:tc>
        <w:tc>
          <w:tcPr>
            <w:tcW w:w="3824" w:type="dxa"/>
            <w:noWrap w:val="0"/>
            <w:vAlign w:val="center"/>
          </w:tcPr>
          <w:p w14:paraId="1270A823">
            <w:pPr>
              <w:spacing w:line="320" w:lineRule="exact"/>
              <w:jc w:val="center"/>
              <w:rPr>
                <w:rFonts w:ascii="方正黑体简体" w:hAnsi="宋体" w:eastAsia="方正黑体简体"/>
                <w:szCs w:val="21"/>
              </w:rPr>
            </w:pPr>
            <w:bookmarkStart w:id="129" w:name="_Toc328050266"/>
            <w:r>
              <w:rPr>
                <w:rFonts w:hint="eastAsia" w:ascii="方正黑体简体" w:hAnsi="宋体" w:eastAsia="方正黑体简体"/>
                <w:szCs w:val="21"/>
              </w:rPr>
              <w:t>交通枢纽用地(S</w:t>
            </w:r>
            <w:r>
              <w:rPr>
                <w:rFonts w:hint="eastAsia" w:ascii="方正黑体简体" w:hAnsi="宋体" w:eastAsia="方正黑体简体"/>
                <w:szCs w:val="21"/>
                <w:vertAlign w:val="subscript"/>
              </w:rPr>
              <w:t>3</w:t>
            </w:r>
            <w:r>
              <w:rPr>
                <w:rFonts w:hint="eastAsia" w:ascii="方正黑体简体" w:hAnsi="宋体" w:eastAsia="方正黑体简体"/>
                <w:szCs w:val="21"/>
              </w:rPr>
              <w:t>)</w:t>
            </w:r>
            <w:bookmarkEnd w:id="129"/>
          </w:p>
        </w:tc>
        <w:tc>
          <w:tcPr>
            <w:tcW w:w="1754" w:type="dxa"/>
            <w:noWrap w:val="0"/>
            <w:vAlign w:val="center"/>
          </w:tcPr>
          <w:p w14:paraId="32BAE1A4">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3.35</w:t>
            </w:r>
          </w:p>
        </w:tc>
        <w:tc>
          <w:tcPr>
            <w:tcW w:w="2066" w:type="dxa"/>
            <w:vMerge w:val="continue"/>
            <w:noWrap w:val="0"/>
            <w:vAlign w:val="center"/>
          </w:tcPr>
          <w:p w14:paraId="378E1FAA">
            <w:pPr>
              <w:spacing w:line="320" w:lineRule="exact"/>
              <w:jc w:val="center"/>
              <w:rPr>
                <w:rFonts w:ascii="方正黑体简体" w:hAnsi="宋体" w:eastAsia="方正黑体简体"/>
                <w:szCs w:val="21"/>
              </w:rPr>
            </w:pPr>
          </w:p>
        </w:tc>
        <w:tc>
          <w:tcPr>
            <w:tcW w:w="1437" w:type="dxa"/>
            <w:vMerge w:val="continue"/>
            <w:noWrap w:val="0"/>
            <w:vAlign w:val="center"/>
          </w:tcPr>
          <w:p w14:paraId="673EE861">
            <w:pPr>
              <w:spacing w:line="320" w:lineRule="exact"/>
              <w:jc w:val="center"/>
              <w:rPr>
                <w:rFonts w:ascii="方正黑体简体" w:hAnsi="宋体" w:eastAsia="方正黑体简体"/>
                <w:szCs w:val="21"/>
              </w:rPr>
            </w:pPr>
          </w:p>
        </w:tc>
      </w:tr>
      <w:tr w14:paraId="384D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524" w:type="dxa"/>
            <w:vMerge w:val="continue"/>
            <w:noWrap w:val="0"/>
            <w:vAlign w:val="center"/>
          </w:tcPr>
          <w:p w14:paraId="532DCA64">
            <w:pPr>
              <w:spacing w:line="320" w:lineRule="exact"/>
              <w:jc w:val="center"/>
              <w:rPr>
                <w:rFonts w:ascii="方正黑体简体" w:hAnsi="宋体" w:eastAsia="方正黑体简体"/>
                <w:szCs w:val="21"/>
              </w:rPr>
            </w:pPr>
          </w:p>
        </w:tc>
        <w:tc>
          <w:tcPr>
            <w:tcW w:w="446" w:type="dxa"/>
            <w:vMerge w:val="continue"/>
            <w:noWrap w:val="0"/>
            <w:vAlign w:val="center"/>
          </w:tcPr>
          <w:p w14:paraId="2A3765F5">
            <w:pPr>
              <w:spacing w:line="320" w:lineRule="exact"/>
              <w:jc w:val="center"/>
              <w:rPr>
                <w:rFonts w:ascii="方正黑体简体" w:hAnsi="宋体" w:eastAsia="方正黑体简体"/>
                <w:szCs w:val="21"/>
              </w:rPr>
            </w:pPr>
          </w:p>
        </w:tc>
        <w:tc>
          <w:tcPr>
            <w:tcW w:w="425" w:type="dxa"/>
            <w:vMerge w:val="continue"/>
            <w:noWrap w:val="0"/>
            <w:vAlign w:val="center"/>
          </w:tcPr>
          <w:p w14:paraId="034A9194">
            <w:pPr>
              <w:spacing w:line="320" w:lineRule="exact"/>
              <w:jc w:val="center"/>
              <w:rPr>
                <w:rFonts w:ascii="方正黑体简体" w:hAnsi="宋体" w:eastAsia="方正黑体简体"/>
                <w:szCs w:val="21"/>
              </w:rPr>
            </w:pPr>
          </w:p>
        </w:tc>
        <w:tc>
          <w:tcPr>
            <w:tcW w:w="3824" w:type="dxa"/>
            <w:noWrap w:val="0"/>
            <w:vAlign w:val="center"/>
          </w:tcPr>
          <w:p w14:paraId="030AB5E7">
            <w:pPr>
              <w:spacing w:line="320" w:lineRule="exact"/>
              <w:jc w:val="center"/>
              <w:rPr>
                <w:rFonts w:ascii="方正黑体简体" w:hAnsi="宋体" w:eastAsia="方正黑体简体"/>
                <w:szCs w:val="21"/>
              </w:rPr>
            </w:pPr>
            <w:bookmarkStart w:id="130" w:name="_Toc328050268"/>
            <w:r>
              <w:rPr>
                <w:rFonts w:hint="eastAsia" w:ascii="方正黑体简体" w:hAnsi="宋体" w:eastAsia="方正黑体简体"/>
                <w:szCs w:val="21"/>
              </w:rPr>
              <w:t>交通站场用地(S</w:t>
            </w:r>
            <w:r>
              <w:rPr>
                <w:rFonts w:hint="eastAsia" w:ascii="方正黑体简体" w:hAnsi="宋体" w:eastAsia="方正黑体简体"/>
                <w:szCs w:val="21"/>
                <w:vertAlign w:val="subscript"/>
              </w:rPr>
              <w:t>4</w:t>
            </w:r>
            <w:r>
              <w:rPr>
                <w:rFonts w:hint="eastAsia" w:ascii="方正黑体简体" w:hAnsi="宋体" w:eastAsia="方正黑体简体"/>
                <w:szCs w:val="21"/>
              </w:rPr>
              <w:t>)</w:t>
            </w:r>
            <w:bookmarkEnd w:id="130"/>
          </w:p>
        </w:tc>
        <w:tc>
          <w:tcPr>
            <w:tcW w:w="1754" w:type="dxa"/>
            <w:noWrap w:val="0"/>
            <w:vAlign w:val="center"/>
          </w:tcPr>
          <w:p w14:paraId="1FF1B883">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1.78</w:t>
            </w:r>
          </w:p>
        </w:tc>
        <w:tc>
          <w:tcPr>
            <w:tcW w:w="2066" w:type="dxa"/>
            <w:vMerge w:val="continue"/>
            <w:noWrap w:val="0"/>
            <w:vAlign w:val="center"/>
          </w:tcPr>
          <w:p w14:paraId="4E0DC2B7">
            <w:pPr>
              <w:spacing w:line="320" w:lineRule="exact"/>
              <w:jc w:val="center"/>
              <w:rPr>
                <w:rFonts w:ascii="方正黑体简体" w:hAnsi="宋体" w:eastAsia="方正黑体简体"/>
                <w:szCs w:val="21"/>
              </w:rPr>
            </w:pPr>
          </w:p>
        </w:tc>
        <w:tc>
          <w:tcPr>
            <w:tcW w:w="1437" w:type="dxa"/>
            <w:vMerge w:val="continue"/>
            <w:noWrap w:val="0"/>
            <w:vAlign w:val="center"/>
          </w:tcPr>
          <w:p w14:paraId="4A4D08FF">
            <w:pPr>
              <w:spacing w:line="320" w:lineRule="exact"/>
              <w:jc w:val="center"/>
              <w:rPr>
                <w:rFonts w:ascii="方正黑体简体" w:hAnsi="宋体" w:eastAsia="方正黑体简体"/>
                <w:szCs w:val="21"/>
              </w:rPr>
            </w:pPr>
          </w:p>
        </w:tc>
      </w:tr>
      <w:tr w14:paraId="0307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4" w:type="dxa"/>
            <w:vMerge w:val="restart"/>
            <w:noWrap w:val="0"/>
            <w:vAlign w:val="center"/>
          </w:tcPr>
          <w:p w14:paraId="6624D029">
            <w:pPr>
              <w:spacing w:line="320" w:lineRule="exact"/>
              <w:jc w:val="center"/>
              <w:rPr>
                <w:rFonts w:ascii="方正黑体简体" w:hAnsi="宋体" w:eastAsia="方正黑体简体"/>
                <w:szCs w:val="21"/>
              </w:rPr>
            </w:pPr>
            <w:r>
              <w:rPr>
                <w:rFonts w:hint="eastAsia" w:ascii="方正黑体简体" w:hAnsi="宋体" w:eastAsia="方正黑体简体"/>
                <w:szCs w:val="21"/>
              </w:rPr>
              <w:t>5</w:t>
            </w:r>
          </w:p>
        </w:tc>
        <w:tc>
          <w:tcPr>
            <w:tcW w:w="446" w:type="dxa"/>
            <w:vMerge w:val="restart"/>
            <w:noWrap w:val="0"/>
            <w:vAlign w:val="center"/>
          </w:tcPr>
          <w:p w14:paraId="5AC85827">
            <w:pPr>
              <w:spacing w:line="320" w:lineRule="exact"/>
              <w:jc w:val="center"/>
              <w:rPr>
                <w:rFonts w:ascii="方正黑体简体" w:hAnsi="宋体" w:eastAsia="方正黑体简体"/>
                <w:szCs w:val="21"/>
              </w:rPr>
            </w:pPr>
            <w:bookmarkStart w:id="131" w:name="_Toc328050271"/>
            <w:r>
              <w:rPr>
                <w:rFonts w:hint="eastAsia" w:ascii="方正黑体简体" w:hAnsi="宋体" w:eastAsia="方正黑体简体"/>
                <w:szCs w:val="21"/>
              </w:rPr>
              <w:t>U</w:t>
            </w:r>
            <w:bookmarkEnd w:id="131"/>
          </w:p>
        </w:tc>
        <w:tc>
          <w:tcPr>
            <w:tcW w:w="4249" w:type="dxa"/>
            <w:gridSpan w:val="2"/>
            <w:noWrap w:val="0"/>
            <w:vAlign w:val="center"/>
          </w:tcPr>
          <w:p w14:paraId="6DD310F6">
            <w:pPr>
              <w:spacing w:line="320" w:lineRule="exact"/>
              <w:jc w:val="center"/>
              <w:rPr>
                <w:rFonts w:ascii="方正黑体简体" w:hAnsi="宋体" w:eastAsia="方正黑体简体"/>
                <w:szCs w:val="21"/>
              </w:rPr>
            </w:pPr>
            <w:bookmarkStart w:id="132" w:name="_Toc328050272"/>
            <w:r>
              <w:rPr>
                <w:rFonts w:hint="eastAsia" w:ascii="方正黑体简体" w:hAnsi="宋体" w:eastAsia="方正黑体简体"/>
                <w:szCs w:val="21"/>
              </w:rPr>
              <w:t>公用设施用地</w:t>
            </w:r>
            <w:bookmarkEnd w:id="132"/>
          </w:p>
        </w:tc>
        <w:tc>
          <w:tcPr>
            <w:tcW w:w="1754" w:type="dxa"/>
            <w:noWrap w:val="0"/>
            <w:vAlign w:val="center"/>
          </w:tcPr>
          <w:p w14:paraId="6AA475AD">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1.58</w:t>
            </w:r>
          </w:p>
        </w:tc>
        <w:tc>
          <w:tcPr>
            <w:tcW w:w="2066" w:type="dxa"/>
            <w:noWrap w:val="0"/>
            <w:vAlign w:val="center"/>
          </w:tcPr>
          <w:p w14:paraId="46F40D29">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rPr>
              <w:t>0.</w:t>
            </w:r>
            <w:r>
              <w:rPr>
                <w:rFonts w:hint="eastAsia" w:ascii="方正黑体简体" w:hAnsi="宋体" w:eastAsia="方正黑体简体"/>
                <w:szCs w:val="21"/>
                <w:lang w:val="en-US" w:eastAsia="zh-CN"/>
              </w:rPr>
              <w:t>49</w:t>
            </w:r>
          </w:p>
        </w:tc>
        <w:tc>
          <w:tcPr>
            <w:tcW w:w="1437" w:type="dxa"/>
            <w:vMerge w:val="restart"/>
            <w:noWrap w:val="0"/>
            <w:vAlign w:val="center"/>
          </w:tcPr>
          <w:p w14:paraId="6FD887EA">
            <w:pPr>
              <w:spacing w:line="320" w:lineRule="exact"/>
              <w:jc w:val="center"/>
              <w:rPr>
                <w:rFonts w:ascii="方正黑体简体" w:hAnsi="宋体" w:eastAsia="方正黑体简体"/>
                <w:szCs w:val="21"/>
              </w:rPr>
            </w:pPr>
          </w:p>
        </w:tc>
      </w:tr>
      <w:tr w14:paraId="03F6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4" w:type="dxa"/>
            <w:vMerge w:val="continue"/>
            <w:noWrap w:val="0"/>
            <w:vAlign w:val="center"/>
          </w:tcPr>
          <w:p w14:paraId="506D1AA9">
            <w:pPr>
              <w:spacing w:line="320" w:lineRule="exact"/>
              <w:jc w:val="center"/>
              <w:rPr>
                <w:rFonts w:ascii="方正黑体简体" w:hAnsi="宋体" w:eastAsia="方正黑体简体"/>
                <w:szCs w:val="21"/>
              </w:rPr>
            </w:pPr>
          </w:p>
        </w:tc>
        <w:tc>
          <w:tcPr>
            <w:tcW w:w="446" w:type="dxa"/>
            <w:vMerge w:val="continue"/>
            <w:noWrap w:val="0"/>
            <w:vAlign w:val="center"/>
          </w:tcPr>
          <w:p w14:paraId="10C3BFF3">
            <w:pPr>
              <w:spacing w:line="320" w:lineRule="exact"/>
              <w:jc w:val="center"/>
              <w:rPr>
                <w:rFonts w:ascii="方正黑体简体" w:hAnsi="宋体" w:eastAsia="方正黑体简体"/>
                <w:szCs w:val="21"/>
              </w:rPr>
            </w:pPr>
          </w:p>
        </w:tc>
        <w:tc>
          <w:tcPr>
            <w:tcW w:w="425" w:type="dxa"/>
            <w:vMerge w:val="restart"/>
            <w:noWrap w:val="0"/>
            <w:vAlign w:val="center"/>
          </w:tcPr>
          <w:p w14:paraId="4928FF66">
            <w:pPr>
              <w:spacing w:line="320" w:lineRule="exact"/>
              <w:jc w:val="center"/>
              <w:rPr>
                <w:rFonts w:ascii="方正黑体简体" w:hAnsi="宋体" w:eastAsia="方正黑体简体"/>
                <w:szCs w:val="21"/>
              </w:rPr>
            </w:pPr>
            <w:bookmarkStart w:id="133" w:name="_Toc328050275"/>
            <w:r>
              <w:rPr>
                <w:rFonts w:hint="eastAsia" w:ascii="方正黑体简体" w:hAnsi="宋体" w:eastAsia="方正黑体简体"/>
                <w:szCs w:val="21"/>
              </w:rPr>
              <w:t>其中</w:t>
            </w:r>
            <w:bookmarkEnd w:id="133"/>
          </w:p>
        </w:tc>
        <w:tc>
          <w:tcPr>
            <w:tcW w:w="3824" w:type="dxa"/>
            <w:noWrap w:val="0"/>
            <w:vAlign w:val="center"/>
          </w:tcPr>
          <w:p w14:paraId="44486C3F">
            <w:pPr>
              <w:spacing w:line="320" w:lineRule="exact"/>
              <w:jc w:val="center"/>
              <w:rPr>
                <w:rFonts w:ascii="方正黑体简体" w:hAnsi="宋体" w:eastAsia="方正黑体简体"/>
                <w:szCs w:val="21"/>
              </w:rPr>
            </w:pPr>
            <w:bookmarkStart w:id="134" w:name="_Toc328050276"/>
            <w:r>
              <w:rPr>
                <w:rFonts w:hint="eastAsia" w:ascii="方正黑体简体" w:hAnsi="宋体" w:eastAsia="方正黑体简体"/>
                <w:szCs w:val="21"/>
              </w:rPr>
              <w:t>供应设施用地(U</w:t>
            </w:r>
            <w:r>
              <w:rPr>
                <w:rFonts w:hint="eastAsia" w:ascii="方正黑体简体" w:hAnsi="宋体" w:eastAsia="方正黑体简体"/>
                <w:szCs w:val="21"/>
                <w:vertAlign w:val="subscript"/>
              </w:rPr>
              <w:t>1</w:t>
            </w:r>
            <w:r>
              <w:rPr>
                <w:rFonts w:hint="eastAsia" w:ascii="方正黑体简体" w:hAnsi="宋体" w:eastAsia="方正黑体简体"/>
                <w:szCs w:val="21"/>
              </w:rPr>
              <w:t>)</w:t>
            </w:r>
            <w:bookmarkEnd w:id="134"/>
          </w:p>
        </w:tc>
        <w:tc>
          <w:tcPr>
            <w:tcW w:w="1754" w:type="dxa"/>
            <w:noWrap w:val="0"/>
            <w:vAlign w:val="center"/>
          </w:tcPr>
          <w:p w14:paraId="45838568">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0.37</w:t>
            </w:r>
          </w:p>
        </w:tc>
        <w:tc>
          <w:tcPr>
            <w:tcW w:w="2066" w:type="dxa"/>
            <w:vMerge w:val="restart"/>
            <w:noWrap w:val="0"/>
            <w:vAlign w:val="center"/>
          </w:tcPr>
          <w:p w14:paraId="2971AC1D">
            <w:pPr>
              <w:spacing w:line="320" w:lineRule="exact"/>
              <w:jc w:val="center"/>
              <w:rPr>
                <w:rFonts w:ascii="方正黑体简体" w:hAnsi="宋体" w:eastAsia="方正黑体简体"/>
                <w:szCs w:val="21"/>
              </w:rPr>
            </w:pPr>
          </w:p>
        </w:tc>
        <w:tc>
          <w:tcPr>
            <w:tcW w:w="1437" w:type="dxa"/>
            <w:vMerge w:val="continue"/>
            <w:noWrap w:val="0"/>
            <w:vAlign w:val="center"/>
          </w:tcPr>
          <w:p w14:paraId="3BABC328">
            <w:pPr>
              <w:spacing w:line="320" w:lineRule="exact"/>
              <w:jc w:val="center"/>
              <w:rPr>
                <w:rFonts w:ascii="方正黑体简体" w:hAnsi="宋体" w:eastAsia="方正黑体简体"/>
                <w:szCs w:val="21"/>
              </w:rPr>
            </w:pPr>
          </w:p>
        </w:tc>
      </w:tr>
      <w:tr w14:paraId="4B6D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4" w:type="dxa"/>
            <w:vMerge w:val="continue"/>
            <w:noWrap w:val="0"/>
            <w:vAlign w:val="center"/>
          </w:tcPr>
          <w:p w14:paraId="7C217A76">
            <w:pPr>
              <w:spacing w:line="320" w:lineRule="exact"/>
              <w:jc w:val="center"/>
              <w:rPr>
                <w:rFonts w:ascii="方正黑体简体" w:hAnsi="宋体" w:eastAsia="方正黑体简体"/>
                <w:szCs w:val="21"/>
              </w:rPr>
            </w:pPr>
          </w:p>
        </w:tc>
        <w:tc>
          <w:tcPr>
            <w:tcW w:w="446" w:type="dxa"/>
            <w:vMerge w:val="continue"/>
            <w:noWrap w:val="0"/>
            <w:vAlign w:val="center"/>
          </w:tcPr>
          <w:p w14:paraId="4602D4AA">
            <w:pPr>
              <w:spacing w:line="320" w:lineRule="exact"/>
              <w:jc w:val="center"/>
              <w:rPr>
                <w:rFonts w:ascii="方正黑体简体" w:hAnsi="宋体" w:eastAsia="方正黑体简体"/>
                <w:szCs w:val="21"/>
              </w:rPr>
            </w:pPr>
          </w:p>
        </w:tc>
        <w:tc>
          <w:tcPr>
            <w:tcW w:w="425" w:type="dxa"/>
            <w:vMerge w:val="continue"/>
            <w:noWrap w:val="0"/>
            <w:vAlign w:val="center"/>
          </w:tcPr>
          <w:p w14:paraId="5B509DA1">
            <w:pPr>
              <w:spacing w:line="320" w:lineRule="exact"/>
              <w:jc w:val="center"/>
              <w:rPr>
                <w:rFonts w:ascii="方正黑体简体" w:hAnsi="宋体" w:eastAsia="方正黑体简体"/>
                <w:szCs w:val="21"/>
              </w:rPr>
            </w:pPr>
          </w:p>
        </w:tc>
        <w:tc>
          <w:tcPr>
            <w:tcW w:w="3824" w:type="dxa"/>
            <w:noWrap w:val="0"/>
            <w:vAlign w:val="center"/>
          </w:tcPr>
          <w:p w14:paraId="05A0D934">
            <w:pPr>
              <w:spacing w:line="320" w:lineRule="exact"/>
              <w:jc w:val="center"/>
              <w:rPr>
                <w:rFonts w:ascii="方正黑体简体" w:hAnsi="宋体" w:eastAsia="方正黑体简体"/>
                <w:szCs w:val="21"/>
              </w:rPr>
            </w:pPr>
            <w:bookmarkStart w:id="135" w:name="_Toc328050280"/>
            <w:r>
              <w:rPr>
                <w:rFonts w:hint="eastAsia" w:ascii="方正黑体简体" w:hAnsi="宋体" w:eastAsia="方正黑体简体"/>
                <w:szCs w:val="21"/>
              </w:rPr>
              <w:t>环境设施用地(U</w:t>
            </w:r>
            <w:r>
              <w:rPr>
                <w:rFonts w:hint="eastAsia" w:ascii="方正黑体简体" w:hAnsi="宋体" w:eastAsia="方正黑体简体"/>
                <w:szCs w:val="21"/>
                <w:vertAlign w:val="subscript"/>
              </w:rPr>
              <w:t>2</w:t>
            </w:r>
            <w:r>
              <w:rPr>
                <w:rFonts w:hint="eastAsia" w:ascii="方正黑体简体" w:hAnsi="宋体" w:eastAsia="方正黑体简体"/>
                <w:szCs w:val="21"/>
              </w:rPr>
              <w:t>)</w:t>
            </w:r>
            <w:bookmarkEnd w:id="135"/>
          </w:p>
        </w:tc>
        <w:tc>
          <w:tcPr>
            <w:tcW w:w="1754" w:type="dxa"/>
            <w:noWrap w:val="0"/>
            <w:vAlign w:val="center"/>
          </w:tcPr>
          <w:p w14:paraId="31CBCAFD">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0.09</w:t>
            </w:r>
          </w:p>
        </w:tc>
        <w:tc>
          <w:tcPr>
            <w:tcW w:w="2066" w:type="dxa"/>
            <w:vMerge w:val="continue"/>
            <w:noWrap w:val="0"/>
            <w:vAlign w:val="center"/>
          </w:tcPr>
          <w:p w14:paraId="74DDDA2D">
            <w:pPr>
              <w:spacing w:line="320" w:lineRule="exact"/>
              <w:jc w:val="center"/>
              <w:rPr>
                <w:rFonts w:ascii="方正黑体简体" w:hAnsi="宋体" w:eastAsia="方正黑体简体"/>
                <w:szCs w:val="21"/>
              </w:rPr>
            </w:pPr>
          </w:p>
        </w:tc>
        <w:tc>
          <w:tcPr>
            <w:tcW w:w="1437" w:type="dxa"/>
            <w:vMerge w:val="continue"/>
            <w:noWrap w:val="0"/>
            <w:vAlign w:val="center"/>
          </w:tcPr>
          <w:p w14:paraId="680B3BC1">
            <w:pPr>
              <w:spacing w:line="320" w:lineRule="exact"/>
              <w:jc w:val="center"/>
              <w:rPr>
                <w:rFonts w:ascii="方正黑体简体" w:hAnsi="宋体" w:eastAsia="方正黑体简体"/>
                <w:szCs w:val="21"/>
              </w:rPr>
            </w:pPr>
          </w:p>
        </w:tc>
      </w:tr>
      <w:tr w14:paraId="1D61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4" w:type="dxa"/>
            <w:vMerge w:val="continue"/>
            <w:noWrap w:val="0"/>
            <w:vAlign w:val="center"/>
          </w:tcPr>
          <w:p w14:paraId="3B317BCE">
            <w:pPr>
              <w:spacing w:line="320" w:lineRule="exact"/>
              <w:jc w:val="center"/>
              <w:rPr>
                <w:rFonts w:ascii="方正黑体简体" w:hAnsi="宋体" w:eastAsia="方正黑体简体"/>
                <w:szCs w:val="21"/>
              </w:rPr>
            </w:pPr>
          </w:p>
        </w:tc>
        <w:tc>
          <w:tcPr>
            <w:tcW w:w="446" w:type="dxa"/>
            <w:vMerge w:val="continue"/>
            <w:noWrap w:val="0"/>
            <w:vAlign w:val="center"/>
          </w:tcPr>
          <w:p w14:paraId="5D33EEB5">
            <w:pPr>
              <w:spacing w:line="320" w:lineRule="exact"/>
              <w:jc w:val="center"/>
              <w:rPr>
                <w:rFonts w:ascii="方正黑体简体" w:hAnsi="宋体" w:eastAsia="方正黑体简体"/>
                <w:szCs w:val="21"/>
              </w:rPr>
            </w:pPr>
          </w:p>
        </w:tc>
        <w:tc>
          <w:tcPr>
            <w:tcW w:w="425" w:type="dxa"/>
            <w:vMerge w:val="continue"/>
            <w:noWrap w:val="0"/>
            <w:vAlign w:val="center"/>
          </w:tcPr>
          <w:p w14:paraId="044327F6">
            <w:pPr>
              <w:spacing w:line="320" w:lineRule="exact"/>
              <w:jc w:val="center"/>
              <w:rPr>
                <w:rFonts w:ascii="方正黑体简体" w:hAnsi="宋体" w:eastAsia="方正黑体简体"/>
                <w:szCs w:val="21"/>
              </w:rPr>
            </w:pPr>
          </w:p>
        </w:tc>
        <w:tc>
          <w:tcPr>
            <w:tcW w:w="3824" w:type="dxa"/>
            <w:noWrap w:val="0"/>
            <w:vAlign w:val="center"/>
          </w:tcPr>
          <w:p w14:paraId="502E8E4F">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安全设施用地(U</w:t>
            </w:r>
            <w:r>
              <w:rPr>
                <w:rFonts w:hint="eastAsia" w:ascii="方正黑体简体" w:hAnsi="宋体" w:eastAsia="方正黑体简体"/>
                <w:szCs w:val="21"/>
                <w:vertAlign w:val="subscript"/>
              </w:rPr>
              <w:t>3</w:t>
            </w:r>
            <w:r>
              <w:rPr>
                <w:rFonts w:hint="eastAsia" w:ascii="方正黑体简体" w:hAnsi="宋体" w:eastAsia="方正黑体简体"/>
                <w:szCs w:val="21"/>
              </w:rPr>
              <w:t>)</w:t>
            </w:r>
          </w:p>
        </w:tc>
        <w:tc>
          <w:tcPr>
            <w:tcW w:w="1754" w:type="dxa"/>
            <w:noWrap w:val="0"/>
            <w:vAlign w:val="center"/>
          </w:tcPr>
          <w:p w14:paraId="6B1F56F1">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1.12</w:t>
            </w:r>
          </w:p>
        </w:tc>
        <w:tc>
          <w:tcPr>
            <w:tcW w:w="2066" w:type="dxa"/>
            <w:vMerge w:val="continue"/>
            <w:noWrap w:val="0"/>
            <w:vAlign w:val="center"/>
          </w:tcPr>
          <w:p w14:paraId="687FF961">
            <w:pPr>
              <w:spacing w:line="320" w:lineRule="exact"/>
              <w:jc w:val="center"/>
              <w:rPr>
                <w:rFonts w:ascii="方正黑体简体" w:hAnsi="宋体" w:eastAsia="方正黑体简体"/>
                <w:szCs w:val="21"/>
              </w:rPr>
            </w:pPr>
          </w:p>
        </w:tc>
        <w:tc>
          <w:tcPr>
            <w:tcW w:w="1437" w:type="dxa"/>
            <w:noWrap w:val="0"/>
            <w:vAlign w:val="center"/>
          </w:tcPr>
          <w:p w14:paraId="35CF2AFA">
            <w:pPr>
              <w:spacing w:line="320" w:lineRule="exact"/>
              <w:jc w:val="center"/>
              <w:rPr>
                <w:rFonts w:ascii="方正黑体简体" w:hAnsi="宋体" w:eastAsia="方正黑体简体"/>
                <w:szCs w:val="21"/>
              </w:rPr>
            </w:pPr>
          </w:p>
        </w:tc>
      </w:tr>
      <w:tr w14:paraId="229C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restart"/>
            <w:noWrap w:val="0"/>
            <w:vAlign w:val="center"/>
          </w:tcPr>
          <w:p w14:paraId="76EB91D5">
            <w:pPr>
              <w:spacing w:line="320" w:lineRule="exact"/>
              <w:jc w:val="center"/>
              <w:rPr>
                <w:rFonts w:ascii="方正黑体简体" w:hAnsi="宋体" w:eastAsia="方正黑体简体"/>
                <w:szCs w:val="21"/>
              </w:rPr>
            </w:pPr>
            <w:r>
              <w:rPr>
                <w:rFonts w:hint="eastAsia" w:ascii="方正黑体简体" w:hAnsi="宋体" w:eastAsia="方正黑体简体"/>
                <w:szCs w:val="21"/>
              </w:rPr>
              <w:t>6</w:t>
            </w:r>
          </w:p>
        </w:tc>
        <w:tc>
          <w:tcPr>
            <w:tcW w:w="446" w:type="dxa"/>
            <w:vMerge w:val="restart"/>
            <w:noWrap w:val="0"/>
            <w:vAlign w:val="center"/>
          </w:tcPr>
          <w:p w14:paraId="4FA47A00">
            <w:pPr>
              <w:spacing w:line="320" w:lineRule="exact"/>
              <w:jc w:val="center"/>
              <w:rPr>
                <w:rFonts w:ascii="方正黑体简体" w:hAnsi="宋体" w:eastAsia="方正黑体简体"/>
                <w:szCs w:val="21"/>
              </w:rPr>
            </w:pPr>
            <w:bookmarkStart w:id="136" w:name="_Toc328050283"/>
            <w:r>
              <w:rPr>
                <w:rFonts w:hint="eastAsia" w:ascii="方正黑体简体" w:hAnsi="宋体" w:eastAsia="方正黑体简体"/>
                <w:szCs w:val="21"/>
              </w:rPr>
              <w:t>G</w:t>
            </w:r>
            <w:bookmarkEnd w:id="136"/>
          </w:p>
        </w:tc>
        <w:tc>
          <w:tcPr>
            <w:tcW w:w="4249" w:type="dxa"/>
            <w:gridSpan w:val="2"/>
            <w:noWrap w:val="0"/>
            <w:vAlign w:val="center"/>
          </w:tcPr>
          <w:p w14:paraId="6972F77F">
            <w:pPr>
              <w:spacing w:line="320" w:lineRule="exact"/>
              <w:jc w:val="center"/>
              <w:rPr>
                <w:rFonts w:ascii="方正黑体简体" w:hAnsi="宋体" w:eastAsia="方正黑体简体"/>
                <w:szCs w:val="21"/>
              </w:rPr>
            </w:pPr>
            <w:bookmarkStart w:id="137" w:name="_Toc328050284"/>
            <w:r>
              <w:rPr>
                <w:rFonts w:hint="eastAsia" w:ascii="方正黑体简体" w:hAnsi="宋体" w:eastAsia="方正黑体简体"/>
                <w:szCs w:val="21"/>
              </w:rPr>
              <w:t>绿地与广场用地</w:t>
            </w:r>
            <w:bookmarkEnd w:id="137"/>
          </w:p>
        </w:tc>
        <w:tc>
          <w:tcPr>
            <w:tcW w:w="1754" w:type="dxa"/>
            <w:noWrap w:val="0"/>
            <w:vAlign w:val="center"/>
          </w:tcPr>
          <w:p w14:paraId="1D7E564D">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29.44</w:t>
            </w:r>
          </w:p>
        </w:tc>
        <w:tc>
          <w:tcPr>
            <w:tcW w:w="2066" w:type="dxa"/>
            <w:noWrap w:val="0"/>
            <w:vAlign w:val="center"/>
          </w:tcPr>
          <w:p w14:paraId="5E3F7E14">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9.04</w:t>
            </w:r>
          </w:p>
        </w:tc>
        <w:tc>
          <w:tcPr>
            <w:tcW w:w="1437" w:type="dxa"/>
            <w:vMerge w:val="restart"/>
            <w:noWrap w:val="0"/>
            <w:vAlign w:val="center"/>
          </w:tcPr>
          <w:p w14:paraId="158D2275">
            <w:pPr>
              <w:spacing w:line="320" w:lineRule="exact"/>
              <w:jc w:val="center"/>
              <w:rPr>
                <w:rFonts w:ascii="方正黑体简体" w:hAnsi="宋体" w:eastAsia="方正黑体简体"/>
                <w:szCs w:val="21"/>
              </w:rPr>
            </w:pPr>
          </w:p>
        </w:tc>
      </w:tr>
      <w:tr w14:paraId="55D9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097888A7">
            <w:pPr>
              <w:spacing w:line="320" w:lineRule="exact"/>
              <w:jc w:val="center"/>
              <w:rPr>
                <w:rFonts w:ascii="方正黑体简体" w:hAnsi="宋体" w:eastAsia="方正黑体简体"/>
                <w:szCs w:val="21"/>
              </w:rPr>
            </w:pPr>
          </w:p>
        </w:tc>
        <w:tc>
          <w:tcPr>
            <w:tcW w:w="446" w:type="dxa"/>
            <w:vMerge w:val="continue"/>
            <w:noWrap w:val="0"/>
            <w:vAlign w:val="center"/>
          </w:tcPr>
          <w:p w14:paraId="3A9D7E9B">
            <w:pPr>
              <w:spacing w:line="320" w:lineRule="exact"/>
              <w:jc w:val="center"/>
              <w:rPr>
                <w:rFonts w:ascii="方正黑体简体" w:hAnsi="宋体" w:eastAsia="方正黑体简体"/>
                <w:szCs w:val="21"/>
              </w:rPr>
            </w:pPr>
          </w:p>
        </w:tc>
        <w:tc>
          <w:tcPr>
            <w:tcW w:w="425" w:type="dxa"/>
            <w:vMerge w:val="restart"/>
            <w:noWrap w:val="0"/>
            <w:vAlign w:val="center"/>
          </w:tcPr>
          <w:p w14:paraId="77680667">
            <w:pPr>
              <w:spacing w:line="320" w:lineRule="exact"/>
              <w:jc w:val="center"/>
              <w:rPr>
                <w:rFonts w:ascii="方正黑体简体" w:hAnsi="宋体" w:eastAsia="方正黑体简体"/>
                <w:szCs w:val="21"/>
              </w:rPr>
            </w:pPr>
            <w:bookmarkStart w:id="138" w:name="_Toc328050287"/>
            <w:r>
              <w:rPr>
                <w:rFonts w:hint="eastAsia" w:ascii="方正黑体简体" w:hAnsi="宋体" w:eastAsia="方正黑体简体"/>
                <w:szCs w:val="21"/>
              </w:rPr>
              <w:t>其中</w:t>
            </w:r>
            <w:bookmarkEnd w:id="138"/>
          </w:p>
        </w:tc>
        <w:tc>
          <w:tcPr>
            <w:tcW w:w="3824" w:type="dxa"/>
            <w:noWrap w:val="0"/>
            <w:vAlign w:val="center"/>
          </w:tcPr>
          <w:p w14:paraId="6C8337CC">
            <w:pPr>
              <w:spacing w:line="320" w:lineRule="exact"/>
              <w:jc w:val="center"/>
              <w:rPr>
                <w:rFonts w:ascii="方正黑体简体" w:hAnsi="宋体" w:eastAsia="方正黑体简体"/>
                <w:szCs w:val="21"/>
              </w:rPr>
            </w:pPr>
            <w:bookmarkStart w:id="139" w:name="_Toc328050288"/>
            <w:r>
              <w:rPr>
                <w:rFonts w:hint="eastAsia" w:ascii="方正黑体简体" w:hAnsi="宋体" w:eastAsia="方正黑体简体"/>
                <w:szCs w:val="21"/>
              </w:rPr>
              <w:t>公园绿地(G</w:t>
            </w:r>
            <w:r>
              <w:rPr>
                <w:rFonts w:hint="eastAsia" w:ascii="方正黑体简体" w:hAnsi="宋体" w:eastAsia="方正黑体简体"/>
                <w:szCs w:val="21"/>
                <w:vertAlign w:val="subscript"/>
              </w:rPr>
              <w:t>1</w:t>
            </w:r>
            <w:r>
              <w:rPr>
                <w:rFonts w:hint="eastAsia" w:ascii="方正黑体简体" w:hAnsi="宋体" w:eastAsia="方正黑体简体"/>
                <w:szCs w:val="21"/>
              </w:rPr>
              <w:t>)</w:t>
            </w:r>
            <w:bookmarkEnd w:id="139"/>
          </w:p>
        </w:tc>
        <w:tc>
          <w:tcPr>
            <w:tcW w:w="1754" w:type="dxa"/>
            <w:noWrap w:val="0"/>
            <w:vAlign w:val="center"/>
          </w:tcPr>
          <w:p w14:paraId="22413F0C">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23.48</w:t>
            </w:r>
          </w:p>
        </w:tc>
        <w:tc>
          <w:tcPr>
            <w:tcW w:w="2066" w:type="dxa"/>
            <w:vMerge w:val="restart"/>
            <w:noWrap w:val="0"/>
            <w:vAlign w:val="center"/>
          </w:tcPr>
          <w:p w14:paraId="76D95721">
            <w:pPr>
              <w:spacing w:line="320" w:lineRule="exact"/>
              <w:jc w:val="center"/>
              <w:rPr>
                <w:rFonts w:ascii="方正黑体简体" w:hAnsi="宋体" w:eastAsia="方正黑体简体"/>
                <w:szCs w:val="21"/>
              </w:rPr>
            </w:pPr>
          </w:p>
        </w:tc>
        <w:tc>
          <w:tcPr>
            <w:tcW w:w="1437" w:type="dxa"/>
            <w:vMerge w:val="continue"/>
            <w:noWrap w:val="0"/>
            <w:vAlign w:val="center"/>
          </w:tcPr>
          <w:p w14:paraId="26F54A2A">
            <w:pPr>
              <w:spacing w:line="320" w:lineRule="exact"/>
              <w:jc w:val="center"/>
              <w:rPr>
                <w:rFonts w:ascii="方正黑体简体" w:hAnsi="宋体" w:eastAsia="方正黑体简体"/>
                <w:szCs w:val="21"/>
              </w:rPr>
            </w:pPr>
          </w:p>
        </w:tc>
      </w:tr>
      <w:tr w14:paraId="49C4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779848E2">
            <w:pPr>
              <w:spacing w:line="320" w:lineRule="exact"/>
              <w:jc w:val="center"/>
              <w:rPr>
                <w:rFonts w:ascii="方正黑体简体" w:hAnsi="宋体" w:eastAsia="方正黑体简体"/>
                <w:szCs w:val="21"/>
              </w:rPr>
            </w:pPr>
          </w:p>
        </w:tc>
        <w:tc>
          <w:tcPr>
            <w:tcW w:w="446" w:type="dxa"/>
            <w:vMerge w:val="continue"/>
            <w:noWrap w:val="0"/>
            <w:vAlign w:val="center"/>
          </w:tcPr>
          <w:p w14:paraId="48DA3321">
            <w:pPr>
              <w:spacing w:line="320" w:lineRule="exact"/>
              <w:jc w:val="center"/>
              <w:rPr>
                <w:rFonts w:ascii="方正黑体简体" w:hAnsi="宋体" w:eastAsia="方正黑体简体"/>
                <w:szCs w:val="21"/>
              </w:rPr>
            </w:pPr>
          </w:p>
        </w:tc>
        <w:tc>
          <w:tcPr>
            <w:tcW w:w="425" w:type="dxa"/>
            <w:vMerge w:val="continue"/>
            <w:noWrap w:val="0"/>
            <w:vAlign w:val="center"/>
          </w:tcPr>
          <w:p w14:paraId="75FE76DF">
            <w:pPr>
              <w:spacing w:line="320" w:lineRule="exact"/>
              <w:jc w:val="center"/>
              <w:rPr>
                <w:rFonts w:ascii="方正黑体简体" w:hAnsi="宋体" w:eastAsia="方正黑体简体"/>
                <w:szCs w:val="21"/>
              </w:rPr>
            </w:pPr>
          </w:p>
        </w:tc>
        <w:tc>
          <w:tcPr>
            <w:tcW w:w="3824" w:type="dxa"/>
            <w:noWrap w:val="0"/>
            <w:vAlign w:val="center"/>
          </w:tcPr>
          <w:p w14:paraId="0B379943">
            <w:pPr>
              <w:spacing w:line="320" w:lineRule="exact"/>
              <w:jc w:val="center"/>
              <w:rPr>
                <w:rFonts w:ascii="方正黑体简体" w:hAnsi="宋体" w:eastAsia="方正黑体简体"/>
                <w:szCs w:val="21"/>
              </w:rPr>
            </w:pPr>
            <w:bookmarkStart w:id="140" w:name="_Toc328050290"/>
            <w:r>
              <w:rPr>
                <w:rFonts w:hint="eastAsia" w:ascii="方正黑体简体" w:hAnsi="宋体" w:eastAsia="方正黑体简体"/>
                <w:szCs w:val="21"/>
              </w:rPr>
              <w:t>防护绿地(G</w:t>
            </w:r>
            <w:r>
              <w:rPr>
                <w:rFonts w:hint="eastAsia" w:ascii="方正黑体简体" w:hAnsi="宋体" w:eastAsia="方正黑体简体"/>
                <w:szCs w:val="21"/>
                <w:vertAlign w:val="subscript"/>
              </w:rPr>
              <w:t>2</w:t>
            </w:r>
            <w:r>
              <w:rPr>
                <w:rFonts w:hint="eastAsia" w:ascii="方正黑体简体" w:hAnsi="宋体" w:eastAsia="方正黑体简体"/>
                <w:szCs w:val="21"/>
              </w:rPr>
              <w:t>)</w:t>
            </w:r>
            <w:bookmarkEnd w:id="140"/>
          </w:p>
        </w:tc>
        <w:tc>
          <w:tcPr>
            <w:tcW w:w="1754" w:type="dxa"/>
            <w:noWrap w:val="0"/>
            <w:vAlign w:val="center"/>
          </w:tcPr>
          <w:p w14:paraId="26936C87">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5.25</w:t>
            </w:r>
          </w:p>
        </w:tc>
        <w:tc>
          <w:tcPr>
            <w:tcW w:w="2066" w:type="dxa"/>
            <w:vMerge w:val="continue"/>
            <w:noWrap w:val="0"/>
            <w:vAlign w:val="center"/>
          </w:tcPr>
          <w:p w14:paraId="5DD84D2B">
            <w:pPr>
              <w:spacing w:line="320" w:lineRule="exact"/>
              <w:jc w:val="center"/>
              <w:rPr>
                <w:rFonts w:ascii="方正黑体简体" w:hAnsi="宋体" w:eastAsia="方正黑体简体"/>
                <w:szCs w:val="21"/>
              </w:rPr>
            </w:pPr>
          </w:p>
        </w:tc>
        <w:tc>
          <w:tcPr>
            <w:tcW w:w="1437" w:type="dxa"/>
            <w:vMerge w:val="continue"/>
            <w:noWrap w:val="0"/>
            <w:vAlign w:val="center"/>
          </w:tcPr>
          <w:p w14:paraId="5B56415D">
            <w:pPr>
              <w:spacing w:line="320" w:lineRule="exact"/>
              <w:jc w:val="center"/>
              <w:rPr>
                <w:rFonts w:ascii="方正黑体简体" w:hAnsi="宋体" w:eastAsia="方正黑体简体"/>
                <w:szCs w:val="21"/>
              </w:rPr>
            </w:pPr>
          </w:p>
        </w:tc>
      </w:tr>
      <w:tr w14:paraId="329E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vMerge w:val="continue"/>
            <w:noWrap w:val="0"/>
            <w:vAlign w:val="center"/>
          </w:tcPr>
          <w:p w14:paraId="7B906098">
            <w:pPr>
              <w:spacing w:line="320" w:lineRule="exact"/>
              <w:jc w:val="center"/>
              <w:rPr>
                <w:rFonts w:ascii="方正黑体简体" w:hAnsi="宋体" w:eastAsia="方正黑体简体"/>
                <w:szCs w:val="21"/>
              </w:rPr>
            </w:pPr>
          </w:p>
        </w:tc>
        <w:tc>
          <w:tcPr>
            <w:tcW w:w="446" w:type="dxa"/>
            <w:vMerge w:val="continue"/>
            <w:noWrap w:val="0"/>
            <w:vAlign w:val="center"/>
          </w:tcPr>
          <w:p w14:paraId="40BC383D">
            <w:pPr>
              <w:spacing w:line="320" w:lineRule="exact"/>
              <w:jc w:val="center"/>
              <w:rPr>
                <w:rFonts w:ascii="方正黑体简体" w:hAnsi="宋体" w:eastAsia="方正黑体简体"/>
                <w:szCs w:val="21"/>
              </w:rPr>
            </w:pPr>
          </w:p>
        </w:tc>
        <w:tc>
          <w:tcPr>
            <w:tcW w:w="425" w:type="dxa"/>
            <w:vMerge w:val="continue"/>
            <w:noWrap w:val="0"/>
            <w:vAlign w:val="center"/>
          </w:tcPr>
          <w:p w14:paraId="25F339A2">
            <w:pPr>
              <w:spacing w:line="320" w:lineRule="exact"/>
              <w:jc w:val="center"/>
              <w:rPr>
                <w:rFonts w:ascii="方正黑体简体" w:hAnsi="宋体" w:eastAsia="方正黑体简体"/>
                <w:szCs w:val="21"/>
              </w:rPr>
            </w:pPr>
          </w:p>
        </w:tc>
        <w:tc>
          <w:tcPr>
            <w:tcW w:w="3824" w:type="dxa"/>
            <w:noWrap w:val="0"/>
            <w:vAlign w:val="center"/>
          </w:tcPr>
          <w:p w14:paraId="5F85E7B3">
            <w:pPr>
              <w:spacing w:line="320" w:lineRule="exact"/>
              <w:jc w:val="center"/>
              <w:rPr>
                <w:rFonts w:ascii="方正黑体简体" w:hAnsi="宋体" w:eastAsia="方正黑体简体"/>
                <w:szCs w:val="21"/>
              </w:rPr>
            </w:pPr>
            <w:bookmarkStart w:id="141" w:name="_Toc328050292"/>
            <w:r>
              <w:rPr>
                <w:rFonts w:hint="eastAsia" w:ascii="方正黑体简体" w:hAnsi="宋体" w:eastAsia="方正黑体简体"/>
                <w:szCs w:val="21"/>
              </w:rPr>
              <w:t>广场用地(G</w:t>
            </w:r>
            <w:r>
              <w:rPr>
                <w:rFonts w:hint="eastAsia" w:ascii="方正黑体简体" w:hAnsi="宋体" w:eastAsia="方正黑体简体"/>
                <w:szCs w:val="21"/>
                <w:vertAlign w:val="subscript"/>
              </w:rPr>
              <w:t>3</w:t>
            </w:r>
            <w:r>
              <w:rPr>
                <w:rFonts w:hint="eastAsia" w:ascii="方正黑体简体" w:hAnsi="宋体" w:eastAsia="方正黑体简体"/>
                <w:szCs w:val="21"/>
              </w:rPr>
              <w:t>)</w:t>
            </w:r>
            <w:bookmarkEnd w:id="141"/>
          </w:p>
        </w:tc>
        <w:tc>
          <w:tcPr>
            <w:tcW w:w="1754" w:type="dxa"/>
            <w:noWrap w:val="0"/>
            <w:vAlign w:val="center"/>
          </w:tcPr>
          <w:p w14:paraId="76555611">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lang w:val="en-US" w:eastAsia="zh-CN"/>
              </w:rPr>
              <w:t>0.71</w:t>
            </w:r>
          </w:p>
        </w:tc>
        <w:tc>
          <w:tcPr>
            <w:tcW w:w="2066" w:type="dxa"/>
            <w:vMerge w:val="continue"/>
            <w:noWrap w:val="0"/>
            <w:vAlign w:val="center"/>
          </w:tcPr>
          <w:p w14:paraId="329D241C">
            <w:pPr>
              <w:spacing w:line="320" w:lineRule="exact"/>
              <w:jc w:val="center"/>
              <w:rPr>
                <w:rFonts w:ascii="方正黑体简体" w:hAnsi="宋体" w:eastAsia="方正黑体简体"/>
                <w:szCs w:val="21"/>
              </w:rPr>
            </w:pPr>
          </w:p>
        </w:tc>
        <w:tc>
          <w:tcPr>
            <w:tcW w:w="1437" w:type="dxa"/>
            <w:vMerge w:val="continue"/>
            <w:noWrap w:val="0"/>
            <w:vAlign w:val="center"/>
          </w:tcPr>
          <w:p w14:paraId="65A7E7DA">
            <w:pPr>
              <w:spacing w:line="320" w:lineRule="exact"/>
              <w:jc w:val="center"/>
              <w:rPr>
                <w:rFonts w:ascii="方正黑体简体" w:hAnsi="宋体" w:eastAsia="方正黑体简体"/>
                <w:szCs w:val="21"/>
              </w:rPr>
            </w:pPr>
          </w:p>
        </w:tc>
      </w:tr>
      <w:tr w14:paraId="7489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noWrap w:val="0"/>
            <w:vAlign w:val="center"/>
          </w:tcPr>
          <w:p w14:paraId="76CB780A">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7</w:t>
            </w:r>
          </w:p>
        </w:tc>
        <w:tc>
          <w:tcPr>
            <w:tcW w:w="4695" w:type="dxa"/>
            <w:gridSpan w:val="3"/>
            <w:noWrap w:val="0"/>
            <w:vAlign w:val="center"/>
          </w:tcPr>
          <w:p w14:paraId="4AF40DD9">
            <w:pPr>
              <w:spacing w:line="320" w:lineRule="exact"/>
              <w:jc w:val="center"/>
              <w:rPr>
                <w:rFonts w:hint="eastAsia" w:ascii="方正黑体简体" w:hAnsi="宋体" w:eastAsia="方正黑体简体"/>
                <w:szCs w:val="21"/>
              </w:rPr>
            </w:pPr>
            <w:r>
              <w:rPr>
                <w:rFonts w:hint="eastAsia" w:ascii="方正黑体简体" w:hAnsi="宋体" w:eastAsia="方正黑体简体"/>
                <w:szCs w:val="21"/>
              </w:rPr>
              <w:t>弹性留白用地</w:t>
            </w:r>
          </w:p>
        </w:tc>
        <w:tc>
          <w:tcPr>
            <w:tcW w:w="1754" w:type="dxa"/>
            <w:noWrap w:val="0"/>
            <w:vAlign w:val="center"/>
          </w:tcPr>
          <w:p w14:paraId="1D894272">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rPr>
              <w:t>1.</w:t>
            </w:r>
            <w:r>
              <w:rPr>
                <w:rFonts w:hint="eastAsia" w:ascii="方正黑体简体" w:hAnsi="宋体" w:eastAsia="方正黑体简体"/>
                <w:szCs w:val="21"/>
                <w:lang w:val="en-US" w:eastAsia="zh-CN"/>
              </w:rPr>
              <w:t>04</w:t>
            </w:r>
          </w:p>
        </w:tc>
        <w:tc>
          <w:tcPr>
            <w:tcW w:w="2066" w:type="dxa"/>
            <w:noWrap w:val="0"/>
            <w:vAlign w:val="center"/>
          </w:tcPr>
          <w:p w14:paraId="681452BF">
            <w:pPr>
              <w:spacing w:line="320" w:lineRule="exact"/>
              <w:jc w:val="center"/>
              <w:rPr>
                <w:rFonts w:hint="eastAsia" w:ascii="方正黑体简体" w:hAnsi="宋体" w:eastAsia="方正黑体简体"/>
                <w:szCs w:val="21"/>
                <w:lang w:eastAsia="zh-CN"/>
              </w:rPr>
            </w:pPr>
            <w:r>
              <w:rPr>
                <w:rFonts w:hint="eastAsia" w:ascii="方正黑体简体" w:hAnsi="宋体" w:eastAsia="方正黑体简体"/>
                <w:szCs w:val="21"/>
              </w:rPr>
              <w:t>0.3</w:t>
            </w:r>
            <w:r>
              <w:rPr>
                <w:rFonts w:hint="eastAsia" w:ascii="方正黑体简体" w:hAnsi="宋体" w:eastAsia="方正黑体简体"/>
                <w:szCs w:val="21"/>
                <w:lang w:val="en-US" w:eastAsia="zh-CN"/>
              </w:rPr>
              <w:t>2</w:t>
            </w:r>
          </w:p>
        </w:tc>
        <w:tc>
          <w:tcPr>
            <w:tcW w:w="1437" w:type="dxa"/>
            <w:noWrap w:val="0"/>
            <w:vAlign w:val="center"/>
          </w:tcPr>
          <w:p w14:paraId="68C6C5F3">
            <w:pPr>
              <w:spacing w:line="320" w:lineRule="exact"/>
              <w:jc w:val="center"/>
              <w:rPr>
                <w:rFonts w:ascii="方正黑体简体" w:hAnsi="宋体" w:eastAsia="方正黑体简体"/>
                <w:szCs w:val="21"/>
              </w:rPr>
            </w:pPr>
          </w:p>
        </w:tc>
      </w:tr>
      <w:tr w14:paraId="6B2E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24" w:type="dxa"/>
            <w:noWrap w:val="0"/>
            <w:vAlign w:val="center"/>
          </w:tcPr>
          <w:p w14:paraId="28491B86">
            <w:pPr>
              <w:spacing w:line="320" w:lineRule="exact"/>
              <w:jc w:val="center"/>
              <w:rPr>
                <w:rFonts w:ascii="方正黑体简体" w:hAnsi="宋体" w:eastAsia="方正黑体简体"/>
                <w:szCs w:val="21"/>
              </w:rPr>
            </w:pPr>
          </w:p>
        </w:tc>
        <w:tc>
          <w:tcPr>
            <w:tcW w:w="4695" w:type="dxa"/>
            <w:gridSpan w:val="3"/>
            <w:noWrap w:val="0"/>
            <w:vAlign w:val="center"/>
          </w:tcPr>
          <w:p w14:paraId="5A6551E0">
            <w:pPr>
              <w:spacing w:line="320" w:lineRule="exact"/>
              <w:jc w:val="center"/>
              <w:rPr>
                <w:rFonts w:ascii="方正黑体简体" w:hAnsi="宋体" w:eastAsia="方正黑体简体"/>
                <w:szCs w:val="21"/>
              </w:rPr>
            </w:pPr>
            <w:bookmarkStart w:id="142" w:name="_Toc328050294"/>
            <w:r>
              <w:rPr>
                <w:rFonts w:hint="eastAsia" w:ascii="方正黑体简体" w:hAnsi="宋体" w:eastAsia="方正黑体简体"/>
                <w:szCs w:val="21"/>
              </w:rPr>
              <w:t>城市建设用地</w:t>
            </w:r>
            <w:bookmarkEnd w:id="142"/>
          </w:p>
        </w:tc>
        <w:tc>
          <w:tcPr>
            <w:tcW w:w="1754" w:type="dxa"/>
            <w:noWrap w:val="0"/>
            <w:vAlign w:val="center"/>
          </w:tcPr>
          <w:p w14:paraId="606E1BDF">
            <w:pPr>
              <w:spacing w:line="320" w:lineRule="exact"/>
              <w:jc w:val="center"/>
              <w:rPr>
                <w:rFonts w:hint="default" w:ascii="方正黑体简体" w:hAnsi="宋体" w:eastAsia="方正黑体简体"/>
                <w:szCs w:val="21"/>
                <w:lang w:val="en-US" w:eastAsia="zh-CN"/>
              </w:rPr>
            </w:pPr>
            <w:r>
              <w:rPr>
                <w:rFonts w:hint="eastAsia" w:ascii="方正黑体简体" w:hAnsi="宋体" w:eastAsia="方正黑体简体"/>
                <w:szCs w:val="21"/>
              </w:rPr>
              <w:t>32</w:t>
            </w:r>
            <w:r>
              <w:rPr>
                <w:rFonts w:hint="eastAsia" w:ascii="方正黑体简体" w:hAnsi="宋体" w:eastAsia="方正黑体简体"/>
                <w:szCs w:val="21"/>
                <w:lang w:val="en-US" w:eastAsia="zh-CN"/>
              </w:rPr>
              <w:t>5.49</w:t>
            </w:r>
          </w:p>
        </w:tc>
        <w:tc>
          <w:tcPr>
            <w:tcW w:w="2066" w:type="dxa"/>
            <w:noWrap w:val="0"/>
            <w:vAlign w:val="center"/>
          </w:tcPr>
          <w:p w14:paraId="654E1F47">
            <w:pPr>
              <w:spacing w:line="320" w:lineRule="exact"/>
              <w:jc w:val="center"/>
              <w:rPr>
                <w:rFonts w:ascii="方正黑体简体" w:hAnsi="宋体" w:eastAsia="方正黑体简体"/>
                <w:szCs w:val="21"/>
              </w:rPr>
            </w:pPr>
            <w:bookmarkStart w:id="143" w:name="_Toc328050296"/>
            <w:r>
              <w:rPr>
                <w:rFonts w:hint="eastAsia" w:ascii="方正黑体简体" w:hAnsi="宋体" w:eastAsia="方正黑体简体"/>
                <w:szCs w:val="21"/>
              </w:rPr>
              <w:t>100</w:t>
            </w:r>
            <w:bookmarkEnd w:id="143"/>
          </w:p>
        </w:tc>
        <w:tc>
          <w:tcPr>
            <w:tcW w:w="1437" w:type="dxa"/>
            <w:noWrap w:val="0"/>
            <w:vAlign w:val="center"/>
          </w:tcPr>
          <w:p w14:paraId="0E0C0B89">
            <w:pPr>
              <w:spacing w:line="320" w:lineRule="exact"/>
              <w:jc w:val="center"/>
              <w:rPr>
                <w:rFonts w:ascii="方正黑体简体" w:hAnsi="宋体" w:eastAsia="方正黑体简体"/>
                <w:szCs w:val="21"/>
              </w:rPr>
            </w:pPr>
          </w:p>
        </w:tc>
      </w:tr>
      <w:tr w14:paraId="325B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76" w:type="dxa"/>
            <w:gridSpan w:val="7"/>
            <w:noWrap w:val="0"/>
            <w:vAlign w:val="center"/>
          </w:tcPr>
          <w:p w14:paraId="53B3EDEA">
            <w:pPr>
              <w:spacing w:line="320" w:lineRule="exact"/>
              <w:jc w:val="center"/>
              <w:rPr>
                <w:rFonts w:ascii="方正黑体简体" w:hAnsi="宋体" w:eastAsia="方正黑体简体"/>
                <w:szCs w:val="21"/>
              </w:rPr>
            </w:pPr>
            <w:bookmarkStart w:id="144" w:name="_Toc328050297"/>
            <w:r>
              <w:rPr>
                <w:rFonts w:hint="eastAsia" w:ascii="方正黑体简体" w:hAnsi="宋体" w:eastAsia="方正黑体简体"/>
                <w:szCs w:val="21"/>
              </w:rPr>
              <w:t>规划人口：</w:t>
            </w:r>
            <w:r>
              <w:rPr>
                <w:rFonts w:hint="eastAsia" w:ascii="方正黑体简体" w:hAnsi="宋体" w:eastAsia="方正黑体简体"/>
                <w:szCs w:val="21"/>
                <w:lang w:val="en-US" w:eastAsia="zh-CN"/>
              </w:rPr>
              <w:t>3.5</w:t>
            </w:r>
            <w:r>
              <w:rPr>
                <w:rFonts w:hint="eastAsia" w:ascii="方正黑体简体" w:hAnsi="宋体" w:eastAsia="方正黑体简体"/>
                <w:szCs w:val="21"/>
              </w:rPr>
              <w:t>万人</w:t>
            </w:r>
            <w:bookmarkEnd w:id="144"/>
          </w:p>
        </w:tc>
      </w:tr>
    </w:tbl>
    <w:p w14:paraId="0D932459">
      <w:pPr>
        <w:pStyle w:val="3"/>
        <w:adjustRightInd w:val="0"/>
        <w:spacing w:before="252" w:beforeLines="50" w:after="252" w:afterLines="50" w:line="720" w:lineRule="exact"/>
        <w:rPr>
          <w:rFonts w:ascii="方正黑体简体" w:hAnsi="Calibri" w:eastAsia="方正黑体简体"/>
          <w:bCs w:val="0"/>
        </w:rPr>
      </w:pPr>
      <w:r>
        <w:rPr>
          <w:rFonts w:hint="eastAsia" w:ascii="方正黑体简体" w:hAnsi="Calibri" w:eastAsia="方正黑体简体"/>
          <w:bCs w:val="0"/>
        </w:rPr>
        <w:t>四、居住用地规划</w:t>
      </w:r>
      <w:bookmarkEnd w:id="96"/>
      <w:bookmarkEnd w:id="97"/>
      <w:bookmarkEnd w:id="98"/>
    </w:p>
    <w:p w14:paraId="78C74416">
      <w:pPr>
        <w:spacing w:before="252" w:beforeLines="50" w:after="252" w:afterLines="50" w:line="720" w:lineRule="exact"/>
        <w:ind w:firstLine="598" w:firstLineChars="200"/>
        <w:rPr>
          <w:rFonts w:ascii="仿宋_GB2312" w:hAnsi="宋体" w:eastAsia="仿宋_GB2312"/>
          <w:b/>
          <w:sz w:val="32"/>
          <w:szCs w:val="32"/>
        </w:rPr>
      </w:pPr>
      <w:bookmarkStart w:id="145" w:name="_Toc358296565"/>
      <w:r>
        <w:rPr>
          <w:rFonts w:hint="eastAsia" w:ascii="仿宋_GB2312" w:hAnsi="宋体" w:eastAsia="仿宋_GB2312"/>
          <w:b/>
          <w:sz w:val="32"/>
          <w:szCs w:val="32"/>
        </w:rPr>
        <w:t>（一）现状概况及主要问题</w:t>
      </w:r>
      <w:bookmarkEnd w:id="145"/>
    </w:p>
    <w:p w14:paraId="7F074D3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现状概况：规划区现状居住用地105.06公顷，占建设用地的34.38%，除大量为近年来新建小区和棚改小区外，少数为农房。</w:t>
      </w:r>
    </w:p>
    <w:p w14:paraId="2D0F690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主要问题：旧民居与农房布局零散，建筑质量与环境质量比较差。居住区内配套公共服务设施建设相对滞后，不利于片区的社区建设和平衡发展。</w:t>
      </w:r>
    </w:p>
    <w:p w14:paraId="796653BC">
      <w:pPr>
        <w:spacing w:before="252" w:beforeLines="50" w:after="252" w:afterLines="50" w:line="720" w:lineRule="exact"/>
        <w:ind w:firstLine="598" w:firstLineChars="200"/>
        <w:rPr>
          <w:rFonts w:ascii="仿宋_GB2312" w:hAnsi="宋体" w:eastAsia="仿宋_GB2312"/>
          <w:b/>
          <w:sz w:val="32"/>
          <w:szCs w:val="32"/>
        </w:rPr>
      </w:pPr>
      <w:bookmarkStart w:id="146" w:name="_Toc358296566"/>
      <w:r>
        <w:rPr>
          <w:rFonts w:hint="eastAsia" w:ascii="仿宋_GB2312" w:hAnsi="宋体" w:eastAsia="仿宋_GB2312"/>
          <w:b/>
          <w:sz w:val="32"/>
          <w:szCs w:val="32"/>
        </w:rPr>
        <w:t>（二）规划原则</w:t>
      </w:r>
      <w:bookmarkEnd w:id="146"/>
    </w:p>
    <w:p w14:paraId="05E7D38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住宅建设与居住区环境建设同步进行，因地制宜组织生活居住区内各种建筑物、绿化植物和自然环境条件。</w:t>
      </w:r>
    </w:p>
    <w:p w14:paraId="5A9010B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按居民的不同生活需求，分级配置各级公共服务设施，形成相对集中的综合服务中心，使居住区功能明确，建设有序、方便生活、便于管理。</w:t>
      </w:r>
    </w:p>
    <w:p w14:paraId="5FC5ADF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加强对农房的改造，同时加强规划区的居住区建设及市政设施的配套。</w:t>
      </w:r>
    </w:p>
    <w:p w14:paraId="21EF410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结合规划区域特有的生态环境资源，打造具有园林特色的人性化居住社区。</w:t>
      </w:r>
    </w:p>
    <w:p w14:paraId="7B1D0D11">
      <w:pPr>
        <w:spacing w:before="252" w:beforeLines="50" w:after="252" w:afterLines="50" w:line="720" w:lineRule="exact"/>
        <w:ind w:firstLine="598" w:firstLineChars="200"/>
        <w:rPr>
          <w:rFonts w:ascii="仿宋_GB2312" w:hAnsi="宋体" w:eastAsia="仿宋_GB2312"/>
          <w:b/>
          <w:sz w:val="32"/>
          <w:szCs w:val="32"/>
        </w:rPr>
      </w:pPr>
      <w:bookmarkStart w:id="147" w:name="_Toc358296567"/>
      <w:r>
        <w:rPr>
          <w:rFonts w:hint="eastAsia" w:ascii="仿宋_GB2312" w:hAnsi="宋体" w:eastAsia="仿宋_GB2312"/>
          <w:b/>
          <w:sz w:val="32"/>
          <w:szCs w:val="32"/>
        </w:rPr>
        <w:t>（三）规划布局</w:t>
      </w:r>
      <w:bookmarkEnd w:id="147"/>
    </w:p>
    <w:p w14:paraId="6875B793">
      <w:pPr>
        <w:spacing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规划居住用地107.84公顷，占城市建设总用地的33.</w:t>
      </w:r>
      <w:r>
        <w:rPr>
          <w:rFonts w:hint="eastAsia" w:ascii="仿宋_GB2312" w:hAnsi="宋体" w:eastAsia="仿宋_GB2312"/>
          <w:b/>
          <w:sz w:val="32"/>
          <w:szCs w:val="32"/>
          <w:lang w:val="en-US" w:eastAsia="zh-CN"/>
        </w:rPr>
        <w:t>13</w:t>
      </w:r>
      <w:r>
        <w:rPr>
          <w:rFonts w:hint="eastAsia" w:ascii="仿宋_GB2312" w:hAnsi="宋体" w:eastAsia="仿宋_GB2312"/>
          <w:b/>
          <w:sz w:val="32"/>
          <w:szCs w:val="32"/>
        </w:rPr>
        <w:t>％，人均居住用地</w:t>
      </w:r>
      <w:r>
        <w:rPr>
          <w:rFonts w:hint="eastAsia" w:ascii="仿宋_GB2312" w:hAnsi="宋体" w:eastAsia="仿宋_GB2312"/>
          <w:b/>
          <w:color w:val="auto"/>
          <w:sz w:val="32"/>
          <w:szCs w:val="32"/>
          <w:lang w:val="en-US" w:eastAsia="zh-CN"/>
        </w:rPr>
        <w:t>30.81</w:t>
      </w:r>
      <w:r>
        <w:rPr>
          <w:rFonts w:hint="eastAsia" w:ascii="仿宋_GB2312" w:hAnsi="宋体" w:eastAsia="仿宋_GB2312"/>
          <w:b/>
          <w:color w:val="auto"/>
          <w:sz w:val="32"/>
          <w:szCs w:val="32"/>
        </w:rPr>
        <w:t>平方</w:t>
      </w:r>
      <w:r>
        <w:rPr>
          <w:rFonts w:hint="eastAsia" w:ascii="仿宋_GB2312" w:hAnsi="宋体" w:eastAsia="仿宋_GB2312"/>
          <w:b/>
          <w:sz w:val="32"/>
          <w:szCs w:val="32"/>
        </w:rPr>
        <w:t>米（按片区居住人口测算，不含学生及教职工）。各居住区规划充分考虑不同人群的实际需求，选择合理地段，配置相应的配套服务设施，形成良好的居住环境。规划居住用地主要集中在片区中部与东部三个居住组团内。</w:t>
      </w:r>
    </w:p>
    <w:p w14:paraId="0D033477">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规划区内共规划独立幼儿园</w:t>
      </w:r>
      <w:r>
        <w:rPr>
          <w:rFonts w:hint="eastAsia" w:ascii="仿宋_GB2312" w:hAnsi="宋体" w:eastAsia="仿宋_GB2312"/>
          <w:sz w:val="32"/>
          <w:szCs w:val="32"/>
          <w:lang w:val="en-US" w:eastAsia="zh-CN"/>
        </w:rPr>
        <w:t>3</w:t>
      </w:r>
      <w:r>
        <w:rPr>
          <w:rFonts w:hint="eastAsia" w:ascii="仿宋_GB2312" w:hAnsi="宋体" w:eastAsia="仿宋_GB2312"/>
          <w:sz w:val="32"/>
          <w:szCs w:val="32"/>
        </w:rPr>
        <w:t>所</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处社区服务中心</w:t>
      </w:r>
      <w:r>
        <w:rPr>
          <w:rFonts w:hint="eastAsia" w:ascii="仿宋_GB2312" w:hAnsi="宋体" w:eastAsia="仿宋_GB2312"/>
          <w:sz w:val="32"/>
          <w:szCs w:val="32"/>
          <w:lang w:val="en-US" w:eastAsia="zh-CN"/>
        </w:rPr>
        <w:t>,</w:t>
      </w:r>
      <w:r>
        <w:rPr>
          <w:rFonts w:hint="eastAsia" w:ascii="仿宋_GB2312" w:hAnsi="宋体" w:eastAsia="仿宋_GB2312"/>
          <w:sz w:val="32"/>
          <w:szCs w:val="32"/>
        </w:rPr>
        <w:t>1处社区卫生服务站。</w:t>
      </w:r>
    </w:p>
    <w:p w14:paraId="4484176E">
      <w:pPr>
        <w:pStyle w:val="3"/>
        <w:adjustRightInd w:val="0"/>
        <w:spacing w:before="252" w:beforeLines="50" w:after="252" w:afterLines="50" w:line="720" w:lineRule="exact"/>
        <w:rPr>
          <w:rFonts w:ascii="方正黑体简体" w:hAnsi="Calibri" w:eastAsia="方正黑体简体"/>
          <w:bCs w:val="0"/>
        </w:rPr>
      </w:pPr>
      <w:bookmarkStart w:id="148" w:name="_Toc358296568"/>
      <w:bookmarkStart w:id="149" w:name="_Toc414632134"/>
      <w:bookmarkStart w:id="150" w:name="_Toc420499416"/>
      <w:r>
        <w:rPr>
          <w:rFonts w:hint="eastAsia" w:ascii="方正黑体简体" w:hAnsi="Calibri" w:eastAsia="方正黑体简体"/>
          <w:bCs w:val="0"/>
        </w:rPr>
        <w:t>五、公共管理与公共服务设施规划</w:t>
      </w:r>
      <w:bookmarkEnd w:id="148"/>
      <w:bookmarkEnd w:id="149"/>
      <w:bookmarkEnd w:id="150"/>
    </w:p>
    <w:p w14:paraId="1E99B86E">
      <w:pPr>
        <w:spacing w:before="252" w:beforeLines="50" w:after="252" w:afterLines="50" w:line="720" w:lineRule="exact"/>
        <w:ind w:firstLine="598" w:firstLineChars="200"/>
        <w:rPr>
          <w:rFonts w:ascii="仿宋_GB2312" w:hAnsi="宋体" w:eastAsia="仿宋_GB2312"/>
          <w:b/>
          <w:sz w:val="32"/>
          <w:szCs w:val="32"/>
        </w:rPr>
      </w:pPr>
      <w:bookmarkStart w:id="151" w:name="_Toc358296569"/>
      <w:r>
        <w:rPr>
          <w:rFonts w:hint="eastAsia" w:ascii="仿宋_GB2312" w:hAnsi="宋体" w:eastAsia="仿宋_GB2312"/>
          <w:b/>
          <w:sz w:val="32"/>
          <w:szCs w:val="32"/>
        </w:rPr>
        <w:t>（一）现状概况</w:t>
      </w:r>
      <w:bookmarkEnd w:id="151"/>
    </w:p>
    <w:p w14:paraId="0F5F1F10">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肖坝片区现有公共管理与公共服务设施用地115.5公顷，占总用地的37.79</w:t>
      </w:r>
      <w:r>
        <w:rPr>
          <w:rFonts w:ascii="仿宋_GB2312" w:hAnsi="宋体" w:eastAsia="仿宋_GB2312"/>
          <w:sz w:val="32"/>
          <w:szCs w:val="32"/>
        </w:rPr>
        <w:t>%</w:t>
      </w:r>
      <w:r>
        <w:rPr>
          <w:rFonts w:hint="eastAsia" w:ascii="仿宋_GB2312" w:hAnsi="宋体" w:eastAsia="仿宋_GB2312"/>
          <w:sz w:val="32"/>
          <w:szCs w:val="32"/>
        </w:rPr>
        <w:t>。其中行政办公用地1.06公顷，教育科研112.92公顷，医疗卫生用地1.52公顷。</w:t>
      </w:r>
    </w:p>
    <w:p w14:paraId="366D124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主要问题：</w:t>
      </w:r>
      <w:r>
        <w:rPr>
          <w:rFonts w:hint="eastAsia" w:ascii="仿宋_GB2312" w:hAnsi="宋体" w:eastAsia="仿宋_GB2312"/>
          <w:sz w:val="32"/>
          <w:szCs w:val="32"/>
          <w:lang w:eastAsia="zh-CN"/>
        </w:rPr>
        <w:t>文物古迹用地缺少与专项规划的对接</w:t>
      </w:r>
      <w:r>
        <w:rPr>
          <w:rFonts w:hint="eastAsia" w:ascii="仿宋_GB2312" w:hAnsi="宋体" w:eastAsia="仿宋_GB2312"/>
          <w:sz w:val="32"/>
          <w:szCs w:val="32"/>
        </w:rPr>
        <w:t>。</w:t>
      </w:r>
    </w:p>
    <w:p w14:paraId="5D22A899">
      <w:pPr>
        <w:spacing w:before="252" w:beforeLines="50" w:after="252" w:afterLines="50" w:line="720" w:lineRule="exact"/>
        <w:ind w:firstLine="598" w:firstLineChars="200"/>
        <w:rPr>
          <w:rFonts w:ascii="仿宋_GB2312" w:hAnsi="宋体" w:eastAsia="仿宋_GB2312"/>
          <w:b/>
          <w:sz w:val="32"/>
          <w:szCs w:val="32"/>
        </w:rPr>
      </w:pPr>
      <w:bookmarkStart w:id="152" w:name="_Toc358296570"/>
      <w:r>
        <w:rPr>
          <w:rFonts w:hint="eastAsia" w:ascii="仿宋_GB2312" w:hAnsi="宋体" w:eastAsia="仿宋_GB2312"/>
          <w:b/>
          <w:sz w:val="32"/>
          <w:szCs w:val="32"/>
        </w:rPr>
        <w:t>（二）规划布局</w:t>
      </w:r>
      <w:bookmarkEnd w:id="152"/>
    </w:p>
    <w:p w14:paraId="6866CF7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规划公共管理与公共服务设施用地</w:t>
      </w:r>
      <w:r>
        <w:rPr>
          <w:rFonts w:hint="eastAsia" w:ascii="仿宋_GB2312" w:hAnsi="宋体" w:eastAsia="仿宋_GB2312"/>
          <w:sz w:val="32"/>
          <w:szCs w:val="32"/>
          <w:lang w:val="en-US" w:eastAsia="zh-CN"/>
        </w:rPr>
        <w:t>121.53</w:t>
      </w:r>
      <w:r>
        <w:rPr>
          <w:rFonts w:hint="eastAsia" w:ascii="仿宋_GB2312" w:hAnsi="宋体" w:eastAsia="仿宋_GB2312"/>
          <w:sz w:val="32"/>
          <w:szCs w:val="32"/>
        </w:rPr>
        <w:t>公顷，占城市建设总用地的</w:t>
      </w:r>
      <w:r>
        <w:rPr>
          <w:rFonts w:hint="eastAsia" w:ascii="仿宋_GB2312" w:hAnsi="宋体" w:eastAsia="仿宋_GB2312"/>
          <w:sz w:val="32"/>
          <w:szCs w:val="32"/>
          <w:lang w:val="en-US" w:eastAsia="zh-CN"/>
        </w:rPr>
        <w:t>37.34</w:t>
      </w:r>
      <w:r>
        <w:rPr>
          <w:rFonts w:ascii="仿宋_GB2312" w:hAnsi="宋体" w:eastAsia="仿宋_GB2312"/>
          <w:sz w:val="32"/>
          <w:szCs w:val="32"/>
        </w:rPr>
        <w:t>%</w:t>
      </w:r>
      <w:r>
        <w:rPr>
          <w:rFonts w:hint="eastAsia" w:ascii="仿宋_GB2312" w:hAnsi="宋体" w:eastAsia="仿宋_GB2312"/>
          <w:sz w:val="32"/>
          <w:szCs w:val="32"/>
        </w:rPr>
        <w:t>。按使用功能，公共服务设施分为</w:t>
      </w:r>
      <w:r>
        <w:rPr>
          <w:rFonts w:hint="eastAsia" w:ascii="仿宋_GB2312" w:hAnsi="宋体" w:eastAsia="仿宋_GB2312"/>
          <w:sz w:val="32"/>
          <w:szCs w:val="32"/>
          <w:lang w:eastAsia="zh-CN"/>
        </w:rPr>
        <w:t>四</w:t>
      </w:r>
      <w:r>
        <w:rPr>
          <w:rFonts w:hint="eastAsia" w:ascii="仿宋_GB2312" w:hAnsi="宋体" w:eastAsia="仿宋_GB2312"/>
          <w:sz w:val="32"/>
          <w:szCs w:val="32"/>
        </w:rPr>
        <w:t>类：行政办公用地、教育科研用地、医疗卫生用地和文物古迹用地。公共设施按市级和社区级两级进行配置。在规划过程中充分利用现状建设条件，贯彻执行集中与分散相结合的原则。具体各类用地规划如下：</w:t>
      </w:r>
    </w:p>
    <w:p w14:paraId="291EACC8">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、行政办公用地</w:t>
      </w:r>
    </w:p>
    <w:p w14:paraId="235955A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主要位于肖坝片区东部，海棠路南侧。规划行政办公用地1.01公顷</w:t>
      </w:r>
      <w:r>
        <w:rPr>
          <w:rFonts w:hint="eastAsia" w:ascii="仿宋_GB2312" w:hAnsi="宋体" w:eastAsia="仿宋_GB2312"/>
          <w:sz w:val="32"/>
          <w:szCs w:val="32"/>
          <w:lang w:eastAsia="zh-CN"/>
        </w:rPr>
        <w:t>，为长途通信局办公用地</w:t>
      </w:r>
      <w:r>
        <w:rPr>
          <w:rFonts w:hint="eastAsia" w:ascii="仿宋_GB2312" w:hAnsi="宋体" w:eastAsia="仿宋_GB2312"/>
          <w:sz w:val="32"/>
          <w:szCs w:val="32"/>
        </w:rPr>
        <w:t>。</w:t>
      </w:r>
    </w:p>
    <w:p w14:paraId="7FCE3C0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、教育科研用地</w:t>
      </w:r>
    </w:p>
    <w:p w14:paraId="17EAFF1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教育科研用地共占地113.84公顷。包括大学教育、中小学用地。</w:t>
      </w:r>
    </w:p>
    <w:p w14:paraId="2D4865F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大学教育用地布局：规划保留了成都理工大学工程技术学院、乐山师范学院等高职院校，整合理工周边零散用地划入教育用地，面积6.62公顷，保证学校近期发展需求。规划大学教育用地通过道路骨架网络与城市相连，实现公共设施与城市的共享。 </w:t>
      </w:r>
    </w:p>
    <w:p w14:paraId="7D46226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中小学用地布局：规划保留了乐山外国语中学，乐山外国语小学；按照总规要求将原乐山职业技术学院斑竹湾校区进行保留，将原乐山职业技术学院肖坝分部规划为小学</w:t>
      </w:r>
      <w:r>
        <w:rPr>
          <w:rFonts w:hint="eastAsia" w:ascii="仿宋_GB2312" w:hAnsi="宋体" w:eastAsia="仿宋_GB2312"/>
          <w:sz w:val="32"/>
          <w:szCs w:val="32"/>
          <w:lang w:eastAsia="zh-CN"/>
        </w:rPr>
        <w:t>用地</w:t>
      </w:r>
      <w:r>
        <w:rPr>
          <w:rFonts w:hint="eastAsia" w:ascii="仿宋_GB2312" w:hAnsi="宋体" w:eastAsia="仿宋_GB2312"/>
          <w:sz w:val="32"/>
          <w:szCs w:val="32"/>
        </w:rPr>
        <w:t>，计划建设24个班，容纳1200名小学生，在用地北部配建停车场，学校南部</w:t>
      </w:r>
      <w:r>
        <w:rPr>
          <w:rFonts w:hint="eastAsia" w:ascii="仿宋_GB2312" w:hAnsi="宋体" w:eastAsia="仿宋_GB2312"/>
          <w:sz w:val="32"/>
          <w:szCs w:val="32"/>
          <w:lang w:eastAsia="zh-CN"/>
        </w:rPr>
        <w:t>出入口</w:t>
      </w:r>
      <w:r>
        <w:rPr>
          <w:rFonts w:hint="eastAsia" w:ascii="仿宋_GB2312" w:hAnsi="宋体" w:eastAsia="仿宋_GB2312"/>
          <w:sz w:val="32"/>
          <w:szCs w:val="32"/>
        </w:rPr>
        <w:t>接城市支路。</w:t>
      </w:r>
    </w:p>
    <w:p w14:paraId="1C858CE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、医疗卫生用地</w:t>
      </w:r>
    </w:p>
    <w:p w14:paraId="781576A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规划医疗卫生用地1.76公顷，保留血站用地。</w:t>
      </w:r>
    </w:p>
    <w:p w14:paraId="3D2EDA06">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5</w:t>
      </w:r>
      <w:r>
        <w:rPr>
          <w:rFonts w:hint="eastAsia" w:ascii="仿宋_GB2312" w:hAnsi="宋体" w:eastAsia="仿宋_GB2312"/>
          <w:sz w:val="32"/>
          <w:szCs w:val="32"/>
        </w:rPr>
        <w:t>、文物古迹用地</w:t>
      </w:r>
    </w:p>
    <w:p w14:paraId="6502090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根据最新的肖坝崖墓保护规划</w:t>
      </w:r>
      <w:r>
        <w:rPr>
          <w:rFonts w:hint="eastAsia" w:ascii="仿宋_GB2312" w:hAnsi="宋体" w:eastAsia="仿宋_GB2312"/>
          <w:sz w:val="32"/>
          <w:szCs w:val="32"/>
          <w:lang w:eastAsia="zh-CN"/>
        </w:rPr>
        <w:t>及国内首座可控核聚变实验装置旧址保护线</w:t>
      </w:r>
      <w:r>
        <w:rPr>
          <w:rFonts w:hint="eastAsia" w:ascii="仿宋_GB2312" w:hAnsi="宋体" w:eastAsia="仿宋_GB2312"/>
          <w:sz w:val="32"/>
          <w:szCs w:val="32"/>
        </w:rPr>
        <w:t>新增该类用地，总用地面积约</w:t>
      </w:r>
      <w:r>
        <w:rPr>
          <w:rFonts w:hint="eastAsia" w:ascii="仿宋_GB2312" w:hAnsi="宋体" w:eastAsia="仿宋_GB2312"/>
          <w:sz w:val="32"/>
          <w:szCs w:val="32"/>
          <w:lang w:eastAsia="zh-CN"/>
        </w:rPr>
        <w:t>7.31</w:t>
      </w:r>
      <w:r>
        <w:rPr>
          <w:rFonts w:hint="eastAsia" w:ascii="仿宋_GB2312" w:hAnsi="宋体" w:eastAsia="仿宋_GB2312"/>
          <w:sz w:val="32"/>
          <w:szCs w:val="32"/>
        </w:rPr>
        <w:t>公顷。</w:t>
      </w:r>
    </w:p>
    <w:p w14:paraId="6498760A">
      <w:pPr>
        <w:pStyle w:val="3"/>
        <w:adjustRightInd w:val="0"/>
        <w:spacing w:before="252" w:beforeLines="50" w:after="252" w:afterLines="50" w:line="720" w:lineRule="exact"/>
        <w:rPr>
          <w:rFonts w:ascii="方正黑体简体" w:hAnsi="Calibri" w:eastAsia="方正黑体简体"/>
          <w:bCs w:val="0"/>
        </w:rPr>
      </w:pPr>
      <w:bookmarkStart w:id="153" w:name="_Toc414632135"/>
      <w:bookmarkStart w:id="154" w:name="_Toc420499417"/>
      <w:bookmarkStart w:id="155" w:name="_Toc358296571"/>
      <w:r>
        <w:rPr>
          <w:rFonts w:hint="eastAsia" w:ascii="方正黑体简体" w:hAnsi="Calibri" w:eastAsia="方正黑体简体"/>
          <w:bCs w:val="0"/>
        </w:rPr>
        <w:t>六、商业服务业设施用地规划</w:t>
      </w:r>
      <w:bookmarkEnd w:id="153"/>
      <w:bookmarkEnd w:id="154"/>
      <w:bookmarkEnd w:id="155"/>
    </w:p>
    <w:p w14:paraId="0D450626">
      <w:pPr>
        <w:spacing w:before="252" w:beforeLines="50" w:after="252" w:afterLines="50" w:line="720" w:lineRule="exact"/>
        <w:ind w:firstLine="598" w:firstLineChars="200"/>
        <w:rPr>
          <w:rFonts w:ascii="仿宋_GB2312" w:hAnsi="宋体" w:eastAsia="仿宋_GB2312"/>
          <w:b/>
          <w:sz w:val="32"/>
          <w:szCs w:val="32"/>
        </w:rPr>
      </w:pPr>
      <w:bookmarkStart w:id="156" w:name="_Toc358296572"/>
      <w:r>
        <w:rPr>
          <w:rFonts w:hint="eastAsia" w:ascii="仿宋_GB2312" w:hAnsi="宋体" w:eastAsia="仿宋_GB2312"/>
          <w:b/>
          <w:sz w:val="32"/>
          <w:szCs w:val="32"/>
        </w:rPr>
        <w:t>（一）现状概况</w:t>
      </w:r>
      <w:bookmarkEnd w:id="156"/>
    </w:p>
    <w:p w14:paraId="6AC5C4F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肖坝片区现有商业服务业设施用地11.6公顷，占总用地的3.8</w:t>
      </w:r>
      <w:r>
        <w:rPr>
          <w:rFonts w:ascii="仿宋_GB2312" w:hAnsi="宋体" w:eastAsia="仿宋_GB2312"/>
          <w:sz w:val="32"/>
          <w:szCs w:val="32"/>
        </w:rPr>
        <w:t>%</w:t>
      </w:r>
      <w:r>
        <w:rPr>
          <w:rFonts w:hint="eastAsia" w:ascii="仿宋_GB2312" w:hAnsi="宋体" w:eastAsia="仿宋_GB2312"/>
          <w:sz w:val="32"/>
          <w:szCs w:val="32"/>
        </w:rPr>
        <w:t>。其中商业用地8.12公顷，商务用地1.64公顷，公用设施营业网点用地</w:t>
      </w:r>
      <w:r>
        <w:rPr>
          <w:rFonts w:ascii="仿宋_GB2312" w:hAnsi="宋体" w:eastAsia="仿宋_GB2312"/>
          <w:sz w:val="32"/>
          <w:szCs w:val="32"/>
        </w:rPr>
        <w:t>1.</w:t>
      </w:r>
      <w:r>
        <w:rPr>
          <w:rFonts w:hint="eastAsia" w:ascii="仿宋_GB2312" w:hAnsi="宋体" w:eastAsia="仿宋_GB2312"/>
          <w:sz w:val="32"/>
          <w:szCs w:val="32"/>
        </w:rPr>
        <w:t>88公顷。</w:t>
      </w:r>
    </w:p>
    <w:p w14:paraId="0F47382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主要存在问题 ：商业设施标准较低，规划区内除新业中心和满庭芳为集中式商业外，其余商业基本以沿街底商为主；商务设施缺失，规划区内仅有一处；娱乐康体失衡，规划内娱乐康体主要依赖商业设施及底商配置；公用设施营业网点，除加油加气站外，其余公用设施缺少独立用地，多以底商形式为主。 </w:t>
      </w:r>
    </w:p>
    <w:p w14:paraId="7F828AA7">
      <w:pPr>
        <w:spacing w:before="252" w:beforeLines="50" w:after="252" w:afterLines="50" w:line="720" w:lineRule="exact"/>
        <w:ind w:firstLine="598" w:firstLineChars="200"/>
        <w:rPr>
          <w:rFonts w:ascii="仿宋_GB2312" w:hAnsi="宋体" w:eastAsia="仿宋_GB2312"/>
          <w:b/>
          <w:sz w:val="32"/>
          <w:szCs w:val="32"/>
        </w:rPr>
      </w:pPr>
      <w:bookmarkStart w:id="157" w:name="_Toc358296573"/>
      <w:r>
        <w:rPr>
          <w:rFonts w:hint="eastAsia" w:ascii="仿宋_GB2312" w:hAnsi="宋体" w:eastAsia="仿宋_GB2312"/>
          <w:b/>
          <w:sz w:val="32"/>
          <w:szCs w:val="32"/>
        </w:rPr>
        <w:t>（二）规划布局</w:t>
      </w:r>
      <w:bookmarkEnd w:id="157"/>
    </w:p>
    <w:p w14:paraId="6E136DB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规划商业服务业设施用地</w:t>
      </w:r>
      <w:r>
        <w:rPr>
          <w:rFonts w:hint="eastAsia" w:ascii="仿宋_GB2312" w:hAnsi="宋体" w:eastAsia="仿宋_GB2312"/>
          <w:sz w:val="32"/>
          <w:szCs w:val="32"/>
          <w:lang w:val="en-US" w:eastAsia="zh-CN"/>
        </w:rPr>
        <w:t>13.52</w:t>
      </w:r>
      <w:r>
        <w:rPr>
          <w:rFonts w:hint="eastAsia" w:ascii="仿宋_GB2312" w:hAnsi="宋体" w:eastAsia="仿宋_GB2312"/>
          <w:sz w:val="32"/>
          <w:szCs w:val="32"/>
        </w:rPr>
        <w:t>公顷，占城市建设总用地的4.</w:t>
      </w:r>
      <w:r>
        <w:rPr>
          <w:rFonts w:hint="eastAsia" w:ascii="仿宋_GB2312" w:hAnsi="宋体" w:eastAsia="仿宋_GB2312"/>
          <w:sz w:val="32"/>
          <w:szCs w:val="32"/>
          <w:lang w:val="en-US" w:eastAsia="zh-CN"/>
        </w:rPr>
        <w:t>1</w:t>
      </w:r>
      <w:r>
        <w:rPr>
          <w:rFonts w:hint="eastAsia" w:ascii="仿宋_GB2312" w:hAnsi="宋体" w:eastAsia="仿宋_GB2312"/>
          <w:sz w:val="32"/>
          <w:szCs w:val="32"/>
        </w:rPr>
        <w:t>5％。按使用功能，公共服务设施分为：商业用地、商务用地和公用设施营业网点用地。具体各类用地规划如下：</w:t>
      </w:r>
    </w:p>
    <w:p w14:paraId="628BF6B7">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、商业用地</w:t>
      </w:r>
    </w:p>
    <w:p w14:paraId="6B9A735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规划商业用地</w:t>
      </w:r>
      <w:r>
        <w:rPr>
          <w:rFonts w:hint="eastAsia" w:ascii="仿宋_GB2312" w:hAnsi="宋体" w:eastAsia="仿宋_GB2312"/>
          <w:sz w:val="32"/>
          <w:szCs w:val="32"/>
          <w:lang w:val="en-US" w:eastAsia="zh-CN"/>
        </w:rPr>
        <w:t>10.33</w:t>
      </w:r>
      <w:r>
        <w:rPr>
          <w:rFonts w:hint="eastAsia" w:ascii="仿宋_GB2312" w:hAnsi="宋体" w:eastAsia="仿宋_GB2312"/>
          <w:sz w:val="32"/>
          <w:szCs w:val="32"/>
        </w:rPr>
        <w:t>公顷。主要分布在青衣路南侧。商业形态以商场、大型购物中心及酒店等 。</w:t>
      </w:r>
    </w:p>
    <w:p w14:paraId="0BC9C8E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社区级的商业服务设施结合社区服务中心建设，为市民提供方便的服务。主要安排沿街商业，餐饮服务以及农贸市场等。</w:t>
      </w:r>
    </w:p>
    <w:p w14:paraId="029747B0">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、商务用地</w:t>
      </w:r>
    </w:p>
    <w:p w14:paraId="34E90A5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片区商务用地1.68公顷，供乐山日报社使用。 </w:t>
      </w:r>
    </w:p>
    <w:p w14:paraId="29847BEA">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、公用设施营业网点用地</w:t>
      </w:r>
    </w:p>
    <w:p w14:paraId="5D35D5B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规划公用设施营业网点用地1.</w:t>
      </w:r>
      <w:r>
        <w:rPr>
          <w:rFonts w:hint="eastAsia" w:ascii="仿宋_GB2312" w:hAnsi="宋体" w:eastAsia="仿宋_GB2312"/>
          <w:sz w:val="32"/>
          <w:szCs w:val="32"/>
          <w:lang w:val="en-US" w:eastAsia="zh-CN"/>
        </w:rPr>
        <w:t>1</w:t>
      </w:r>
      <w:r>
        <w:rPr>
          <w:rFonts w:hint="eastAsia" w:ascii="仿宋_GB2312" w:hAnsi="宋体" w:eastAsia="仿宋_GB2312"/>
          <w:sz w:val="32"/>
          <w:szCs w:val="32"/>
        </w:rPr>
        <w:t>1公顷。主要有CNG加气站、加油站。</w:t>
      </w:r>
    </w:p>
    <w:p w14:paraId="46F10F01">
      <w:pPr>
        <w:pStyle w:val="3"/>
        <w:adjustRightInd w:val="0"/>
        <w:spacing w:before="252" w:beforeLines="50" w:after="252" w:afterLines="50" w:line="720" w:lineRule="exact"/>
        <w:rPr>
          <w:rFonts w:ascii="方正黑体简体" w:hAnsi="Calibri" w:eastAsia="方正黑体简体"/>
          <w:bCs w:val="0"/>
        </w:rPr>
      </w:pPr>
      <w:bookmarkStart w:id="158" w:name="_Toc358296574"/>
      <w:bookmarkStart w:id="159" w:name="_Toc420499418"/>
      <w:bookmarkStart w:id="160" w:name="_Toc414632136"/>
      <w:r>
        <w:rPr>
          <w:rFonts w:hint="eastAsia" w:ascii="方正黑体简体" w:hAnsi="Calibri" w:eastAsia="方正黑体简体"/>
          <w:bCs w:val="0"/>
        </w:rPr>
        <w:t>七、道路与交通设施用地</w:t>
      </w:r>
      <w:bookmarkEnd w:id="158"/>
      <w:bookmarkEnd w:id="159"/>
      <w:bookmarkEnd w:id="160"/>
    </w:p>
    <w:p w14:paraId="6B211F64">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规划道路与交通设施用地</w:t>
      </w:r>
      <w:r>
        <w:rPr>
          <w:rFonts w:hint="eastAsia" w:ascii="仿宋_GB2312" w:hAnsi="宋体" w:eastAsia="仿宋_GB2312"/>
          <w:sz w:val="32"/>
          <w:szCs w:val="32"/>
          <w:lang w:val="en-US" w:eastAsia="zh-CN"/>
        </w:rPr>
        <w:t>50.54</w:t>
      </w:r>
      <w:r>
        <w:rPr>
          <w:rFonts w:hint="eastAsia" w:ascii="仿宋_GB2312" w:hAnsi="宋体" w:eastAsia="仿宋_GB2312"/>
          <w:sz w:val="32"/>
          <w:szCs w:val="32"/>
        </w:rPr>
        <w:t>公顷，占城市建设总用地的15.</w:t>
      </w:r>
      <w:r>
        <w:rPr>
          <w:rFonts w:hint="eastAsia" w:ascii="仿宋_GB2312" w:hAnsi="宋体" w:eastAsia="仿宋_GB2312"/>
          <w:sz w:val="32"/>
          <w:szCs w:val="32"/>
          <w:lang w:val="en-US" w:eastAsia="zh-CN"/>
        </w:rPr>
        <w:t>53</w:t>
      </w:r>
      <w:r>
        <w:rPr>
          <w:rFonts w:hint="eastAsia" w:ascii="仿宋_GB2312" w:hAnsi="宋体" w:eastAsia="仿宋_GB2312"/>
          <w:sz w:val="32"/>
          <w:szCs w:val="32"/>
        </w:rPr>
        <w:t>％。肖坝东南部有汽车客运站一处，青衣路南侧规划</w:t>
      </w:r>
      <w:r>
        <w:rPr>
          <w:rFonts w:hint="eastAsia" w:ascii="仿宋_GB2312" w:hAnsi="宋体" w:eastAsia="仿宋_GB2312"/>
          <w:sz w:val="32"/>
          <w:szCs w:val="32"/>
          <w:lang w:eastAsia="zh-CN"/>
        </w:rPr>
        <w:t>公交首末站</w:t>
      </w:r>
      <w:r>
        <w:rPr>
          <w:rFonts w:hint="eastAsia" w:ascii="仿宋_GB2312" w:hAnsi="宋体" w:eastAsia="仿宋_GB2312"/>
          <w:sz w:val="32"/>
          <w:szCs w:val="32"/>
          <w:lang w:val="en-US" w:eastAsia="zh-CN"/>
        </w:rPr>
        <w:t>1</w:t>
      </w:r>
      <w:r>
        <w:rPr>
          <w:rFonts w:hint="eastAsia" w:ascii="仿宋_GB2312" w:hAnsi="宋体" w:eastAsia="仿宋_GB2312"/>
          <w:sz w:val="32"/>
          <w:szCs w:val="32"/>
        </w:rPr>
        <w:t>处，社会独立停车场</w:t>
      </w:r>
      <w:r>
        <w:rPr>
          <w:rFonts w:hint="eastAsia" w:ascii="仿宋_GB2312" w:hAnsi="宋体" w:eastAsia="仿宋_GB2312"/>
          <w:sz w:val="32"/>
          <w:szCs w:val="32"/>
          <w:lang w:val="en-US" w:eastAsia="zh-CN"/>
        </w:rPr>
        <w:t>3</w:t>
      </w:r>
      <w:r>
        <w:rPr>
          <w:rFonts w:hint="eastAsia" w:ascii="仿宋_GB2312" w:hAnsi="宋体" w:eastAsia="仿宋_GB2312"/>
          <w:sz w:val="32"/>
          <w:szCs w:val="32"/>
        </w:rPr>
        <w:t>处。</w:t>
      </w:r>
    </w:p>
    <w:p w14:paraId="3F1FC66C">
      <w:pPr>
        <w:pStyle w:val="3"/>
        <w:adjustRightInd w:val="0"/>
        <w:spacing w:before="252" w:beforeLines="50" w:after="252" w:afterLines="50" w:line="720" w:lineRule="exact"/>
        <w:rPr>
          <w:rFonts w:ascii="方正黑体简体" w:hAnsi="Calibri" w:eastAsia="方正黑体简体"/>
          <w:bCs w:val="0"/>
        </w:rPr>
      </w:pPr>
      <w:bookmarkStart w:id="161" w:name="_Toc358296575"/>
      <w:bookmarkStart w:id="162" w:name="_Toc414632137"/>
      <w:bookmarkStart w:id="163" w:name="_Toc420499419"/>
      <w:r>
        <w:rPr>
          <w:rFonts w:hint="eastAsia" w:ascii="方正黑体简体" w:hAnsi="Calibri" w:eastAsia="方正黑体简体"/>
          <w:bCs w:val="0"/>
        </w:rPr>
        <w:t>八、公用设施用地</w:t>
      </w:r>
      <w:bookmarkEnd w:id="161"/>
      <w:bookmarkEnd w:id="162"/>
      <w:bookmarkEnd w:id="163"/>
    </w:p>
    <w:p w14:paraId="719523B5">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规划公用设施用地</w:t>
      </w:r>
      <w:r>
        <w:rPr>
          <w:rFonts w:hint="eastAsia" w:ascii="仿宋_GB2312" w:hAnsi="宋体" w:eastAsia="仿宋_GB2312"/>
          <w:sz w:val="32"/>
          <w:szCs w:val="32"/>
          <w:lang w:val="en-US" w:eastAsia="zh-CN"/>
        </w:rPr>
        <w:t>1.58</w:t>
      </w:r>
      <w:r>
        <w:rPr>
          <w:rFonts w:hint="eastAsia" w:ascii="仿宋_GB2312" w:hAnsi="宋体" w:eastAsia="仿宋_GB2312"/>
          <w:sz w:val="32"/>
          <w:szCs w:val="32"/>
        </w:rPr>
        <w:t>公顷，占城市建设总用地的0.</w:t>
      </w:r>
      <w:r>
        <w:rPr>
          <w:rFonts w:hint="eastAsia" w:ascii="仿宋_GB2312" w:hAnsi="宋体" w:eastAsia="仿宋_GB2312"/>
          <w:sz w:val="32"/>
          <w:szCs w:val="32"/>
          <w:lang w:val="en-US" w:eastAsia="zh-CN"/>
        </w:rPr>
        <w:t>49</w:t>
      </w:r>
      <w:r>
        <w:rPr>
          <w:rFonts w:hint="eastAsia" w:ascii="仿宋_GB2312" w:hAnsi="宋体" w:eastAsia="仿宋_GB2312"/>
          <w:sz w:val="32"/>
          <w:szCs w:val="32"/>
        </w:rPr>
        <w:t>%。按使用类型，肖坝片区内公用设施用地分为</w:t>
      </w:r>
      <w:r>
        <w:rPr>
          <w:rFonts w:hint="eastAsia" w:ascii="仿宋_GB2312" w:hAnsi="宋体" w:eastAsia="仿宋_GB2312"/>
          <w:sz w:val="32"/>
          <w:szCs w:val="32"/>
          <w:lang w:eastAsia="zh-CN"/>
        </w:rPr>
        <w:t>三</w:t>
      </w:r>
      <w:r>
        <w:rPr>
          <w:rFonts w:hint="eastAsia" w:ascii="仿宋_GB2312" w:hAnsi="宋体" w:eastAsia="仿宋_GB2312"/>
          <w:sz w:val="32"/>
          <w:szCs w:val="32"/>
        </w:rPr>
        <w:t>类：供应设施用地</w:t>
      </w:r>
      <w:r>
        <w:rPr>
          <w:rFonts w:hint="eastAsia" w:ascii="仿宋_GB2312" w:hAnsi="宋体" w:eastAsia="仿宋_GB2312"/>
          <w:sz w:val="32"/>
          <w:szCs w:val="32"/>
          <w:lang w:eastAsia="zh-CN"/>
        </w:rPr>
        <w:t>、环境设施用地</w:t>
      </w:r>
      <w:r>
        <w:rPr>
          <w:rFonts w:hint="eastAsia" w:ascii="仿宋_GB2312" w:hAnsi="宋体" w:eastAsia="仿宋_GB2312"/>
          <w:sz w:val="32"/>
          <w:szCs w:val="32"/>
        </w:rPr>
        <w:t>和安全设施用地。具体各类用地规划如下：</w:t>
      </w:r>
    </w:p>
    <w:p w14:paraId="47A257D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1、供应设施用地</w:t>
      </w:r>
    </w:p>
    <w:p w14:paraId="25DCFC5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2处</w:t>
      </w:r>
      <w:r>
        <w:rPr>
          <w:rFonts w:hint="eastAsia" w:ascii="仿宋_GB2312" w:hAnsi="宋体" w:eastAsia="仿宋_GB2312"/>
          <w:sz w:val="32"/>
          <w:szCs w:val="32"/>
          <w:lang w:eastAsia="zh-CN"/>
        </w:rPr>
        <w:t>变电站</w:t>
      </w:r>
      <w:r>
        <w:rPr>
          <w:rFonts w:hint="eastAsia" w:ascii="仿宋_GB2312" w:hAnsi="宋体" w:eastAsia="仿宋_GB2312"/>
          <w:sz w:val="32"/>
          <w:szCs w:val="32"/>
        </w:rPr>
        <w:t>，规划供应设施用地</w:t>
      </w:r>
      <w:r>
        <w:rPr>
          <w:rFonts w:hint="eastAsia" w:ascii="仿宋_GB2312" w:hAnsi="宋体" w:eastAsia="仿宋_GB2312"/>
          <w:sz w:val="32"/>
          <w:szCs w:val="32"/>
          <w:lang w:val="en-US" w:eastAsia="zh-CN"/>
        </w:rPr>
        <w:t>0.37</w:t>
      </w:r>
      <w:r>
        <w:rPr>
          <w:rFonts w:hint="eastAsia" w:ascii="仿宋_GB2312" w:hAnsi="宋体" w:eastAsia="仿宋_GB2312"/>
          <w:sz w:val="32"/>
          <w:szCs w:val="32"/>
        </w:rPr>
        <w:t>公顷。</w:t>
      </w:r>
    </w:p>
    <w:p w14:paraId="441DB0B9">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2、环境设施用地</w:t>
      </w:r>
    </w:p>
    <w:p w14:paraId="6F09B45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1处独立占地垃圾转运站，</w:t>
      </w:r>
      <w:r>
        <w:rPr>
          <w:rFonts w:hint="eastAsia" w:ascii="仿宋_GB2312" w:hAnsi="宋体" w:eastAsia="仿宋_GB2312"/>
          <w:sz w:val="32"/>
          <w:szCs w:val="32"/>
        </w:rPr>
        <w:t>规划环境设施用地0.</w:t>
      </w:r>
      <w:r>
        <w:rPr>
          <w:rFonts w:hint="eastAsia" w:ascii="仿宋_GB2312" w:hAnsi="宋体" w:eastAsia="仿宋_GB2312"/>
          <w:sz w:val="32"/>
          <w:szCs w:val="32"/>
          <w:lang w:val="en-US" w:eastAsia="zh-CN"/>
        </w:rPr>
        <w:t>09</w:t>
      </w:r>
      <w:r>
        <w:rPr>
          <w:rFonts w:hint="eastAsia" w:ascii="仿宋_GB2312" w:hAnsi="宋体" w:eastAsia="仿宋_GB2312"/>
          <w:sz w:val="32"/>
          <w:szCs w:val="32"/>
        </w:rPr>
        <w:t>公顷。</w:t>
      </w:r>
    </w:p>
    <w:p w14:paraId="171F04F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3、安全设施用地</w:t>
      </w:r>
    </w:p>
    <w:p w14:paraId="6D52D01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安全设施用地1.12公顷，为消防支队。</w:t>
      </w:r>
    </w:p>
    <w:p w14:paraId="6ADFF697">
      <w:pPr>
        <w:pStyle w:val="3"/>
        <w:adjustRightInd w:val="0"/>
        <w:spacing w:before="252" w:beforeLines="50" w:after="252" w:afterLines="50" w:line="720" w:lineRule="exact"/>
        <w:rPr>
          <w:rFonts w:ascii="方正黑体简体" w:hAnsi="Calibri" w:eastAsia="方正黑体简体"/>
          <w:bCs w:val="0"/>
        </w:rPr>
      </w:pPr>
      <w:bookmarkStart w:id="164" w:name="_Toc358296576"/>
      <w:bookmarkStart w:id="165" w:name="_Toc414632138"/>
      <w:bookmarkStart w:id="166" w:name="_Toc420499420"/>
      <w:r>
        <w:rPr>
          <w:rFonts w:hint="eastAsia" w:ascii="方正黑体简体" w:hAnsi="Calibri" w:eastAsia="方正黑体简体"/>
          <w:bCs w:val="0"/>
        </w:rPr>
        <w:t>九、绿地与广场用地</w:t>
      </w:r>
      <w:bookmarkEnd w:id="164"/>
      <w:bookmarkEnd w:id="165"/>
      <w:bookmarkEnd w:id="166"/>
    </w:p>
    <w:p w14:paraId="7141D3AB">
      <w:pPr>
        <w:spacing w:before="252" w:beforeLines="50" w:after="252" w:afterLines="50" w:line="720" w:lineRule="exact"/>
        <w:ind w:firstLine="598" w:firstLineChars="200"/>
        <w:rPr>
          <w:rFonts w:ascii="仿宋_GB2312" w:hAnsi="宋体" w:eastAsia="仿宋_GB2312"/>
          <w:b/>
          <w:sz w:val="32"/>
          <w:szCs w:val="32"/>
        </w:rPr>
      </w:pPr>
      <w:bookmarkStart w:id="167" w:name="_Toc358296577"/>
      <w:r>
        <w:rPr>
          <w:rFonts w:hint="eastAsia" w:ascii="仿宋_GB2312" w:hAnsi="宋体" w:eastAsia="仿宋_GB2312"/>
          <w:b/>
          <w:sz w:val="32"/>
          <w:szCs w:val="32"/>
        </w:rPr>
        <w:t>（一）规划原则</w:t>
      </w:r>
      <w:bookmarkEnd w:id="167"/>
    </w:p>
    <w:p w14:paraId="76BBA03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1、充分保护现状有价值的植被，并因地制宜地布置公园绿地，建立完整的绿化体系。</w:t>
      </w:r>
    </w:p>
    <w:p w14:paraId="693B4D7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2、考虑公园绿地合理的服务半径，力求做到大、中、小均匀分布，尽可能方便居民使用。</w:t>
      </w:r>
    </w:p>
    <w:p w14:paraId="2DB7DFD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3、严格控制河流以及主要道路两侧的绿化，并加强维护和管理，纳入城市绿地系统统一考虑。</w:t>
      </w:r>
    </w:p>
    <w:p w14:paraId="67EF2207">
      <w:pPr>
        <w:spacing w:before="252" w:beforeLines="50" w:after="252" w:afterLines="50" w:line="720" w:lineRule="exact"/>
        <w:ind w:firstLine="598" w:firstLineChars="200"/>
        <w:rPr>
          <w:rFonts w:ascii="仿宋_GB2312" w:hAnsi="宋体" w:eastAsia="仿宋_GB2312"/>
          <w:b/>
          <w:sz w:val="32"/>
          <w:szCs w:val="32"/>
        </w:rPr>
      </w:pPr>
      <w:bookmarkStart w:id="168" w:name="_Toc358296578"/>
      <w:r>
        <w:rPr>
          <w:rFonts w:hint="eastAsia" w:ascii="仿宋_GB2312" w:hAnsi="宋体" w:eastAsia="仿宋_GB2312"/>
          <w:b/>
          <w:sz w:val="32"/>
          <w:szCs w:val="32"/>
        </w:rPr>
        <w:t>（二）规划布局</w:t>
      </w:r>
      <w:bookmarkEnd w:id="168"/>
    </w:p>
    <w:p w14:paraId="42601417">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绿化与广场用地</w:t>
      </w:r>
      <w:r>
        <w:rPr>
          <w:rFonts w:hint="eastAsia" w:ascii="仿宋_GB2312" w:hAnsi="宋体" w:eastAsia="仿宋_GB2312"/>
          <w:sz w:val="32"/>
          <w:szCs w:val="32"/>
          <w:lang w:val="en-US" w:eastAsia="zh-CN"/>
        </w:rPr>
        <w:t>29.44</w:t>
      </w:r>
      <w:r>
        <w:rPr>
          <w:rFonts w:hint="eastAsia" w:ascii="仿宋_GB2312" w:hAnsi="宋体" w:eastAsia="仿宋_GB2312"/>
          <w:sz w:val="32"/>
          <w:szCs w:val="32"/>
        </w:rPr>
        <w:t>公顷，占城市建设总用地的</w:t>
      </w:r>
      <w:r>
        <w:rPr>
          <w:rFonts w:hint="eastAsia" w:ascii="仿宋_GB2312" w:hAnsi="宋体" w:eastAsia="仿宋_GB2312"/>
          <w:sz w:val="32"/>
          <w:szCs w:val="32"/>
          <w:lang w:val="en-US" w:eastAsia="zh-CN"/>
        </w:rPr>
        <w:t>9.04</w:t>
      </w:r>
      <w:r>
        <w:rPr>
          <w:rFonts w:hint="eastAsia" w:ascii="仿宋_GB2312" w:hAnsi="宋体" w:eastAsia="仿宋_GB2312"/>
          <w:sz w:val="32"/>
          <w:szCs w:val="32"/>
        </w:rPr>
        <w:t>％，其中公园绿地</w:t>
      </w:r>
      <w:r>
        <w:rPr>
          <w:rFonts w:hint="eastAsia" w:ascii="仿宋_GB2312" w:hAnsi="宋体" w:eastAsia="仿宋_GB2312"/>
          <w:sz w:val="32"/>
          <w:szCs w:val="32"/>
          <w:lang w:val="en-US" w:eastAsia="zh-CN"/>
        </w:rPr>
        <w:t>23.48</w:t>
      </w:r>
      <w:r>
        <w:rPr>
          <w:rFonts w:hint="eastAsia" w:ascii="仿宋_GB2312" w:hAnsi="宋体" w:eastAsia="仿宋_GB2312"/>
          <w:sz w:val="32"/>
          <w:szCs w:val="32"/>
        </w:rPr>
        <w:t>公顷，防护绿地5.25公顷，广场用地</w:t>
      </w:r>
      <w:r>
        <w:rPr>
          <w:rFonts w:hint="eastAsia" w:ascii="仿宋_GB2312" w:hAnsi="宋体" w:eastAsia="仿宋_GB2312"/>
          <w:sz w:val="32"/>
          <w:szCs w:val="32"/>
          <w:lang w:val="en-US" w:eastAsia="zh-CN"/>
        </w:rPr>
        <w:t>0.71</w:t>
      </w:r>
      <w:r>
        <w:rPr>
          <w:rFonts w:hint="eastAsia" w:ascii="仿宋_GB2312" w:hAnsi="宋体" w:eastAsia="仿宋_GB2312"/>
          <w:sz w:val="32"/>
          <w:szCs w:val="32"/>
        </w:rPr>
        <w:t>公顷。绿地系统结合水景廊道及绿心辐射环，沿水体和道路布置连续成片的绿地和广场，形成点、线、面相结合的城市绿地结构，同时加强河道防护绿地、道路防护绿地的建设，使各种绿地共同构成网络系统。</w:t>
      </w:r>
      <w:bookmarkStart w:id="169" w:name="_Toc414632139"/>
      <w:bookmarkStart w:id="170" w:name="_Toc358296579"/>
      <w:bookmarkStart w:id="171" w:name="_Toc420499421"/>
    </w:p>
    <w:p w14:paraId="01713014">
      <w:pPr>
        <w:pStyle w:val="3"/>
        <w:adjustRightInd w:val="0"/>
        <w:spacing w:before="252" w:beforeLines="50" w:after="252" w:afterLines="50" w:line="640" w:lineRule="exact"/>
        <w:rPr>
          <w:rFonts w:ascii="方正黑体简体" w:hAnsi="Calibri" w:eastAsia="方正黑体简体"/>
          <w:bCs w:val="0"/>
        </w:rPr>
      </w:pPr>
      <w:r>
        <w:rPr>
          <w:rFonts w:hint="eastAsia" w:ascii="方正黑体简体" w:hAnsi="Calibri" w:eastAsia="方正黑体简体"/>
          <w:bCs w:val="0"/>
        </w:rPr>
        <w:t>十、弹性留白用地</w:t>
      </w:r>
    </w:p>
    <w:p w14:paraId="55E17734">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（一）规划原则</w:t>
      </w:r>
    </w:p>
    <w:p w14:paraId="776D906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探索留白机制，在控规中对一时难以明确具体用途的少量用地，暂不明确用地性质，在规划中作为弹性用地暂予“留白” ，居住、公服设施、基础设施、道路交通设施或未来新产业新业态等用地可申请使用该类用地。</w:t>
      </w:r>
    </w:p>
    <w:p w14:paraId="4C508E9C">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（二）规划布局</w:t>
      </w:r>
    </w:p>
    <w:p w14:paraId="41D95C32">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弹性留白用地主要分布在片区东端绿心出口处及中部现状公交场站。面积为1.</w:t>
      </w:r>
      <w:r>
        <w:rPr>
          <w:rFonts w:hint="eastAsia" w:ascii="仿宋_GB2312" w:hAnsi="宋体" w:eastAsia="仿宋_GB2312"/>
          <w:sz w:val="32"/>
          <w:szCs w:val="32"/>
          <w:lang w:val="en-US" w:eastAsia="zh-CN"/>
        </w:rPr>
        <w:t>04</w:t>
      </w:r>
      <w:r>
        <w:rPr>
          <w:rFonts w:hint="eastAsia" w:ascii="仿宋_GB2312" w:hAnsi="宋体" w:eastAsia="仿宋_GB2312"/>
          <w:sz w:val="32"/>
          <w:szCs w:val="32"/>
        </w:rPr>
        <w:t>公顷。</w:t>
      </w:r>
    </w:p>
    <w:p w14:paraId="2189301C">
      <w:pPr>
        <w:spacing w:line="720" w:lineRule="exact"/>
        <w:ind w:firstLine="598" w:firstLineChars="200"/>
        <w:rPr>
          <w:rFonts w:hint="eastAsia" w:ascii="仿宋_GB2312" w:hAnsi="宋体" w:eastAsia="仿宋_GB2312"/>
          <w:sz w:val="32"/>
          <w:szCs w:val="32"/>
        </w:rPr>
      </w:pPr>
    </w:p>
    <w:p w14:paraId="146B35DE">
      <w:pPr>
        <w:pStyle w:val="2"/>
        <w:adjustRightInd w:val="0"/>
        <w:spacing w:before="252" w:beforeLines="50" w:after="252" w:afterLines="50" w:line="720" w:lineRule="exact"/>
        <w:rPr>
          <w:rFonts w:ascii="方正黑体简体" w:eastAsia="方正黑体简体"/>
          <w:kern w:val="2"/>
          <w:sz w:val="44"/>
        </w:rPr>
      </w:pPr>
      <w:r>
        <w:rPr>
          <w:rFonts w:hint="eastAsia" w:ascii="方正黑体简体" w:eastAsia="方正黑体简体"/>
          <w:kern w:val="2"/>
          <w:sz w:val="44"/>
        </w:rPr>
        <w:t>第五章</w:t>
      </w:r>
      <w:r>
        <w:rPr>
          <w:rFonts w:ascii="方正黑体简体" w:eastAsia="方正黑体简体"/>
          <w:kern w:val="2"/>
          <w:sz w:val="44"/>
        </w:rPr>
        <w:t xml:space="preserve">  </w:t>
      </w:r>
      <w:r>
        <w:rPr>
          <w:rFonts w:hint="eastAsia" w:ascii="方正黑体简体" w:eastAsia="方正黑体简体"/>
          <w:kern w:val="2"/>
          <w:sz w:val="44"/>
        </w:rPr>
        <w:t>综合交通规划</w:t>
      </w:r>
    </w:p>
    <w:bookmarkEnd w:id="169"/>
    <w:bookmarkEnd w:id="170"/>
    <w:bookmarkEnd w:id="171"/>
    <w:p w14:paraId="02767B46">
      <w:pPr>
        <w:pStyle w:val="3"/>
        <w:adjustRightInd w:val="0"/>
        <w:spacing w:before="252" w:beforeLines="50" w:after="252" w:afterLines="50" w:line="640" w:lineRule="exact"/>
        <w:rPr>
          <w:rFonts w:hint="eastAsia" w:ascii="方正黑体简体" w:hAnsi="Calibri" w:eastAsia="方正黑体简体"/>
          <w:bCs w:val="0"/>
        </w:rPr>
      </w:pPr>
      <w:bookmarkStart w:id="172" w:name="_Toc358296580"/>
      <w:bookmarkStart w:id="173" w:name="_Toc420499422"/>
      <w:bookmarkStart w:id="174" w:name="_Toc414632140"/>
      <w:r>
        <w:rPr>
          <w:rFonts w:hint="eastAsia" w:ascii="方正黑体简体" w:hAnsi="Calibri" w:eastAsia="方正黑体简体"/>
          <w:bCs w:val="0"/>
        </w:rPr>
        <w:t>一、对外交通规划</w:t>
      </w:r>
      <w:bookmarkEnd w:id="172"/>
      <w:bookmarkEnd w:id="173"/>
      <w:bookmarkEnd w:id="174"/>
      <w:bookmarkStart w:id="175" w:name="_Toc358296581"/>
    </w:p>
    <w:p w14:paraId="68A36B31">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（一）高速公路</w:t>
      </w:r>
      <w:bookmarkEnd w:id="175"/>
    </w:p>
    <w:p w14:paraId="184E06D8">
      <w:pPr>
        <w:spacing w:line="720" w:lineRule="exact"/>
        <w:rPr>
          <w:rFonts w:hint="eastAsia" w:ascii="仿宋_GB2312" w:hAnsi="宋体" w:eastAsia="仿宋_GB2312"/>
          <w:sz w:val="32"/>
          <w:szCs w:val="32"/>
        </w:rPr>
      </w:pPr>
      <w:r>
        <w:rPr>
          <w:rFonts w:hint="eastAsia"/>
          <w:sz w:val="28"/>
          <w:szCs w:val="28"/>
        </w:rPr>
        <w:t xml:space="preserve">  </w:t>
      </w:r>
      <w:r>
        <w:rPr>
          <w:rFonts w:hint="eastAsia" w:ascii="仿宋_GB2312" w:hAnsi="宋体" w:eastAsia="仿宋_GB2312"/>
          <w:sz w:val="32"/>
          <w:szCs w:val="32"/>
        </w:rPr>
        <w:t xml:space="preserve">  肖坝片区片区周边有成乐高速、乐雅高速、乐宜高速、绕城高速等，G93成渝环线高速（乐宜高速）在肖坝片区设有出口，对外交通便捷。 </w:t>
      </w:r>
    </w:p>
    <w:p w14:paraId="119D5BF7">
      <w:pPr>
        <w:spacing w:before="252" w:beforeLines="50" w:after="252" w:afterLines="50" w:line="720" w:lineRule="exact"/>
        <w:ind w:firstLine="598" w:firstLineChars="200"/>
        <w:rPr>
          <w:rFonts w:ascii="仿宋_GB2312" w:hAnsi="宋体" w:eastAsia="仿宋_GB2312"/>
          <w:b/>
          <w:sz w:val="32"/>
          <w:szCs w:val="32"/>
        </w:rPr>
      </w:pPr>
      <w:bookmarkStart w:id="176" w:name="_Toc358296582"/>
      <w:r>
        <w:rPr>
          <w:rFonts w:hint="eastAsia" w:ascii="仿宋_GB2312" w:hAnsi="宋体" w:eastAsia="仿宋_GB2312"/>
          <w:b/>
          <w:sz w:val="32"/>
          <w:szCs w:val="32"/>
        </w:rPr>
        <w:t>（二）</w:t>
      </w:r>
      <w:bookmarkEnd w:id="176"/>
      <w:r>
        <w:rPr>
          <w:rFonts w:hint="eastAsia" w:ascii="仿宋_GB2312" w:hAnsi="宋体" w:eastAsia="仿宋_GB2312"/>
          <w:b/>
          <w:sz w:val="32"/>
          <w:szCs w:val="32"/>
        </w:rPr>
        <w:t>大件路</w:t>
      </w:r>
    </w:p>
    <w:p w14:paraId="7773C52B">
      <w:pPr>
        <w:spacing w:line="720" w:lineRule="exact"/>
        <w:ind w:firstLine="586" w:firstLineChars="196"/>
        <w:rPr>
          <w:rFonts w:hint="eastAsia" w:ascii="仿宋_GB2312" w:hAnsi="宋体" w:eastAsia="仿宋_GB2312"/>
          <w:sz w:val="32"/>
          <w:szCs w:val="32"/>
        </w:rPr>
      </w:pPr>
      <w:r>
        <w:rPr>
          <w:rFonts w:hint="eastAsia" w:ascii="仿宋_GB2312" w:hAnsi="宋体" w:eastAsia="仿宋_GB2312"/>
          <w:sz w:val="32"/>
          <w:szCs w:val="32"/>
        </w:rPr>
        <w:t xml:space="preserve">大件路途经肖坝片区中部，通过长青路与青江片区相连，交通转换快捷，其主要功能承担城市外围大件运输等。 </w:t>
      </w:r>
    </w:p>
    <w:p w14:paraId="5D3C2CF8">
      <w:pPr>
        <w:spacing w:before="252" w:beforeLines="50" w:after="252" w:afterLines="50" w:line="720" w:lineRule="exact"/>
        <w:ind w:firstLine="598" w:firstLineChars="200"/>
        <w:rPr>
          <w:rFonts w:ascii="仿宋_GB2312" w:hAnsi="宋体" w:eastAsia="仿宋_GB2312"/>
          <w:b/>
          <w:sz w:val="32"/>
          <w:szCs w:val="32"/>
        </w:rPr>
      </w:pPr>
      <w:r>
        <w:rPr>
          <w:rFonts w:hint="eastAsia" w:ascii="方正黑体简体" w:eastAsia="方正黑体简体"/>
          <w:b/>
          <w:sz w:val="32"/>
          <w:szCs w:val="32"/>
        </w:rPr>
        <w:t xml:space="preserve"> </w:t>
      </w:r>
      <w:bookmarkStart w:id="177" w:name="_Toc358296583"/>
      <w:r>
        <w:rPr>
          <w:rFonts w:hint="eastAsia" w:ascii="仿宋_GB2312" w:hAnsi="宋体" w:eastAsia="仿宋_GB2312"/>
          <w:b/>
          <w:sz w:val="32"/>
          <w:szCs w:val="32"/>
        </w:rPr>
        <w:t>（三）</w:t>
      </w:r>
      <w:bookmarkEnd w:id="177"/>
      <w:bookmarkStart w:id="178" w:name="_Toc358296584"/>
      <w:r>
        <w:rPr>
          <w:rFonts w:hint="eastAsia" w:ascii="仿宋_GB2312" w:hAnsi="宋体" w:eastAsia="仿宋_GB2312"/>
          <w:b/>
          <w:sz w:val="32"/>
          <w:szCs w:val="32"/>
        </w:rPr>
        <w:t>区间道路交通</w:t>
      </w:r>
      <w:bookmarkEnd w:id="178"/>
    </w:p>
    <w:p w14:paraId="1B74C9D5">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肖坝片区内部道路，肖坝路、绿心路均为城市主干道，海棠路、绿心南路为城市次干道，通过片区内部、外部城市主、次干道，能实现与城市各片区的连接。</w:t>
      </w:r>
    </w:p>
    <w:p w14:paraId="2187E60B">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肖坝片区对外联系主要依托以下通道：</w:t>
      </w:r>
    </w:p>
    <w:p w14:paraId="3972E9BF">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向东（至老城片区、岷江东岸）：肖坝路、滨河路、海棠路、大桥西街； </w:t>
      </w:r>
    </w:p>
    <w:p w14:paraId="6B85F33B">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向西（至水口片区）：绿心南路（接乐沙生态大道）；</w:t>
      </w:r>
    </w:p>
    <w:p w14:paraId="7B87EF19">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向北（至柏杨坝片区、青江片区）：绿心路、肖坝路； </w:t>
      </w:r>
    </w:p>
    <w:p w14:paraId="7A6F8B77">
      <w:pPr>
        <w:tabs>
          <w:tab w:val="left" w:pos="720"/>
        </w:tabs>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向南（至高新区）：大渡河大桥（接高新大道）。</w:t>
      </w:r>
    </w:p>
    <w:p w14:paraId="03D01298">
      <w:pPr>
        <w:pStyle w:val="3"/>
        <w:adjustRightInd w:val="0"/>
        <w:spacing w:before="252" w:beforeLines="50" w:after="252" w:afterLines="50" w:line="520" w:lineRule="exact"/>
        <w:rPr>
          <w:rFonts w:ascii="方正黑体简体" w:hAnsi="Calibri" w:eastAsia="方正黑体简体"/>
          <w:bCs w:val="0"/>
        </w:rPr>
      </w:pPr>
      <w:bookmarkStart w:id="179" w:name="_Toc420499423"/>
      <w:bookmarkStart w:id="180" w:name="_Toc358296585"/>
      <w:bookmarkStart w:id="181" w:name="_Toc414632141"/>
      <w:r>
        <w:rPr>
          <w:rFonts w:hint="eastAsia" w:ascii="方正黑体简体" w:hAnsi="Calibri" w:eastAsia="方正黑体简体"/>
          <w:bCs w:val="0"/>
        </w:rPr>
        <w:t>二、城市道路系统规划</w:t>
      </w:r>
      <w:bookmarkEnd w:id="179"/>
      <w:bookmarkEnd w:id="180"/>
      <w:bookmarkEnd w:id="181"/>
    </w:p>
    <w:p w14:paraId="5649E247">
      <w:pPr>
        <w:spacing w:before="252" w:beforeLines="50" w:after="252" w:afterLines="50" w:line="720" w:lineRule="exact"/>
        <w:ind w:firstLine="598" w:firstLineChars="200"/>
        <w:rPr>
          <w:rFonts w:ascii="仿宋_GB2312" w:hAnsi="宋体" w:eastAsia="仿宋_GB2312"/>
          <w:b/>
          <w:sz w:val="32"/>
          <w:szCs w:val="32"/>
        </w:rPr>
      </w:pPr>
      <w:bookmarkStart w:id="182" w:name="_Toc358296586"/>
      <w:r>
        <w:rPr>
          <w:rFonts w:hint="eastAsia" w:ascii="仿宋_GB2312" w:hAnsi="宋体" w:eastAsia="仿宋_GB2312"/>
          <w:b/>
          <w:sz w:val="32"/>
          <w:szCs w:val="32"/>
        </w:rPr>
        <w:t>（一）路网结构</w:t>
      </w:r>
      <w:bookmarkEnd w:id="182"/>
    </w:p>
    <w:p w14:paraId="2D9CCFC0">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1、路网形式</w:t>
      </w:r>
    </w:p>
    <w:p w14:paraId="43AF5ED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规划区路网采用方格网形式，联系方便。同时合理组织路网线形、增加南北向通道、加密中心区支路网体系。</w:t>
      </w:r>
    </w:p>
    <w:p w14:paraId="247ACF0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2、路网等级</w:t>
      </w:r>
    </w:p>
    <w:p w14:paraId="40FD73C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规划区内城市道路分为三级：主干道、次干道和支路。</w:t>
      </w:r>
    </w:p>
    <w:p w14:paraId="5D870CD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（1）主干道</w:t>
      </w:r>
    </w:p>
    <w:p w14:paraId="18FA688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规划形成一横两纵的主干道路交通结构，主要功能是集流，以机动车交通为主，主要承担片区之间的交通联系，红线宽度一般为40—60 米，断面形式均为三块板。</w:t>
      </w:r>
    </w:p>
    <w:p w14:paraId="76701FE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一横：大件路（青衣路、肖坝路）；</w:t>
      </w:r>
    </w:p>
    <w:p w14:paraId="6BA2EB8C">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二纵：乐雅高速连接线、大渡河大桥连接线及绿心路。</w:t>
      </w:r>
    </w:p>
    <w:p w14:paraId="6EAE016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（2）次干道</w:t>
      </w:r>
    </w:p>
    <w:p w14:paraId="2DC2E07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主要功能是分流，与城市主干道网一起构成新城区的道路网骨架，兼有交通和生活双重功能。</w:t>
      </w:r>
    </w:p>
    <w:p w14:paraId="4A1875E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红线宽度为24米。断面形式为一块板。</w:t>
      </w:r>
    </w:p>
    <w:p w14:paraId="09C195C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（3）支路</w:t>
      </w:r>
    </w:p>
    <w:p w14:paraId="103EE220">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主要承担区内的交通联系，满足地块内部的交通集散。红线宽度12-18米，断面形式均为一块板。</w:t>
      </w:r>
    </w:p>
    <w:p w14:paraId="4031BB01">
      <w:pPr>
        <w:spacing w:before="252" w:beforeLines="50" w:after="252" w:afterLines="50" w:line="720" w:lineRule="exact"/>
        <w:ind w:firstLine="598" w:firstLineChars="200"/>
        <w:rPr>
          <w:rFonts w:ascii="仿宋_GB2312" w:hAnsi="宋体" w:eastAsia="仿宋_GB2312"/>
          <w:b/>
          <w:sz w:val="32"/>
          <w:szCs w:val="32"/>
        </w:rPr>
      </w:pPr>
      <w:bookmarkStart w:id="183" w:name="_Toc358296587"/>
      <w:r>
        <w:rPr>
          <w:rFonts w:hint="eastAsia" w:ascii="仿宋_GB2312" w:hAnsi="宋体" w:eastAsia="仿宋_GB2312"/>
          <w:b/>
          <w:sz w:val="32"/>
          <w:szCs w:val="32"/>
        </w:rPr>
        <w:t>（二）地块出入口规划</w:t>
      </w:r>
      <w:bookmarkEnd w:id="183"/>
    </w:p>
    <w:p w14:paraId="5F0F26F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机动车出入口应在建设用地周边较低等级的道路上安排，如需开设两个或两个以上的机动车出入口时，应当按照道路等级由低到高的顺序安排。</w:t>
      </w:r>
      <w:r>
        <w:rPr>
          <w:rFonts w:ascii="仿宋_GB2312" w:hAnsi="宋体" w:eastAsia="仿宋_GB2312"/>
          <w:sz w:val="32"/>
          <w:szCs w:val="32"/>
        </w:rPr>
        <w:t xml:space="preserve"> </w:t>
      </w:r>
    </w:p>
    <w:p w14:paraId="353FE16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距城市道路交叉口的距离，自道路红线直线段起点按下表进行控制，且不得在交叉口渠化段内开口；支路上机动车出入口宜远离路口。</w:t>
      </w:r>
      <w:r>
        <w:rPr>
          <w:rFonts w:ascii="仿宋_GB2312" w:hAnsi="宋体" w:eastAsia="仿宋_GB2312"/>
          <w:sz w:val="32"/>
          <w:szCs w:val="32"/>
        </w:rPr>
        <w:t xml:space="preserve"> </w:t>
      </w:r>
    </w:p>
    <w:p w14:paraId="1A02E507">
      <w:pPr>
        <w:spacing w:line="720" w:lineRule="exact"/>
        <w:ind w:firstLine="598" w:firstLineChars="200"/>
        <w:rPr>
          <w:rFonts w:ascii="方正黑体简体" w:hAnsi="宋体" w:eastAsia="方正黑体简体"/>
          <w:sz w:val="28"/>
          <w:szCs w:val="28"/>
        </w:rPr>
      </w:pPr>
      <w:r>
        <w:rPr>
          <w:rFonts w:hint="eastAsia" w:ascii="仿宋_GB2312" w:hAnsi="宋体" w:eastAsia="仿宋_GB2312"/>
          <w:sz w:val="32"/>
          <w:szCs w:val="32"/>
        </w:rPr>
        <w:t>机动车出入口设置距公园，学校，儿童及残疾人建筑的出入口不应小于</w:t>
      </w:r>
      <w:r>
        <w:rPr>
          <w:rFonts w:ascii="仿宋_GB2312" w:hAnsi="宋体" w:eastAsia="仿宋_GB2312"/>
          <w:sz w:val="32"/>
          <w:szCs w:val="32"/>
        </w:rPr>
        <w:t>20</w:t>
      </w:r>
      <w:r>
        <w:rPr>
          <w:rFonts w:hint="eastAsia" w:ascii="仿宋_GB2312" w:hAnsi="宋体" w:eastAsia="仿宋_GB2312"/>
          <w:sz w:val="32"/>
          <w:szCs w:val="32"/>
        </w:rPr>
        <w:t>米；距公共交通站边缘不应小于</w:t>
      </w:r>
      <w:r>
        <w:rPr>
          <w:rFonts w:ascii="仿宋_GB2312" w:hAnsi="宋体" w:eastAsia="仿宋_GB2312"/>
          <w:sz w:val="32"/>
          <w:szCs w:val="32"/>
        </w:rPr>
        <w:t>10</w:t>
      </w:r>
      <w:r>
        <w:rPr>
          <w:rFonts w:hint="eastAsia" w:ascii="仿宋_GB2312" w:hAnsi="宋体" w:eastAsia="仿宋_GB2312"/>
          <w:sz w:val="32"/>
          <w:szCs w:val="32"/>
        </w:rPr>
        <w:t>米；距铁路道口，桥梁，隧道，引道端点等不应小于</w:t>
      </w:r>
      <w:r>
        <w:rPr>
          <w:rFonts w:ascii="仿宋_GB2312" w:hAnsi="宋体" w:eastAsia="仿宋_GB2312"/>
          <w:sz w:val="32"/>
          <w:szCs w:val="32"/>
        </w:rPr>
        <w:t>50</w:t>
      </w:r>
      <w:r>
        <w:rPr>
          <w:rFonts w:hint="eastAsia" w:ascii="仿宋_GB2312" w:hAnsi="宋体" w:eastAsia="仿宋_GB2312"/>
          <w:sz w:val="32"/>
          <w:szCs w:val="32"/>
        </w:rPr>
        <w:t>米。</w:t>
      </w:r>
      <w:r>
        <w:rPr>
          <w:rFonts w:ascii="仿宋_GB2312" w:hAnsi="宋体" w:eastAsia="仿宋_GB2312"/>
          <w:sz w:val="32"/>
          <w:szCs w:val="32"/>
        </w:rPr>
        <w:t xml:space="preserve"> </w:t>
      </w:r>
    </w:p>
    <w:p w14:paraId="6422EE7F">
      <w:pPr>
        <w:spacing w:line="640" w:lineRule="exact"/>
        <w:jc w:val="center"/>
        <w:rPr>
          <w:rFonts w:ascii="方正黑体简体" w:hAnsi="宋体" w:eastAsia="方正黑体简体"/>
          <w:b/>
          <w:sz w:val="24"/>
        </w:rPr>
      </w:pPr>
      <w:r>
        <w:rPr>
          <w:rFonts w:hint="eastAsia" w:ascii="方正黑体简体" w:hAnsi="宋体" w:eastAsia="方正黑体简体"/>
          <w:b/>
          <w:sz w:val="24"/>
        </w:rPr>
        <w:t>机动车禁开口路段最小距离控制表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9"/>
        <w:gridCol w:w="7367"/>
      </w:tblGrid>
      <w:tr w14:paraId="46BB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9" w:type="dxa"/>
            <w:noWrap w:val="0"/>
            <w:vAlign w:val="center"/>
          </w:tcPr>
          <w:p w14:paraId="41A1B8CF">
            <w:pPr>
              <w:spacing w:line="540" w:lineRule="exact"/>
              <w:jc w:val="center"/>
              <w:rPr>
                <w:rFonts w:ascii="方正黑体简体" w:hAnsi="宋体" w:eastAsia="方正黑体简体"/>
                <w:b/>
                <w:szCs w:val="21"/>
              </w:rPr>
            </w:pPr>
            <w:r>
              <w:rPr>
                <w:rFonts w:hint="eastAsia" w:ascii="方正黑体简体" w:hAnsi="宋体" w:eastAsia="方正黑体简体"/>
                <w:b/>
                <w:szCs w:val="21"/>
              </w:rPr>
              <w:t>道路等级</w:t>
            </w:r>
          </w:p>
        </w:tc>
        <w:tc>
          <w:tcPr>
            <w:tcW w:w="7367" w:type="dxa"/>
            <w:noWrap w:val="0"/>
            <w:vAlign w:val="center"/>
          </w:tcPr>
          <w:p w14:paraId="417EFD5F">
            <w:pPr>
              <w:spacing w:line="540" w:lineRule="exact"/>
              <w:jc w:val="center"/>
              <w:rPr>
                <w:rFonts w:ascii="方正黑体简体" w:hAnsi="宋体" w:eastAsia="方正黑体简体"/>
                <w:b/>
                <w:szCs w:val="21"/>
              </w:rPr>
            </w:pPr>
            <w:r>
              <w:rPr>
                <w:rFonts w:hint="eastAsia" w:ascii="方正黑体简体" w:hAnsi="宋体" w:eastAsia="方正黑体简体"/>
                <w:b/>
                <w:szCs w:val="21"/>
              </w:rPr>
              <w:t>机动车出入口距道路交叉口最小距离（米）</w:t>
            </w:r>
          </w:p>
        </w:tc>
      </w:tr>
      <w:tr w14:paraId="20DB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9" w:type="dxa"/>
            <w:noWrap w:val="0"/>
            <w:vAlign w:val="center"/>
          </w:tcPr>
          <w:p w14:paraId="45B539F4">
            <w:pPr>
              <w:spacing w:line="440" w:lineRule="exact"/>
              <w:jc w:val="center"/>
              <w:rPr>
                <w:rFonts w:ascii="方正黑体简体" w:hAnsi="宋体" w:eastAsia="方正黑体简体"/>
                <w:szCs w:val="21"/>
              </w:rPr>
            </w:pPr>
            <w:r>
              <w:rPr>
                <w:rFonts w:hint="eastAsia" w:ascii="方正黑体简体" w:hAnsi="宋体" w:eastAsia="方正黑体简体"/>
                <w:szCs w:val="21"/>
              </w:rPr>
              <w:t>主干道</w:t>
            </w:r>
          </w:p>
        </w:tc>
        <w:tc>
          <w:tcPr>
            <w:tcW w:w="7367" w:type="dxa"/>
            <w:noWrap w:val="0"/>
            <w:vAlign w:val="center"/>
          </w:tcPr>
          <w:p w14:paraId="688062ED">
            <w:pPr>
              <w:spacing w:line="440" w:lineRule="exact"/>
              <w:jc w:val="center"/>
              <w:rPr>
                <w:rFonts w:ascii="方正黑体简体" w:hAnsi="宋体" w:eastAsia="方正黑体简体"/>
                <w:szCs w:val="21"/>
              </w:rPr>
            </w:pPr>
            <w:r>
              <w:rPr>
                <w:rFonts w:hint="eastAsia" w:ascii="方正黑体简体" w:hAnsi="宋体" w:eastAsia="方正黑体简体"/>
                <w:szCs w:val="21"/>
              </w:rPr>
              <w:t>40-</w:t>
            </w:r>
            <w:r>
              <w:rPr>
                <w:rFonts w:ascii="方正黑体简体" w:hAnsi="宋体" w:eastAsia="方正黑体简体"/>
                <w:szCs w:val="21"/>
              </w:rPr>
              <w:t>60</w:t>
            </w:r>
          </w:p>
        </w:tc>
      </w:tr>
      <w:tr w14:paraId="7781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9" w:type="dxa"/>
            <w:noWrap w:val="0"/>
            <w:vAlign w:val="center"/>
          </w:tcPr>
          <w:p w14:paraId="1E0ABFDF">
            <w:pPr>
              <w:spacing w:line="440" w:lineRule="exact"/>
              <w:jc w:val="center"/>
              <w:rPr>
                <w:rFonts w:ascii="方正黑体简体" w:hAnsi="宋体" w:eastAsia="方正黑体简体"/>
                <w:szCs w:val="21"/>
              </w:rPr>
            </w:pPr>
            <w:r>
              <w:rPr>
                <w:rFonts w:hint="eastAsia" w:ascii="方正黑体简体" w:hAnsi="宋体" w:eastAsia="方正黑体简体"/>
                <w:szCs w:val="21"/>
              </w:rPr>
              <w:t>次干道</w:t>
            </w:r>
          </w:p>
        </w:tc>
        <w:tc>
          <w:tcPr>
            <w:tcW w:w="7367" w:type="dxa"/>
            <w:noWrap w:val="0"/>
            <w:vAlign w:val="center"/>
          </w:tcPr>
          <w:p w14:paraId="4D1D38C9">
            <w:pPr>
              <w:spacing w:line="440" w:lineRule="exact"/>
              <w:jc w:val="center"/>
              <w:rPr>
                <w:rFonts w:ascii="方正黑体简体" w:hAnsi="宋体" w:eastAsia="方正黑体简体"/>
                <w:szCs w:val="21"/>
              </w:rPr>
            </w:pPr>
            <w:r>
              <w:rPr>
                <w:rFonts w:hint="eastAsia" w:ascii="方正黑体简体" w:hAnsi="宋体" w:eastAsia="方正黑体简体"/>
                <w:szCs w:val="21"/>
              </w:rPr>
              <w:t>24</w:t>
            </w:r>
          </w:p>
        </w:tc>
      </w:tr>
      <w:tr w14:paraId="3326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9" w:type="dxa"/>
            <w:noWrap w:val="0"/>
            <w:vAlign w:val="center"/>
          </w:tcPr>
          <w:p w14:paraId="57668022">
            <w:pPr>
              <w:spacing w:line="440" w:lineRule="exact"/>
              <w:jc w:val="center"/>
              <w:rPr>
                <w:rFonts w:ascii="方正黑体简体" w:hAnsi="宋体" w:eastAsia="方正黑体简体"/>
                <w:szCs w:val="21"/>
              </w:rPr>
            </w:pPr>
            <w:r>
              <w:rPr>
                <w:rFonts w:hint="eastAsia" w:ascii="方正黑体简体" w:hAnsi="宋体" w:eastAsia="方正黑体简体"/>
                <w:szCs w:val="21"/>
              </w:rPr>
              <w:t>支路</w:t>
            </w:r>
          </w:p>
        </w:tc>
        <w:tc>
          <w:tcPr>
            <w:tcW w:w="7367" w:type="dxa"/>
            <w:noWrap w:val="0"/>
            <w:vAlign w:val="center"/>
          </w:tcPr>
          <w:p w14:paraId="6DA83545">
            <w:pPr>
              <w:spacing w:line="440" w:lineRule="exact"/>
              <w:jc w:val="center"/>
              <w:rPr>
                <w:rFonts w:ascii="方正黑体简体" w:hAnsi="宋体" w:eastAsia="方正黑体简体"/>
                <w:szCs w:val="21"/>
              </w:rPr>
            </w:pPr>
            <w:r>
              <w:rPr>
                <w:rFonts w:hint="eastAsia" w:ascii="方正黑体简体" w:hAnsi="宋体" w:eastAsia="方正黑体简体"/>
                <w:szCs w:val="21"/>
              </w:rPr>
              <w:t>12-18</w:t>
            </w:r>
          </w:p>
        </w:tc>
      </w:tr>
    </w:tbl>
    <w:p w14:paraId="5D039C86">
      <w:pPr>
        <w:spacing w:before="252" w:beforeLines="50" w:after="252" w:afterLines="50" w:line="720" w:lineRule="exact"/>
        <w:ind w:firstLine="598" w:firstLineChars="200"/>
        <w:rPr>
          <w:rFonts w:ascii="仿宋_GB2312" w:hAnsi="宋体" w:eastAsia="仿宋_GB2312"/>
          <w:b/>
          <w:sz w:val="32"/>
          <w:szCs w:val="32"/>
        </w:rPr>
      </w:pPr>
      <w:bookmarkStart w:id="184" w:name="_Toc358296588"/>
      <w:r>
        <w:rPr>
          <w:rFonts w:hint="eastAsia" w:ascii="仿宋_GB2312" w:hAnsi="宋体" w:eastAsia="仿宋_GB2312"/>
          <w:b/>
          <w:sz w:val="32"/>
          <w:szCs w:val="32"/>
        </w:rPr>
        <w:t>（三）城市道路交叉口转弯半径</w:t>
      </w:r>
      <w:bookmarkEnd w:id="184"/>
    </w:p>
    <w:p w14:paraId="6C1E6DDE">
      <w:pPr>
        <w:spacing w:line="720" w:lineRule="exact"/>
        <w:ind w:firstLine="598" w:firstLineChars="200"/>
        <w:rPr>
          <w:rFonts w:ascii="方正黑体简体" w:hAnsi="宋体" w:eastAsia="方正黑体简体"/>
          <w:sz w:val="28"/>
          <w:szCs w:val="28"/>
        </w:rPr>
      </w:pPr>
      <w:r>
        <w:rPr>
          <w:rFonts w:hint="eastAsia" w:ascii="仿宋_GB2312" w:hAnsi="宋体" w:eastAsia="仿宋_GB2312"/>
          <w:sz w:val="32"/>
          <w:szCs w:val="32"/>
        </w:rPr>
        <w:t>交叉口路缘石的转弯半径常按圆曲线布置，转弯半径一般根据车型、道路性质、横断面形式、车速来综合考虑。主干路：</w:t>
      </w:r>
      <w:r>
        <w:rPr>
          <w:rFonts w:ascii="仿宋_GB2312" w:hAnsi="宋体" w:eastAsia="仿宋_GB2312"/>
          <w:sz w:val="32"/>
          <w:szCs w:val="32"/>
        </w:rPr>
        <w:t xml:space="preserve"> 20m</w:t>
      </w:r>
      <w:r>
        <w:rPr>
          <w:rFonts w:hint="eastAsia" w:ascii="仿宋_GB2312" w:hAnsi="宋体" w:eastAsia="仿宋_GB2312"/>
          <w:sz w:val="32"/>
          <w:szCs w:val="32"/>
        </w:rPr>
        <w:t>～</w:t>
      </w:r>
      <w:r>
        <w:rPr>
          <w:rFonts w:ascii="仿宋_GB2312" w:hAnsi="宋体" w:eastAsia="仿宋_GB2312"/>
          <w:sz w:val="32"/>
          <w:szCs w:val="32"/>
        </w:rPr>
        <w:t>30m</w:t>
      </w:r>
      <w:r>
        <w:rPr>
          <w:rFonts w:hint="eastAsia" w:ascii="仿宋_GB2312" w:hAnsi="宋体" w:eastAsia="仿宋_GB2312"/>
          <w:sz w:val="32"/>
          <w:szCs w:val="32"/>
        </w:rPr>
        <w:t>；次干路：</w:t>
      </w:r>
      <w:r>
        <w:rPr>
          <w:rFonts w:ascii="仿宋_GB2312" w:hAnsi="宋体" w:eastAsia="仿宋_GB2312"/>
          <w:sz w:val="32"/>
          <w:szCs w:val="32"/>
        </w:rPr>
        <w:t xml:space="preserve"> 15m</w:t>
      </w:r>
      <w:r>
        <w:rPr>
          <w:rFonts w:hint="eastAsia" w:ascii="仿宋_GB2312" w:hAnsi="宋体" w:eastAsia="仿宋_GB2312"/>
          <w:sz w:val="32"/>
          <w:szCs w:val="32"/>
        </w:rPr>
        <w:t>～</w:t>
      </w:r>
      <w:r>
        <w:rPr>
          <w:rFonts w:ascii="仿宋_GB2312" w:hAnsi="宋体" w:eastAsia="仿宋_GB2312"/>
          <w:sz w:val="32"/>
          <w:szCs w:val="32"/>
        </w:rPr>
        <w:t>20m</w:t>
      </w:r>
      <w:r>
        <w:rPr>
          <w:rFonts w:hint="eastAsia" w:ascii="仿宋_GB2312" w:hAnsi="宋体" w:eastAsia="仿宋_GB2312"/>
          <w:sz w:val="32"/>
          <w:szCs w:val="32"/>
        </w:rPr>
        <w:t>；非主次道路：</w:t>
      </w:r>
      <w:r>
        <w:rPr>
          <w:rFonts w:ascii="仿宋_GB2312" w:hAnsi="宋体" w:eastAsia="仿宋_GB2312"/>
          <w:sz w:val="32"/>
          <w:szCs w:val="32"/>
        </w:rPr>
        <w:t>10m</w:t>
      </w:r>
      <w:r>
        <w:rPr>
          <w:rFonts w:hint="eastAsia" w:ascii="仿宋_GB2312" w:hAnsi="宋体" w:eastAsia="仿宋_GB2312"/>
          <w:sz w:val="32"/>
          <w:szCs w:val="32"/>
        </w:rPr>
        <w:t>～</w:t>
      </w:r>
      <w:r>
        <w:rPr>
          <w:rFonts w:ascii="仿宋_GB2312" w:hAnsi="宋体" w:eastAsia="仿宋_GB2312"/>
          <w:sz w:val="32"/>
          <w:szCs w:val="32"/>
        </w:rPr>
        <w:t>20m</w:t>
      </w:r>
      <w:r>
        <w:rPr>
          <w:rFonts w:hint="eastAsia" w:ascii="仿宋_GB2312" w:hAnsi="宋体" w:eastAsia="仿宋_GB2312"/>
          <w:sz w:val="32"/>
          <w:szCs w:val="32"/>
        </w:rPr>
        <w:t>。同类（级）道路相交时按本级道路取值，与低一级道路相交时可按低一级道路取值，机动车专用道选取较大的转角半径，设有非机动车道的道路选取较小的转角半径。</w:t>
      </w:r>
      <w:r>
        <w:rPr>
          <w:rFonts w:ascii="仿宋_GB2312" w:hAnsi="宋体" w:eastAsia="仿宋_GB2312"/>
          <w:sz w:val="32"/>
          <w:szCs w:val="32"/>
        </w:rPr>
        <w:t xml:space="preserve"> </w:t>
      </w:r>
    </w:p>
    <w:p w14:paraId="164C401F">
      <w:pPr>
        <w:spacing w:line="640" w:lineRule="exact"/>
        <w:jc w:val="center"/>
        <w:rPr>
          <w:rFonts w:ascii="方正黑体简体" w:hAnsi="宋体" w:eastAsia="方正黑体简体"/>
          <w:b/>
          <w:sz w:val="24"/>
        </w:rPr>
      </w:pPr>
      <w:r>
        <w:rPr>
          <w:rFonts w:hint="eastAsia" w:ascii="方正黑体简体" w:hAnsi="宋体" w:eastAsia="方正黑体简体"/>
          <w:b/>
          <w:sz w:val="24"/>
        </w:rPr>
        <w:t>道路转弯半径控制表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9"/>
        <w:gridCol w:w="2619"/>
        <w:gridCol w:w="2619"/>
        <w:gridCol w:w="2619"/>
      </w:tblGrid>
      <w:tr w14:paraId="2914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noWrap w:val="0"/>
            <w:vAlign w:val="center"/>
          </w:tcPr>
          <w:p w14:paraId="799DB1E8">
            <w:pPr>
              <w:spacing w:line="540" w:lineRule="exact"/>
              <w:jc w:val="center"/>
              <w:rPr>
                <w:rFonts w:ascii="方正黑体简体" w:hAnsi="宋体" w:eastAsia="方正黑体简体"/>
                <w:szCs w:val="21"/>
              </w:rPr>
            </w:pPr>
          </w:p>
        </w:tc>
        <w:tc>
          <w:tcPr>
            <w:tcW w:w="2619" w:type="dxa"/>
            <w:noWrap w:val="0"/>
            <w:vAlign w:val="center"/>
          </w:tcPr>
          <w:p w14:paraId="0E00E9E6">
            <w:pPr>
              <w:spacing w:line="540" w:lineRule="exact"/>
              <w:jc w:val="center"/>
              <w:rPr>
                <w:rFonts w:ascii="方正黑体简体" w:hAnsi="宋体" w:eastAsia="方正黑体简体"/>
                <w:b/>
                <w:szCs w:val="21"/>
              </w:rPr>
            </w:pPr>
            <w:r>
              <w:rPr>
                <w:rFonts w:hint="eastAsia" w:ascii="方正黑体简体" w:hAnsi="宋体" w:eastAsia="方正黑体简体"/>
                <w:b/>
                <w:szCs w:val="21"/>
              </w:rPr>
              <w:t>主干道</w:t>
            </w:r>
          </w:p>
        </w:tc>
        <w:tc>
          <w:tcPr>
            <w:tcW w:w="2619" w:type="dxa"/>
            <w:noWrap w:val="0"/>
            <w:vAlign w:val="center"/>
          </w:tcPr>
          <w:p w14:paraId="5D721FCE">
            <w:pPr>
              <w:spacing w:line="540" w:lineRule="exact"/>
              <w:jc w:val="center"/>
              <w:rPr>
                <w:rFonts w:ascii="方正黑体简体" w:hAnsi="宋体" w:eastAsia="方正黑体简体"/>
                <w:b/>
                <w:szCs w:val="21"/>
              </w:rPr>
            </w:pPr>
            <w:r>
              <w:rPr>
                <w:rFonts w:hint="eastAsia" w:ascii="方正黑体简体" w:hAnsi="宋体" w:eastAsia="方正黑体简体"/>
                <w:b/>
                <w:szCs w:val="21"/>
              </w:rPr>
              <w:t>次干道</w:t>
            </w:r>
          </w:p>
        </w:tc>
        <w:tc>
          <w:tcPr>
            <w:tcW w:w="2619" w:type="dxa"/>
            <w:noWrap w:val="0"/>
            <w:vAlign w:val="center"/>
          </w:tcPr>
          <w:p w14:paraId="4579596A">
            <w:pPr>
              <w:spacing w:line="540" w:lineRule="exact"/>
              <w:jc w:val="center"/>
              <w:rPr>
                <w:rFonts w:ascii="方正黑体简体" w:hAnsi="宋体" w:eastAsia="方正黑体简体"/>
                <w:b/>
                <w:szCs w:val="21"/>
              </w:rPr>
            </w:pPr>
            <w:r>
              <w:rPr>
                <w:rFonts w:hint="eastAsia" w:ascii="方正黑体简体" w:hAnsi="宋体" w:eastAsia="方正黑体简体"/>
                <w:b/>
                <w:szCs w:val="21"/>
              </w:rPr>
              <w:t>支路</w:t>
            </w:r>
          </w:p>
        </w:tc>
      </w:tr>
      <w:tr w14:paraId="78EF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noWrap w:val="0"/>
            <w:vAlign w:val="center"/>
          </w:tcPr>
          <w:p w14:paraId="327C4991">
            <w:pPr>
              <w:spacing w:line="440" w:lineRule="exact"/>
              <w:jc w:val="center"/>
              <w:rPr>
                <w:rFonts w:ascii="方正黑体简体" w:hAnsi="宋体" w:eastAsia="方正黑体简体"/>
                <w:szCs w:val="21"/>
              </w:rPr>
            </w:pPr>
            <w:r>
              <w:rPr>
                <w:rFonts w:hint="eastAsia" w:ascii="方正黑体简体" w:hAnsi="宋体" w:eastAsia="方正黑体简体"/>
                <w:szCs w:val="21"/>
              </w:rPr>
              <w:t>主干道</w:t>
            </w:r>
          </w:p>
        </w:tc>
        <w:tc>
          <w:tcPr>
            <w:tcW w:w="2619" w:type="dxa"/>
            <w:noWrap w:val="0"/>
            <w:vAlign w:val="center"/>
          </w:tcPr>
          <w:p w14:paraId="46D48C9B">
            <w:pPr>
              <w:spacing w:line="440" w:lineRule="exact"/>
              <w:jc w:val="center"/>
              <w:rPr>
                <w:rFonts w:ascii="方正黑体简体" w:hAnsi="宋体" w:eastAsia="方正黑体简体"/>
                <w:szCs w:val="21"/>
              </w:rPr>
            </w:pPr>
            <w:r>
              <w:rPr>
                <w:rFonts w:ascii="方正黑体简体" w:hAnsi="宋体" w:eastAsia="方正黑体简体"/>
                <w:szCs w:val="21"/>
              </w:rPr>
              <w:t>25</w:t>
            </w:r>
          </w:p>
        </w:tc>
        <w:tc>
          <w:tcPr>
            <w:tcW w:w="2619" w:type="dxa"/>
            <w:noWrap w:val="0"/>
            <w:vAlign w:val="center"/>
          </w:tcPr>
          <w:p w14:paraId="4DC70056">
            <w:pPr>
              <w:spacing w:line="440" w:lineRule="exact"/>
              <w:jc w:val="center"/>
              <w:rPr>
                <w:rFonts w:ascii="方正黑体简体" w:hAnsi="宋体" w:eastAsia="方正黑体简体"/>
                <w:szCs w:val="21"/>
              </w:rPr>
            </w:pPr>
            <w:r>
              <w:rPr>
                <w:rFonts w:ascii="方正黑体简体" w:hAnsi="宋体" w:eastAsia="方正黑体简体"/>
                <w:szCs w:val="21"/>
              </w:rPr>
              <w:t>20</w:t>
            </w:r>
          </w:p>
        </w:tc>
        <w:tc>
          <w:tcPr>
            <w:tcW w:w="2619" w:type="dxa"/>
            <w:noWrap w:val="0"/>
            <w:vAlign w:val="center"/>
          </w:tcPr>
          <w:p w14:paraId="684676BB">
            <w:pPr>
              <w:spacing w:line="440" w:lineRule="exact"/>
              <w:jc w:val="center"/>
              <w:rPr>
                <w:rFonts w:ascii="方正黑体简体" w:hAnsi="宋体" w:eastAsia="方正黑体简体"/>
                <w:szCs w:val="21"/>
              </w:rPr>
            </w:pPr>
            <w:r>
              <w:rPr>
                <w:rFonts w:ascii="方正黑体简体" w:hAnsi="宋体" w:eastAsia="方正黑体简体"/>
                <w:szCs w:val="21"/>
              </w:rPr>
              <w:t>15</w:t>
            </w:r>
          </w:p>
        </w:tc>
      </w:tr>
      <w:tr w14:paraId="5495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noWrap w:val="0"/>
            <w:vAlign w:val="center"/>
          </w:tcPr>
          <w:p w14:paraId="233D5D22">
            <w:pPr>
              <w:spacing w:line="440" w:lineRule="exact"/>
              <w:jc w:val="center"/>
              <w:rPr>
                <w:rFonts w:ascii="方正黑体简体" w:hAnsi="宋体" w:eastAsia="方正黑体简体"/>
                <w:szCs w:val="21"/>
              </w:rPr>
            </w:pPr>
            <w:r>
              <w:rPr>
                <w:rFonts w:hint="eastAsia" w:ascii="方正黑体简体" w:hAnsi="宋体" w:eastAsia="方正黑体简体"/>
                <w:szCs w:val="21"/>
              </w:rPr>
              <w:t>次干道</w:t>
            </w:r>
          </w:p>
        </w:tc>
        <w:tc>
          <w:tcPr>
            <w:tcW w:w="2619" w:type="dxa"/>
            <w:noWrap w:val="0"/>
            <w:vAlign w:val="center"/>
          </w:tcPr>
          <w:p w14:paraId="1FB7A053">
            <w:pPr>
              <w:spacing w:line="440" w:lineRule="exact"/>
              <w:jc w:val="center"/>
              <w:rPr>
                <w:rFonts w:ascii="方正黑体简体" w:hAnsi="宋体" w:eastAsia="方正黑体简体"/>
                <w:szCs w:val="21"/>
              </w:rPr>
            </w:pPr>
            <w:r>
              <w:rPr>
                <w:rFonts w:ascii="方正黑体简体" w:hAnsi="宋体" w:eastAsia="方正黑体简体"/>
                <w:szCs w:val="21"/>
              </w:rPr>
              <w:t>20</w:t>
            </w:r>
          </w:p>
        </w:tc>
        <w:tc>
          <w:tcPr>
            <w:tcW w:w="2619" w:type="dxa"/>
            <w:noWrap w:val="0"/>
            <w:vAlign w:val="center"/>
          </w:tcPr>
          <w:p w14:paraId="2AF54A6C">
            <w:pPr>
              <w:spacing w:line="440" w:lineRule="exact"/>
              <w:jc w:val="center"/>
              <w:rPr>
                <w:rFonts w:ascii="方正黑体简体" w:hAnsi="宋体" w:eastAsia="方正黑体简体"/>
                <w:szCs w:val="21"/>
              </w:rPr>
            </w:pPr>
            <w:r>
              <w:rPr>
                <w:rFonts w:ascii="方正黑体简体" w:hAnsi="宋体" w:eastAsia="方正黑体简体"/>
                <w:szCs w:val="21"/>
              </w:rPr>
              <w:t>15</w:t>
            </w:r>
          </w:p>
        </w:tc>
        <w:tc>
          <w:tcPr>
            <w:tcW w:w="2619" w:type="dxa"/>
            <w:noWrap w:val="0"/>
            <w:vAlign w:val="center"/>
          </w:tcPr>
          <w:p w14:paraId="71349394">
            <w:pPr>
              <w:spacing w:line="440" w:lineRule="exact"/>
              <w:jc w:val="center"/>
              <w:rPr>
                <w:rFonts w:ascii="方正黑体简体" w:hAnsi="宋体" w:eastAsia="方正黑体简体"/>
                <w:szCs w:val="21"/>
              </w:rPr>
            </w:pPr>
            <w:r>
              <w:rPr>
                <w:rFonts w:ascii="方正黑体简体" w:hAnsi="宋体" w:eastAsia="方正黑体简体"/>
                <w:szCs w:val="21"/>
              </w:rPr>
              <w:t>10</w:t>
            </w:r>
          </w:p>
        </w:tc>
      </w:tr>
      <w:tr w14:paraId="1957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noWrap w:val="0"/>
            <w:vAlign w:val="center"/>
          </w:tcPr>
          <w:p w14:paraId="2976CA0F">
            <w:pPr>
              <w:spacing w:line="440" w:lineRule="exact"/>
              <w:jc w:val="center"/>
              <w:rPr>
                <w:rFonts w:ascii="方正黑体简体" w:hAnsi="宋体" w:eastAsia="方正黑体简体"/>
                <w:szCs w:val="21"/>
              </w:rPr>
            </w:pPr>
            <w:r>
              <w:rPr>
                <w:rFonts w:hint="eastAsia" w:ascii="方正黑体简体" w:hAnsi="宋体" w:eastAsia="方正黑体简体"/>
                <w:szCs w:val="21"/>
              </w:rPr>
              <w:t>支路</w:t>
            </w:r>
          </w:p>
        </w:tc>
        <w:tc>
          <w:tcPr>
            <w:tcW w:w="2619" w:type="dxa"/>
            <w:noWrap w:val="0"/>
            <w:vAlign w:val="center"/>
          </w:tcPr>
          <w:p w14:paraId="1A934A36">
            <w:pPr>
              <w:spacing w:line="440" w:lineRule="exact"/>
              <w:jc w:val="center"/>
              <w:rPr>
                <w:rFonts w:ascii="方正黑体简体" w:hAnsi="宋体" w:eastAsia="方正黑体简体"/>
                <w:szCs w:val="21"/>
              </w:rPr>
            </w:pPr>
            <w:r>
              <w:rPr>
                <w:rFonts w:ascii="方正黑体简体" w:hAnsi="宋体" w:eastAsia="方正黑体简体"/>
                <w:szCs w:val="21"/>
              </w:rPr>
              <w:t>15</w:t>
            </w:r>
          </w:p>
        </w:tc>
        <w:tc>
          <w:tcPr>
            <w:tcW w:w="2619" w:type="dxa"/>
            <w:noWrap w:val="0"/>
            <w:vAlign w:val="center"/>
          </w:tcPr>
          <w:p w14:paraId="45913EB9">
            <w:pPr>
              <w:spacing w:line="440" w:lineRule="exact"/>
              <w:jc w:val="center"/>
              <w:rPr>
                <w:rFonts w:ascii="方正黑体简体" w:hAnsi="宋体" w:eastAsia="方正黑体简体"/>
                <w:szCs w:val="21"/>
              </w:rPr>
            </w:pPr>
            <w:r>
              <w:rPr>
                <w:rFonts w:ascii="方正黑体简体" w:hAnsi="宋体" w:eastAsia="方正黑体简体"/>
                <w:szCs w:val="21"/>
              </w:rPr>
              <w:t>10</w:t>
            </w:r>
          </w:p>
        </w:tc>
        <w:tc>
          <w:tcPr>
            <w:tcW w:w="2619" w:type="dxa"/>
            <w:noWrap w:val="0"/>
            <w:vAlign w:val="center"/>
          </w:tcPr>
          <w:p w14:paraId="310BA67F">
            <w:pPr>
              <w:spacing w:line="440" w:lineRule="exact"/>
              <w:jc w:val="center"/>
              <w:rPr>
                <w:rFonts w:ascii="方正黑体简体" w:hAnsi="宋体" w:eastAsia="方正黑体简体"/>
                <w:szCs w:val="21"/>
              </w:rPr>
            </w:pPr>
            <w:r>
              <w:rPr>
                <w:rFonts w:ascii="方正黑体简体" w:hAnsi="宋体" w:eastAsia="方正黑体简体"/>
                <w:szCs w:val="21"/>
              </w:rPr>
              <w:t>10</w:t>
            </w:r>
          </w:p>
        </w:tc>
      </w:tr>
    </w:tbl>
    <w:p w14:paraId="483DE56F">
      <w:pPr>
        <w:pStyle w:val="3"/>
        <w:adjustRightInd w:val="0"/>
        <w:spacing w:before="252" w:beforeLines="50" w:after="252" w:afterLines="50" w:line="660" w:lineRule="exact"/>
        <w:rPr>
          <w:rFonts w:ascii="方正黑体简体" w:hAnsi="Calibri" w:eastAsia="方正黑体简体"/>
          <w:bCs w:val="0"/>
        </w:rPr>
      </w:pPr>
      <w:bookmarkStart w:id="185" w:name="_Toc358296589"/>
      <w:bookmarkStart w:id="186" w:name="_Toc414632142"/>
      <w:bookmarkStart w:id="187" w:name="_Toc420499424"/>
      <w:r>
        <w:rPr>
          <w:rFonts w:hint="eastAsia" w:ascii="方正黑体简体" w:hAnsi="Calibri" w:eastAsia="方正黑体简体"/>
          <w:bCs w:val="0"/>
        </w:rPr>
        <w:t>三、公共交通规划</w:t>
      </w:r>
      <w:bookmarkEnd w:id="185"/>
      <w:bookmarkEnd w:id="186"/>
      <w:bookmarkEnd w:id="187"/>
    </w:p>
    <w:p w14:paraId="3D8085D3">
      <w:pPr>
        <w:spacing w:before="252" w:beforeLines="50" w:after="252" w:afterLines="50" w:line="720" w:lineRule="exact"/>
        <w:ind w:firstLine="598" w:firstLineChars="200"/>
        <w:rPr>
          <w:rFonts w:ascii="仿宋_GB2312" w:hAnsi="宋体" w:eastAsia="仿宋_GB2312"/>
          <w:b/>
          <w:sz w:val="32"/>
          <w:szCs w:val="32"/>
        </w:rPr>
      </w:pPr>
      <w:bookmarkStart w:id="188" w:name="_Toc358296590"/>
      <w:r>
        <w:rPr>
          <w:rFonts w:hint="eastAsia" w:ascii="仿宋_GB2312" w:hAnsi="宋体" w:eastAsia="仿宋_GB2312"/>
          <w:b/>
          <w:sz w:val="32"/>
          <w:szCs w:val="32"/>
        </w:rPr>
        <w:t>（一）公交场站发展策略</w:t>
      </w:r>
      <w:bookmarkEnd w:id="188"/>
    </w:p>
    <w:p w14:paraId="7EA5F20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（1）加强接驳换乘设施建设，提高公交线网密度。</w:t>
      </w:r>
      <w:r>
        <w:rPr>
          <w:rFonts w:ascii="仿宋_GB2312" w:hAnsi="宋体" w:eastAsia="仿宋_GB2312"/>
          <w:sz w:val="32"/>
          <w:szCs w:val="32"/>
        </w:rPr>
        <w:t xml:space="preserve"> </w:t>
      </w:r>
    </w:p>
    <w:p w14:paraId="6A1DF10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在缩短公交线路长度、提高公交线网密度的同时，加强与周边片区的联系。</w:t>
      </w:r>
      <w:r>
        <w:rPr>
          <w:rFonts w:ascii="仿宋_GB2312" w:hAnsi="宋体" w:eastAsia="仿宋_GB2312"/>
          <w:sz w:val="32"/>
          <w:szCs w:val="32"/>
        </w:rPr>
        <w:t xml:space="preserve"> </w:t>
      </w:r>
    </w:p>
    <w:p w14:paraId="2BFFEF4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（2）加强首末站建设，提高公交站点覆盖率。</w:t>
      </w:r>
      <w:r>
        <w:rPr>
          <w:rFonts w:ascii="仿宋_GB2312" w:hAnsi="宋体" w:eastAsia="仿宋_GB2312"/>
          <w:sz w:val="32"/>
          <w:szCs w:val="32"/>
        </w:rPr>
        <w:t xml:space="preserve"> </w:t>
      </w:r>
    </w:p>
    <w:p w14:paraId="53F03C6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在主要客流集散点和人口较集中的居民区附近或城市公共服务设施较集中的地段设置公交首末站，公交站点控制</w:t>
      </w:r>
      <w:r>
        <w:rPr>
          <w:rFonts w:ascii="仿宋_GB2312" w:hAnsi="宋体" w:eastAsia="仿宋_GB2312"/>
          <w:sz w:val="32"/>
          <w:szCs w:val="32"/>
        </w:rPr>
        <w:t>300</w:t>
      </w:r>
      <w:r>
        <w:rPr>
          <w:rFonts w:hint="eastAsia" w:ascii="仿宋_GB2312" w:hAnsi="宋体" w:eastAsia="仿宋_GB2312"/>
          <w:sz w:val="32"/>
          <w:szCs w:val="32"/>
        </w:rPr>
        <w:t>～</w:t>
      </w:r>
      <w:r>
        <w:rPr>
          <w:rFonts w:ascii="仿宋_GB2312" w:hAnsi="宋体" w:eastAsia="仿宋_GB2312"/>
          <w:sz w:val="32"/>
          <w:szCs w:val="32"/>
        </w:rPr>
        <w:t>500</w:t>
      </w:r>
      <w:r>
        <w:rPr>
          <w:rFonts w:hint="eastAsia" w:ascii="仿宋_GB2312" w:hAnsi="宋体" w:eastAsia="仿宋_GB2312"/>
          <w:sz w:val="32"/>
          <w:szCs w:val="32"/>
        </w:rPr>
        <w:t>米半径服务范围内，使公交乘客能便捷的使用，以提高公交站点覆盖率。</w:t>
      </w:r>
      <w:r>
        <w:rPr>
          <w:rFonts w:ascii="仿宋_GB2312" w:hAnsi="宋体" w:eastAsia="仿宋_GB2312"/>
          <w:sz w:val="32"/>
          <w:szCs w:val="32"/>
        </w:rPr>
        <w:t xml:space="preserve"> </w:t>
      </w:r>
    </w:p>
    <w:p w14:paraId="2051B6D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（3）灵活的公交场站的建设方式</w:t>
      </w:r>
      <w:r>
        <w:rPr>
          <w:rFonts w:ascii="仿宋_GB2312" w:hAnsi="宋体" w:eastAsia="仿宋_GB2312"/>
          <w:sz w:val="32"/>
          <w:szCs w:val="32"/>
        </w:rPr>
        <w:t xml:space="preserve"> </w:t>
      </w:r>
      <w:r>
        <w:rPr>
          <w:rFonts w:hint="eastAsia" w:ascii="仿宋_GB2312" w:hAnsi="宋体" w:eastAsia="仿宋_GB2312"/>
          <w:sz w:val="32"/>
          <w:szCs w:val="32"/>
        </w:rPr>
        <w:t>。</w:t>
      </w:r>
    </w:p>
    <w:p w14:paraId="48A7823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新建住宅区特别是大型居住区，公交场站配置应同其它生活配套设施一起在规划时给予考虑。</w:t>
      </w:r>
      <w:r>
        <w:rPr>
          <w:rFonts w:ascii="仿宋_GB2312" w:hAnsi="宋体" w:eastAsia="仿宋_GB2312"/>
          <w:sz w:val="32"/>
          <w:szCs w:val="32"/>
        </w:rPr>
        <w:t xml:space="preserve"> </w:t>
      </w:r>
    </w:p>
    <w:p w14:paraId="1031693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（4）确定合理的公交场站用地面积</w:t>
      </w:r>
      <w:r>
        <w:rPr>
          <w:rFonts w:ascii="仿宋_GB2312" w:hAnsi="宋体" w:eastAsia="仿宋_GB2312"/>
          <w:sz w:val="32"/>
          <w:szCs w:val="32"/>
        </w:rPr>
        <w:t xml:space="preserve"> </w:t>
      </w:r>
      <w:r>
        <w:rPr>
          <w:rFonts w:hint="eastAsia" w:ascii="仿宋_GB2312" w:hAnsi="宋体" w:eastAsia="仿宋_GB2312"/>
          <w:sz w:val="32"/>
          <w:szCs w:val="32"/>
        </w:rPr>
        <w:t>。</w:t>
      </w:r>
    </w:p>
    <w:p w14:paraId="4CF41D4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首末站是每条公交线路的起点和终点，规划用地面积建议为</w:t>
      </w:r>
      <w:r>
        <w:rPr>
          <w:rFonts w:ascii="仿宋_GB2312" w:hAnsi="宋体" w:eastAsia="仿宋_GB2312"/>
          <w:sz w:val="32"/>
          <w:szCs w:val="32"/>
        </w:rPr>
        <w:t>80</w:t>
      </w:r>
      <w:r>
        <w:rPr>
          <w:rFonts w:hint="eastAsia" w:ascii="仿宋_GB2312" w:hAnsi="宋体" w:eastAsia="仿宋_GB2312"/>
          <w:sz w:val="32"/>
          <w:szCs w:val="32"/>
        </w:rPr>
        <w:t>～</w:t>
      </w:r>
      <w:r>
        <w:rPr>
          <w:rFonts w:ascii="仿宋_GB2312" w:hAnsi="宋体" w:eastAsia="仿宋_GB2312"/>
          <w:sz w:val="32"/>
          <w:szCs w:val="32"/>
        </w:rPr>
        <w:t>100</w:t>
      </w:r>
      <w:r>
        <w:rPr>
          <w:rFonts w:hint="eastAsia" w:ascii="仿宋_GB2312" w:hAnsi="宋体" w:eastAsia="仿宋_GB2312"/>
          <w:sz w:val="32"/>
          <w:szCs w:val="32"/>
        </w:rPr>
        <w:t>平方米</w:t>
      </w:r>
      <w:r>
        <w:rPr>
          <w:rFonts w:ascii="仿宋_GB2312" w:hAnsi="宋体" w:eastAsia="仿宋_GB2312"/>
          <w:sz w:val="32"/>
          <w:szCs w:val="32"/>
        </w:rPr>
        <w:t>/</w:t>
      </w:r>
      <w:r>
        <w:rPr>
          <w:rFonts w:hint="eastAsia" w:ascii="仿宋_GB2312" w:hAnsi="宋体" w:eastAsia="仿宋_GB2312"/>
          <w:sz w:val="32"/>
          <w:szCs w:val="32"/>
        </w:rPr>
        <w:t>标准车；三条以上公交线路共用的首末站或与其它交通方式换乘的首末站应设置公交枢纽站；综合车场是大部分公交车辆夜间停车和车辆保养的场地，规划用地面积建议为</w:t>
      </w:r>
      <w:r>
        <w:rPr>
          <w:rFonts w:ascii="仿宋_GB2312" w:hAnsi="宋体" w:eastAsia="仿宋_GB2312"/>
          <w:sz w:val="32"/>
          <w:szCs w:val="32"/>
        </w:rPr>
        <w:t>70</w:t>
      </w:r>
      <w:r>
        <w:rPr>
          <w:rFonts w:hint="eastAsia" w:ascii="仿宋_GB2312" w:hAnsi="宋体" w:eastAsia="仿宋_GB2312"/>
          <w:sz w:val="32"/>
          <w:szCs w:val="32"/>
        </w:rPr>
        <w:t>～</w:t>
      </w:r>
      <w:r>
        <w:rPr>
          <w:rFonts w:ascii="仿宋_GB2312" w:hAnsi="宋体" w:eastAsia="仿宋_GB2312"/>
          <w:sz w:val="32"/>
          <w:szCs w:val="32"/>
        </w:rPr>
        <w:t>90</w:t>
      </w:r>
      <w:r>
        <w:rPr>
          <w:rFonts w:hint="eastAsia" w:ascii="仿宋_GB2312" w:hAnsi="宋体" w:eastAsia="仿宋_GB2312"/>
          <w:sz w:val="32"/>
          <w:szCs w:val="32"/>
        </w:rPr>
        <w:t>平方米</w:t>
      </w:r>
      <w:r>
        <w:rPr>
          <w:rFonts w:ascii="仿宋_GB2312" w:hAnsi="宋体" w:eastAsia="仿宋_GB2312"/>
          <w:sz w:val="32"/>
          <w:szCs w:val="32"/>
        </w:rPr>
        <w:t>/</w:t>
      </w:r>
      <w:r>
        <w:rPr>
          <w:rFonts w:hint="eastAsia" w:ascii="仿宋_GB2312" w:hAnsi="宋体" w:eastAsia="仿宋_GB2312"/>
          <w:sz w:val="32"/>
          <w:szCs w:val="32"/>
        </w:rPr>
        <w:t>标准车。</w:t>
      </w:r>
      <w:r>
        <w:rPr>
          <w:rFonts w:ascii="仿宋_GB2312" w:hAnsi="宋体" w:eastAsia="仿宋_GB2312"/>
          <w:sz w:val="32"/>
          <w:szCs w:val="32"/>
        </w:rPr>
        <w:t xml:space="preserve"> </w:t>
      </w:r>
    </w:p>
    <w:p w14:paraId="1CBB552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（5）加强各片区的联系和片区内部主要功能区的联系。</w:t>
      </w:r>
    </w:p>
    <w:p w14:paraId="0A1676C9">
      <w:pPr>
        <w:spacing w:before="252" w:beforeLines="50" w:after="252" w:afterLines="50" w:line="720" w:lineRule="exact"/>
        <w:ind w:firstLine="598" w:firstLineChars="200"/>
        <w:rPr>
          <w:rFonts w:ascii="仿宋_GB2312" w:hAnsi="宋体" w:eastAsia="仿宋_GB2312"/>
          <w:b/>
          <w:sz w:val="32"/>
          <w:szCs w:val="32"/>
        </w:rPr>
      </w:pPr>
      <w:bookmarkStart w:id="189" w:name="_Toc358296591"/>
      <w:r>
        <w:rPr>
          <w:rFonts w:hint="eastAsia" w:ascii="仿宋_GB2312" w:hAnsi="宋体" w:eastAsia="仿宋_GB2312"/>
          <w:b/>
          <w:sz w:val="32"/>
          <w:szCs w:val="32"/>
        </w:rPr>
        <w:t>（二）公共交通线路规划</w:t>
      </w:r>
      <w:bookmarkEnd w:id="189"/>
    </w:p>
    <w:p w14:paraId="0400E34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规划的公交线路以方便乘客，提高公交在居民出行方式中的比重为前提，按照主辅线模式来确定合理的公交线网布设格局。</w:t>
      </w:r>
      <w:r>
        <w:rPr>
          <w:rFonts w:ascii="仿宋_GB2312" w:hAnsi="宋体" w:eastAsia="仿宋_GB2312"/>
          <w:sz w:val="32"/>
          <w:szCs w:val="32"/>
        </w:rPr>
        <w:t xml:space="preserve"> </w:t>
      </w:r>
    </w:p>
    <w:p w14:paraId="7F4C3F0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（1）区域性快速公交线路规划</w:t>
      </w:r>
    </w:p>
    <w:p w14:paraId="26608C9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区域性快速公共交通规划应确保肖坝片区与中心城区其他片区、大佛景区和峨眉山市之间的通达，其线路可沿青衣路、肖坝路、绿心路等交通性主干道布设。肖坝区域快速公交段架设方式采取地面铺设与道路并行形式，控制900米半径服务范围设置快速公交停靠站点。</w:t>
      </w:r>
    </w:p>
    <w:p w14:paraId="24AB26A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（2）片区内部公共交通规划</w:t>
      </w:r>
    </w:p>
    <w:p w14:paraId="4BFD72A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片区内部公共交通线路布设应使得各居民区与商业、行政、文教、娱乐中心联系起来，以满足内部公交的通达性，可沿片区内生活性主次干道布设。</w:t>
      </w:r>
      <w:r>
        <w:rPr>
          <w:rFonts w:ascii="仿宋_GB2312" w:hAnsi="宋体" w:eastAsia="仿宋_GB2312"/>
          <w:sz w:val="32"/>
          <w:szCs w:val="32"/>
        </w:rPr>
        <w:t xml:space="preserve"> </w:t>
      </w:r>
    </w:p>
    <w:p w14:paraId="0DFC499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片区内部公交在客流集散点和人口较集中的居民区附近或城市公共服务设施较集中的地段设置公交站，公交站点控制400米半径服务范围，使公交乘客能便捷的使用，以提高公交站点覆盖率。主干道十字路口站台设置率</w:t>
      </w:r>
      <w:r>
        <w:rPr>
          <w:rFonts w:ascii="仿宋_GB2312" w:hAnsi="宋体" w:eastAsia="仿宋_GB2312"/>
          <w:sz w:val="32"/>
          <w:szCs w:val="32"/>
        </w:rPr>
        <w:t>100%</w:t>
      </w:r>
      <w:r>
        <w:rPr>
          <w:rFonts w:hint="eastAsia" w:ascii="仿宋_GB2312" w:hAnsi="宋体" w:eastAsia="仿宋_GB2312"/>
          <w:sz w:val="32"/>
          <w:szCs w:val="32"/>
        </w:rPr>
        <w:t>，站台离路口的距离一般不小于</w:t>
      </w:r>
      <w:r>
        <w:rPr>
          <w:rFonts w:ascii="仿宋_GB2312" w:hAnsi="宋体" w:eastAsia="仿宋_GB2312"/>
          <w:sz w:val="32"/>
          <w:szCs w:val="32"/>
        </w:rPr>
        <w:t>60</w:t>
      </w:r>
      <w:r>
        <w:rPr>
          <w:rFonts w:hint="eastAsia" w:ascii="仿宋_GB2312" w:hAnsi="宋体" w:eastAsia="仿宋_GB2312"/>
          <w:sz w:val="32"/>
          <w:szCs w:val="32"/>
        </w:rPr>
        <w:t>米。</w:t>
      </w:r>
      <w:r>
        <w:rPr>
          <w:rFonts w:ascii="仿宋_GB2312" w:hAnsi="宋体" w:eastAsia="仿宋_GB2312"/>
          <w:sz w:val="32"/>
          <w:szCs w:val="32"/>
        </w:rPr>
        <w:t xml:space="preserve"> </w:t>
      </w:r>
    </w:p>
    <w:p w14:paraId="590448C1">
      <w:pPr>
        <w:spacing w:before="252" w:beforeLines="50" w:after="252" w:afterLines="50" w:line="720" w:lineRule="exact"/>
        <w:ind w:firstLine="598" w:firstLineChars="200"/>
        <w:rPr>
          <w:rFonts w:ascii="仿宋_GB2312" w:hAnsi="宋体" w:eastAsia="仿宋_GB2312"/>
          <w:b/>
          <w:sz w:val="32"/>
          <w:szCs w:val="32"/>
        </w:rPr>
      </w:pPr>
      <w:bookmarkStart w:id="190" w:name="_Toc358296592"/>
      <w:r>
        <w:rPr>
          <w:rFonts w:hint="eastAsia" w:ascii="仿宋_GB2312" w:hAnsi="宋体" w:eastAsia="仿宋_GB2312"/>
          <w:b/>
          <w:sz w:val="32"/>
          <w:szCs w:val="32"/>
        </w:rPr>
        <w:t>（三）公交场站规划</w:t>
      </w:r>
      <w:bookmarkEnd w:id="190"/>
    </w:p>
    <w:p w14:paraId="55834C43">
      <w:pPr>
        <w:spacing w:line="720" w:lineRule="exact"/>
        <w:ind w:firstLine="598" w:firstLineChars="200"/>
        <w:rPr>
          <w:rFonts w:ascii="仿宋_GB2312" w:hAnsi="宋体" w:eastAsia="仿宋_GB2312"/>
          <w:color w:val="auto"/>
          <w:sz w:val="32"/>
          <w:szCs w:val="32"/>
        </w:rPr>
      </w:pPr>
      <w:r>
        <w:rPr>
          <w:rFonts w:hint="eastAsia" w:ascii="仿宋_GB2312" w:hAnsi="宋体" w:eastAsia="仿宋_GB2312"/>
          <w:color w:val="auto"/>
          <w:sz w:val="32"/>
          <w:szCs w:val="32"/>
        </w:rPr>
        <w:t>在肖坝片区规划公交首末站一座</w:t>
      </w:r>
      <w:r>
        <w:rPr>
          <w:rFonts w:hint="eastAsia" w:ascii="仿宋_GB2312" w:hAnsi="宋体" w:eastAsia="仿宋_GB2312"/>
          <w:color w:val="auto"/>
          <w:sz w:val="32"/>
          <w:szCs w:val="32"/>
          <w:lang w:eastAsia="zh-CN"/>
        </w:rPr>
        <w:t>，位于斧头山东侧</w:t>
      </w:r>
      <w:r>
        <w:rPr>
          <w:rFonts w:hint="eastAsia" w:ascii="仿宋_GB2312" w:hAnsi="宋体" w:eastAsia="仿宋_GB2312"/>
          <w:color w:val="auto"/>
          <w:sz w:val="32"/>
          <w:szCs w:val="32"/>
        </w:rPr>
        <w:t>。</w:t>
      </w:r>
    </w:p>
    <w:p w14:paraId="755B34F3">
      <w:pPr>
        <w:pStyle w:val="3"/>
        <w:adjustRightInd w:val="0"/>
        <w:spacing w:before="252" w:beforeLines="50" w:after="252" w:afterLines="50" w:line="660" w:lineRule="exact"/>
        <w:rPr>
          <w:rFonts w:ascii="方正黑体简体" w:hAnsi="Calibri" w:eastAsia="方正黑体简体"/>
          <w:bCs w:val="0"/>
        </w:rPr>
      </w:pPr>
      <w:bookmarkStart w:id="191" w:name="_Toc358296593"/>
      <w:bookmarkStart w:id="192" w:name="_Toc414632143"/>
      <w:bookmarkStart w:id="193" w:name="_Toc420499425"/>
      <w:r>
        <w:rPr>
          <w:rFonts w:hint="eastAsia" w:ascii="方正黑体简体" w:hAnsi="Calibri" w:eastAsia="方正黑体简体"/>
          <w:bCs w:val="0"/>
        </w:rPr>
        <w:t>四、</w:t>
      </w:r>
      <w:bookmarkEnd w:id="191"/>
      <w:bookmarkEnd w:id="192"/>
      <w:bookmarkEnd w:id="193"/>
      <w:bookmarkStart w:id="194" w:name="_Toc420499426"/>
      <w:bookmarkStart w:id="195" w:name="_Toc358296594"/>
      <w:bookmarkStart w:id="196" w:name="_Toc414632144"/>
      <w:r>
        <w:rPr>
          <w:rFonts w:hint="eastAsia" w:ascii="方正黑体简体" w:hAnsi="Calibri" w:eastAsia="方正黑体简体"/>
          <w:bCs w:val="0"/>
        </w:rPr>
        <w:t>静态交通规划</w:t>
      </w:r>
      <w:bookmarkEnd w:id="194"/>
      <w:bookmarkEnd w:id="195"/>
      <w:bookmarkEnd w:id="196"/>
    </w:p>
    <w:p w14:paraId="644C51BD">
      <w:pPr>
        <w:pStyle w:val="4"/>
        <w:numPr>
          <w:ilvl w:val="1"/>
          <w:numId w:val="4"/>
        </w:numPr>
        <w:spacing w:before="252" w:beforeLines="50" w:after="252" w:afterLines="50" w:line="640" w:lineRule="exact"/>
        <w:rPr>
          <w:rFonts w:ascii="仿宋_GB2312" w:hAnsi="宋体" w:eastAsia="仿宋_GB2312"/>
          <w:bCs w:val="0"/>
        </w:rPr>
      </w:pPr>
      <w:bookmarkStart w:id="197" w:name="_Toc358296595"/>
      <w:r>
        <w:rPr>
          <w:rFonts w:hint="eastAsia" w:ascii="仿宋_GB2312" w:hAnsi="宋体" w:eastAsia="仿宋_GB2312"/>
          <w:bCs w:val="0"/>
        </w:rPr>
        <w:t>公共停车场发展策略</w:t>
      </w:r>
      <w:bookmarkEnd w:id="197"/>
    </w:p>
    <w:p w14:paraId="5689067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（1）明确配建停车场在停车设施中的主体地位，新建建筑物和住宅区应严格按照国家配建停车场配置的标准来规划配置停车泊位数；</w:t>
      </w:r>
      <w:r>
        <w:rPr>
          <w:rFonts w:ascii="仿宋_GB2312" w:hAnsi="宋体" w:eastAsia="仿宋_GB2312"/>
          <w:sz w:val="32"/>
          <w:szCs w:val="32"/>
        </w:rPr>
        <w:t xml:space="preserve"> </w:t>
      </w:r>
    </w:p>
    <w:p w14:paraId="703BEF9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（2）突出重点配置区域，保证均匀配置，开发多种配置形式（地面、地下、结合）；</w:t>
      </w:r>
    </w:p>
    <w:p w14:paraId="5513BEC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（3）积极倡导区域快速公交系统站点附近的P+R换乘枢纽。 </w:t>
      </w:r>
    </w:p>
    <w:p w14:paraId="17629BD2">
      <w:pPr>
        <w:pStyle w:val="4"/>
        <w:numPr>
          <w:ilvl w:val="1"/>
          <w:numId w:val="4"/>
        </w:numPr>
        <w:spacing w:before="252" w:beforeLines="50" w:after="252" w:afterLines="50" w:line="640" w:lineRule="exact"/>
        <w:rPr>
          <w:rFonts w:ascii="仿宋_GB2312" w:hAnsi="宋体" w:eastAsia="仿宋_GB2312"/>
          <w:bCs w:val="0"/>
        </w:rPr>
      </w:pPr>
      <w:bookmarkStart w:id="198" w:name="_Toc358296596"/>
      <w:r>
        <w:rPr>
          <w:rFonts w:hint="eastAsia" w:ascii="仿宋_GB2312" w:hAnsi="宋体" w:eastAsia="仿宋_GB2312"/>
          <w:bCs w:val="0"/>
        </w:rPr>
        <w:t>公共停车场规划</w:t>
      </w:r>
      <w:bookmarkEnd w:id="198"/>
    </w:p>
    <w:p w14:paraId="00BD0BD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1、规模测算</w:t>
      </w:r>
    </w:p>
    <w:p w14:paraId="057897B4">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公共停车场停车泊位数测算主要依据《乐山市城市规划管理技术规定》（2019）、《停车场规划设计规则》等技术文件。</w:t>
      </w:r>
    </w:p>
    <w:p w14:paraId="72E6EDA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（1）路外独立停车场用地</w:t>
      </w:r>
    </w:p>
    <w:p w14:paraId="631CFFF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①停车形式——传统地面式</w:t>
      </w:r>
    </w:p>
    <w:p w14:paraId="3B66EA0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有效用地按75%计，单个车位面积按24 ㎡计。</w:t>
      </w:r>
    </w:p>
    <w:p w14:paraId="7F0857B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②停车楼——传统式</w:t>
      </w:r>
    </w:p>
    <w:p w14:paraId="0BDAB96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建筑密度按40%计，5层，单个车位面积按24 ㎡计。（注：用地面积超过1ha时宜采用此类建设方式）。</w:t>
      </w:r>
    </w:p>
    <w:p w14:paraId="13E7E9A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③停车楼——机械式</w:t>
      </w:r>
    </w:p>
    <w:p w14:paraId="16782844">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建筑密度按40%计，10层，单个车位面积按18 ㎡计。</w:t>
      </w:r>
    </w:p>
    <w:p w14:paraId="2E7B27C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（2）路外兼容停车场用地</w:t>
      </w:r>
    </w:p>
    <w:p w14:paraId="08B9A42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①停车形式——传统地面式</w:t>
      </w:r>
    </w:p>
    <w:p w14:paraId="0AF3017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停车用地不超过总绿地面积的20%，单个车位面积按24 ㎡计。</w:t>
      </w:r>
    </w:p>
    <w:p w14:paraId="03C41B1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②停车形式——传统地下式</w:t>
      </w:r>
    </w:p>
    <w:p w14:paraId="7D31681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按地下1层计，单个车位面积按50 ㎡计。</w:t>
      </w:r>
    </w:p>
    <w:p w14:paraId="2A7E685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③停车形式——机械式</w:t>
      </w:r>
    </w:p>
    <w:p w14:paraId="4B2FAA9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停车用地不超过总绿地面积的20%，10层，单个车位面积按18 ㎡计。</w:t>
      </w:r>
    </w:p>
    <w:p w14:paraId="2E1AA1E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2、规划布局</w:t>
      </w:r>
    </w:p>
    <w:p w14:paraId="177B4A9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 采用地面停车与地下停车相结合的方式。停车场以结合大型公共绿地和公共建筑设置地下停车场为主，同时根据规划区的空间结构和用地功能分区，规划路外独立公共停车场</w:t>
      </w:r>
      <w:r>
        <w:rPr>
          <w:rFonts w:hint="eastAsia" w:ascii="仿宋_GB2312" w:hAnsi="宋体" w:eastAsia="仿宋_GB2312"/>
          <w:sz w:val="32"/>
          <w:szCs w:val="32"/>
          <w:lang w:val="en-US" w:eastAsia="zh-CN"/>
        </w:rPr>
        <w:t>3</w:t>
      </w:r>
      <w:r>
        <w:rPr>
          <w:rFonts w:hint="eastAsia" w:ascii="仿宋_GB2312" w:hAnsi="宋体" w:eastAsia="仿宋_GB2312"/>
          <w:sz w:val="32"/>
          <w:szCs w:val="32"/>
        </w:rPr>
        <w:t>个，停车泊位约</w:t>
      </w:r>
      <w:r>
        <w:rPr>
          <w:rFonts w:hint="eastAsia" w:ascii="仿宋_GB2312" w:hAnsi="宋体" w:eastAsia="仿宋_GB2312"/>
          <w:color w:val="auto"/>
          <w:sz w:val="32"/>
          <w:szCs w:val="32"/>
        </w:rPr>
        <w:t>380</w:t>
      </w:r>
      <w:r>
        <w:rPr>
          <w:rFonts w:hint="eastAsia" w:ascii="仿宋_GB2312" w:hAnsi="宋体" w:eastAsia="仿宋_GB2312"/>
          <w:sz w:val="32"/>
          <w:szCs w:val="32"/>
        </w:rPr>
        <w:t>个。</w:t>
      </w:r>
    </w:p>
    <w:p w14:paraId="0090581E">
      <w:pPr>
        <w:pStyle w:val="3"/>
        <w:adjustRightInd w:val="0"/>
        <w:spacing w:before="252" w:beforeLines="50" w:after="252" w:afterLines="50" w:line="660" w:lineRule="exact"/>
        <w:rPr>
          <w:rFonts w:ascii="方正黑体简体" w:hAnsi="Calibri" w:eastAsia="方正黑体简体"/>
          <w:bCs w:val="0"/>
        </w:rPr>
      </w:pPr>
      <w:r>
        <w:rPr>
          <w:rFonts w:hint="eastAsia" w:ascii="黑体" w:cs="黑体"/>
          <w:sz w:val="28"/>
          <w:szCs w:val="28"/>
        </w:rPr>
        <w:t xml:space="preserve">   </w:t>
      </w:r>
      <w:bookmarkStart w:id="199" w:name="_Toc358296597"/>
      <w:r>
        <w:rPr>
          <w:rFonts w:hint="eastAsia" w:ascii="方正黑体简体" w:hAnsi="Calibri" w:eastAsia="方正黑体简体"/>
          <w:bCs w:val="0"/>
        </w:rPr>
        <w:t>五、慢行交通规划</w:t>
      </w:r>
      <w:bookmarkEnd w:id="199"/>
    </w:p>
    <w:p w14:paraId="1DC1590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根据肖坝片区景观特色和旅游资源优势，慢行交通为自行车慢行交通。</w:t>
      </w:r>
    </w:p>
    <w:p w14:paraId="1B950134">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自行车慢行交通主要沿滨水区域建设，从而肖坝崖墓、水系生态景观、公共活动中心片区景观、公共绿地和绿心等功能区串联起来。 </w:t>
      </w:r>
    </w:p>
    <w:p w14:paraId="16D6AE4C">
      <w:pPr>
        <w:spacing w:line="720" w:lineRule="exact"/>
        <w:ind w:firstLine="598" w:firstLineChars="200"/>
        <w:rPr>
          <w:rFonts w:ascii="仿宋_GB2312" w:hAnsi="宋体" w:eastAsia="仿宋_GB2312"/>
          <w:sz w:val="32"/>
          <w:szCs w:val="32"/>
        </w:rPr>
      </w:pPr>
    </w:p>
    <w:p w14:paraId="691DDC02">
      <w:pPr>
        <w:pStyle w:val="2"/>
        <w:adjustRightInd w:val="0"/>
        <w:spacing w:before="252" w:beforeLines="50" w:after="252" w:afterLines="50" w:line="720" w:lineRule="exact"/>
        <w:jc w:val="both"/>
        <w:rPr>
          <w:rFonts w:ascii="方正黑体简体" w:eastAsia="方正黑体简体"/>
          <w:kern w:val="2"/>
          <w:sz w:val="44"/>
        </w:rPr>
      </w:pPr>
      <w:r>
        <w:rPr>
          <w:rFonts w:hint="eastAsia" w:ascii="方正黑体简体" w:eastAsia="方正黑体简体"/>
          <w:sz w:val="24"/>
        </w:rPr>
        <w:t xml:space="preserve">                           </w:t>
      </w:r>
      <w:r>
        <w:rPr>
          <w:rFonts w:hint="eastAsia" w:ascii="方正黑体简体" w:eastAsia="方正黑体简体"/>
          <w:kern w:val="2"/>
          <w:sz w:val="44"/>
        </w:rPr>
        <w:t xml:space="preserve">  </w:t>
      </w:r>
      <w:bookmarkStart w:id="200" w:name="_Toc358296602"/>
      <w:bookmarkStart w:id="201" w:name="_Toc420499427"/>
      <w:bookmarkStart w:id="202" w:name="_Toc414632145"/>
      <w:r>
        <w:rPr>
          <w:rFonts w:hint="eastAsia" w:ascii="方正黑体简体" w:eastAsia="方正黑体简体"/>
          <w:kern w:val="2"/>
          <w:sz w:val="44"/>
        </w:rPr>
        <w:t>第六章</w:t>
      </w:r>
      <w:r>
        <w:rPr>
          <w:rFonts w:ascii="方正黑体简体" w:eastAsia="方正黑体简体"/>
          <w:kern w:val="2"/>
          <w:sz w:val="44"/>
        </w:rPr>
        <w:t xml:space="preserve">  </w:t>
      </w:r>
      <w:r>
        <w:rPr>
          <w:rFonts w:hint="eastAsia" w:ascii="方正黑体简体" w:eastAsia="方正黑体简体"/>
          <w:kern w:val="2"/>
          <w:sz w:val="44"/>
        </w:rPr>
        <w:t>城市设计导</w:t>
      </w:r>
      <w:bookmarkEnd w:id="200"/>
      <w:bookmarkEnd w:id="201"/>
      <w:bookmarkEnd w:id="202"/>
      <w:r>
        <w:rPr>
          <w:rFonts w:hint="eastAsia" w:ascii="方正黑体简体" w:eastAsia="方正黑体简体"/>
          <w:kern w:val="2"/>
          <w:sz w:val="44"/>
        </w:rPr>
        <w:t>则</w:t>
      </w:r>
    </w:p>
    <w:p w14:paraId="13D11486">
      <w:pPr>
        <w:pStyle w:val="3"/>
        <w:adjustRightInd w:val="0"/>
        <w:spacing w:before="252" w:beforeLines="50" w:after="252" w:afterLines="50" w:line="720" w:lineRule="exact"/>
        <w:rPr>
          <w:rFonts w:hint="eastAsia" w:ascii="方正黑体简体" w:hAnsi="Calibri" w:eastAsia="方正黑体简体"/>
          <w:bCs w:val="0"/>
        </w:rPr>
      </w:pPr>
      <w:bookmarkStart w:id="203" w:name="_Toc216520024"/>
      <w:bookmarkStart w:id="204" w:name="_Toc222897547"/>
      <w:bookmarkStart w:id="205" w:name="_Toc384768022"/>
      <w:r>
        <w:rPr>
          <w:rFonts w:hint="eastAsia" w:ascii="方正黑体简体" w:hAnsi="Calibri" w:eastAsia="方正黑体简体"/>
          <w:bCs w:val="0"/>
        </w:rPr>
        <w:t>一、总体构想</w:t>
      </w:r>
      <w:bookmarkEnd w:id="203"/>
      <w:bookmarkEnd w:id="204"/>
      <w:bookmarkEnd w:id="205"/>
    </w:p>
    <w:p w14:paraId="48DCAD86">
      <w:pPr>
        <w:spacing w:line="720" w:lineRule="exact"/>
        <w:ind w:firstLine="598" w:firstLineChars="200"/>
        <w:rPr>
          <w:rFonts w:hint="eastAsia" w:ascii="仿宋_GB2312" w:hAnsi="宋体" w:eastAsia="仿宋_GB2312"/>
          <w:sz w:val="32"/>
          <w:szCs w:val="32"/>
        </w:rPr>
      </w:pPr>
      <w:r>
        <w:rPr>
          <w:rFonts w:ascii="仿宋_GB2312" w:hAnsi="宋体" w:eastAsia="仿宋_GB2312"/>
          <w:sz w:val="32"/>
          <w:szCs w:val="32"/>
        </w:rPr>
        <w:t>在城市设计和建设中努力营造人与自然的和谐关系，以用地功能分区、路网布局为基础，结合景观规划要求，构筑</w:t>
      </w:r>
      <w:r>
        <w:rPr>
          <w:rFonts w:hint="eastAsia" w:ascii="仿宋_GB2312" w:hAnsi="宋体" w:eastAsia="仿宋_GB2312"/>
          <w:sz w:val="32"/>
          <w:szCs w:val="32"/>
        </w:rPr>
        <w:t>规划</w:t>
      </w:r>
      <w:r>
        <w:rPr>
          <w:rFonts w:ascii="仿宋_GB2312" w:hAnsi="宋体" w:eastAsia="仿宋_GB2312"/>
          <w:sz w:val="32"/>
          <w:szCs w:val="32"/>
        </w:rPr>
        <w:t>区城市设计框架</w:t>
      </w:r>
      <w:r>
        <w:rPr>
          <w:rFonts w:hint="eastAsia" w:ascii="仿宋_GB2312" w:hAnsi="宋体" w:eastAsia="仿宋_GB2312"/>
          <w:sz w:val="32"/>
          <w:szCs w:val="32"/>
        </w:rPr>
        <w:t>。要求</w:t>
      </w:r>
      <w:r>
        <w:rPr>
          <w:rFonts w:ascii="仿宋_GB2312" w:hAnsi="宋体" w:eastAsia="仿宋_GB2312"/>
          <w:sz w:val="32"/>
          <w:szCs w:val="32"/>
        </w:rPr>
        <w:t>各个功能区形成各自特色，标识性强，但整体协调统一</w:t>
      </w:r>
      <w:r>
        <w:rPr>
          <w:rFonts w:hint="eastAsia" w:ascii="仿宋_GB2312" w:hAnsi="宋体" w:eastAsia="仿宋_GB2312"/>
          <w:sz w:val="32"/>
          <w:szCs w:val="32"/>
        </w:rPr>
        <w:t>。</w:t>
      </w:r>
    </w:p>
    <w:p w14:paraId="0B4EE7CA">
      <w:pPr>
        <w:pStyle w:val="3"/>
        <w:adjustRightInd w:val="0"/>
        <w:spacing w:before="252" w:beforeLines="50" w:after="252" w:afterLines="50" w:line="720" w:lineRule="exact"/>
        <w:rPr>
          <w:rFonts w:hint="eastAsia" w:ascii="方正黑体简体" w:hAnsi="Calibri" w:eastAsia="方正黑体简体"/>
          <w:bCs w:val="0"/>
        </w:rPr>
      </w:pPr>
      <w:bookmarkStart w:id="206" w:name="_Toc216520025"/>
      <w:bookmarkStart w:id="207" w:name="_Toc222897548"/>
      <w:bookmarkStart w:id="208" w:name="_Toc384768023"/>
      <w:r>
        <w:rPr>
          <w:rFonts w:hint="eastAsia" w:ascii="方正黑体简体" w:hAnsi="Calibri" w:eastAsia="方正黑体简体"/>
          <w:bCs w:val="0"/>
        </w:rPr>
        <w:t>二、城市设计控制要求</w:t>
      </w:r>
      <w:bookmarkEnd w:id="206"/>
      <w:bookmarkEnd w:id="207"/>
      <w:bookmarkEnd w:id="208"/>
    </w:p>
    <w:p w14:paraId="14DFB9C4">
      <w:pPr>
        <w:spacing w:before="252" w:beforeLines="50" w:after="252" w:afterLines="50"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（一）开敞</w:t>
      </w:r>
      <w:r>
        <w:rPr>
          <w:rFonts w:ascii="仿宋_GB2312" w:hAnsi="宋体" w:eastAsia="仿宋_GB2312"/>
          <w:b/>
          <w:sz w:val="32"/>
          <w:szCs w:val="32"/>
        </w:rPr>
        <w:t>空间设计导则</w:t>
      </w:r>
    </w:p>
    <w:p w14:paraId="31C22E23">
      <w:pPr>
        <w:spacing w:line="720" w:lineRule="exact"/>
        <w:ind w:firstLine="598" w:firstLineChars="200"/>
        <w:rPr>
          <w:rFonts w:hint="eastAsia" w:ascii="仿宋_GB2312" w:hAnsi="宋体" w:eastAsia="仿宋_GB2312"/>
          <w:sz w:val="32"/>
          <w:szCs w:val="32"/>
        </w:rPr>
      </w:pPr>
      <w:r>
        <w:rPr>
          <w:rFonts w:ascii="仿宋_GB2312" w:hAnsi="宋体" w:eastAsia="仿宋_GB2312"/>
          <w:sz w:val="32"/>
          <w:szCs w:val="32"/>
        </w:rPr>
        <w:t>绿地中可设置少量铺地，与建构筑物的联系通过小型广场转换。</w:t>
      </w:r>
      <w:r>
        <w:rPr>
          <w:rFonts w:hint="eastAsia" w:ascii="仿宋_GB2312" w:hAnsi="宋体" w:eastAsia="仿宋_GB2312"/>
          <w:sz w:val="32"/>
          <w:szCs w:val="32"/>
        </w:rPr>
        <w:t>但作为高压线走廊的防护绿地不允许构筑人员长时间逗留的建筑物和活动场所。</w:t>
      </w:r>
    </w:p>
    <w:p w14:paraId="7AA92799">
      <w:pPr>
        <w:spacing w:line="720" w:lineRule="exact"/>
        <w:ind w:firstLine="598" w:firstLineChars="200"/>
        <w:rPr>
          <w:rFonts w:hint="eastAsia" w:ascii="仿宋_GB2312" w:hAnsi="宋体" w:eastAsia="仿宋_GB2312"/>
          <w:sz w:val="32"/>
          <w:szCs w:val="32"/>
        </w:rPr>
      </w:pPr>
      <w:r>
        <w:rPr>
          <w:rFonts w:ascii="仿宋_GB2312" w:hAnsi="宋体" w:eastAsia="仿宋_GB2312"/>
          <w:sz w:val="32"/>
          <w:szCs w:val="32"/>
        </w:rPr>
        <w:t>滨</w:t>
      </w:r>
      <w:r>
        <w:rPr>
          <w:rFonts w:hint="eastAsia" w:ascii="仿宋_GB2312" w:hAnsi="宋体" w:eastAsia="仿宋_GB2312"/>
          <w:sz w:val="32"/>
          <w:szCs w:val="32"/>
        </w:rPr>
        <w:t>水</w:t>
      </w:r>
      <w:r>
        <w:rPr>
          <w:rFonts w:ascii="仿宋_GB2312" w:hAnsi="宋体" w:eastAsia="仿宋_GB2312"/>
          <w:sz w:val="32"/>
          <w:szCs w:val="32"/>
        </w:rPr>
        <w:t>生态绿地应设置适量小品、休憩设施，形成一定数量的交流空间。沿</w:t>
      </w:r>
      <w:r>
        <w:rPr>
          <w:rFonts w:hint="eastAsia" w:ascii="仿宋_GB2312" w:hAnsi="宋体" w:eastAsia="仿宋_GB2312"/>
          <w:sz w:val="32"/>
          <w:szCs w:val="32"/>
        </w:rPr>
        <w:t>江</w:t>
      </w:r>
      <w:r>
        <w:rPr>
          <w:rFonts w:ascii="仿宋_GB2312" w:hAnsi="宋体" w:eastAsia="仿宋_GB2312"/>
          <w:sz w:val="32"/>
          <w:szCs w:val="32"/>
        </w:rPr>
        <w:t>河</w:t>
      </w:r>
      <w:r>
        <w:rPr>
          <w:rFonts w:hint="eastAsia" w:ascii="仿宋_GB2312" w:hAnsi="宋体" w:eastAsia="仿宋_GB2312"/>
          <w:sz w:val="32"/>
          <w:szCs w:val="32"/>
        </w:rPr>
        <w:t>、渠</w:t>
      </w:r>
      <w:r>
        <w:rPr>
          <w:rFonts w:ascii="仿宋_GB2312" w:hAnsi="宋体" w:eastAsia="仿宋_GB2312"/>
          <w:sz w:val="32"/>
          <w:szCs w:val="32"/>
        </w:rPr>
        <w:t>分段采用树形优美、</w:t>
      </w:r>
      <w:r>
        <w:rPr>
          <w:rFonts w:hint="eastAsia" w:ascii="仿宋_GB2312" w:hAnsi="宋体" w:eastAsia="仿宋_GB2312"/>
          <w:sz w:val="32"/>
          <w:szCs w:val="32"/>
        </w:rPr>
        <w:t>树</w:t>
      </w:r>
      <w:r>
        <w:rPr>
          <w:rFonts w:ascii="仿宋_GB2312" w:hAnsi="宋体" w:eastAsia="仿宋_GB2312"/>
          <w:sz w:val="32"/>
          <w:szCs w:val="32"/>
        </w:rPr>
        <w:t>叶颜色多彩的树种，塑造色、香、形统一协调的特色滨水绿化环境。</w:t>
      </w:r>
    </w:p>
    <w:p w14:paraId="1F5A2A24">
      <w:pPr>
        <w:spacing w:before="252" w:beforeLines="50" w:after="252" w:afterLines="50"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（二）街道景观</w:t>
      </w:r>
      <w:r>
        <w:rPr>
          <w:rFonts w:ascii="仿宋_GB2312" w:hAnsi="宋体" w:eastAsia="仿宋_GB2312"/>
          <w:b/>
          <w:sz w:val="32"/>
          <w:szCs w:val="32"/>
        </w:rPr>
        <w:t>设计导则</w:t>
      </w:r>
    </w:p>
    <w:p w14:paraId="6732C543">
      <w:pPr>
        <w:spacing w:line="720" w:lineRule="exact"/>
        <w:ind w:firstLine="598" w:firstLineChars="200"/>
        <w:rPr>
          <w:rFonts w:hint="eastAsia" w:ascii="仿宋_GB2312" w:hAnsi="宋体" w:eastAsia="仿宋_GB2312"/>
          <w:sz w:val="32"/>
          <w:szCs w:val="32"/>
        </w:rPr>
      </w:pPr>
      <w:r>
        <w:rPr>
          <w:rFonts w:ascii="仿宋_GB2312" w:hAnsi="宋体" w:eastAsia="仿宋_GB2312"/>
          <w:sz w:val="32"/>
          <w:szCs w:val="32"/>
        </w:rPr>
        <w:t>绿化景观轴所涉及的街道，通过人行道设置于绿化带内，在绿化带内设置小品及各种花卉等措施，实现沿街空间的林荫化、休闲化和景观化。</w:t>
      </w:r>
    </w:p>
    <w:p w14:paraId="351829D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道路、场地上的各类设施、绿化种植、人行道铺装均应进行专门设计。主要景观街道应统一进行广告、灯箱等设计。</w:t>
      </w:r>
    </w:p>
    <w:p w14:paraId="2E8B54D7">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大件路沿线的建筑应统一设计修饰，同时应避免过长的连续墙面，充分利用好沿线布置的街头绿地，共同形成合谐统一的现代建筑风格。</w:t>
      </w:r>
    </w:p>
    <w:p w14:paraId="49F58545">
      <w:pPr>
        <w:spacing w:before="252" w:beforeLines="50" w:after="252" w:afterLines="50" w:line="720" w:lineRule="exact"/>
        <w:ind w:firstLine="598" w:firstLineChars="200"/>
        <w:rPr>
          <w:rFonts w:hint="eastAsia" w:ascii="仿宋_GB2312" w:hAnsi="宋体" w:eastAsia="仿宋_GB2312"/>
          <w:b/>
          <w:sz w:val="32"/>
          <w:szCs w:val="32"/>
        </w:rPr>
      </w:pPr>
      <w:r>
        <w:rPr>
          <w:rFonts w:hint="eastAsia" w:ascii="仿宋_GB2312" w:hAnsi="宋体" w:eastAsia="仿宋_GB2312"/>
          <w:b/>
          <w:sz w:val="32"/>
          <w:szCs w:val="32"/>
        </w:rPr>
        <w:t>（三）建筑</w:t>
      </w:r>
      <w:r>
        <w:rPr>
          <w:rFonts w:ascii="仿宋_GB2312" w:hAnsi="宋体" w:eastAsia="仿宋_GB2312"/>
          <w:b/>
          <w:sz w:val="32"/>
          <w:szCs w:val="32"/>
        </w:rPr>
        <w:t>设计导则</w:t>
      </w:r>
    </w:p>
    <w:p w14:paraId="5737C005">
      <w:pPr>
        <w:spacing w:line="720" w:lineRule="exact"/>
        <w:ind w:firstLine="598" w:firstLineChars="200"/>
        <w:rPr>
          <w:rFonts w:hint="eastAsia" w:ascii="仿宋_GB2312" w:hAnsi="宋体" w:eastAsia="仿宋_GB2312"/>
          <w:sz w:val="32"/>
          <w:szCs w:val="32"/>
        </w:rPr>
      </w:pPr>
      <w:r>
        <w:rPr>
          <w:rFonts w:ascii="仿宋_GB2312" w:hAnsi="宋体" w:eastAsia="仿宋_GB2312"/>
          <w:sz w:val="32"/>
          <w:szCs w:val="32"/>
        </w:rPr>
        <w:t>建筑设计导则</w:t>
      </w:r>
      <w:r>
        <w:rPr>
          <w:rFonts w:hint="eastAsia" w:ascii="仿宋_GB2312" w:hAnsi="宋体" w:eastAsia="仿宋_GB2312"/>
          <w:sz w:val="32"/>
          <w:szCs w:val="32"/>
        </w:rPr>
        <w:t>主要从建筑风格、体量、色彩等方面进行控制。</w:t>
      </w:r>
    </w:p>
    <w:p w14:paraId="214CB46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建筑风格是一个城市建筑文化的集中体现，是当地自然地理、气候、社会历史、社会经济、社会习俗和居民意识的综合反映。规划从自然因素和人文因素两个方面对现状地方建筑风格进行分析，结合城市发展的要求，同时根据规划区所处的自然条件，</w:t>
      </w:r>
      <w:r>
        <w:rPr>
          <w:rFonts w:ascii="仿宋_GB2312" w:hAnsi="宋体" w:eastAsia="仿宋_GB2312"/>
          <w:sz w:val="32"/>
          <w:szCs w:val="32"/>
        </w:rPr>
        <w:t>建筑</w:t>
      </w:r>
      <w:r>
        <w:rPr>
          <w:rFonts w:hint="eastAsia" w:ascii="仿宋_GB2312" w:hAnsi="宋体" w:eastAsia="仿宋_GB2312"/>
          <w:sz w:val="32"/>
          <w:szCs w:val="32"/>
        </w:rPr>
        <w:t>应以</w:t>
      </w:r>
      <w:r>
        <w:rPr>
          <w:rFonts w:ascii="仿宋_GB2312" w:hAnsi="宋体" w:eastAsia="仿宋_GB2312"/>
          <w:sz w:val="32"/>
          <w:szCs w:val="32"/>
        </w:rPr>
        <w:t>山水风貌作为</w:t>
      </w:r>
      <w:r>
        <w:rPr>
          <w:rFonts w:hint="eastAsia" w:ascii="仿宋_GB2312" w:hAnsi="宋体" w:eastAsia="仿宋_GB2312"/>
          <w:sz w:val="32"/>
          <w:szCs w:val="32"/>
        </w:rPr>
        <w:t>大</w:t>
      </w:r>
      <w:r>
        <w:rPr>
          <w:rFonts w:ascii="仿宋_GB2312" w:hAnsi="宋体" w:eastAsia="仿宋_GB2312"/>
          <w:sz w:val="32"/>
          <w:szCs w:val="32"/>
        </w:rPr>
        <w:t>背景，以体现地域特色的建筑风格为主，注意建筑与</w:t>
      </w:r>
      <w:r>
        <w:rPr>
          <w:rFonts w:hint="eastAsia" w:ascii="仿宋_GB2312" w:hAnsi="宋体" w:eastAsia="仿宋_GB2312"/>
          <w:sz w:val="32"/>
          <w:szCs w:val="32"/>
        </w:rPr>
        <w:t>周边自然</w:t>
      </w:r>
      <w:r>
        <w:rPr>
          <w:rFonts w:ascii="仿宋_GB2312" w:hAnsi="宋体" w:eastAsia="仿宋_GB2312"/>
          <w:sz w:val="32"/>
          <w:szCs w:val="32"/>
        </w:rPr>
        <w:t>山体和水岸和谐交融，建筑既要有特色，同时也不能独立于区</w:t>
      </w:r>
      <w:r>
        <w:rPr>
          <w:rFonts w:hint="eastAsia" w:ascii="仿宋_GB2312" w:hAnsi="宋体" w:eastAsia="仿宋_GB2312"/>
          <w:sz w:val="32"/>
          <w:szCs w:val="32"/>
        </w:rPr>
        <w:t>域</w:t>
      </w:r>
      <w:r>
        <w:rPr>
          <w:rFonts w:ascii="仿宋_GB2312" w:hAnsi="宋体" w:eastAsia="仿宋_GB2312"/>
          <w:sz w:val="32"/>
          <w:szCs w:val="32"/>
        </w:rPr>
        <w:t>环境而过于突出自身。公共建筑的建筑风格应现代、明快，建筑色彩采用浅暖色或采用暖色基调配以白色线条的色彩处理手法，应具有较高的品位和档次。居住建筑形式应具亲和力，平面上和立面上处理要求考究，轮廓线丰富，细部处理精细，色彩可丰富、多样，力求形成体现</w:t>
      </w:r>
      <w:r>
        <w:rPr>
          <w:rFonts w:hint="eastAsia" w:ascii="仿宋_GB2312" w:hAnsi="宋体" w:eastAsia="仿宋_GB2312"/>
          <w:sz w:val="32"/>
          <w:szCs w:val="32"/>
        </w:rPr>
        <w:t>生态、</w:t>
      </w:r>
      <w:r>
        <w:rPr>
          <w:rFonts w:ascii="仿宋_GB2312" w:hAnsi="宋体" w:eastAsia="仿宋_GB2312"/>
          <w:sz w:val="32"/>
          <w:szCs w:val="32"/>
        </w:rPr>
        <w:t>休闲居住的特色。</w:t>
      </w:r>
    </w:p>
    <w:p w14:paraId="5492B20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建筑体量的控制是通过建筑形体大小的变化，在视觉上产生不同的体量感知，通过容积率的控制和空间轮廓的组织，具体量化到每一幢建筑。设计时应尽量突出重点。居住景观区建筑体量不宜大，一般高度控制在24米以下，临江或重要景观地段可建些高层居住建筑，但应着重天际轮廓线，景观视线的控制。</w:t>
      </w:r>
      <w:bookmarkStart w:id="209" w:name="_Toc358296617"/>
      <w:bookmarkStart w:id="210" w:name="_Toc414632152"/>
      <w:bookmarkStart w:id="211" w:name="_Toc420499434"/>
    </w:p>
    <w:p w14:paraId="33F15C3C">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3、建筑色彩控制引导</w:t>
      </w:r>
      <w:bookmarkEnd w:id="209"/>
    </w:p>
    <w:p w14:paraId="300EDE59">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建筑色彩考虑现代与青衣江历史文化相结合，既要有内涵也不缺乏特；统一广告牌匾、指示牌等小品设施，注重功能与美观并风格以清新淡雅为主。引导色彩基调：青灰色、蓝灰色、黄灰色 。</w:t>
      </w:r>
    </w:p>
    <w:p w14:paraId="47AA634E">
      <w:pPr>
        <w:ind w:firstLine="432" w:firstLineChars="167"/>
        <w:rPr>
          <w:rFonts w:hint="eastAsia" w:ascii="方正黑体简体" w:hAnsi="宋体" w:eastAsia="方正黑体简体"/>
          <w:sz w:val="28"/>
          <w:szCs w:val="28"/>
        </w:rPr>
      </w:pPr>
      <w:r>
        <w:rPr>
          <w:rFonts w:hint="eastAsia" w:ascii="方正黑体简体" w:hAnsi="宋体" w:eastAsia="方正黑体简体"/>
          <w:sz w:val="28"/>
          <w:szCs w:val="28"/>
        </w:rPr>
        <w:t xml:space="preserve">  </w:t>
      </w:r>
      <w:r>
        <w:rPr>
          <w:rFonts w:hint="eastAsia"/>
        </w:rPr>
        <w:t xml:space="preserve">                             </w:t>
      </w:r>
      <w:r>
        <w:rPr>
          <w:rFonts w:hint="eastAsia" w:ascii="方正黑体简体" w:hAnsi="宋体" w:eastAsia="方正黑体简体"/>
          <w:sz w:val="28"/>
          <w:szCs w:val="28"/>
        </w:rPr>
        <w:t>推荐建筑色彩搭配</w:t>
      </w:r>
    </w:p>
    <w:p w14:paraId="53B9582B">
      <w:pPr>
        <w:ind w:firstLine="315" w:firstLineChars="167"/>
        <w:rPr>
          <w:rFonts w:hint="eastAsia" w:ascii="方正黑体简体" w:hAnsi="宋体" w:eastAsia="方正黑体简体"/>
          <w:sz w:val="28"/>
          <w:szCs w:val="28"/>
        </w:rPr>
      </w:pPr>
      <w:r>
        <w:drawing>
          <wp:anchor distT="0" distB="0" distL="114300" distR="114300" simplePos="0" relativeHeight="251660288" behindDoc="0" locked="0" layoutInCell="1" allowOverlap="1">
            <wp:simplePos x="0" y="0"/>
            <wp:positionH relativeFrom="margin">
              <wp:posOffset>7644130</wp:posOffset>
            </wp:positionH>
            <wp:positionV relativeFrom="margin">
              <wp:posOffset>7726680</wp:posOffset>
            </wp:positionV>
            <wp:extent cx="4585970" cy="683895"/>
            <wp:effectExtent l="0" t="0" r="5080" b="190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585970" cy="683895"/>
                    </a:xfrm>
                    <a:prstGeom prst="rect">
                      <a:avLst/>
                    </a:prstGeom>
                    <a:noFill/>
                    <a:ln>
                      <a:noFill/>
                    </a:ln>
                  </pic:spPr>
                </pic:pic>
              </a:graphicData>
            </a:graphic>
          </wp:anchor>
        </w:drawing>
      </w:r>
    </w:p>
    <w:p w14:paraId="7D8E3A37">
      <w:pPr>
        <w:ind w:firstLine="315" w:firstLineChars="167"/>
        <w:rPr>
          <w:rFonts w:ascii="方正黑体简体" w:hAnsi="宋体" w:eastAsia="方正黑体简体"/>
          <w:sz w:val="28"/>
          <w:szCs w:val="28"/>
        </w:rPr>
      </w:pPr>
      <w:r>
        <w:drawing>
          <wp:anchor distT="0" distB="0" distL="114300" distR="114300" simplePos="0" relativeHeight="251661312" behindDoc="0" locked="0" layoutInCell="1" allowOverlap="1">
            <wp:simplePos x="0" y="0"/>
            <wp:positionH relativeFrom="column">
              <wp:posOffset>970915</wp:posOffset>
            </wp:positionH>
            <wp:positionV relativeFrom="margin">
              <wp:posOffset>5219065</wp:posOffset>
            </wp:positionV>
            <wp:extent cx="3343910" cy="2341880"/>
            <wp:effectExtent l="0" t="0" r="8890" b="127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343910" cy="2341880"/>
                    </a:xfrm>
                    <a:prstGeom prst="rect">
                      <a:avLst/>
                    </a:prstGeom>
                    <a:noFill/>
                    <a:ln>
                      <a:noFill/>
                    </a:ln>
                  </pic:spPr>
                </pic:pic>
              </a:graphicData>
            </a:graphic>
          </wp:anchor>
        </w:drawing>
      </w:r>
    </w:p>
    <w:p w14:paraId="4D4A3687">
      <w:pPr>
        <w:pStyle w:val="2"/>
        <w:adjustRightInd w:val="0"/>
        <w:spacing w:before="252" w:beforeLines="50" w:after="252" w:afterLines="50" w:line="720" w:lineRule="exact"/>
        <w:rPr>
          <w:rFonts w:ascii="方正黑体简体" w:eastAsia="方正黑体简体"/>
          <w:kern w:val="2"/>
          <w:sz w:val="44"/>
        </w:rPr>
      </w:pPr>
      <w:bookmarkStart w:id="212" w:name="_Toc358296618"/>
      <w:r>
        <w:rPr>
          <w:rFonts w:hint="eastAsia" w:ascii="方正黑体简体" w:eastAsia="方正黑体简体"/>
          <w:kern w:val="2"/>
          <w:sz w:val="44"/>
        </w:rPr>
        <w:t>第七章</w:t>
      </w:r>
      <w:r>
        <w:rPr>
          <w:rFonts w:ascii="方正黑体简体" w:eastAsia="方正黑体简体"/>
          <w:kern w:val="2"/>
          <w:sz w:val="44"/>
        </w:rPr>
        <w:t xml:space="preserve">  </w:t>
      </w:r>
      <w:r>
        <w:rPr>
          <w:rFonts w:hint="eastAsia" w:ascii="方正黑体简体" w:eastAsia="方正黑体简体"/>
          <w:kern w:val="2"/>
          <w:sz w:val="44"/>
        </w:rPr>
        <w:t>绿地景观系统规划</w:t>
      </w:r>
      <w:bookmarkEnd w:id="210"/>
      <w:bookmarkEnd w:id="211"/>
      <w:bookmarkEnd w:id="212"/>
    </w:p>
    <w:p w14:paraId="1DF3896E">
      <w:pPr>
        <w:pStyle w:val="3"/>
        <w:adjustRightInd w:val="0"/>
        <w:spacing w:before="252" w:beforeLines="50" w:after="252" w:afterLines="50" w:line="720" w:lineRule="exact"/>
        <w:rPr>
          <w:rFonts w:ascii="方正黑体简体" w:hAnsi="Calibri" w:eastAsia="方正黑体简体"/>
          <w:bCs w:val="0"/>
        </w:rPr>
      </w:pPr>
      <w:bookmarkStart w:id="213" w:name="_Toc414632153"/>
      <w:bookmarkStart w:id="214" w:name="_Toc420499435"/>
      <w:bookmarkStart w:id="215" w:name="_Toc358296619"/>
      <w:r>
        <w:rPr>
          <w:rFonts w:hint="eastAsia" w:ascii="方正黑体简体" w:hAnsi="Calibri" w:eastAsia="方正黑体简体"/>
          <w:bCs w:val="0"/>
        </w:rPr>
        <w:t>一、规划目标</w:t>
      </w:r>
      <w:bookmarkEnd w:id="213"/>
      <w:bookmarkEnd w:id="214"/>
      <w:bookmarkEnd w:id="215"/>
    </w:p>
    <w:p w14:paraId="66182C1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以区域生态环境的平衡和良性循环为前提，按照环保功能和社会服务半径合理布局，改善规划区生态环境，加强城市绿化建设，提高规划区内绿化整体水平，创造一个景观独特、环境优美、适宜人工作生活的场所。实施景观生态工程，以北部绿心、西部斧头山等生态绿地为基底，以绿心辐射环为景观生态轴线，以城市主次干道绿化带为骨架，以公园、街头绿化为点均衡分布于片区内，构建多层次、多功能、点线面结合的城市生态园林系统。 </w:t>
      </w:r>
    </w:p>
    <w:p w14:paraId="3FDE8029">
      <w:pPr>
        <w:pStyle w:val="3"/>
        <w:adjustRightInd w:val="0"/>
        <w:spacing w:before="252" w:beforeLines="50" w:after="252" w:afterLines="50" w:line="720" w:lineRule="exact"/>
        <w:rPr>
          <w:rFonts w:ascii="方正黑体简体" w:hAnsi="Calibri" w:eastAsia="方正黑体简体"/>
          <w:bCs w:val="0"/>
        </w:rPr>
      </w:pPr>
      <w:bookmarkStart w:id="216" w:name="_Toc358296620"/>
      <w:bookmarkStart w:id="217" w:name="_Toc420499436"/>
      <w:bookmarkStart w:id="218" w:name="_Toc414632154"/>
      <w:r>
        <w:rPr>
          <w:rFonts w:hint="eastAsia" w:ascii="方正黑体简体" w:hAnsi="Calibri" w:eastAsia="方正黑体简体"/>
          <w:bCs w:val="0"/>
        </w:rPr>
        <w:t>二、规划原则</w:t>
      </w:r>
      <w:bookmarkEnd w:id="216"/>
      <w:bookmarkEnd w:id="217"/>
      <w:bookmarkEnd w:id="218"/>
    </w:p>
    <w:p w14:paraId="4E85A12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生态原则：充分利用自然生态资源，尊重原生自然生态环境；</w:t>
      </w:r>
    </w:p>
    <w:p w14:paraId="69B14CA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共生原则：人工绿地系统和自然生态系统共生；</w:t>
      </w:r>
    </w:p>
    <w:p w14:paraId="21552C10">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均布原则：公园绿地按照各自服务半径分布；</w:t>
      </w:r>
    </w:p>
    <w:p w14:paraId="53D6375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网络原则：各种绿地相互连成网络。</w:t>
      </w:r>
    </w:p>
    <w:p w14:paraId="4B18E9CA">
      <w:pPr>
        <w:pStyle w:val="3"/>
        <w:adjustRightInd w:val="0"/>
        <w:spacing w:before="252" w:beforeLines="50" w:after="252" w:afterLines="50" w:line="720" w:lineRule="exact"/>
        <w:rPr>
          <w:rFonts w:ascii="方正黑体简体" w:hAnsi="Calibri" w:eastAsia="方正黑体简体"/>
          <w:bCs w:val="0"/>
        </w:rPr>
      </w:pPr>
      <w:bookmarkStart w:id="219" w:name="_Toc414632156"/>
      <w:bookmarkStart w:id="220" w:name="_Toc358296622"/>
      <w:bookmarkStart w:id="221" w:name="_Toc420499438"/>
      <w:r>
        <w:rPr>
          <w:rFonts w:hint="eastAsia" w:ascii="方正黑体简体" w:hAnsi="Calibri" w:eastAsia="方正黑体简体"/>
          <w:bCs w:val="0"/>
        </w:rPr>
        <w:t>三、规划布局</w:t>
      </w:r>
      <w:bookmarkEnd w:id="219"/>
      <w:bookmarkEnd w:id="220"/>
      <w:bookmarkEnd w:id="221"/>
    </w:p>
    <w:p w14:paraId="5F19BD56">
      <w:pPr>
        <w:spacing w:before="252" w:beforeLines="50" w:after="252" w:afterLines="50" w:line="720" w:lineRule="exact"/>
        <w:ind w:firstLine="598" w:firstLineChars="200"/>
        <w:rPr>
          <w:rFonts w:ascii="仿宋_GB2312" w:hAnsi="宋体" w:eastAsia="仿宋_GB2312"/>
          <w:b/>
          <w:sz w:val="32"/>
          <w:szCs w:val="32"/>
        </w:rPr>
      </w:pPr>
      <w:bookmarkStart w:id="222" w:name="_Toc358296623"/>
      <w:r>
        <w:rPr>
          <w:rFonts w:hint="eastAsia" w:ascii="仿宋_GB2312" w:hAnsi="宋体" w:eastAsia="仿宋_GB2312"/>
          <w:b/>
          <w:sz w:val="32"/>
          <w:szCs w:val="32"/>
        </w:rPr>
        <w:t>（一）绿地系统</w:t>
      </w:r>
      <w:bookmarkEnd w:id="222"/>
      <w:r>
        <w:rPr>
          <w:rFonts w:hint="eastAsia" w:ascii="仿宋_GB2312" w:hAnsi="宋体" w:eastAsia="仿宋_GB2312"/>
          <w:b/>
          <w:sz w:val="32"/>
          <w:szCs w:val="32"/>
        </w:rPr>
        <w:t>规划</w:t>
      </w:r>
    </w:p>
    <w:p w14:paraId="68BB3A5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1、规划思路</w:t>
      </w:r>
    </w:p>
    <w:p w14:paraId="4E1A072B">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肖坝片区是与山水关联密切的城市新区，处理好生态、绿地、山水等自然生态因素，是规划的重点。本规划是以自然山水、绿化延伸轴，结合城市道路绿化带共同形成自然与人工和谐共生的环境。</w:t>
      </w:r>
    </w:p>
    <w:p w14:paraId="02A0A08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在肖坝片区中，城市建设区成为生态系统的基质，构成其主体，而其中各级块状绿地形成基质中不同质地的斑块，起到调剂生态、维护生态系统多样性的作用，而斑块又通过各种廊道如：绿带、道路，与外界更大的廊道、基质相连，形成生态系统中完善的生境。</w:t>
      </w:r>
    </w:p>
    <w:p w14:paraId="18B5A19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2、规划布局</w:t>
      </w:r>
    </w:p>
    <w:p w14:paraId="774B0717">
      <w:pPr>
        <w:spacing w:line="720" w:lineRule="exact"/>
        <w:ind w:firstLine="598" w:firstLineChars="200"/>
        <w:rPr>
          <w:rFonts w:hint="eastAsia" w:ascii="仿宋_GB2312" w:hAnsi="宋体" w:eastAsia="仿宋_GB2312"/>
          <w:sz w:val="32"/>
          <w:szCs w:val="32"/>
        </w:rPr>
      </w:pPr>
      <w:bookmarkStart w:id="223" w:name="_Toc216520022"/>
      <w:bookmarkStart w:id="224" w:name="_Toc222897544"/>
      <w:r>
        <w:rPr>
          <w:rFonts w:hint="eastAsia" w:ascii="仿宋_GB2312" w:hAnsi="宋体" w:eastAsia="仿宋_GB2312"/>
          <w:sz w:val="32"/>
          <w:szCs w:val="32"/>
        </w:rPr>
        <w:t>肖坝片区绿地系统以绿心为依托，滨河绿带为纽带，道路绿化为骨架，把绿化公园、桥头公园、街头绿地作为重要节点要素，构建网络化城市生态开敞空间。</w:t>
      </w:r>
    </w:p>
    <w:p w14:paraId="5D71E882">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其中，绿心路两侧各预留30米宽公共绿带，乐雅高速连接线两侧各预留宽度不小于15米的街头绿地，高压走廊两侧各预留15米防护绿带。</w:t>
      </w:r>
    </w:p>
    <w:p w14:paraId="245E35EB">
      <w:pPr>
        <w:spacing w:before="252" w:beforeLines="50" w:after="252" w:afterLines="50" w:line="720" w:lineRule="exact"/>
        <w:ind w:firstLine="598" w:firstLineChars="200"/>
        <w:rPr>
          <w:rFonts w:hint="eastAsia" w:ascii="仿宋_GB2312" w:hAnsi="宋体" w:eastAsia="仿宋_GB2312"/>
          <w:b/>
          <w:sz w:val="32"/>
          <w:szCs w:val="32"/>
        </w:rPr>
      </w:pPr>
      <w:bookmarkStart w:id="225" w:name="_Toc384768020"/>
      <w:r>
        <w:rPr>
          <w:rFonts w:hint="eastAsia" w:ascii="仿宋_GB2312" w:hAnsi="宋体" w:eastAsia="仿宋_GB2312"/>
          <w:b/>
          <w:sz w:val="32"/>
          <w:szCs w:val="32"/>
        </w:rPr>
        <w:t>（二）景观系统规划</w:t>
      </w:r>
      <w:bookmarkEnd w:id="223"/>
      <w:bookmarkEnd w:id="224"/>
      <w:bookmarkEnd w:id="225"/>
    </w:p>
    <w:p w14:paraId="029A975F">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1、规划思路</w:t>
      </w:r>
    </w:p>
    <w:p w14:paraId="7601744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规划结合肖坝的地理区位和绿地系统的布局，精心组织各景观轴线和建筑空间，形成开敞空间与封闭空间相对应的重点突出、整体统一、充满现代气息的城市景观。景观系统由多条不同特色的景观轴（带）及各特色景观区组成。</w:t>
      </w:r>
    </w:p>
    <w:p w14:paraId="4F1FF082">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2、景观区</w:t>
      </w:r>
    </w:p>
    <w:p w14:paraId="4FE90F3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（1）校园文化景观区</w:t>
      </w:r>
    </w:p>
    <w:p w14:paraId="79C2EF7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该景观区位于大件路以北，用地性质以成都理工大学、乐山师范大学等高等院校为主，大量采用造型优美建筑，展现出浓郁的人文教育气息。</w:t>
      </w:r>
    </w:p>
    <w:p w14:paraId="7A778F6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（2）滨水居住景观区</w:t>
      </w:r>
    </w:p>
    <w:p w14:paraId="5F3DA1B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该景观区位于大件路以南，以滨水居住景观为主，形成富有时代气息，与山水共融于一体的居住建筑风貌景观区。</w:t>
      </w:r>
    </w:p>
    <w:p w14:paraId="4DABC102">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3、景观轴</w:t>
      </w:r>
    </w:p>
    <w:p w14:paraId="7A7445D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规划形成沿青衣江、大渡河打造滨水景观轴。使沿江景观形成开敞空间城市景观节点——城市建设集中景观——滨河开敞生态景观节点——城市建设景观的空间序列。</w:t>
      </w:r>
    </w:p>
    <w:p w14:paraId="0A13E086">
      <w:pPr>
        <w:spacing w:line="720" w:lineRule="exact"/>
        <w:ind w:firstLine="598" w:firstLineChars="200"/>
        <w:rPr>
          <w:rFonts w:hint="eastAsia" w:ascii="仿宋_GB2312" w:hAnsi="宋体" w:eastAsia="仿宋_GB2312"/>
          <w:sz w:val="32"/>
          <w:szCs w:val="32"/>
        </w:rPr>
      </w:pPr>
    </w:p>
    <w:p w14:paraId="741018A7">
      <w:pPr>
        <w:pStyle w:val="2"/>
        <w:adjustRightInd w:val="0"/>
        <w:spacing w:before="252" w:beforeLines="50" w:after="252" w:afterLines="50" w:line="720" w:lineRule="exact"/>
        <w:rPr>
          <w:rFonts w:ascii="方正黑体简体" w:eastAsia="方正黑体简体"/>
          <w:kern w:val="2"/>
          <w:sz w:val="44"/>
        </w:rPr>
      </w:pPr>
      <w:bookmarkStart w:id="226" w:name="_Toc358296641"/>
      <w:bookmarkStart w:id="227" w:name="_Toc414632160"/>
      <w:bookmarkStart w:id="228" w:name="_Toc420499443"/>
      <w:r>
        <w:rPr>
          <w:rFonts w:hint="eastAsia" w:ascii="方正黑体简体" w:eastAsia="方正黑体简体"/>
          <w:kern w:val="2"/>
          <w:sz w:val="44"/>
        </w:rPr>
        <w:t>第八章</w:t>
      </w:r>
      <w:r>
        <w:rPr>
          <w:rFonts w:ascii="方正黑体简体" w:eastAsia="方正黑体简体"/>
          <w:kern w:val="2"/>
          <w:sz w:val="44"/>
        </w:rPr>
        <w:t xml:space="preserve">  </w:t>
      </w:r>
      <w:r>
        <w:rPr>
          <w:rFonts w:hint="eastAsia" w:ascii="方正黑体简体" w:eastAsia="方正黑体简体"/>
          <w:kern w:val="2"/>
          <w:sz w:val="44"/>
        </w:rPr>
        <w:t>建设开发控制</w:t>
      </w:r>
      <w:bookmarkEnd w:id="226"/>
      <w:bookmarkEnd w:id="227"/>
      <w:bookmarkEnd w:id="228"/>
    </w:p>
    <w:p w14:paraId="1BEB0603">
      <w:pPr>
        <w:pStyle w:val="3"/>
        <w:adjustRightInd w:val="0"/>
        <w:spacing w:before="252" w:beforeLines="50" w:after="252" w:afterLines="50" w:line="720" w:lineRule="exact"/>
        <w:rPr>
          <w:rFonts w:ascii="方正黑体简体" w:hAnsi="Calibri" w:eastAsia="方正黑体简体"/>
          <w:bCs w:val="0"/>
        </w:rPr>
      </w:pPr>
      <w:bookmarkStart w:id="229" w:name="_Toc222897540"/>
      <w:bookmarkStart w:id="230" w:name="_Toc414632161"/>
      <w:bookmarkStart w:id="231" w:name="_Toc384768015"/>
      <w:bookmarkStart w:id="232" w:name="_Toc358296642"/>
      <w:bookmarkStart w:id="233" w:name="_Toc216520018"/>
      <w:bookmarkStart w:id="234" w:name="_Toc420499444"/>
      <w:bookmarkStart w:id="235" w:name="_Toc397004599"/>
      <w:r>
        <w:rPr>
          <w:rFonts w:hint="eastAsia" w:ascii="方正黑体简体" w:hAnsi="Calibri" w:eastAsia="方正黑体简体"/>
          <w:bCs w:val="0"/>
        </w:rPr>
        <w:t>一、地块划分原则及编码方式</w:t>
      </w:r>
      <w:bookmarkEnd w:id="229"/>
      <w:bookmarkEnd w:id="230"/>
      <w:bookmarkEnd w:id="231"/>
      <w:bookmarkEnd w:id="232"/>
      <w:bookmarkEnd w:id="233"/>
      <w:bookmarkEnd w:id="234"/>
      <w:bookmarkEnd w:id="235"/>
    </w:p>
    <w:p w14:paraId="7CD1B995">
      <w:pPr>
        <w:spacing w:before="252" w:beforeLines="50" w:after="252" w:afterLines="50" w:line="720" w:lineRule="exact"/>
        <w:ind w:firstLine="598" w:firstLineChars="200"/>
        <w:rPr>
          <w:rFonts w:ascii="仿宋_GB2312" w:hAnsi="宋体" w:eastAsia="仿宋_GB2312"/>
          <w:b/>
          <w:sz w:val="32"/>
          <w:szCs w:val="32"/>
        </w:rPr>
      </w:pPr>
      <w:bookmarkStart w:id="236" w:name="_Toc358296643"/>
      <w:r>
        <w:rPr>
          <w:rFonts w:hint="eastAsia" w:ascii="仿宋_GB2312" w:hAnsi="宋体" w:eastAsia="仿宋_GB2312"/>
          <w:b/>
          <w:sz w:val="32"/>
          <w:szCs w:val="32"/>
        </w:rPr>
        <w:t>（一）地块划分原则</w:t>
      </w:r>
      <w:bookmarkEnd w:id="236"/>
    </w:p>
    <w:p w14:paraId="67220BB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结合乐山组团式发展模式，建议采用各城市组团分别编码的形式，如</w:t>
      </w:r>
    </w:p>
    <w:p w14:paraId="67B9F66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肖坝编码为XB；柏杨坝编码为</w:t>
      </w:r>
      <w:r>
        <w:rPr>
          <w:rFonts w:ascii="仿宋_GB2312" w:hAnsi="宋体" w:eastAsia="仿宋_GB2312"/>
          <w:sz w:val="32"/>
          <w:szCs w:val="32"/>
        </w:rPr>
        <w:t>BYB</w:t>
      </w:r>
      <w:r>
        <w:rPr>
          <w:rFonts w:hint="eastAsia" w:ascii="仿宋_GB2312" w:hAnsi="宋体" w:eastAsia="仿宋_GB2312"/>
          <w:sz w:val="32"/>
          <w:szCs w:val="32"/>
        </w:rPr>
        <w:t>等。划分原则：</w:t>
      </w:r>
    </w:p>
    <w:p w14:paraId="094E4AFF">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、交通可达性原则。根据规划道路、河流等按集中的空间划分。</w:t>
      </w:r>
    </w:p>
    <w:p w14:paraId="6F895ED4">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、空间完整性。保证街区空间的相对完整。</w:t>
      </w:r>
    </w:p>
    <w:p w14:paraId="10283AA7">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、主导功能的完整性。强调分区内各主要功能的相对完整。</w:t>
      </w:r>
    </w:p>
    <w:p w14:paraId="2165395F">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、兼顾行政区划分原则。考虑用地与行政区划关系，合理划分分区。</w:t>
      </w:r>
    </w:p>
    <w:p w14:paraId="607E692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各城市组团内以城市道路来划分，保证用地功能的完整性，地块编号的唯一性和可细分性；起到承上启下的作用，保证总规的落实，指导控规的编制。</w:t>
      </w:r>
    </w:p>
    <w:p w14:paraId="31F1EE7E">
      <w:pPr>
        <w:spacing w:before="252" w:beforeLines="50" w:after="252" w:afterLines="50" w:line="720" w:lineRule="exact"/>
        <w:ind w:firstLine="598" w:firstLineChars="200"/>
        <w:rPr>
          <w:rFonts w:ascii="仿宋_GB2312" w:hAnsi="宋体" w:eastAsia="仿宋_GB2312"/>
          <w:b/>
          <w:sz w:val="32"/>
          <w:szCs w:val="32"/>
        </w:rPr>
      </w:pPr>
      <w:bookmarkStart w:id="237" w:name="_Toc358296644"/>
      <w:r>
        <w:rPr>
          <w:rFonts w:hint="eastAsia" w:ascii="仿宋_GB2312" w:hAnsi="宋体" w:eastAsia="仿宋_GB2312"/>
          <w:b/>
          <w:sz w:val="32"/>
          <w:szCs w:val="32"/>
        </w:rPr>
        <w:t>（二）地块编码方式</w:t>
      </w:r>
      <w:bookmarkEnd w:id="237"/>
    </w:p>
    <w:p w14:paraId="6BB873F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编码采用四段式：XB（</w:t>
      </w:r>
      <w:r>
        <w:rPr>
          <w:rFonts w:ascii="仿宋_GB2312" w:hAnsi="宋体" w:eastAsia="仿宋_GB2312"/>
          <w:sz w:val="32"/>
          <w:szCs w:val="32"/>
        </w:rPr>
        <w:t>A</w:t>
      </w:r>
      <w:r>
        <w:rPr>
          <w:rFonts w:hint="eastAsia" w:ascii="仿宋_GB2312" w:hAnsi="宋体" w:eastAsia="仿宋_GB2312"/>
          <w:sz w:val="32"/>
          <w:szCs w:val="32"/>
        </w:rPr>
        <w:t>）</w:t>
      </w:r>
      <w:r>
        <w:rPr>
          <w:rFonts w:ascii="仿宋_GB2312" w:hAnsi="宋体" w:eastAsia="仿宋_GB2312"/>
          <w:sz w:val="32"/>
          <w:szCs w:val="32"/>
        </w:rPr>
        <w:t>—xx—a</w:t>
      </w:r>
      <w:r>
        <w:rPr>
          <w:rFonts w:hint="eastAsia" w:ascii="仿宋_GB2312" w:hAnsi="宋体" w:eastAsia="仿宋_GB2312"/>
          <w:sz w:val="32"/>
          <w:szCs w:val="32"/>
        </w:rPr>
        <w:t>，其中XB表示肖坝片区；</w:t>
      </w:r>
      <w:r>
        <w:rPr>
          <w:rFonts w:ascii="仿宋_GB2312" w:hAnsi="宋体" w:eastAsia="仿宋_GB2312"/>
          <w:sz w:val="32"/>
          <w:szCs w:val="32"/>
        </w:rPr>
        <w:t>A</w:t>
      </w:r>
      <w:r>
        <w:rPr>
          <w:rFonts w:hint="eastAsia" w:ascii="仿宋_GB2312" w:hAnsi="宋体" w:eastAsia="仿宋_GB2312"/>
          <w:sz w:val="32"/>
          <w:szCs w:val="32"/>
        </w:rPr>
        <w:t>表示地块分区，</w:t>
      </w:r>
      <w:r>
        <w:rPr>
          <w:rFonts w:ascii="仿宋_GB2312" w:hAnsi="宋体" w:eastAsia="仿宋_GB2312"/>
          <w:sz w:val="32"/>
          <w:szCs w:val="32"/>
        </w:rPr>
        <w:t>xx</w:t>
      </w:r>
      <w:r>
        <w:rPr>
          <w:rFonts w:hint="eastAsia" w:ascii="仿宋_GB2312" w:hAnsi="宋体" w:eastAsia="仿宋_GB2312"/>
          <w:sz w:val="32"/>
          <w:szCs w:val="32"/>
        </w:rPr>
        <w:t>为街坊编号，</w:t>
      </w:r>
      <w:r>
        <w:rPr>
          <w:rFonts w:ascii="仿宋_GB2312" w:hAnsi="宋体" w:eastAsia="仿宋_GB2312"/>
          <w:sz w:val="32"/>
          <w:szCs w:val="32"/>
        </w:rPr>
        <w:t>a</w:t>
      </w:r>
      <w:r>
        <w:rPr>
          <w:rFonts w:hint="eastAsia" w:ascii="仿宋_GB2312" w:hAnsi="宋体" w:eastAsia="仿宋_GB2312"/>
          <w:sz w:val="32"/>
          <w:szCs w:val="32"/>
        </w:rPr>
        <w:t>为地块编号。编号的顺序原则上由西至东、由北至南。</w:t>
      </w:r>
    </w:p>
    <w:p w14:paraId="34E1B0DC">
      <w:pPr>
        <w:pStyle w:val="3"/>
        <w:adjustRightInd w:val="0"/>
        <w:spacing w:before="252" w:beforeLines="50" w:after="252" w:afterLines="50" w:line="720" w:lineRule="exact"/>
        <w:rPr>
          <w:rFonts w:ascii="方正黑体简体" w:hAnsi="Calibri" w:eastAsia="方正黑体简体"/>
          <w:bCs w:val="0"/>
        </w:rPr>
      </w:pPr>
      <w:bookmarkStart w:id="238" w:name="_Toc414632162"/>
      <w:bookmarkStart w:id="239" w:name="_Toc216520019"/>
      <w:bookmarkStart w:id="240" w:name="_Toc222897541"/>
      <w:bookmarkStart w:id="241" w:name="_Toc384768016"/>
      <w:bookmarkStart w:id="242" w:name="_Toc420499445"/>
      <w:bookmarkStart w:id="243" w:name="_Toc397004600"/>
      <w:bookmarkStart w:id="244" w:name="_Toc358296645"/>
      <w:r>
        <w:rPr>
          <w:rFonts w:hint="eastAsia" w:ascii="方正黑体简体" w:hAnsi="Calibri" w:eastAsia="方正黑体简体"/>
          <w:bCs w:val="0"/>
        </w:rPr>
        <w:t>二、地块指标控制</w:t>
      </w:r>
      <w:bookmarkEnd w:id="238"/>
      <w:bookmarkEnd w:id="239"/>
      <w:bookmarkEnd w:id="240"/>
      <w:bookmarkEnd w:id="241"/>
      <w:bookmarkEnd w:id="242"/>
      <w:bookmarkEnd w:id="243"/>
      <w:bookmarkEnd w:id="244"/>
    </w:p>
    <w:p w14:paraId="1451A8A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地块控制的内容包括地块用地性质、地块内配套设施、配置内容、用地面积、建筑面积、容积率、建筑密度、建筑高度、绿地率、配建停车车位及自行车停车车位等。</w:t>
      </w:r>
    </w:p>
    <w:p w14:paraId="6F53603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地块控制指标分为两类：规定性指标和指导性指标。</w:t>
      </w:r>
    </w:p>
    <w:p w14:paraId="133724B8">
      <w:pPr>
        <w:spacing w:before="252" w:beforeLines="50" w:after="252" w:afterLines="50" w:line="720" w:lineRule="exact"/>
        <w:ind w:firstLine="598" w:firstLineChars="200"/>
        <w:rPr>
          <w:rFonts w:ascii="仿宋_GB2312" w:hAnsi="宋体" w:eastAsia="仿宋_GB2312"/>
          <w:b/>
          <w:sz w:val="32"/>
          <w:szCs w:val="32"/>
        </w:rPr>
      </w:pPr>
      <w:bookmarkStart w:id="245" w:name="_Toc358296646"/>
      <w:r>
        <w:rPr>
          <w:rFonts w:hint="eastAsia" w:ascii="仿宋_GB2312" w:hAnsi="宋体" w:eastAsia="仿宋_GB2312"/>
          <w:b/>
          <w:sz w:val="32"/>
          <w:szCs w:val="32"/>
        </w:rPr>
        <w:t>（一）规定性指标</w:t>
      </w:r>
      <w:bookmarkEnd w:id="245"/>
    </w:p>
    <w:p w14:paraId="754AD15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定性指标是指在规划管理中必须严格遵循的指标，它综合反映了土地开发建设的强度及空间环境的塑造。建筑容量和人口容量决定了市政公用设施的规划容量，而市政公用设施建设完成后，其容量又反过来制约了建筑容量和人口容量的增加，因此，规定性指标一经确定和批准，在规划管理中不得随意变更。</w:t>
      </w:r>
    </w:p>
    <w:p w14:paraId="112B188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规定性指标主要分为以下几类：</w:t>
      </w:r>
    </w:p>
    <w:p w14:paraId="701C935A">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、用地面积（</w:t>
      </w:r>
      <w:r>
        <w:rPr>
          <w:rFonts w:ascii="仿宋_GB2312" w:hAnsi="宋体" w:eastAsia="仿宋_GB2312"/>
          <w:sz w:val="32"/>
          <w:szCs w:val="32"/>
        </w:rPr>
        <w:t>PA</w:t>
      </w:r>
      <w:r>
        <w:rPr>
          <w:rFonts w:hint="eastAsia" w:ascii="仿宋_GB2312" w:hAnsi="宋体" w:eastAsia="仿宋_GB2312"/>
          <w:sz w:val="32"/>
          <w:szCs w:val="32"/>
        </w:rPr>
        <w:t>）</w:t>
      </w:r>
    </w:p>
    <w:p w14:paraId="3E4FE81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指地块净面积，在规划管理和开发建设时以实测面积为准。</w:t>
      </w:r>
    </w:p>
    <w:p w14:paraId="4AEA1B4E">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、用地性质（</w:t>
      </w:r>
      <w:r>
        <w:rPr>
          <w:rFonts w:ascii="仿宋_GB2312" w:hAnsi="宋体" w:eastAsia="仿宋_GB2312"/>
          <w:sz w:val="32"/>
          <w:szCs w:val="32"/>
        </w:rPr>
        <w:t>LUF</w:t>
      </w:r>
      <w:r>
        <w:rPr>
          <w:rFonts w:hint="eastAsia" w:ascii="仿宋_GB2312" w:hAnsi="宋体" w:eastAsia="仿宋_GB2312"/>
          <w:sz w:val="32"/>
          <w:szCs w:val="32"/>
        </w:rPr>
        <w:t>）</w:t>
      </w:r>
    </w:p>
    <w:p w14:paraId="022DD6B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地块在开发建设时，必须遵循的土地使用性质。本次规划采用国标《城市用地分类与规划建设用地标准》</w:t>
      </w:r>
      <w:r>
        <w:rPr>
          <w:rFonts w:ascii="仿宋_GB2312" w:hAnsi="宋体" w:eastAsia="仿宋_GB2312"/>
          <w:sz w:val="32"/>
          <w:szCs w:val="32"/>
        </w:rPr>
        <w:t>(GB50137-2011)</w:t>
      </w:r>
      <w:r>
        <w:rPr>
          <w:rFonts w:hint="eastAsia" w:ascii="仿宋_GB2312" w:hAnsi="宋体" w:eastAsia="仿宋_GB2312"/>
          <w:sz w:val="32"/>
          <w:szCs w:val="32"/>
        </w:rPr>
        <w:t>所规定的用地代码对不同性质用地加以说明。</w:t>
      </w:r>
    </w:p>
    <w:p w14:paraId="68834CD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、建筑密度（</w:t>
      </w:r>
      <w:r>
        <w:rPr>
          <w:rFonts w:ascii="仿宋_GB2312" w:hAnsi="宋体" w:eastAsia="仿宋_GB2312"/>
          <w:sz w:val="32"/>
          <w:szCs w:val="32"/>
        </w:rPr>
        <w:t>BD</w:t>
      </w:r>
      <w:r>
        <w:rPr>
          <w:rFonts w:hint="eastAsia" w:ascii="仿宋_GB2312" w:hAnsi="宋体" w:eastAsia="仿宋_GB2312"/>
          <w:sz w:val="32"/>
          <w:szCs w:val="32"/>
        </w:rPr>
        <w:t>）</w:t>
      </w:r>
    </w:p>
    <w:p w14:paraId="6B0BF51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建筑密度是指地块内所有建筑物基底占地面积与地块用地面积之比。它是控制地块容量和环境质量的重要指标。单位：</w:t>
      </w:r>
      <w:r>
        <w:rPr>
          <w:rFonts w:ascii="仿宋_GB2312" w:hAnsi="宋体" w:eastAsia="仿宋_GB2312"/>
          <w:sz w:val="32"/>
          <w:szCs w:val="32"/>
        </w:rPr>
        <w:t>%</w:t>
      </w:r>
      <w:r>
        <w:rPr>
          <w:rFonts w:hint="eastAsia" w:ascii="仿宋_GB2312" w:hAnsi="宋体" w:eastAsia="仿宋_GB2312"/>
          <w:sz w:val="32"/>
          <w:szCs w:val="32"/>
        </w:rPr>
        <w:t>。</w:t>
      </w:r>
    </w:p>
    <w:p w14:paraId="29A8BE6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建筑密度指标确定主要考虑环境质量、地块定位、建筑高度、容积率、建筑安全卫生间距、气候条件、地形坡度及朝向等，地块建筑密度控制详见规划图则。</w:t>
      </w:r>
    </w:p>
    <w:p w14:paraId="386A4688">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、容积率（</w:t>
      </w:r>
      <w:r>
        <w:rPr>
          <w:rFonts w:ascii="仿宋_GB2312" w:hAnsi="宋体" w:eastAsia="仿宋_GB2312"/>
          <w:sz w:val="32"/>
          <w:szCs w:val="32"/>
        </w:rPr>
        <w:t>FAR</w:t>
      </w:r>
      <w:r>
        <w:rPr>
          <w:rFonts w:hint="eastAsia" w:ascii="仿宋_GB2312" w:hAnsi="宋体" w:eastAsia="仿宋_GB2312"/>
          <w:sz w:val="32"/>
          <w:szCs w:val="32"/>
        </w:rPr>
        <w:t>）</w:t>
      </w:r>
    </w:p>
    <w:p w14:paraId="17D7F8C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容积率是指地块内总建筑面积与地块用地面积之比。是反映土地开发利用强度的综合性指标。合理的容积率，既充分利用土地资源，又不至过度开发，以形成良好的城市生态环境。</w:t>
      </w:r>
    </w:p>
    <w:p w14:paraId="2F1D5FC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容积率的确定主要综合考虑合理的经济效益和良好的环境效益、社会效益。涉及地块区位、建筑性质、密度、高度、间距、环境景观和拆迁比等。地块容积率控制详见规划图则。</w:t>
      </w:r>
    </w:p>
    <w:p w14:paraId="6E71A83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5</w:t>
      </w:r>
      <w:r>
        <w:rPr>
          <w:rFonts w:hint="eastAsia" w:ascii="仿宋_GB2312" w:hAnsi="宋体" w:eastAsia="仿宋_GB2312"/>
          <w:sz w:val="32"/>
          <w:szCs w:val="32"/>
        </w:rPr>
        <w:t>、建筑限高（</w:t>
      </w:r>
      <w:r>
        <w:rPr>
          <w:rFonts w:ascii="仿宋_GB2312" w:hAnsi="宋体" w:eastAsia="仿宋_GB2312"/>
          <w:sz w:val="32"/>
          <w:szCs w:val="32"/>
        </w:rPr>
        <w:t>BHR</w:t>
      </w:r>
      <w:r>
        <w:rPr>
          <w:rFonts w:hint="eastAsia" w:ascii="仿宋_GB2312" w:hAnsi="宋体" w:eastAsia="仿宋_GB2312"/>
          <w:sz w:val="32"/>
          <w:szCs w:val="32"/>
        </w:rPr>
        <w:t>）</w:t>
      </w:r>
    </w:p>
    <w:p w14:paraId="2B41FB6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建筑限高是指地块内建筑物允许建造的最大高度限制。单位：米。</w:t>
      </w:r>
    </w:p>
    <w:p w14:paraId="11F5625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建筑限高的控制为城市空间利用、城市轮廓线控制提供依据。</w:t>
      </w:r>
    </w:p>
    <w:p w14:paraId="4F2B6E8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限高的确定主要考虑土地使用性质、城市总体景观效果、空间轮廓、地块区位、建筑性质、容积率、街道尺度、城市消防、净空通道、高压走廊、景观视觉空间以及自然、历史文化景观保护协调和地质条件等。低层建筑一般不超过</w:t>
      </w:r>
      <w:r>
        <w:rPr>
          <w:rFonts w:ascii="仿宋_GB2312" w:hAnsi="宋体" w:eastAsia="仿宋_GB2312"/>
          <w:sz w:val="32"/>
          <w:szCs w:val="32"/>
        </w:rPr>
        <w:t>15</w:t>
      </w:r>
      <w:r>
        <w:rPr>
          <w:rFonts w:hint="eastAsia" w:ascii="仿宋_GB2312" w:hAnsi="宋体" w:eastAsia="仿宋_GB2312"/>
          <w:sz w:val="32"/>
          <w:szCs w:val="32"/>
        </w:rPr>
        <w:t>米；多层建筑一般不超过</w:t>
      </w:r>
      <w:r>
        <w:rPr>
          <w:rFonts w:ascii="仿宋_GB2312" w:hAnsi="宋体" w:eastAsia="仿宋_GB2312"/>
          <w:sz w:val="32"/>
          <w:szCs w:val="32"/>
        </w:rPr>
        <w:t>24</w:t>
      </w:r>
      <w:r>
        <w:rPr>
          <w:rFonts w:hint="eastAsia" w:ascii="仿宋_GB2312" w:hAnsi="宋体" w:eastAsia="仿宋_GB2312"/>
          <w:sz w:val="32"/>
          <w:szCs w:val="32"/>
        </w:rPr>
        <w:t>米；高层建筑在本规划区内不超过</w:t>
      </w:r>
      <w:r>
        <w:rPr>
          <w:rFonts w:hint="eastAsia" w:ascii="仿宋_GB2312" w:hAnsi="宋体" w:eastAsia="仿宋_GB2312"/>
          <w:sz w:val="32"/>
          <w:szCs w:val="32"/>
          <w:lang w:val="en-US" w:eastAsia="zh-CN"/>
        </w:rPr>
        <w:t>80</w:t>
      </w:r>
      <w:r>
        <w:rPr>
          <w:rFonts w:hint="eastAsia" w:ascii="仿宋_GB2312" w:hAnsi="宋体" w:eastAsia="仿宋_GB2312"/>
          <w:sz w:val="32"/>
          <w:szCs w:val="32"/>
        </w:rPr>
        <w:t>米，地块建筑高度控制详见规划图则。</w:t>
      </w:r>
    </w:p>
    <w:p w14:paraId="7A967239">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6</w:t>
      </w:r>
      <w:r>
        <w:rPr>
          <w:rFonts w:hint="eastAsia" w:ascii="仿宋_GB2312" w:hAnsi="宋体" w:eastAsia="仿宋_GB2312"/>
          <w:sz w:val="32"/>
          <w:szCs w:val="32"/>
        </w:rPr>
        <w:t>、绿地率（</w:t>
      </w:r>
      <w:r>
        <w:rPr>
          <w:rFonts w:ascii="仿宋_GB2312" w:hAnsi="宋体" w:eastAsia="仿宋_GB2312"/>
          <w:sz w:val="32"/>
          <w:szCs w:val="32"/>
        </w:rPr>
        <w:t>GSP</w:t>
      </w:r>
      <w:r>
        <w:rPr>
          <w:rFonts w:hint="eastAsia" w:ascii="仿宋_GB2312" w:hAnsi="宋体" w:eastAsia="仿宋_GB2312"/>
          <w:sz w:val="32"/>
          <w:szCs w:val="32"/>
        </w:rPr>
        <w:t>）</w:t>
      </w:r>
    </w:p>
    <w:p w14:paraId="33159B9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绿地率是指地块内地面上各类绿地面积总和与地块面积之比。绿地率的大小是衡量环境质量的重要指标，是环境优美与否的重要标志。</w:t>
      </w:r>
    </w:p>
    <w:p w14:paraId="3184117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规划区用地范围内城市建设要求除建筑基地（包括散水、排水明沟）和道路、停车位等硬地及必要的室外设施占地以外的用地均须绿化。</w:t>
      </w:r>
    </w:p>
    <w:p w14:paraId="5E9BC37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绿地率的确定主要根据地块使用性质要求，按国家有关标准，结合自然地形状况等制定，地块绿地率控制详见规划图则。</w:t>
      </w:r>
    </w:p>
    <w:p w14:paraId="5C5DA2D7">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7</w:t>
      </w:r>
      <w:r>
        <w:rPr>
          <w:rFonts w:hint="eastAsia" w:ascii="仿宋_GB2312" w:hAnsi="宋体" w:eastAsia="仿宋_GB2312"/>
          <w:sz w:val="32"/>
          <w:szCs w:val="32"/>
        </w:rPr>
        <w:t>、建筑后退红线距离（</w:t>
      </w:r>
      <w:r>
        <w:rPr>
          <w:rFonts w:ascii="仿宋_GB2312" w:hAnsi="宋体" w:eastAsia="仿宋_GB2312"/>
          <w:sz w:val="32"/>
          <w:szCs w:val="32"/>
        </w:rPr>
        <w:t>SB</w:t>
      </w:r>
      <w:r>
        <w:rPr>
          <w:rFonts w:hint="eastAsia" w:ascii="仿宋_GB2312" w:hAnsi="宋体" w:eastAsia="仿宋_GB2312"/>
          <w:sz w:val="32"/>
          <w:szCs w:val="32"/>
        </w:rPr>
        <w:t>）</w:t>
      </w:r>
    </w:p>
    <w:p w14:paraId="40C88CA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建筑后退是指建筑控制线与道路红线或地块边界的距离。单位：米。</w:t>
      </w:r>
    </w:p>
    <w:p w14:paraId="30E9821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建筑后退距离主要根据地块位置、使用功能和消防、日照、安全卫生、视线等要求来确定。本规划区建筑后退距离按照《乐山市城市规划管理技术规定》（2019）执行。</w:t>
      </w:r>
    </w:p>
    <w:p w14:paraId="687AB2EA">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8</w:t>
      </w:r>
      <w:r>
        <w:rPr>
          <w:rFonts w:hint="eastAsia" w:ascii="仿宋_GB2312" w:hAnsi="宋体" w:eastAsia="仿宋_GB2312"/>
          <w:sz w:val="32"/>
          <w:szCs w:val="32"/>
        </w:rPr>
        <w:t>、停车泊车位（</w:t>
      </w:r>
      <w:r>
        <w:rPr>
          <w:rFonts w:ascii="仿宋_GB2312" w:hAnsi="宋体" w:eastAsia="仿宋_GB2312"/>
          <w:sz w:val="32"/>
          <w:szCs w:val="32"/>
        </w:rPr>
        <w:t>PS</w:t>
      </w:r>
      <w:r>
        <w:rPr>
          <w:rFonts w:hint="eastAsia" w:ascii="仿宋_GB2312" w:hAnsi="宋体" w:eastAsia="仿宋_GB2312"/>
          <w:sz w:val="32"/>
          <w:szCs w:val="32"/>
        </w:rPr>
        <w:t>）</w:t>
      </w:r>
    </w:p>
    <w:p w14:paraId="07F4D18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停车泊位是指地块内部必须配建的机动车停车泊位数。主要根据建筑性质、规模和所处区位确定。配建标准配建标准按照《乐山市城市规划管理技术规定》（2019）执行。</w:t>
      </w:r>
    </w:p>
    <w:p w14:paraId="052F0747">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9</w:t>
      </w:r>
      <w:r>
        <w:rPr>
          <w:rFonts w:hint="eastAsia" w:ascii="仿宋_GB2312" w:hAnsi="宋体" w:eastAsia="仿宋_GB2312"/>
          <w:sz w:val="32"/>
          <w:szCs w:val="32"/>
        </w:rPr>
        <w:t>、禁止机动车开口位置和方向</w:t>
      </w:r>
    </w:p>
    <w:p w14:paraId="3F4F7DD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是指街坊内地块内部机动车道与外围城市道路相交的出入口方位和位置的控制，其确定主要是考虑城市道路交通的安全和顺畅，并合理引导地块内部交通。本规划规定地块机动车出入口位置至道路交叉口路沿石切点距离，必须符合以下标准：</w:t>
      </w:r>
    </w:p>
    <w:p w14:paraId="47B57E6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主干道交叉口≥</w:t>
      </w:r>
      <w:r>
        <w:rPr>
          <w:rFonts w:ascii="仿宋_GB2312" w:hAnsi="宋体" w:eastAsia="仿宋_GB2312"/>
          <w:sz w:val="32"/>
          <w:szCs w:val="32"/>
        </w:rPr>
        <w:t>60</w:t>
      </w:r>
      <w:r>
        <w:rPr>
          <w:rFonts w:hint="eastAsia" w:ascii="仿宋_GB2312" w:hAnsi="宋体" w:eastAsia="仿宋_GB2312"/>
          <w:sz w:val="32"/>
          <w:szCs w:val="32"/>
        </w:rPr>
        <w:t>米；</w:t>
      </w:r>
    </w:p>
    <w:p w14:paraId="726B0A3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次干道交叉口≥</w:t>
      </w:r>
      <w:r>
        <w:rPr>
          <w:rFonts w:ascii="仿宋_GB2312" w:hAnsi="宋体" w:eastAsia="仿宋_GB2312"/>
          <w:sz w:val="32"/>
          <w:szCs w:val="32"/>
        </w:rPr>
        <w:t>40</w:t>
      </w:r>
      <w:r>
        <w:rPr>
          <w:rFonts w:hint="eastAsia" w:ascii="仿宋_GB2312" w:hAnsi="宋体" w:eastAsia="仿宋_GB2312"/>
          <w:sz w:val="32"/>
          <w:szCs w:val="32"/>
        </w:rPr>
        <w:t>米；</w:t>
      </w:r>
    </w:p>
    <w:p w14:paraId="76861A0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支路交叉口≥</w:t>
      </w:r>
      <w:r>
        <w:rPr>
          <w:rFonts w:ascii="仿宋_GB2312" w:hAnsi="宋体" w:eastAsia="仿宋_GB2312"/>
          <w:sz w:val="32"/>
          <w:szCs w:val="32"/>
        </w:rPr>
        <w:t>20</w:t>
      </w:r>
      <w:r>
        <w:rPr>
          <w:rFonts w:hint="eastAsia" w:ascii="仿宋_GB2312" w:hAnsi="宋体" w:eastAsia="仿宋_GB2312"/>
          <w:sz w:val="32"/>
          <w:szCs w:val="32"/>
        </w:rPr>
        <w:t>米。</w:t>
      </w:r>
    </w:p>
    <w:p w14:paraId="087A3C6D">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10</w:t>
      </w:r>
      <w:r>
        <w:rPr>
          <w:rFonts w:hint="eastAsia" w:ascii="仿宋_GB2312" w:hAnsi="宋体" w:eastAsia="仿宋_GB2312"/>
          <w:sz w:val="32"/>
          <w:szCs w:val="32"/>
        </w:rPr>
        <w:t>、土地使用兼容性控制</w:t>
      </w:r>
    </w:p>
    <w:p w14:paraId="69A934A9">
      <w:pPr>
        <w:spacing w:line="720" w:lineRule="exact"/>
        <w:ind w:firstLine="598" w:firstLineChars="200"/>
        <w:rPr>
          <w:rFonts w:hint="eastAsia" w:ascii="仿宋_GB2312" w:hAnsi="宋体" w:eastAsia="仿宋_GB2312"/>
          <w:sz w:val="32"/>
          <w:szCs w:val="32"/>
        </w:rPr>
      </w:pPr>
      <w:bookmarkStart w:id="246" w:name="_Toc358296647"/>
      <w:r>
        <w:rPr>
          <w:rFonts w:hint="eastAsia" w:ascii="仿宋_GB2312" w:hAnsi="宋体" w:eastAsia="仿宋_GB2312"/>
          <w:sz w:val="32"/>
          <w:szCs w:val="32"/>
        </w:rPr>
        <w:t>建筑的改建、扩建和新建，其使用性质应同所在地块的土地使用性质相符。</w:t>
      </w:r>
    </w:p>
    <w:p w14:paraId="6553EF90">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w:t>
      </w:r>
      <w:r>
        <w:rPr>
          <w:rFonts w:hint="eastAsia" w:ascii="仿宋_GB2312" w:hAnsi="宋体" w:eastAsia="仿宋_GB2312"/>
          <w:sz w:val="32"/>
          <w:szCs w:val="32"/>
        </w:rPr>
        <w:t>选择性兼容，在土地出让或者划拨前，由城乡规划主管部门选定一项用地性质及其对应的规划指标进行管理，选择性兼容地块可混合兼容。</w:t>
      </w:r>
    </w:p>
    <w:p w14:paraId="668BC5A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w:t>
      </w:r>
      <w:r>
        <w:rPr>
          <w:rFonts w:hint="eastAsia" w:ascii="仿宋_GB2312" w:hAnsi="宋体" w:eastAsia="仿宋_GB2312"/>
          <w:sz w:val="32"/>
          <w:szCs w:val="32"/>
        </w:rPr>
        <w:t>混合性兼容，图则中明确了兼容性和兼容比例要求的地块应严格按照图则执行。图则中未明确兼容比例要求的地块，应按以下要求实施：</w:t>
      </w:r>
    </w:p>
    <w:p w14:paraId="4CECA71B">
      <w:pPr>
        <w:spacing w:line="720" w:lineRule="exact"/>
        <w:ind w:firstLine="598" w:firstLineChars="200"/>
        <w:rPr>
          <w:rFonts w:hint="eastAsia" w:ascii="仿宋_GB2312" w:hAnsi="宋体" w:eastAsia="仿宋_GB2312"/>
          <w:sz w:val="32"/>
          <w:szCs w:val="32"/>
          <w:lang w:eastAsia="zh-CN"/>
        </w:rPr>
      </w:pPr>
      <w:r>
        <w:rPr>
          <w:rFonts w:hint="eastAsia" w:ascii="仿宋_GB2312" w:hAnsi="宋体" w:eastAsia="仿宋_GB2312"/>
          <w:sz w:val="32"/>
          <w:szCs w:val="32"/>
        </w:rPr>
        <w:t>居住为主要用地性质的，住宅计容建筑面积应大于规划用地总计容建筑面积的50%，小于或者等于规划用地总计容建筑面积的90%；商业服务业设施为主要用地性质的，住宅计容建筑面积应大于或者等于规划用地总计容建筑面积的10%，小于规划用地总计容建筑面积的50%</w:t>
      </w:r>
      <w:r>
        <w:rPr>
          <w:rFonts w:hint="eastAsia" w:ascii="仿宋_GB2312" w:hAnsi="宋体" w:eastAsia="仿宋_GB2312"/>
          <w:sz w:val="32"/>
          <w:szCs w:val="32"/>
          <w:lang w:eastAsia="zh-CN"/>
        </w:rPr>
        <w:t>。</w:t>
      </w:r>
    </w:p>
    <w:p w14:paraId="6791B02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未明确规定的各类用地适建范围按照《乐山市城市规划管理技术规定》相关内容执行。</w:t>
      </w:r>
    </w:p>
    <w:p w14:paraId="67B14152">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（二）指导性指标</w:t>
      </w:r>
      <w:bookmarkEnd w:id="246"/>
    </w:p>
    <w:p w14:paraId="752B9D9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指导性指标主要是为下一步编制修建性详细规划及进行单体建筑设计时提供参考，目的在于丰富规划区景观，使规划区发展具有协调统一性。</w:t>
      </w:r>
    </w:p>
    <w:p w14:paraId="4129D35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1、建筑风格</w:t>
      </w:r>
    </w:p>
    <w:p w14:paraId="1268D1E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建筑风格形式须在满足生活的前提下，体现时代的风貌，以“现代建筑形式”为基调。根据建筑性质、所处环境，建立“现代建筑形式”和“有传统风格符号的现代建筑形式”。</w:t>
      </w:r>
    </w:p>
    <w:p w14:paraId="03DA184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现代建筑形式：公共建筑要求造型新颖、独特，成为肖坝片区的标志和视觉控制点。建筑应采用现代建筑形式，体现新世纪城市的新风貌。建筑的体型不宜过于繁复，尽可能增加开窗面积及开敞性，以形成虚实对比的效果，体现建筑的活泼、趣味。</w:t>
      </w:r>
    </w:p>
    <w:p w14:paraId="659C5AC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（2）有传统风格符号的现代建筑形式：展览、文化性建筑可以采用有传统风格符号的现代建筑形式。以现代建筑形式为主，结合一定的传统符号，如屋面、门、窗的处理，注意现代风格与传统特色的结合。</w:t>
      </w:r>
    </w:p>
    <w:p w14:paraId="2AB31116">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、建筑色彩：</w:t>
      </w:r>
    </w:p>
    <w:p w14:paraId="2F232F8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建筑物色彩应与建筑形式相协调，并考虑不同建筑环境气氛的要求，注意保持与环境及相临建筑之间的协调。</w:t>
      </w:r>
    </w:p>
    <w:p w14:paraId="2CE023B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不要大面积地使用明亮、耀眼的颜色，石料和砖石砌块要保持自然的色彩。玻璃和金属的颜色，宜选用柔和、中性的色调。可采用一定程度的对比来突出建筑的入口及建筑的重点部位。</w:t>
      </w:r>
    </w:p>
    <w:p w14:paraId="3C6AEB7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公共建筑为了表现建筑风格，并与大量居住建筑群形成对比</w:t>
      </w:r>
      <w:r>
        <w:rPr>
          <w:rFonts w:ascii="仿宋_GB2312" w:hAnsi="宋体" w:eastAsia="仿宋_GB2312"/>
          <w:sz w:val="32"/>
          <w:szCs w:val="32"/>
        </w:rPr>
        <w:t>,</w:t>
      </w:r>
      <w:r>
        <w:rPr>
          <w:rFonts w:hint="eastAsia" w:ascii="仿宋_GB2312" w:hAnsi="宋体" w:eastAsia="仿宋_GB2312"/>
          <w:sz w:val="32"/>
          <w:szCs w:val="32"/>
        </w:rPr>
        <w:t>宜采用富有表现力的色彩，但特别要考虑与临近建筑形成对比协调。</w:t>
      </w:r>
    </w:p>
    <w:p w14:paraId="7916EAE4">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、其它环境控制</w:t>
      </w:r>
    </w:p>
    <w:p w14:paraId="65484E1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道路、场地上的各类设施、绿化种植、人行道铺装均应进行专门设计。</w:t>
      </w:r>
    </w:p>
    <w:p w14:paraId="5456237A">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主要景观街道应统一进行广告、灯箱等设计。</w:t>
      </w:r>
    </w:p>
    <w:p w14:paraId="751A2C60">
      <w:pPr>
        <w:spacing w:line="720" w:lineRule="exact"/>
        <w:ind w:firstLine="598" w:firstLineChars="200"/>
        <w:rPr>
          <w:rFonts w:ascii="仿宋_GB2312" w:hAnsi="宋体" w:eastAsia="仿宋_GB2312"/>
          <w:sz w:val="32"/>
          <w:szCs w:val="32"/>
        </w:rPr>
      </w:pPr>
    </w:p>
    <w:p w14:paraId="3E735CF3">
      <w:pPr>
        <w:pStyle w:val="2"/>
        <w:adjustRightInd w:val="0"/>
        <w:spacing w:before="252" w:beforeLines="50" w:after="252" w:afterLines="50" w:line="720" w:lineRule="exact"/>
        <w:rPr>
          <w:rFonts w:ascii="方正黑体简体" w:eastAsia="方正黑体简体"/>
          <w:kern w:val="2"/>
          <w:sz w:val="44"/>
        </w:rPr>
      </w:pPr>
      <w:bookmarkStart w:id="247" w:name="_Toc420499446"/>
      <w:bookmarkStart w:id="248" w:name="_Toc414632163"/>
      <w:bookmarkStart w:id="249" w:name="_Toc358296648"/>
      <w:r>
        <w:rPr>
          <w:rFonts w:hint="eastAsia" w:ascii="方正黑体简体" w:eastAsia="方正黑体简体"/>
          <w:kern w:val="2"/>
          <w:sz w:val="44"/>
        </w:rPr>
        <w:t>第九章</w:t>
      </w:r>
      <w:r>
        <w:rPr>
          <w:rFonts w:ascii="方正黑体简体" w:eastAsia="方正黑体简体"/>
          <w:kern w:val="2"/>
          <w:sz w:val="44"/>
        </w:rPr>
        <w:t xml:space="preserve">  </w:t>
      </w:r>
      <w:r>
        <w:rPr>
          <w:rFonts w:hint="eastAsia" w:ascii="方正黑体简体" w:eastAsia="方正黑体简体"/>
          <w:kern w:val="2"/>
          <w:sz w:val="44"/>
        </w:rPr>
        <w:t>“五线”控制规划</w:t>
      </w:r>
      <w:bookmarkEnd w:id="247"/>
      <w:bookmarkEnd w:id="248"/>
      <w:bookmarkEnd w:id="249"/>
    </w:p>
    <w:p w14:paraId="2F77F7EE">
      <w:pPr>
        <w:pStyle w:val="3"/>
        <w:adjustRightInd w:val="0"/>
        <w:spacing w:before="252" w:beforeLines="50" w:after="252" w:afterLines="50" w:line="720" w:lineRule="exact"/>
        <w:rPr>
          <w:rFonts w:ascii="方正黑体简体" w:hAnsi="Calibri" w:eastAsia="方正黑体简体"/>
          <w:bCs w:val="0"/>
        </w:rPr>
      </w:pPr>
      <w:bookmarkStart w:id="250" w:name="_Toc414632164"/>
      <w:bookmarkStart w:id="251" w:name="_Toc420499447"/>
      <w:bookmarkStart w:id="252" w:name="_Toc358296649"/>
      <w:r>
        <w:rPr>
          <w:rFonts w:hint="eastAsia" w:ascii="方正黑体简体" w:hAnsi="Calibri" w:eastAsia="方正黑体简体"/>
          <w:bCs w:val="0"/>
        </w:rPr>
        <w:t>一、红线控制</w:t>
      </w:r>
      <w:bookmarkEnd w:id="250"/>
      <w:bookmarkEnd w:id="251"/>
      <w:bookmarkEnd w:id="252"/>
    </w:p>
    <w:p w14:paraId="58EDAA0C">
      <w:pPr>
        <w:spacing w:before="252" w:beforeLines="50" w:after="252" w:afterLines="50" w:line="720" w:lineRule="exact"/>
        <w:ind w:firstLine="598" w:firstLineChars="200"/>
        <w:rPr>
          <w:rFonts w:ascii="仿宋_GB2312" w:hAnsi="宋体" w:eastAsia="仿宋_GB2312"/>
          <w:b/>
          <w:sz w:val="32"/>
          <w:szCs w:val="32"/>
        </w:rPr>
      </w:pPr>
      <w:bookmarkStart w:id="253" w:name="_Toc358296650"/>
      <w:r>
        <w:rPr>
          <w:rFonts w:hint="eastAsia" w:ascii="仿宋_GB2312" w:hAnsi="宋体" w:eastAsia="仿宋_GB2312"/>
          <w:b/>
          <w:sz w:val="32"/>
          <w:szCs w:val="32"/>
        </w:rPr>
        <w:t>（一）道路红线的定义</w:t>
      </w:r>
      <w:bookmarkEnd w:id="253"/>
    </w:p>
    <w:p w14:paraId="188DECE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道路红线，是指规划中用于界定城市道路、广场用地和对外交通用地的控制线。红线控制的核心是控制道路用地范围、限定各类道路沿线建（构）筑物的条件。</w:t>
      </w:r>
    </w:p>
    <w:p w14:paraId="63002209">
      <w:pPr>
        <w:spacing w:line="720" w:lineRule="exact"/>
        <w:ind w:firstLine="598" w:firstLineChars="200"/>
        <w:rPr>
          <w:rFonts w:ascii="仿宋_GB2312" w:hAnsi="宋体" w:eastAsia="仿宋_GB2312"/>
          <w:sz w:val="32"/>
          <w:szCs w:val="32"/>
        </w:rPr>
      </w:pPr>
      <w:bookmarkStart w:id="254" w:name="_Toc358296651"/>
      <w:r>
        <w:rPr>
          <w:rFonts w:hint="eastAsia" w:ascii="仿宋_GB2312" w:hAnsi="宋体" w:eastAsia="仿宋_GB2312"/>
          <w:sz w:val="32"/>
          <w:szCs w:val="32"/>
        </w:rPr>
        <w:t>红线导控要点</w:t>
      </w:r>
      <w:bookmarkEnd w:id="254"/>
    </w:p>
    <w:p w14:paraId="5988545D">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、控制道路及立交设施用地红线，红线内土地不得进行任何与道路功能不相符合的使用。</w:t>
      </w:r>
    </w:p>
    <w:p w14:paraId="55AA1310">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、新建道路应实行统一的城市道路断面、建筑后退道路距离，保障城市道路建设的标准化和规范化。特殊道路的断面形式，可按城市规划要求另行确定；</w:t>
      </w:r>
    </w:p>
    <w:p w14:paraId="4DD6C189">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、道路红线两侧建（构）筑物应根据相应规划管理要求由规划道路红线两侧分别向外后退，后退范围内属城市公共空间，不得建设永久性建（构）筑物。</w:t>
      </w:r>
    </w:p>
    <w:p w14:paraId="73CC142A">
      <w:pPr>
        <w:spacing w:before="252" w:beforeLines="50" w:after="252" w:afterLines="50" w:line="720" w:lineRule="exact"/>
        <w:ind w:firstLine="598" w:firstLineChars="200"/>
        <w:rPr>
          <w:rFonts w:ascii="仿宋_GB2312" w:hAnsi="宋体" w:eastAsia="仿宋_GB2312"/>
          <w:b/>
          <w:sz w:val="32"/>
          <w:szCs w:val="32"/>
        </w:rPr>
      </w:pPr>
      <w:bookmarkStart w:id="255" w:name="_Toc358296652"/>
      <w:r>
        <w:rPr>
          <w:rFonts w:hint="eastAsia" w:ascii="仿宋_GB2312" w:hAnsi="宋体" w:eastAsia="仿宋_GB2312"/>
          <w:b/>
          <w:sz w:val="32"/>
          <w:szCs w:val="32"/>
        </w:rPr>
        <w:t>（二）道路红线控制</w:t>
      </w:r>
      <w:bookmarkEnd w:id="255"/>
    </w:p>
    <w:p w14:paraId="190201F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新区内道路主要分为主干道、次干道和支路三个等级。规划区范围内红线参见道路系统规划图和道路断面设计图。</w:t>
      </w:r>
    </w:p>
    <w:p w14:paraId="48A81AC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规划范围内的城市主、次干道依据规划严格执行，支路实行弹性控制，可在下层次规划编制及规划实施时适当调整深化，但必须报规划主管部门。</w:t>
      </w:r>
    </w:p>
    <w:p w14:paraId="5A48D0AC">
      <w:pPr>
        <w:pStyle w:val="3"/>
        <w:adjustRightInd w:val="0"/>
        <w:spacing w:before="252" w:beforeLines="50" w:after="252" w:afterLines="50" w:line="720" w:lineRule="exact"/>
        <w:rPr>
          <w:rFonts w:ascii="方正黑体简体" w:hAnsi="Calibri" w:eastAsia="方正黑体简体"/>
          <w:bCs w:val="0"/>
        </w:rPr>
      </w:pPr>
      <w:bookmarkStart w:id="256" w:name="_Toc358296653"/>
      <w:bookmarkStart w:id="257" w:name="_Toc420499448"/>
      <w:bookmarkStart w:id="258" w:name="_Toc414632165"/>
      <w:r>
        <w:rPr>
          <w:rFonts w:hint="eastAsia" w:ascii="方正黑体简体" w:hAnsi="Calibri" w:eastAsia="方正黑体简体"/>
          <w:bCs w:val="0"/>
        </w:rPr>
        <w:t>二、绿线控制</w:t>
      </w:r>
      <w:bookmarkEnd w:id="256"/>
      <w:bookmarkEnd w:id="257"/>
      <w:bookmarkEnd w:id="258"/>
    </w:p>
    <w:p w14:paraId="300043D5">
      <w:pPr>
        <w:spacing w:before="252" w:beforeLines="50" w:after="252" w:afterLines="50" w:line="720" w:lineRule="exact"/>
        <w:ind w:firstLine="598" w:firstLineChars="200"/>
        <w:rPr>
          <w:rFonts w:ascii="仿宋_GB2312" w:hAnsi="宋体" w:eastAsia="仿宋_GB2312"/>
          <w:b/>
          <w:sz w:val="32"/>
          <w:szCs w:val="32"/>
        </w:rPr>
      </w:pPr>
      <w:bookmarkStart w:id="259" w:name="_Toc358296654"/>
      <w:r>
        <w:rPr>
          <w:rFonts w:hint="eastAsia" w:ascii="仿宋_GB2312" w:hAnsi="宋体" w:eastAsia="仿宋_GB2312"/>
          <w:b/>
          <w:sz w:val="32"/>
          <w:szCs w:val="32"/>
        </w:rPr>
        <w:t>（一）绿线的定义</w:t>
      </w:r>
      <w:bookmarkEnd w:id="259"/>
    </w:p>
    <w:p w14:paraId="24F5B28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城市绿线：即城市各类绿地范围的规划控制绿线，包括公园绿地、防护绿地、生产绿地、居住区绿地、单位附属绿地、道路绿地、生态风景林地。</w:t>
      </w:r>
    </w:p>
    <w:p w14:paraId="00CCD8A9">
      <w:pPr>
        <w:spacing w:before="252" w:beforeLines="50" w:after="252" w:afterLines="50" w:line="720" w:lineRule="exact"/>
        <w:ind w:firstLine="598" w:firstLineChars="200"/>
        <w:rPr>
          <w:rFonts w:ascii="仿宋_GB2312" w:hAnsi="宋体" w:eastAsia="仿宋_GB2312"/>
          <w:b/>
          <w:sz w:val="32"/>
          <w:szCs w:val="32"/>
        </w:rPr>
      </w:pPr>
      <w:bookmarkStart w:id="260" w:name="_Toc358296655"/>
      <w:r>
        <w:rPr>
          <w:rFonts w:hint="eastAsia" w:ascii="仿宋_GB2312" w:hAnsi="宋体" w:eastAsia="仿宋_GB2312"/>
          <w:b/>
          <w:sz w:val="32"/>
          <w:szCs w:val="32"/>
        </w:rPr>
        <w:t>（二）绿线导控要点</w:t>
      </w:r>
      <w:bookmarkEnd w:id="260"/>
    </w:p>
    <w:p w14:paraId="79C8FE63">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、城市绿线内的用地，不得改作它用，不得违反法律法规、强制性标准以及批准的规划进行开发建设。</w:t>
      </w:r>
    </w:p>
    <w:p w14:paraId="4C4E70DE">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、有关部门不得违反规定，批准在城市绿线范围内进行建设。</w:t>
      </w:r>
    </w:p>
    <w:p w14:paraId="7303AD64">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、因建设或者其他特殊情况，需要临时占用城市绿线内用地的，必须依法办理相关审批手续。</w:t>
      </w:r>
    </w:p>
    <w:p w14:paraId="51312B69">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、在城市绿线范围内，不符合规划要求的建筑物、构筑物及其他设施应当限期迁出。</w:t>
      </w:r>
    </w:p>
    <w:p w14:paraId="29E8B8F8">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5</w:t>
      </w:r>
      <w:r>
        <w:rPr>
          <w:rFonts w:hint="eastAsia" w:ascii="仿宋_GB2312" w:hAnsi="宋体" w:eastAsia="仿宋_GB2312"/>
          <w:sz w:val="32"/>
          <w:szCs w:val="32"/>
        </w:rPr>
        <w:t>、在绿线范围内，如属河道蓝线的范围，应同时满足河道蓝线的导控要点。</w:t>
      </w:r>
    </w:p>
    <w:p w14:paraId="77610487">
      <w:pPr>
        <w:spacing w:before="252" w:beforeLines="50" w:after="252" w:afterLines="50" w:line="720" w:lineRule="exact"/>
        <w:ind w:firstLine="598" w:firstLineChars="200"/>
        <w:rPr>
          <w:rFonts w:ascii="仿宋_GB2312" w:hAnsi="宋体" w:eastAsia="仿宋_GB2312"/>
          <w:b/>
          <w:sz w:val="32"/>
          <w:szCs w:val="32"/>
        </w:rPr>
      </w:pPr>
      <w:bookmarkStart w:id="261" w:name="_Toc358296656"/>
      <w:r>
        <w:rPr>
          <w:rFonts w:hint="eastAsia" w:ascii="仿宋_GB2312" w:hAnsi="宋体" w:eastAsia="仿宋_GB2312"/>
          <w:b/>
          <w:sz w:val="32"/>
          <w:szCs w:val="32"/>
        </w:rPr>
        <w:t>（三）绿线控制</w:t>
      </w:r>
      <w:bookmarkEnd w:id="261"/>
    </w:p>
    <w:p w14:paraId="1D0E507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新城区范围内的绿线控制主要包括以下几个方面内容：公园绿地、生产绿地用地界线控制，道路绿地边线控制，河流防护绿地边线控制。其中公园绿地、防护绿地用地界线控制严格按照规划划定的界线来控制；道路绿地按照道路横断面划定的绿化退线来控制，如乐雅高速连接线两侧各控制</w:t>
      </w:r>
      <w:r>
        <w:rPr>
          <w:rFonts w:hint="eastAsia" w:ascii="仿宋_GB2312" w:hAnsi="宋体" w:eastAsia="仿宋_GB2312"/>
          <w:sz w:val="32"/>
          <w:szCs w:val="32"/>
          <w:lang w:val="en-US" w:eastAsia="zh-CN"/>
        </w:rPr>
        <w:t>15</w:t>
      </w:r>
      <w:r>
        <w:rPr>
          <w:rFonts w:hint="eastAsia" w:ascii="仿宋_GB2312" w:hAnsi="宋体" w:eastAsia="仿宋_GB2312"/>
          <w:sz w:val="32"/>
          <w:szCs w:val="32"/>
        </w:rPr>
        <w:t>米绿带。</w:t>
      </w:r>
    </w:p>
    <w:p w14:paraId="401A0487">
      <w:pPr>
        <w:pStyle w:val="3"/>
        <w:adjustRightInd w:val="0"/>
        <w:spacing w:before="252" w:beforeLines="50" w:after="252" w:afterLines="50" w:line="720" w:lineRule="exact"/>
        <w:rPr>
          <w:rFonts w:ascii="方正黑体简体" w:hAnsi="Calibri" w:eastAsia="方正黑体简体"/>
          <w:bCs w:val="0"/>
        </w:rPr>
      </w:pPr>
      <w:bookmarkStart w:id="262" w:name="_Toc358296657"/>
      <w:bookmarkStart w:id="263" w:name="_Toc420499449"/>
      <w:bookmarkStart w:id="264" w:name="_Toc414632166"/>
      <w:r>
        <w:rPr>
          <w:rFonts w:hint="eastAsia" w:ascii="方正黑体简体" w:hAnsi="Calibri" w:eastAsia="方正黑体简体"/>
          <w:bCs w:val="0"/>
        </w:rPr>
        <w:t>三、蓝线控制</w:t>
      </w:r>
      <w:bookmarkEnd w:id="262"/>
      <w:bookmarkEnd w:id="263"/>
      <w:bookmarkEnd w:id="264"/>
    </w:p>
    <w:p w14:paraId="3AD7413E">
      <w:pPr>
        <w:spacing w:before="252" w:beforeLines="50" w:after="252" w:afterLines="50" w:line="720" w:lineRule="exact"/>
        <w:ind w:firstLine="598" w:firstLineChars="200"/>
        <w:rPr>
          <w:rFonts w:ascii="仿宋_GB2312" w:hAnsi="宋体" w:eastAsia="仿宋_GB2312"/>
          <w:b/>
          <w:sz w:val="32"/>
          <w:szCs w:val="32"/>
        </w:rPr>
      </w:pPr>
      <w:bookmarkStart w:id="265" w:name="_Toc358296658"/>
      <w:r>
        <w:rPr>
          <w:rFonts w:hint="eastAsia" w:ascii="仿宋_GB2312" w:hAnsi="宋体" w:eastAsia="仿宋_GB2312"/>
          <w:b/>
          <w:sz w:val="32"/>
          <w:szCs w:val="32"/>
        </w:rPr>
        <w:t>（一）蓝线的定义</w:t>
      </w:r>
      <w:bookmarkEnd w:id="265"/>
    </w:p>
    <w:p w14:paraId="5F1C327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城市蓝线：是指城市规划确定的江、河、湖、库、渠和湿地等城市地表水体保护和控制的地域界线。</w:t>
      </w:r>
    </w:p>
    <w:p w14:paraId="229AF1CD">
      <w:pPr>
        <w:spacing w:before="252" w:beforeLines="50" w:after="252" w:afterLines="50" w:line="720" w:lineRule="exact"/>
        <w:ind w:firstLine="598" w:firstLineChars="200"/>
        <w:rPr>
          <w:rFonts w:ascii="仿宋_GB2312" w:hAnsi="宋体" w:eastAsia="仿宋_GB2312"/>
          <w:b/>
          <w:sz w:val="32"/>
          <w:szCs w:val="32"/>
        </w:rPr>
      </w:pPr>
      <w:bookmarkStart w:id="266" w:name="_Toc358296659"/>
      <w:r>
        <w:rPr>
          <w:rFonts w:hint="eastAsia" w:ascii="仿宋_GB2312" w:hAnsi="宋体" w:eastAsia="仿宋_GB2312"/>
          <w:b/>
          <w:sz w:val="32"/>
          <w:szCs w:val="32"/>
        </w:rPr>
        <w:t>（二）蓝线导控要点</w:t>
      </w:r>
      <w:bookmarkEnd w:id="266"/>
    </w:p>
    <w:p w14:paraId="5AFC4AD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、原则上不得改变其原有水域形态，不得减少水域；</w:t>
      </w:r>
    </w:p>
    <w:p w14:paraId="1D269301">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在蓝线控制区内的陆域内，不得建设除防洪排涝必须的设施以外的任何其他建（构）筑物，河道两侧的建筑工程应符合以下规定：沿河道两侧的建筑其后退河道规划蓝线（根据城市规划确定的必须长期保留的河道规划线）的距离除有关的规定或因特殊情况不能改动（如涉及肖坝崖墓的保护）外，区域性河道不得小于</w:t>
      </w:r>
      <w:r>
        <w:rPr>
          <w:rFonts w:ascii="仿宋_GB2312" w:hAnsi="宋体" w:eastAsia="仿宋_GB2312"/>
          <w:sz w:val="32"/>
          <w:szCs w:val="32"/>
        </w:rPr>
        <w:t xml:space="preserve">30 </w:t>
      </w:r>
      <w:r>
        <w:rPr>
          <w:rFonts w:hint="eastAsia" w:ascii="仿宋_GB2312" w:hAnsi="宋体" w:eastAsia="仿宋_GB2312"/>
          <w:sz w:val="32"/>
          <w:szCs w:val="32"/>
        </w:rPr>
        <w:t>米。</w:t>
      </w:r>
    </w:p>
    <w:p w14:paraId="54D8DBD0">
      <w:pPr>
        <w:spacing w:before="252" w:beforeLines="50" w:after="252" w:afterLines="50" w:line="720" w:lineRule="exact"/>
        <w:ind w:firstLine="598" w:firstLineChars="200"/>
        <w:rPr>
          <w:rFonts w:ascii="仿宋_GB2312" w:hAnsi="宋体" w:eastAsia="仿宋_GB2312"/>
          <w:b/>
          <w:sz w:val="32"/>
          <w:szCs w:val="32"/>
        </w:rPr>
      </w:pPr>
      <w:bookmarkStart w:id="267" w:name="_Toc358296660"/>
      <w:r>
        <w:rPr>
          <w:rFonts w:hint="eastAsia" w:ascii="仿宋_GB2312" w:hAnsi="宋体" w:eastAsia="仿宋_GB2312"/>
          <w:b/>
          <w:sz w:val="32"/>
          <w:szCs w:val="32"/>
        </w:rPr>
        <w:t>（三）蓝线控制</w:t>
      </w:r>
      <w:bookmarkEnd w:id="267"/>
    </w:p>
    <w:p w14:paraId="257C788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重点控制的河流水系有青衣江、大渡河。河道蓝线控制主要指河口控制线和河道两侧控制线。但由于河道宽度是变化的，因此本规划提到的河口控制线主要指河道河口宽度的控制范围；河道两侧控制线指的是最小控制宽度。具体情况如下表：</w:t>
      </w:r>
    </w:p>
    <w:p w14:paraId="44711FB7">
      <w:pPr>
        <w:spacing w:line="640" w:lineRule="exact"/>
        <w:jc w:val="center"/>
        <w:rPr>
          <w:rFonts w:ascii="方正黑体简体" w:hAnsi="宋体" w:eastAsia="方正黑体简体"/>
          <w:b/>
          <w:sz w:val="28"/>
          <w:szCs w:val="28"/>
        </w:rPr>
      </w:pPr>
      <w:r>
        <w:rPr>
          <w:rFonts w:hint="eastAsia" w:ascii="方正黑体简体" w:hAnsi="宋体" w:eastAsia="方正黑体简体"/>
          <w:b/>
          <w:sz w:val="28"/>
          <w:szCs w:val="28"/>
        </w:rPr>
        <w:t>河道蓝线控制表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4"/>
        <w:gridCol w:w="5242"/>
      </w:tblGrid>
      <w:tr w14:paraId="4CD3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34" w:type="dxa"/>
            <w:noWrap w:val="0"/>
            <w:vAlign w:val="center"/>
          </w:tcPr>
          <w:p w14:paraId="524AE792">
            <w:pPr>
              <w:jc w:val="center"/>
              <w:rPr>
                <w:rFonts w:ascii="方正黑体简体" w:hAnsi="宋体" w:eastAsia="方正黑体简体"/>
                <w:b/>
                <w:sz w:val="24"/>
              </w:rPr>
            </w:pPr>
            <w:r>
              <w:rPr>
                <w:rFonts w:hint="eastAsia" w:ascii="方正黑体简体" w:hAnsi="宋体" w:eastAsia="方正黑体简体"/>
                <w:b/>
                <w:sz w:val="24"/>
              </w:rPr>
              <w:t>河道名称</w:t>
            </w:r>
          </w:p>
        </w:tc>
        <w:tc>
          <w:tcPr>
            <w:tcW w:w="5242" w:type="dxa"/>
            <w:noWrap w:val="0"/>
            <w:vAlign w:val="center"/>
          </w:tcPr>
          <w:p w14:paraId="286798E7">
            <w:pPr>
              <w:jc w:val="center"/>
              <w:rPr>
                <w:rFonts w:ascii="方正黑体简体" w:hAnsi="宋体" w:eastAsia="方正黑体简体"/>
                <w:b/>
                <w:sz w:val="24"/>
              </w:rPr>
            </w:pPr>
            <w:r>
              <w:rPr>
                <w:rFonts w:hint="eastAsia" w:ascii="方正黑体简体" w:hAnsi="宋体" w:eastAsia="方正黑体简体"/>
                <w:b/>
                <w:sz w:val="24"/>
              </w:rPr>
              <w:t>河道两侧控制宽度（米）</w:t>
            </w:r>
          </w:p>
        </w:tc>
      </w:tr>
      <w:tr w14:paraId="4953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234" w:type="dxa"/>
            <w:noWrap w:val="0"/>
            <w:vAlign w:val="center"/>
          </w:tcPr>
          <w:p w14:paraId="7DBAD954">
            <w:pPr>
              <w:jc w:val="center"/>
              <w:rPr>
                <w:rFonts w:ascii="方正黑体简体" w:hAnsi="宋体" w:eastAsia="方正黑体简体"/>
                <w:sz w:val="24"/>
              </w:rPr>
            </w:pPr>
            <w:r>
              <w:rPr>
                <w:rFonts w:hint="eastAsia" w:ascii="方正黑体简体" w:hAnsi="宋体" w:eastAsia="方正黑体简体"/>
                <w:sz w:val="24"/>
              </w:rPr>
              <w:t>青衣江、大渡河</w:t>
            </w:r>
          </w:p>
        </w:tc>
        <w:tc>
          <w:tcPr>
            <w:tcW w:w="5242" w:type="dxa"/>
            <w:noWrap w:val="0"/>
            <w:vAlign w:val="center"/>
          </w:tcPr>
          <w:p w14:paraId="1A696019">
            <w:pPr>
              <w:jc w:val="center"/>
              <w:rPr>
                <w:rFonts w:ascii="方正黑体简体" w:hAnsi="宋体" w:eastAsia="方正黑体简体"/>
                <w:sz w:val="24"/>
              </w:rPr>
            </w:pPr>
            <w:r>
              <w:rPr>
                <w:rFonts w:hint="eastAsia" w:ascii="方正黑体简体" w:hAnsi="宋体" w:eastAsia="方正黑体简体"/>
                <w:sz w:val="24"/>
              </w:rPr>
              <w:t>≥</w:t>
            </w:r>
            <w:r>
              <w:rPr>
                <w:rFonts w:ascii="方正黑体简体" w:hAnsi="宋体" w:eastAsia="方正黑体简体"/>
                <w:sz w:val="24"/>
              </w:rPr>
              <w:t>30</w:t>
            </w:r>
          </w:p>
        </w:tc>
      </w:tr>
    </w:tbl>
    <w:p w14:paraId="2122341C">
      <w:pPr>
        <w:pStyle w:val="3"/>
        <w:adjustRightInd w:val="0"/>
        <w:spacing w:before="252" w:beforeLines="50" w:after="252" w:afterLines="50" w:line="720" w:lineRule="exact"/>
        <w:rPr>
          <w:rFonts w:ascii="方正黑体简体" w:hAnsi="Calibri" w:eastAsia="方正黑体简体"/>
          <w:bCs w:val="0"/>
        </w:rPr>
      </w:pPr>
      <w:bookmarkStart w:id="268" w:name="_Toc358296661"/>
      <w:bookmarkStart w:id="269" w:name="_Toc414632167"/>
      <w:bookmarkStart w:id="270" w:name="_Toc420499450"/>
      <w:r>
        <w:rPr>
          <w:rFonts w:hint="eastAsia" w:ascii="方正黑体简体" w:hAnsi="Calibri" w:eastAsia="方正黑体简体"/>
          <w:bCs w:val="0"/>
        </w:rPr>
        <w:t>四、黄线控制</w:t>
      </w:r>
      <w:bookmarkEnd w:id="268"/>
      <w:bookmarkEnd w:id="269"/>
      <w:bookmarkEnd w:id="270"/>
    </w:p>
    <w:p w14:paraId="2456F614">
      <w:pPr>
        <w:spacing w:before="252" w:beforeLines="50" w:after="252" w:afterLines="50" w:line="720" w:lineRule="exact"/>
        <w:ind w:firstLine="598" w:firstLineChars="200"/>
        <w:rPr>
          <w:rFonts w:ascii="仿宋_GB2312" w:hAnsi="宋体" w:eastAsia="仿宋_GB2312"/>
          <w:b/>
          <w:sz w:val="32"/>
          <w:szCs w:val="32"/>
        </w:rPr>
      </w:pPr>
      <w:bookmarkStart w:id="271" w:name="_Toc358296662"/>
      <w:r>
        <w:rPr>
          <w:rFonts w:hint="eastAsia" w:ascii="仿宋_GB2312" w:hAnsi="宋体" w:eastAsia="仿宋_GB2312"/>
          <w:b/>
          <w:sz w:val="32"/>
          <w:szCs w:val="32"/>
        </w:rPr>
        <w:t>（一）黄线的定义</w:t>
      </w:r>
      <w:bookmarkEnd w:id="271"/>
    </w:p>
    <w:p w14:paraId="6DD965F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城市黄线，是指对城市发展全局有影响的、城市规划中确定的、必须控制的城市基础设施用地的控制界线。</w:t>
      </w:r>
    </w:p>
    <w:p w14:paraId="04937BC2">
      <w:pPr>
        <w:spacing w:before="252" w:beforeLines="50" w:after="252" w:afterLines="50" w:line="720" w:lineRule="exact"/>
        <w:ind w:firstLine="598" w:firstLineChars="200"/>
        <w:rPr>
          <w:rFonts w:ascii="仿宋_GB2312" w:hAnsi="宋体" w:eastAsia="仿宋_GB2312"/>
          <w:b/>
          <w:sz w:val="32"/>
          <w:szCs w:val="32"/>
        </w:rPr>
      </w:pPr>
      <w:bookmarkStart w:id="272" w:name="_Toc358296663"/>
      <w:r>
        <w:rPr>
          <w:rFonts w:hint="eastAsia" w:ascii="仿宋_GB2312" w:hAnsi="宋体" w:eastAsia="仿宋_GB2312"/>
          <w:b/>
          <w:sz w:val="32"/>
          <w:szCs w:val="32"/>
        </w:rPr>
        <w:t>（二）黄线导控要点</w:t>
      </w:r>
      <w:bookmarkEnd w:id="272"/>
    </w:p>
    <w:p w14:paraId="4FCE38B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城市黄线范围内禁止进行下列活动：违反城市规划要求，进行建筑物、构筑物及其他设施的建设；违反国家有关技术标准和规范进行建设；未经批准，改装、迁移或拆毁原有城市基础设施；其他损坏城市基础设施或影响城市基础设施安全和正常运转的行为。</w:t>
      </w:r>
    </w:p>
    <w:p w14:paraId="3647534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城市黄线内新建、改建、扩建各类建筑物、构筑物、道路、管线和其他工程设施，应当依法向建设主管部门（城乡规划主管部门）申请办理城市规划许可，并依据有关法律、法规办理相关手续。迁移、拆除城市黄线内城市基础设施的，应当依据有关法律、法规办理相关手续。</w:t>
      </w:r>
    </w:p>
    <w:p w14:paraId="5CAC4F18">
      <w:pPr>
        <w:spacing w:before="252" w:beforeLines="50" w:after="252" w:afterLines="50" w:line="720" w:lineRule="exact"/>
        <w:ind w:firstLine="598" w:firstLineChars="200"/>
        <w:rPr>
          <w:rFonts w:ascii="仿宋_GB2312" w:hAnsi="宋体" w:eastAsia="仿宋_GB2312"/>
          <w:b/>
          <w:sz w:val="32"/>
          <w:szCs w:val="32"/>
        </w:rPr>
      </w:pPr>
      <w:bookmarkStart w:id="273" w:name="_Toc358296664"/>
      <w:r>
        <w:rPr>
          <w:rFonts w:hint="eastAsia" w:ascii="仿宋_GB2312" w:hAnsi="宋体" w:eastAsia="仿宋_GB2312"/>
          <w:b/>
          <w:sz w:val="32"/>
          <w:szCs w:val="32"/>
        </w:rPr>
        <w:t>（三）黄线控制</w:t>
      </w:r>
      <w:bookmarkEnd w:id="273"/>
    </w:p>
    <w:p w14:paraId="484849F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肖坝片区黄线控制的城市设施主要有：</w:t>
      </w:r>
    </w:p>
    <w:p w14:paraId="45E142D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交通设施：社会停车场</w:t>
      </w:r>
      <w:r>
        <w:rPr>
          <w:rFonts w:hint="eastAsia" w:ascii="仿宋_GB2312" w:hAnsi="宋体" w:eastAsia="仿宋_GB2312"/>
          <w:sz w:val="32"/>
          <w:szCs w:val="32"/>
          <w:lang w:val="en-US" w:eastAsia="zh-CN"/>
        </w:rPr>
        <w:t>3</w:t>
      </w:r>
      <w:r>
        <w:rPr>
          <w:rFonts w:hint="eastAsia" w:ascii="仿宋_GB2312" w:hAnsi="宋体" w:eastAsia="仿宋_GB2312"/>
          <w:sz w:val="32"/>
          <w:szCs w:val="32"/>
        </w:rPr>
        <w:t>个，公交首末站1</w:t>
      </w:r>
      <w:r>
        <w:rPr>
          <w:rFonts w:ascii="仿宋_GB2312" w:hAnsi="宋体" w:eastAsia="仿宋_GB2312"/>
          <w:sz w:val="32"/>
          <w:szCs w:val="32"/>
        </w:rPr>
        <w:t xml:space="preserve"> </w:t>
      </w:r>
      <w:r>
        <w:rPr>
          <w:rFonts w:hint="eastAsia" w:ascii="仿宋_GB2312" w:hAnsi="宋体" w:eastAsia="仿宋_GB2312"/>
          <w:sz w:val="32"/>
          <w:szCs w:val="32"/>
        </w:rPr>
        <w:t>个，长途客运站</w:t>
      </w:r>
      <w:r>
        <w:rPr>
          <w:rFonts w:ascii="仿宋_GB2312" w:hAnsi="宋体" w:eastAsia="仿宋_GB2312"/>
          <w:sz w:val="32"/>
          <w:szCs w:val="32"/>
        </w:rPr>
        <w:t xml:space="preserve">1 </w:t>
      </w:r>
      <w:r>
        <w:rPr>
          <w:rFonts w:hint="eastAsia" w:ascii="仿宋_GB2312" w:hAnsi="宋体" w:eastAsia="仿宋_GB2312"/>
          <w:sz w:val="32"/>
          <w:szCs w:val="32"/>
        </w:rPr>
        <w:t>个。</w:t>
      </w:r>
    </w:p>
    <w:p w14:paraId="67FE3647">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消防设施：消防指挥中心1处。</w:t>
      </w:r>
    </w:p>
    <w:p w14:paraId="59BA77B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环卫设施：垃圾转运站</w:t>
      </w:r>
      <w:r>
        <w:rPr>
          <w:rFonts w:hint="eastAsia" w:ascii="仿宋_GB2312" w:hAnsi="宋体" w:eastAsia="仿宋_GB2312"/>
          <w:sz w:val="32"/>
          <w:szCs w:val="32"/>
          <w:lang w:val="en-US" w:eastAsia="zh-CN"/>
        </w:rPr>
        <w:t>1</w:t>
      </w:r>
      <w:r>
        <w:rPr>
          <w:rFonts w:hint="eastAsia" w:ascii="仿宋_GB2312" w:hAnsi="宋体" w:eastAsia="仿宋_GB2312"/>
          <w:sz w:val="32"/>
          <w:szCs w:val="32"/>
        </w:rPr>
        <w:t>处。</w:t>
      </w:r>
    </w:p>
    <w:p w14:paraId="339E83D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供应设施：11</w:t>
      </w:r>
      <w:r>
        <w:rPr>
          <w:rFonts w:ascii="仿宋_GB2312" w:hAnsi="宋体" w:eastAsia="仿宋_GB2312"/>
          <w:sz w:val="32"/>
          <w:szCs w:val="32"/>
        </w:rPr>
        <w:t>0KV</w:t>
      </w:r>
      <w:r>
        <w:rPr>
          <w:rFonts w:hint="eastAsia" w:ascii="仿宋_GB2312" w:hAnsi="宋体" w:eastAsia="仿宋_GB2312"/>
          <w:sz w:val="32"/>
          <w:szCs w:val="32"/>
        </w:rPr>
        <w:t>变电站</w:t>
      </w:r>
      <w:r>
        <w:rPr>
          <w:rFonts w:hint="eastAsia" w:ascii="仿宋_GB2312" w:hAnsi="宋体" w:eastAsia="仿宋_GB2312"/>
          <w:sz w:val="32"/>
          <w:szCs w:val="32"/>
          <w:lang w:val="en-US" w:eastAsia="zh-CN"/>
        </w:rPr>
        <w:t>2</w:t>
      </w:r>
      <w:r>
        <w:rPr>
          <w:rFonts w:hint="eastAsia" w:ascii="仿宋_GB2312" w:hAnsi="宋体" w:eastAsia="仿宋_GB2312"/>
          <w:sz w:val="32"/>
          <w:szCs w:val="32"/>
        </w:rPr>
        <w:t>座。</w:t>
      </w:r>
    </w:p>
    <w:p w14:paraId="4E0867F9">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广场：1处。</w:t>
      </w:r>
    </w:p>
    <w:p w14:paraId="110F6AB6">
      <w:pPr>
        <w:pStyle w:val="3"/>
        <w:adjustRightInd w:val="0"/>
        <w:spacing w:before="252" w:beforeLines="50" w:after="252" w:afterLines="50" w:line="720" w:lineRule="exact"/>
        <w:rPr>
          <w:rFonts w:ascii="方正黑体简体" w:hAnsi="Calibri" w:eastAsia="方正黑体简体"/>
          <w:bCs w:val="0"/>
        </w:rPr>
      </w:pPr>
      <w:bookmarkStart w:id="274" w:name="_Toc420499451"/>
      <w:bookmarkStart w:id="275" w:name="_Toc414632168"/>
      <w:bookmarkStart w:id="276" w:name="_Toc358296665"/>
      <w:r>
        <w:rPr>
          <w:rFonts w:hint="eastAsia" w:ascii="方正黑体简体" w:hAnsi="Calibri" w:eastAsia="方正黑体简体"/>
          <w:bCs w:val="0"/>
        </w:rPr>
        <w:t>五、紫线控制</w:t>
      </w:r>
      <w:bookmarkEnd w:id="274"/>
      <w:bookmarkEnd w:id="275"/>
      <w:bookmarkEnd w:id="276"/>
    </w:p>
    <w:p w14:paraId="07FD800C">
      <w:pPr>
        <w:spacing w:before="252" w:beforeLines="50" w:after="252" w:afterLines="50" w:line="720" w:lineRule="exact"/>
        <w:ind w:firstLine="598" w:firstLineChars="200"/>
        <w:rPr>
          <w:rFonts w:ascii="仿宋_GB2312" w:hAnsi="宋体" w:eastAsia="仿宋_GB2312"/>
          <w:b/>
          <w:sz w:val="32"/>
          <w:szCs w:val="32"/>
        </w:rPr>
      </w:pPr>
      <w:bookmarkStart w:id="277" w:name="_Toc358296666"/>
      <w:r>
        <w:rPr>
          <w:rFonts w:hint="eastAsia" w:ascii="仿宋_GB2312" w:hAnsi="宋体" w:eastAsia="仿宋_GB2312"/>
          <w:b/>
          <w:sz w:val="32"/>
          <w:szCs w:val="32"/>
        </w:rPr>
        <w:t>（一）紫线的定义</w:t>
      </w:r>
      <w:bookmarkEnd w:id="277"/>
    </w:p>
    <w:p w14:paraId="74A7104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城市紫线，是指国家历史文化名城内的历史文化街区和省、自治区、直辖市人民政府公布的历史文化街区的保护范围界线，以及历史文化街区外经县级以上人民政府公布保护的历史建筑的保护范围界线。</w:t>
      </w:r>
    </w:p>
    <w:p w14:paraId="381D218E">
      <w:pPr>
        <w:spacing w:before="252" w:beforeLines="50" w:after="252" w:afterLines="50" w:line="720" w:lineRule="exact"/>
        <w:ind w:firstLine="598" w:firstLineChars="200"/>
        <w:rPr>
          <w:rFonts w:ascii="仿宋_GB2312" w:hAnsi="宋体" w:eastAsia="仿宋_GB2312"/>
          <w:b/>
          <w:sz w:val="32"/>
          <w:szCs w:val="32"/>
        </w:rPr>
      </w:pPr>
      <w:bookmarkStart w:id="278" w:name="_Toc358296667"/>
      <w:r>
        <w:rPr>
          <w:rFonts w:hint="eastAsia" w:ascii="仿宋_GB2312" w:hAnsi="宋体" w:eastAsia="仿宋_GB2312"/>
          <w:b/>
          <w:sz w:val="32"/>
          <w:szCs w:val="32"/>
        </w:rPr>
        <w:t>（二）紫线导控要点</w:t>
      </w:r>
      <w:bookmarkEnd w:id="278"/>
    </w:p>
    <w:p w14:paraId="3306CE6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城市紫线范围内禁止进行下列活动：违反保护规划的大面积拆除、开发；对历史文化街区传统格局和风貌构成影响的大面积改建；损坏或者拆毁保护规划确定保护的建筑物、构筑物和其他设施；修建破坏历史文化街区传统风貌的建筑物、构筑物和其他设施；占用或者破坏保护规划确定保留的园林绿地、河湖水系、道路和古树名木等；其他对历史文化街区和历史建筑的保护构成破坏性影响的活动。</w:t>
      </w:r>
    </w:p>
    <w:p w14:paraId="05BFAE54">
      <w:pPr>
        <w:spacing w:before="252" w:beforeLines="50" w:after="252" w:afterLines="50" w:line="720" w:lineRule="exact"/>
        <w:ind w:firstLine="598" w:firstLineChars="200"/>
        <w:rPr>
          <w:rFonts w:ascii="仿宋_GB2312" w:hAnsi="宋体" w:eastAsia="仿宋_GB2312"/>
          <w:b/>
          <w:sz w:val="32"/>
          <w:szCs w:val="32"/>
        </w:rPr>
      </w:pPr>
      <w:bookmarkStart w:id="279" w:name="_Toc358296668"/>
      <w:r>
        <w:rPr>
          <w:rFonts w:hint="eastAsia" w:ascii="仿宋_GB2312" w:hAnsi="宋体" w:eastAsia="仿宋_GB2312"/>
          <w:b/>
          <w:sz w:val="32"/>
          <w:szCs w:val="32"/>
        </w:rPr>
        <w:t>（三）紫线控制</w:t>
      </w:r>
      <w:bookmarkEnd w:id="279"/>
    </w:p>
    <w:p w14:paraId="28C44E13">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肖坝片区紫线控制的范围主要有：《四川省乐山市肖坝崖墓保护规划（2013—2030）》确定的肖坝崖墓的保护范围</w:t>
      </w:r>
      <w:r>
        <w:rPr>
          <w:rFonts w:hint="eastAsia" w:ascii="仿宋_GB2312" w:hAnsi="宋体" w:eastAsia="仿宋_GB2312"/>
          <w:sz w:val="32"/>
          <w:szCs w:val="32"/>
          <w:lang w:eastAsia="zh-CN"/>
        </w:rPr>
        <w:t>、国内首座可控核聚变实验装置旧址保护范围线</w:t>
      </w:r>
      <w:r>
        <w:rPr>
          <w:rFonts w:hint="eastAsia" w:ascii="仿宋_GB2312" w:hAnsi="宋体" w:eastAsia="仿宋_GB2312"/>
          <w:sz w:val="32"/>
          <w:szCs w:val="32"/>
        </w:rPr>
        <w:t>。其保护范围总面积为</w:t>
      </w:r>
      <w:r>
        <w:rPr>
          <w:rFonts w:hint="eastAsia" w:ascii="仿宋_GB2312" w:hAnsi="宋体" w:eastAsia="仿宋_GB2312"/>
          <w:sz w:val="32"/>
          <w:szCs w:val="32"/>
          <w:lang w:eastAsia="zh-CN"/>
        </w:rPr>
        <w:t>7.31</w:t>
      </w:r>
      <w:r>
        <w:rPr>
          <w:rFonts w:hint="eastAsia" w:ascii="仿宋_GB2312" w:hAnsi="宋体" w:eastAsia="仿宋_GB2312"/>
          <w:sz w:val="32"/>
          <w:szCs w:val="32"/>
        </w:rPr>
        <w:t>公顷。</w:t>
      </w:r>
    </w:p>
    <w:p w14:paraId="12527552">
      <w:pPr>
        <w:pStyle w:val="2"/>
        <w:adjustRightInd w:val="0"/>
        <w:spacing w:before="252" w:beforeLines="50" w:after="252" w:afterLines="50" w:line="720" w:lineRule="exact"/>
        <w:rPr>
          <w:rFonts w:ascii="方正黑体简体" w:eastAsia="方正黑体简体"/>
          <w:color w:val="auto"/>
          <w:kern w:val="2"/>
          <w:sz w:val="44"/>
        </w:rPr>
      </w:pPr>
      <w:bookmarkStart w:id="280" w:name="_Toc358296669"/>
      <w:bookmarkStart w:id="281" w:name="_Toc420499452"/>
      <w:bookmarkStart w:id="282" w:name="_Toc414632169"/>
      <w:r>
        <w:rPr>
          <w:rFonts w:hint="eastAsia" w:ascii="方正黑体简体" w:eastAsia="方正黑体简体"/>
          <w:color w:val="auto"/>
          <w:kern w:val="2"/>
          <w:sz w:val="44"/>
        </w:rPr>
        <w:t>第十章</w:t>
      </w:r>
      <w:r>
        <w:rPr>
          <w:rFonts w:ascii="方正黑体简体" w:eastAsia="方正黑体简体"/>
          <w:color w:val="auto"/>
          <w:kern w:val="2"/>
          <w:sz w:val="44"/>
        </w:rPr>
        <w:t xml:space="preserve">  </w:t>
      </w:r>
      <w:r>
        <w:rPr>
          <w:rFonts w:hint="eastAsia" w:ascii="方正黑体简体" w:eastAsia="方正黑体简体"/>
          <w:color w:val="auto"/>
          <w:kern w:val="2"/>
          <w:sz w:val="44"/>
        </w:rPr>
        <w:t>市政工程规划</w:t>
      </w:r>
      <w:bookmarkEnd w:id="280"/>
      <w:bookmarkEnd w:id="281"/>
      <w:bookmarkEnd w:id="282"/>
    </w:p>
    <w:p w14:paraId="7777EB33">
      <w:pPr>
        <w:pStyle w:val="3"/>
        <w:adjustRightInd w:val="0"/>
        <w:spacing w:before="252" w:beforeLines="50" w:after="252" w:afterLines="50" w:line="720" w:lineRule="exact"/>
        <w:rPr>
          <w:rFonts w:ascii="方正黑体简体" w:hAnsi="Calibri" w:eastAsia="方正黑体简体"/>
          <w:bCs w:val="0"/>
        </w:rPr>
      </w:pPr>
      <w:bookmarkStart w:id="283" w:name="_Toc216520031"/>
      <w:bookmarkStart w:id="284" w:name="_Toc222897553"/>
      <w:bookmarkStart w:id="285" w:name="_Toc358296670"/>
      <w:bookmarkStart w:id="286" w:name="_Toc414632173"/>
      <w:bookmarkStart w:id="287" w:name="_Toc420499456"/>
      <w:r>
        <w:rPr>
          <w:rFonts w:hint="eastAsia" w:ascii="方正黑体简体" w:hAnsi="Calibri" w:eastAsia="方正黑体简体"/>
          <w:bCs w:val="0"/>
        </w:rPr>
        <w:t>一、给水工程规划</w:t>
      </w:r>
      <w:bookmarkEnd w:id="283"/>
      <w:bookmarkEnd w:id="284"/>
      <w:bookmarkEnd w:id="285"/>
    </w:p>
    <w:p w14:paraId="3A03168A">
      <w:pPr>
        <w:spacing w:before="252" w:beforeLines="50" w:after="252" w:afterLines="50" w:line="720" w:lineRule="exact"/>
        <w:ind w:firstLine="598" w:firstLineChars="200"/>
        <w:rPr>
          <w:rFonts w:ascii="仿宋_GB2312" w:hAnsi="宋体" w:eastAsia="仿宋_GB2312"/>
          <w:b/>
          <w:sz w:val="32"/>
          <w:szCs w:val="32"/>
        </w:rPr>
      </w:pPr>
      <w:bookmarkStart w:id="288" w:name="_Toc358296671"/>
      <w:r>
        <w:rPr>
          <w:rFonts w:hint="eastAsia" w:ascii="仿宋_GB2312" w:hAnsi="宋体" w:eastAsia="仿宋_GB2312"/>
          <w:b/>
          <w:sz w:val="32"/>
          <w:szCs w:val="32"/>
        </w:rPr>
        <w:t>（一）供水量预测</w:t>
      </w:r>
      <w:bookmarkEnd w:id="288"/>
    </w:p>
    <w:p w14:paraId="7301789C">
      <w:pPr>
        <w:spacing w:line="660" w:lineRule="exact"/>
        <w:ind w:firstLine="592" w:firstLineChars="198"/>
        <w:rPr>
          <w:rFonts w:ascii="仿宋_GB2312" w:hAnsi="宋体" w:eastAsia="仿宋_GB2312"/>
          <w:sz w:val="32"/>
          <w:szCs w:val="32"/>
        </w:rPr>
      </w:pPr>
      <w:r>
        <w:rPr>
          <w:rFonts w:hint="eastAsia" w:ascii="仿宋_GB2312" w:hAnsi="宋体" w:eastAsia="仿宋_GB2312"/>
          <w:sz w:val="32"/>
          <w:szCs w:val="32"/>
        </w:rPr>
        <w:t>采用单位用地用水量指标法对肖坝片区内用水量进行预测。</w:t>
      </w:r>
    </w:p>
    <w:p w14:paraId="7211F7B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规划区最高日用水量为1.90万m³/d，日变化系数取1.3，时变化系数取1.4，则平均日用水量为1.46万m³/d，最高日最高时用水量为1.36m³/h。</w:t>
      </w:r>
    </w:p>
    <w:p w14:paraId="35CBD1D6">
      <w:pPr>
        <w:spacing w:before="252" w:beforeLines="50" w:after="252" w:afterLines="50" w:line="720" w:lineRule="exact"/>
        <w:ind w:firstLine="598" w:firstLineChars="200"/>
        <w:rPr>
          <w:rFonts w:ascii="仿宋_GB2312" w:hAnsi="宋体" w:eastAsia="仿宋_GB2312"/>
          <w:b/>
          <w:sz w:val="32"/>
          <w:szCs w:val="32"/>
        </w:rPr>
      </w:pPr>
      <w:bookmarkStart w:id="289" w:name="_Toc358296672"/>
      <w:r>
        <w:rPr>
          <w:rFonts w:hint="eastAsia" w:ascii="仿宋_GB2312" w:hAnsi="宋体" w:eastAsia="仿宋_GB2312"/>
          <w:b/>
          <w:sz w:val="32"/>
          <w:szCs w:val="32"/>
        </w:rPr>
        <w:t>（二）水源规划</w:t>
      </w:r>
      <w:bookmarkEnd w:id="289"/>
    </w:p>
    <w:p w14:paraId="58704A9B">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在肖坝片区内东南侧</w:t>
      </w:r>
      <w:r>
        <w:rPr>
          <w:rFonts w:hint="eastAsia" w:ascii="仿宋_GB2312" w:hAnsi="宋体" w:eastAsia="仿宋_GB2312"/>
          <w:sz w:val="32"/>
          <w:szCs w:val="32"/>
          <w:lang w:eastAsia="zh-CN"/>
        </w:rPr>
        <w:t>现有</w:t>
      </w:r>
      <w:r>
        <w:rPr>
          <w:rFonts w:hint="eastAsia" w:ascii="仿宋_GB2312" w:hAnsi="宋体" w:eastAsia="仿宋_GB2312"/>
          <w:sz w:val="32"/>
          <w:szCs w:val="32"/>
        </w:rPr>
        <w:t>乐山市第一水厂</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远期迁建至安谷，取水水源为大渡河。近期供水规模为2万方/日，远期供水规模为4万方/日。 </w:t>
      </w:r>
    </w:p>
    <w:p w14:paraId="3D38CF57">
      <w:pPr>
        <w:spacing w:before="252" w:beforeLines="50" w:after="252" w:afterLines="50" w:line="720" w:lineRule="exact"/>
        <w:ind w:firstLine="598" w:firstLineChars="200"/>
        <w:rPr>
          <w:rFonts w:ascii="仿宋_GB2312" w:hAnsi="宋体" w:eastAsia="仿宋_GB2312"/>
          <w:b/>
          <w:sz w:val="32"/>
          <w:szCs w:val="32"/>
        </w:rPr>
      </w:pPr>
      <w:bookmarkStart w:id="290" w:name="_Toc358296673"/>
      <w:r>
        <w:rPr>
          <w:rFonts w:hint="eastAsia" w:ascii="仿宋_GB2312" w:hAnsi="宋体" w:eastAsia="仿宋_GB2312"/>
          <w:b/>
          <w:sz w:val="32"/>
          <w:szCs w:val="32"/>
        </w:rPr>
        <w:t>（三）供水管网规划</w:t>
      </w:r>
      <w:bookmarkEnd w:id="290"/>
    </w:p>
    <w:p w14:paraId="0D86363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1、给水管管径计算公式</w:t>
      </w:r>
    </w:p>
    <w:p w14:paraId="4551087C">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 xml:space="preserve">管径计算公式为：    </w:t>
      </w:r>
      <w:r>
        <w:rPr>
          <w:rFonts w:ascii="仿宋_GB2312" w:hAnsi="宋体" w:eastAsia="仿宋_GB2312"/>
          <w:sz w:val="32"/>
          <w:szCs w:val="32"/>
        </w:rPr>
        <w:object>
          <v:shape id="_x0000_i1025" o:spt="75" type="#_x0000_t75" style="height:33.85pt;width:81.55pt;" o:ole="t" filled="f" o:preferrelative="t" stroked="f" coordsize="21600,21600">
            <v:path/>
            <v:fill on="f" focussize="0,0"/>
            <v:stroke on="f"/>
            <v:imagedata r:id="rId13" o:title=""/>
            <o:lock v:ext="edit" aspectratio="t"/>
            <w10:wrap type="none"/>
            <w10:anchorlock/>
          </v:shape>
          <o:OLEObject Type="Embed" ProgID="Equation.3" ShapeID="_x0000_i1025" DrawAspect="Content" ObjectID="_1468075725" r:id="rId12">
            <o:LockedField>false</o:LockedField>
          </o:OLEObject>
        </w:object>
      </w:r>
    </w:p>
    <w:p w14:paraId="07F9E6FB">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式中：d—</w:t>
      </w:r>
      <w:r>
        <w:rPr>
          <w:rFonts w:hint="eastAsia" w:ascii="仿宋_GB2312" w:hAnsi="宋体" w:eastAsia="仿宋_GB2312"/>
          <w:sz w:val="32"/>
          <w:szCs w:val="32"/>
        </w:rPr>
        <w:t>管径</w:t>
      </w:r>
      <w:r>
        <w:rPr>
          <w:rFonts w:ascii="仿宋_GB2312" w:hAnsi="宋体" w:eastAsia="仿宋_GB2312"/>
          <w:sz w:val="32"/>
          <w:szCs w:val="32"/>
        </w:rPr>
        <w:t>，mm；</w:t>
      </w:r>
    </w:p>
    <w:p w14:paraId="0EE25494">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 xml:space="preserve">      v—管内流速，取0.</w:t>
      </w:r>
      <w:r>
        <w:rPr>
          <w:rFonts w:hint="eastAsia" w:ascii="仿宋_GB2312" w:hAnsi="宋体" w:eastAsia="仿宋_GB2312"/>
          <w:sz w:val="32"/>
          <w:szCs w:val="32"/>
        </w:rPr>
        <w:t>9</w:t>
      </w:r>
      <w:r>
        <w:rPr>
          <w:rFonts w:ascii="仿宋_GB2312" w:hAnsi="宋体" w:eastAsia="仿宋_GB2312"/>
          <w:sz w:val="32"/>
          <w:szCs w:val="32"/>
        </w:rPr>
        <w:t>m/s；</w:t>
      </w:r>
    </w:p>
    <w:p w14:paraId="5EC25A9D">
      <w:pPr>
        <w:spacing w:line="720" w:lineRule="exact"/>
        <w:ind w:firstLine="598" w:firstLineChars="200"/>
        <w:rPr>
          <w:rFonts w:ascii="仿宋_GB2312" w:hAnsi="宋体" w:eastAsia="仿宋_GB2312"/>
          <w:sz w:val="32"/>
          <w:szCs w:val="32"/>
        </w:rPr>
      </w:pPr>
      <w:r>
        <w:rPr>
          <w:rFonts w:ascii="仿宋_GB2312" w:hAnsi="宋体" w:eastAsia="仿宋_GB2312"/>
          <w:sz w:val="32"/>
          <w:szCs w:val="32"/>
        </w:rPr>
        <w:t xml:space="preserve">      Qh—计算流量，</w:t>
      </w:r>
      <w:r>
        <w:rPr>
          <w:rFonts w:hint="eastAsia" w:ascii="仿宋_GB2312" w:hAnsi="宋体" w:eastAsia="仿宋_GB2312"/>
          <w:sz w:val="32"/>
          <w:szCs w:val="32"/>
        </w:rPr>
        <w:t>m³</w:t>
      </w:r>
      <w:r>
        <w:rPr>
          <w:rFonts w:ascii="仿宋_GB2312" w:hAnsi="宋体" w:eastAsia="仿宋_GB2312"/>
          <w:sz w:val="32"/>
          <w:szCs w:val="32"/>
        </w:rPr>
        <w:t>/s，为最高日最高时用水量</w:t>
      </w:r>
      <w:r>
        <w:rPr>
          <w:rFonts w:hint="eastAsia" w:ascii="仿宋_GB2312" w:hAnsi="宋体" w:eastAsia="仿宋_GB2312"/>
          <w:sz w:val="32"/>
          <w:szCs w:val="32"/>
        </w:rPr>
        <w:t>。</w:t>
      </w:r>
    </w:p>
    <w:p w14:paraId="6FF2BDF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规划主干管的最小给水管管径采用DN200～DN810mm，支管最小给水管管径采用DN150mm。</w:t>
      </w:r>
    </w:p>
    <w:p w14:paraId="7B019206">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2、根据规划的用地布局结构、用地性质和道路走向，采用环状与树枝状相结合方的供水管网布置方式，以提高规划区的供水安全可靠性。供水管网布置在规划道路人行道下。为了便于检修和用户接管，在管道转弯和交汇处设置闸门和闸门井，干管闸门间距不大于800米，同时应严格按照有关消防供水规范，沿规划区内道路布置室外消火栓等消防设施。</w:t>
      </w:r>
    </w:p>
    <w:p w14:paraId="44A1988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3、在室外给水管道上设置消火栓，消火栓之间距离不得大于120米。为保证消防时水量水压要求，给水管网的最不利点压力满足用户接管点处服务水头</w:t>
      </w:r>
      <w:r>
        <w:rPr>
          <w:rFonts w:ascii="仿宋_GB2312" w:hAnsi="宋体" w:eastAsia="仿宋_GB2312"/>
          <w:sz w:val="32"/>
          <w:szCs w:val="32"/>
        </w:rPr>
        <w:t>0.28</w:t>
      </w:r>
      <w:r>
        <w:rPr>
          <w:rFonts w:hint="eastAsia" w:ascii="仿宋_GB2312" w:hAnsi="宋体" w:eastAsia="仿宋_GB2312"/>
          <w:sz w:val="32"/>
          <w:szCs w:val="32"/>
        </w:rPr>
        <w:t>兆帕的要求。</w:t>
      </w:r>
    </w:p>
    <w:p w14:paraId="04AF47D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4、给水管道布置人行道、绿化带或慢车道下，距人行道路缘石1.5米，埋深控制在0.7～1.5米。</w:t>
      </w:r>
    </w:p>
    <w:p w14:paraId="2C7130A1">
      <w:pPr>
        <w:spacing w:line="720" w:lineRule="exact"/>
        <w:ind w:firstLine="598" w:firstLineChars="200"/>
        <w:rPr>
          <w:rFonts w:ascii="方正黑体简体" w:hAnsi="宋体" w:eastAsia="方正黑体简体"/>
          <w:sz w:val="28"/>
          <w:szCs w:val="28"/>
        </w:rPr>
      </w:pPr>
      <w:r>
        <w:rPr>
          <w:rFonts w:hint="eastAsia" w:ascii="仿宋_GB2312" w:hAnsi="宋体" w:eastAsia="仿宋_GB2312"/>
          <w:sz w:val="32"/>
          <w:szCs w:val="32"/>
        </w:rPr>
        <w:t>5、管径≤DN300供水管优先采用PE管；管径﹥DN300优先采用球墨铸铁管。</w:t>
      </w:r>
    </w:p>
    <w:p w14:paraId="38325740">
      <w:pPr>
        <w:pStyle w:val="3"/>
        <w:adjustRightInd w:val="0"/>
        <w:spacing w:before="252" w:beforeLines="50" w:after="252" w:afterLines="50" w:line="720" w:lineRule="exact"/>
        <w:rPr>
          <w:rFonts w:ascii="方正黑体简体" w:hAnsi="Calibri" w:eastAsia="方正黑体简体"/>
          <w:bCs w:val="0"/>
        </w:rPr>
      </w:pPr>
      <w:bookmarkStart w:id="291" w:name="_Toc358296674"/>
      <w:bookmarkStart w:id="292" w:name="_Toc222897554"/>
      <w:bookmarkStart w:id="293" w:name="_Toc216520032"/>
      <w:r>
        <w:rPr>
          <w:rFonts w:hint="eastAsia" w:ascii="方正黑体简体" w:hAnsi="Calibri" w:eastAsia="方正黑体简体"/>
          <w:bCs w:val="0"/>
        </w:rPr>
        <w:t>二、排水工程规划</w:t>
      </w:r>
      <w:bookmarkEnd w:id="291"/>
      <w:bookmarkEnd w:id="292"/>
      <w:bookmarkEnd w:id="293"/>
    </w:p>
    <w:p w14:paraId="53E5844E">
      <w:pPr>
        <w:spacing w:before="252" w:beforeLines="50" w:after="252" w:afterLines="50" w:line="720" w:lineRule="exact"/>
        <w:ind w:firstLine="518" w:firstLineChars="200"/>
        <w:rPr>
          <w:rFonts w:ascii="仿宋_GB2312" w:hAnsi="宋体" w:eastAsia="仿宋_GB2312"/>
          <w:b/>
          <w:sz w:val="32"/>
          <w:szCs w:val="32"/>
        </w:rPr>
      </w:pPr>
      <w:r>
        <w:rPr>
          <w:rFonts w:hint="eastAsia" w:ascii="方正黑体简体" w:eastAsia="方正黑体简体"/>
          <w:b/>
          <w:sz w:val="28"/>
          <w:szCs w:val="28"/>
        </w:rPr>
        <w:t xml:space="preserve">  </w:t>
      </w:r>
      <w:bookmarkStart w:id="294" w:name="_Toc358296675"/>
      <w:r>
        <w:rPr>
          <w:rFonts w:hint="eastAsia" w:ascii="仿宋_GB2312" w:hAnsi="宋体" w:eastAsia="仿宋_GB2312"/>
          <w:b/>
          <w:sz w:val="32"/>
          <w:szCs w:val="32"/>
        </w:rPr>
        <w:t>（一）排水体制</w:t>
      </w:r>
      <w:bookmarkEnd w:id="294"/>
    </w:p>
    <w:p w14:paraId="0589955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结合《乐山市城市总体规划》，本规划区的排水体制确定为雨、污分流制，雨水就近排入青衣江、大渡河。污水纳入城市污水系统送至一污水厂集中处理后排放。</w:t>
      </w:r>
    </w:p>
    <w:p w14:paraId="1BFF1F89">
      <w:pPr>
        <w:spacing w:before="252" w:beforeLines="50" w:after="252" w:afterLines="50" w:line="720" w:lineRule="exact"/>
        <w:ind w:firstLine="518" w:firstLineChars="200"/>
        <w:rPr>
          <w:rFonts w:ascii="仿宋_GB2312" w:hAnsi="宋体" w:eastAsia="仿宋_GB2312"/>
          <w:b/>
          <w:sz w:val="32"/>
          <w:szCs w:val="32"/>
        </w:rPr>
      </w:pPr>
      <w:r>
        <w:rPr>
          <w:rFonts w:hint="eastAsia" w:ascii="方正黑体简体" w:eastAsia="方正黑体简体"/>
          <w:b/>
          <w:sz w:val="28"/>
          <w:szCs w:val="28"/>
        </w:rPr>
        <w:t xml:space="preserve"> </w:t>
      </w:r>
      <w:r>
        <w:rPr>
          <w:rFonts w:hint="eastAsia" w:ascii="仿宋_GB2312" w:hAnsi="宋体" w:eastAsia="仿宋_GB2312"/>
          <w:b/>
          <w:sz w:val="32"/>
          <w:szCs w:val="32"/>
        </w:rPr>
        <w:t xml:space="preserve"> </w:t>
      </w:r>
      <w:bookmarkStart w:id="295" w:name="_Toc358296676"/>
      <w:r>
        <w:rPr>
          <w:rFonts w:hint="eastAsia" w:ascii="仿宋_GB2312" w:hAnsi="宋体" w:eastAsia="仿宋_GB2312"/>
          <w:b/>
          <w:sz w:val="32"/>
          <w:szCs w:val="32"/>
        </w:rPr>
        <w:t>（二）规划原则</w:t>
      </w:r>
      <w:bookmarkEnd w:id="295"/>
    </w:p>
    <w:p w14:paraId="7E73375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1、充分利用地形，雨水经雨水管收集就近排入水体。</w:t>
      </w:r>
    </w:p>
    <w:p w14:paraId="4D4E1565">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2、结合城市竖向规划与水体流向，综合布置排水系统。</w:t>
      </w:r>
    </w:p>
    <w:p w14:paraId="44A2D61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3、雨污分流，分区治理，统一规划，分期实施。</w:t>
      </w:r>
    </w:p>
    <w:p w14:paraId="712AC6B5">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4、遵循可持续发展战略，从区域性、系统性出发，保护水资源，维护和加强生态环境，提高规划区排涝能力和环境质量水平。</w:t>
      </w:r>
    </w:p>
    <w:p w14:paraId="5A9A1E3F">
      <w:pPr>
        <w:spacing w:before="252" w:beforeLines="50" w:after="252" w:afterLines="50" w:line="720" w:lineRule="exact"/>
        <w:ind w:firstLine="598" w:firstLineChars="200"/>
        <w:rPr>
          <w:rFonts w:ascii="仿宋_GB2312" w:hAnsi="宋体" w:eastAsia="仿宋_GB2312"/>
          <w:b/>
          <w:sz w:val="32"/>
          <w:szCs w:val="32"/>
        </w:rPr>
      </w:pPr>
      <w:bookmarkStart w:id="296" w:name="_Toc358296677"/>
      <w:r>
        <w:rPr>
          <w:rFonts w:hint="eastAsia" w:ascii="仿宋_GB2312" w:hAnsi="宋体" w:eastAsia="仿宋_GB2312"/>
          <w:b/>
          <w:sz w:val="32"/>
          <w:szCs w:val="32"/>
        </w:rPr>
        <w:t>（三）雨水系统规划</w:t>
      </w:r>
      <w:bookmarkEnd w:id="296"/>
    </w:p>
    <w:p w14:paraId="4FFFA545">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1、暴雨强度公式</w:t>
      </w:r>
    </w:p>
    <w:p w14:paraId="240240FC">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雨水量计算的暴雨强度公式采用乐山市暴雨强度公式：</w:t>
      </w:r>
    </w:p>
    <w:p w14:paraId="1F7764D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13690（1+</w:t>
      </w:r>
      <w:r>
        <w:rPr>
          <w:rFonts w:ascii="仿宋_GB2312" w:hAnsi="宋体" w:eastAsia="仿宋_GB2312"/>
          <w:sz w:val="32"/>
          <w:szCs w:val="32"/>
        </w:rPr>
        <w:t>0.6</w:t>
      </w:r>
      <w:r>
        <w:rPr>
          <w:rFonts w:hint="eastAsia" w:ascii="仿宋_GB2312" w:hAnsi="宋体" w:eastAsia="仿宋_GB2312"/>
          <w:sz w:val="32"/>
          <w:szCs w:val="32"/>
        </w:rPr>
        <w:t>95</w:t>
      </w:r>
      <w:r>
        <w:rPr>
          <w:rFonts w:ascii="仿宋_GB2312" w:hAnsi="宋体" w:eastAsia="仿宋_GB2312"/>
          <w:sz w:val="32"/>
          <w:szCs w:val="32"/>
        </w:rPr>
        <w:t>lgP</w:t>
      </w:r>
      <w:r>
        <w:rPr>
          <w:rFonts w:hint="eastAsia" w:ascii="仿宋_GB2312" w:hAnsi="宋体" w:eastAsia="仿宋_GB2312"/>
          <w:sz w:val="32"/>
          <w:szCs w:val="32"/>
        </w:rPr>
        <w:t>）</w:t>
      </w:r>
    </w:p>
    <w:p w14:paraId="3DDC9CB7">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mc:AlternateContent>
          <mc:Choice Requires="wps">
            <w:drawing>
              <wp:anchor distT="0" distB="0" distL="114300" distR="114300" simplePos="0" relativeHeight="251659264" behindDoc="0" locked="0" layoutInCell="0" allowOverlap="1">
                <wp:simplePos x="0" y="0"/>
                <wp:positionH relativeFrom="column">
                  <wp:posOffset>685800</wp:posOffset>
                </wp:positionH>
                <wp:positionV relativeFrom="paragraph">
                  <wp:posOffset>127635</wp:posOffset>
                </wp:positionV>
                <wp:extent cx="1828800" cy="0"/>
                <wp:effectExtent l="0" t="4445" r="0" b="5080"/>
                <wp:wrapNone/>
                <wp:docPr id="1" name="直线 2"/>
                <wp:cNvGraphicFramePr/>
                <a:graphic xmlns:a="http://schemas.openxmlformats.org/drawingml/2006/main">
                  <a:graphicData uri="http://schemas.microsoft.com/office/word/2010/wordprocessingShape">
                    <wps:wsp>
                      <wps:cNvCnPr/>
                      <wps:spPr>
                        <a:xfrm>
                          <a:off x="0" y="0"/>
                          <a:ext cx="1828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54pt;margin-top:10.05pt;height:0pt;width:144pt;z-index:251659264;mso-width-relative:page;mso-height-relative:page;" filled="f" stroked="t" coordsize="21600,21600" o:allowincell="f" o:gfxdata="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RTQNXVAAAA&#10;CQEAAA8AAAAAAAAAAQAgAAAAIgAAAGRycy9kb3ducmV2LnhtbFBLAQIUABQAAAAIAIdO4kDptxi0&#10;5wEAANsDAAAOAAAAAAAAAAEAIAAAACQBAABkcnMvZTJvRG9jLnhtbFBLBQYAAAAABgAGAFkBAAB9&#10;BQAAAAA=&#10;">
                <v:fill on="f" focussize="0,0"/>
                <v:stroke color="#000000" joinstyle="round"/>
                <v:imagedata o:title=""/>
                <o:lock v:ext="edit" aspectratio="f"/>
              </v:line>
            </w:pict>
          </mc:Fallback>
        </mc:AlternateContent>
      </w:r>
      <w:r>
        <w:rPr>
          <w:rFonts w:hint="eastAsia" w:ascii="仿宋_GB2312" w:hAnsi="宋体" w:eastAsia="仿宋_GB2312"/>
          <w:sz w:val="32"/>
          <w:szCs w:val="32"/>
        </w:rPr>
        <w:t>q=</w:t>
      </w:r>
    </w:p>
    <w:p w14:paraId="32CC04D6">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T+</w:t>
      </w:r>
      <w:r>
        <w:rPr>
          <w:rFonts w:hint="eastAsia" w:ascii="仿宋_GB2312" w:hAnsi="宋体" w:eastAsia="仿宋_GB2312"/>
          <w:sz w:val="32"/>
          <w:szCs w:val="32"/>
        </w:rPr>
        <w:t>50.4</w:t>
      </w:r>
      <w:r>
        <w:rPr>
          <w:rFonts w:ascii="仿宋_GB2312" w:hAnsi="宋体" w:eastAsia="仿宋_GB2312"/>
          <w:sz w:val="32"/>
          <w:szCs w:val="32"/>
        </w:rPr>
        <w:t>P0.0</w:t>
      </w:r>
      <w:r>
        <w:rPr>
          <w:rFonts w:hint="eastAsia" w:ascii="仿宋_GB2312" w:hAnsi="宋体" w:eastAsia="仿宋_GB2312"/>
          <w:sz w:val="32"/>
          <w:szCs w:val="32"/>
        </w:rPr>
        <w:t>3</w:t>
      </w:r>
      <w:r>
        <w:rPr>
          <w:rFonts w:ascii="仿宋_GB2312" w:hAnsi="宋体" w:eastAsia="仿宋_GB2312"/>
          <w:sz w:val="32"/>
          <w:szCs w:val="32"/>
        </w:rPr>
        <w:t>8</w:t>
      </w:r>
    </w:p>
    <w:p w14:paraId="4CEDA88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·暴雨重现期P取2年；</w:t>
      </w:r>
    </w:p>
    <w:p w14:paraId="0CCD20C9">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·地面集水时间</w:t>
      </w:r>
      <w:r>
        <w:rPr>
          <w:rFonts w:ascii="仿宋_GB2312" w:hAnsi="宋体" w:eastAsia="仿宋_GB2312"/>
          <w:sz w:val="32"/>
          <w:szCs w:val="32"/>
        </w:rPr>
        <w:t>t1</w:t>
      </w:r>
      <w:r>
        <w:rPr>
          <w:rFonts w:hint="eastAsia" w:ascii="仿宋_GB2312" w:hAnsi="宋体" w:eastAsia="仿宋_GB2312"/>
          <w:sz w:val="32"/>
          <w:szCs w:val="32"/>
        </w:rPr>
        <w:t>取5分钟；</w:t>
      </w:r>
    </w:p>
    <w:p w14:paraId="736C389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·地面径流系数Φ取0.6；</w:t>
      </w:r>
    </w:p>
    <w:p w14:paraId="5D8CF028">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·管渠折减系数</w:t>
      </w:r>
      <w:r>
        <w:rPr>
          <w:rFonts w:ascii="仿宋_GB2312" w:hAnsi="宋体" w:eastAsia="仿宋_GB2312"/>
          <w:sz w:val="32"/>
          <w:szCs w:val="32"/>
        </w:rPr>
        <w:t>m</w:t>
      </w:r>
      <w:r>
        <w:rPr>
          <w:rFonts w:hint="eastAsia" w:ascii="仿宋_GB2312" w:hAnsi="宋体" w:eastAsia="仿宋_GB2312"/>
          <w:sz w:val="32"/>
          <w:szCs w:val="32"/>
        </w:rPr>
        <w:t>取1.5，全部按暗管计算。</w:t>
      </w:r>
    </w:p>
    <w:p w14:paraId="02B75C0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2、雨水设计流量计算公式</w:t>
      </w:r>
    </w:p>
    <w:p w14:paraId="4B5CF2D0">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Qs=qΨF</w:t>
      </w:r>
    </w:p>
    <w:p w14:paraId="4737B4C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·q——设计暴雨强度[L/（s·h㎡）]；</w:t>
      </w:r>
    </w:p>
    <w:p w14:paraId="05755D60">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·Ψ——综合径流系数，取0.65；</w:t>
      </w:r>
    </w:p>
    <w:p w14:paraId="08D273D6">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·F——汇水面积（h㎡）。</w:t>
      </w:r>
    </w:p>
    <w:p w14:paraId="04B70616">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3、雨水管网布置</w:t>
      </w:r>
    </w:p>
    <w:p w14:paraId="0EFA3522">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雨水管道敷设尽量遵循道路竖向高程顺坡埋设，采用分散出水口式雨水管布置。规划片区内有青衣江和大渡河主要自然排水体，雨水主干管以横向为主，均就进排入自然水体，管径为D600~D1700。管道管径DN800及以下的雨水管建议采用HDPE双壁波纹管或聚乙烯钢塑缠绕管；管道管径为DN800以上的雨水管建议采用钢砼排水管和预应力钢筋砼排水管，管道采用柔性接口。雨水管</w:t>
      </w:r>
      <w:r>
        <w:rPr>
          <w:rFonts w:ascii="仿宋_GB2312" w:hAnsi="宋体" w:eastAsia="仿宋_GB2312"/>
          <w:sz w:val="32"/>
          <w:szCs w:val="32"/>
        </w:rPr>
        <w:t>最小覆土0.7米，管道最大埋深控制在5米左右。</w:t>
      </w:r>
    </w:p>
    <w:p w14:paraId="7ECDCD51">
      <w:pPr>
        <w:spacing w:before="252" w:beforeLines="50" w:after="252" w:afterLines="50" w:line="720" w:lineRule="exact"/>
        <w:ind w:firstLine="598" w:firstLineChars="200"/>
        <w:rPr>
          <w:rFonts w:ascii="仿宋_GB2312" w:hAnsi="宋体" w:eastAsia="仿宋_GB2312"/>
          <w:b/>
          <w:sz w:val="32"/>
          <w:szCs w:val="32"/>
        </w:rPr>
      </w:pPr>
      <w:bookmarkStart w:id="297" w:name="_Toc358296678"/>
      <w:r>
        <w:rPr>
          <w:rFonts w:hint="eastAsia" w:ascii="仿宋_GB2312" w:hAnsi="宋体" w:eastAsia="仿宋_GB2312"/>
          <w:b/>
          <w:sz w:val="32"/>
          <w:szCs w:val="32"/>
        </w:rPr>
        <w:t>（四）污水系统规划</w:t>
      </w:r>
      <w:bookmarkEnd w:id="297"/>
    </w:p>
    <w:p w14:paraId="20DA2A4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1、污水量预测</w:t>
      </w:r>
    </w:p>
    <w:p w14:paraId="3B205BF1">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规划区的污水量按日供水量进行折算，不计道路及绿化的浇洒用水和工业循环用水及清洁废水。污水量按平均日生活用水量的85％计算，片区内污水量约为1.7万吨/日。</w:t>
      </w:r>
    </w:p>
    <w:p w14:paraId="51C70D2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2、污水处理厂规划</w:t>
      </w:r>
    </w:p>
    <w:p w14:paraId="56EB4BE2">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本规划片区无城市污水处理厂，规划区的污水排放经肖坝车站东侧的提升泵站提升后，经过老城区，沿过江管道送至一污水厂处理。</w:t>
      </w:r>
    </w:p>
    <w:p w14:paraId="7E0C003C">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3、污水管道系统规划</w:t>
      </w:r>
    </w:p>
    <w:p w14:paraId="7C42E999">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（1）污水管计算公式</w:t>
      </w:r>
    </w:p>
    <w:p w14:paraId="2B11835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1）Q=Av</w:t>
      </w:r>
    </w:p>
    <w:p w14:paraId="37A13E1B">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·Q——污水设计流量（m</w:t>
      </w:r>
      <w:r>
        <w:rPr>
          <w:rFonts w:hint="eastAsia" w:ascii="仿宋_GB2312" w:hAnsi="宋体" w:eastAsia="仿宋_GB2312"/>
          <w:sz w:val="32"/>
          <w:szCs w:val="32"/>
          <w:vertAlign w:val="superscript"/>
        </w:rPr>
        <w:t>3</w:t>
      </w:r>
      <w:r>
        <w:rPr>
          <w:rFonts w:hint="eastAsia" w:ascii="仿宋_GB2312" w:hAnsi="宋体" w:eastAsia="仿宋_GB2312"/>
          <w:sz w:val="32"/>
          <w:szCs w:val="32"/>
        </w:rPr>
        <w:t>/s）；</w:t>
      </w:r>
    </w:p>
    <w:p w14:paraId="6D95FA1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·A——水流有效断面面积；</w:t>
      </w:r>
    </w:p>
    <w:p w14:paraId="29BDDE7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·v——流速（m/s）。</w:t>
      </w:r>
    </w:p>
    <w:p w14:paraId="345935A8">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2）v=</w:t>
      </w:r>
      <w:r>
        <w:rPr>
          <w:rFonts w:ascii="仿宋_GB2312" w:hAnsi="宋体" w:eastAsia="仿宋_GB2312"/>
          <w:sz w:val="32"/>
          <w:szCs w:val="32"/>
        </w:rPr>
        <w:fldChar w:fldCharType="begin"/>
      </w:r>
      <w:r>
        <w:rPr>
          <w:rFonts w:ascii="仿宋_GB2312" w:hAnsi="宋体" w:eastAsia="仿宋_GB2312"/>
          <w:sz w:val="32"/>
          <w:szCs w:val="32"/>
        </w:rPr>
        <w:instrText xml:space="preserve"> QUOTE </w:instrText>
      </w:r>
      <w:r>
        <w:rPr>
          <w:rFonts w:hint="eastAsia" w:ascii="仿宋_GB2312" w:hAnsi="宋体" w:eastAsia="仿宋_GB2312"/>
          <w:sz w:val="32"/>
          <w:szCs w:val="32"/>
        </w:rPr>
        <w:pict>
          <v:shape id="_x0000_i1026" o:spt="75" type="#_x0000_t75" style="height:25.5pt;width:5.2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6&quot;/&gt;&lt;w:displayBackgroundShape/&gt;&lt;w:bordersDontSurroundHeader/&gt;&lt;w:bordersDontSurroundFooter/&gt;&lt;w:stylePaneFormatFilter w:val=&quot;3F01&quot;/&gt;&lt;w:defaultTabStop w:val=&quot;420&quot;/&gt;&lt;w:drawingGridHorizontalSpacing w:val=&quot;189&quot;/&gt;&lt;w:drawingGridVerticalSpacing w:val=&quot;505&quot;/&gt;&lt;w:displayHorizontalDrawingGridEvery w:val=&quot;0&quot;/&gt;&lt;w:punctuationKerning/&gt;&lt;w:characterSpacingControl w:val=&quot;CompressPunctuation&quot;/&gt;&lt;w:noLineBreaksAfter w:lang=&quot;ZH-CN&quot; w:val=&quot;([{·‘“〈《「『【〔〖（．［｛￡￥&quot;/&gt;&lt;w:noLineBreaksBefore w:lang=&quot;ZH-CN&quot; w:val=&quot;!),.:;?]}¨·ˇˉ―‖’”…∶、。〃々〉》」』】〕〗！＂＇），．：；？］｀｜｝～￠&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9B056E&quot;/&gt;&lt;wsp:rsid wsp:val=&quot;000007F3&quot;/&gt;&lt;wsp:rsid wsp:val=&quot;00001DB2&quot;/&gt;&lt;wsp:rsid wsp:val=&quot;000022B8&quot;/&gt;&lt;wsp:rsid wsp:val=&quot;00002438&quot;/&gt;&lt;wsp:rsid wsp:val=&quot;00002FC5&quot;/&gt;&lt;wsp:rsid wsp:val=&quot;00003B7C&quot;/&gt;&lt;wsp:rsid wsp:val=&quot;000046E4&quot;/&gt;&lt;wsp:rsid wsp:val=&quot;000049C6&quot;/&gt;&lt;wsp:rsid wsp:val=&quot;0000504C&quot;/&gt;&lt;wsp:rsid wsp:val=&quot;000052E4&quot;/&gt;&lt;wsp:rsid wsp:val=&quot;00005EC1&quot;/&gt;&lt;wsp:rsid wsp:val=&quot;00006469&quot;/&gt;&lt;wsp:rsid wsp:val=&quot;00006957&quot;/&gt;&lt;wsp:rsid wsp:val=&quot;00006C6A&quot;/&gt;&lt;wsp:rsid wsp:val=&quot;00006E1C&quot;/&gt;&lt;wsp:rsid wsp:val=&quot;00007706&quot;/&gt;&lt;wsp:rsid wsp:val=&quot;00010287&quot;/&gt;&lt;wsp:rsid wsp:val=&quot;0001073F&quot;/&gt;&lt;wsp:rsid wsp:val=&quot;000115A1&quot;/&gt;&lt;wsp:rsid wsp:val=&quot;000115C8&quot;/&gt;&lt;wsp:rsid wsp:val=&quot;00011F01&quot;/&gt;&lt;wsp:rsid wsp:val=&quot;0001227D&quot;/&gt;&lt;wsp:rsid wsp:val=&quot;00014861&quot;/&gt;&lt;wsp:rsid wsp:val=&quot;00017C1A&quot;/&gt;&lt;wsp:rsid wsp:val=&quot;000204DE&quot;/&gt;&lt;wsp:rsid wsp:val=&quot;000213CF&quot;/&gt;&lt;wsp:rsid wsp:val=&quot;00021ADF&quot;/&gt;&lt;wsp:rsid wsp:val=&quot;00022CC4&quot;/&gt;&lt;wsp:rsid wsp:val=&quot;0002621A&quot;/&gt;&lt;wsp:rsid wsp:val=&quot;000278B7&quot;/&gt;&lt;wsp:rsid wsp:val=&quot;000300BC&quot;/&gt;&lt;wsp:rsid wsp:val=&quot;0003088E&quot;/&gt;&lt;wsp:rsid wsp:val=&quot;00032282&quot;/&gt;&lt;wsp:rsid wsp:val=&quot;000331A6&quot;/&gt;&lt;wsp:rsid wsp:val=&quot;000355F9&quot;/&gt;&lt;wsp:rsid wsp:val=&quot;000369F0&quot;/&gt;&lt;wsp:rsid wsp:val=&quot;00036DA9&quot;/&gt;&lt;wsp:rsid wsp:val=&quot;0003712A&quot;/&gt;&lt;wsp:rsid wsp:val=&quot;000371B6&quot;/&gt;&lt;wsp:rsid wsp:val=&quot;00037862&quot;/&gt;&lt;wsp:rsid wsp:val=&quot;000416CF&quot;/&gt;&lt;wsp:rsid wsp:val=&quot;000418BA&quot;/&gt;&lt;wsp:rsid wsp:val=&quot;000423DF&quot;/&gt;&lt;wsp:rsid wsp:val=&quot;000429AF&quot;/&gt;&lt;wsp:rsid wsp:val=&quot;00042B23&quot;/&gt;&lt;wsp:rsid wsp:val=&quot;00042F86&quot;/&gt;&lt;wsp:rsid wsp:val=&quot;00043186&quot;/&gt;&lt;wsp:rsid wsp:val=&quot;000442E8&quot;/&gt;&lt;wsp:rsid wsp:val=&quot;00044DA6&quot;/&gt;&lt;wsp:rsid wsp:val=&quot;000451C7&quot;/&gt;&lt;wsp:rsid wsp:val=&quot;0004706E&quot;/&gt;&lt;wsp:rsid wsp:val=&quot;00051002&quot;/&gt;&lt;wsp:rsid wsp:val=&quot;0005214E&quot;/&gt;&lt;wsp:rsid wsp:val=&quot;00053235&quot;/&gt;&lt;wsp:rsid wsp:val=&quot;0005339B&quot;/&gt;&lt;wsp:rsid wsp:val=&quot;00053733&quot;/&gt;&lt;wsp:rsid wsp:val=&quot;00053CB1&quot;/&gt;&lt;wsp:rsid wsp:val=&quot;00053FED&quot;/&gt;&lt;wsp:rsid wsp:val=&quot;00054276&quot;/&gt;&lt;wsp:rsid wsp:val=&quot;00054E28&quot;/&gt;&lt;wsp:rsid wsp:val=&quot;0005503C&quot;/&gt;&lt;wsp:rsid wsp:val=&quot;0005729C&quot;/&gt;&lt;wsp:rsid wsp:val=&quot;000602CE&quot;/&gt;&lt;wsp:rsid wsp:val=&quot;00060A92&quot;/&gt;&lt;wsp:rsid wsp:val=&quot;00061173&quot;/&gt;&lt;wsp:rsid wsp:val=&quot;00061A93&quot;/&gt;&lt;wsp:rsid wsp:val=&quot;00061D77&quot;/&gt;&lt;wsp:rsid wsp:val=&quot;000629EB&quot;/&gt;&lt;wsp:rsid wsp:val=&quot;0006581E&quot;/&gt;&lt;wsp:rsid wsp:val=&quot;00066D36&quot;/&gt;&lt;wsp:rsid wsp:val=&quot;00066E8E&quot;/&gt;&lt;wsp:rsid wsp:val=&quot;00066FCB&quot;/&gt;&lt;wsp:rsid wsp:val=&quot;0006704C&quot;/&gt;&lt;wsp:rsid wsp:val=&quot;0006712D&quot;/&gt;&lt;wsp:rsid wsp:val=&quot;0006799C&quot;/&gt;&lt;wsp:rsid wsp:val=&quot;00067EB5&quot;/&gt;&lt;wsp:rsid wsp:val=&quot;00070442&quot;/&gt;&lt;wsp:rsid wsp:val=&quot;000716B1&quot;/&gt;&lt;wsp:rsid wsp:val=&quot;0007402A&quot;/&gt;&lt;wsp:rsid wsp:val=&quot;00074042&quot;/&gt;&lt;wsp:rsid wsp:val=&quot;000742F6&quot;/&gt;&lt;wsp:rsid wsp:val=&quot;000752D9&quot;/&gt;&lt;wsp:rsid wsp:val=&quot;00076615&quot;/&gt;&lt;wsp:rsid wsp:val=&quot;00076AA1&quot;/&gt;&lt;wsp:rsid wsp:val=&quot;00076E39&quot;/&gt;&lt;wsp:rsid wsp:val=&quot;000773EE&quot;/&gt;&lt;wsp:rsid wsp:val=&quot;000774C4&quot;/&gt;&lt;wsp:rsid wsp:val=&quot;00077A2F&quot;/&gt;&lt;wsp:rsid wsp:val=&quot;00080183&quot;/&gt;&lt;wsp:rsid wsp:val=&quot;00080A28&quot;/&gt;&lt;wsp:rsid wsp:val=&quot;0008231B&quot;/&gt;&lt;wsp:rsid wsp:val=&quot;00082EF7&quot;/&gt;&lt;wsp:rsid wsp:val=&quot;000847CF&quot;/&gt;&lt;wsp:rsid wsp:val=&quot;00084962&quot;/&gt;&lt;wsp:rsid wsp:val=&quot;00085370&quot;/&gt;&lt;wsp:rsid wsp:val=&quot;000865E5&quot;/&gt;&lt;wsp:rsid wsp:val=&quot;00086A01&quot;/&gt;&lt;wsp:rsid wsp:val=&quot;00086E56&quot;/&gt;&lt;wsp:rsid wsp:val=&quot;000871DB&quot;/&gt;&lt;wsp:rsid wsp:val=&quot;00087473&quot;/&gt;&lt;wsp:rsid wsp:val=&quot;0009089B&quot;/&gt;&lt;wsp:rsid wsp:val=&quot;000915B8&quot;/&gt;&lt;wsp:rsid wsp:val=&quot;000956EC&quot;/&gt;&lt;wsp:rsid wsp:val=&quot;00095DBA&quot;/&gt;&lt;wsp:rsid wsp:val=&quot;00096A9E&quot;/&gt;&lt;wsp:rsid wsp:val=&quot;000973C3&quot;/&gt;&lt;wsp:rsid wsp:val=&quot;0009771D&quot;/&gt;&lt;wsp:rsid wsp:val=&quot;00097A10&quot;/&gt;&lt;wsp:rsid wsp:val=&quot;000A0A35&quot;/&gt;&lt;wsp:rsid wsp:val=&quot;000A0D47&quot;/&gt;&lt;wsp:rsid wsp:val=&quot;000A26A2&quot;/&gt;&lt;wsp:rsid wsp:val=&quot;000A3243&quot;/&gt;&lt;wsp:rsid wsp:val=&quot;000A53B6&quot;/&gt;&lt;wsp:rsid wsp:val=&quot;000A6781&quot;/&gt;&lt;wsp:rsid wsp:val=&quot;000A6A83&quot;/&gt;&lt;wsp:rsid wsp:val=&quot;000A6B79&quot;/&gt;&lt;wsp:rsid wsp:val=&quot;000B1365&quot;/&gt;&lt;wsp:rsid wsp:val=&quot;000B1B4E&quot;/&gt;&lt;wsp:rsid wsp:val=&quot;000B2520&quot;/&gt;&lt;wsp:rsid wsp:val=&quot;000B2EE4&quot;/&gt;&lt;wsp:rsid wsp:val=&quot;000B34EF&quot;/&gt;&lt;wsp:rsid wsp:val=&quot;000B36A4&quot;/&gt;&lt;wsp:rsid wsp:val=&quot;000B3741&quot;/&gt;&lt;wsp:rsid wsp:val=&quot;000B3EE7&quot;/&gt;&lt;wsp:rsid wsp:val=&quot;000B74B3&quot;/&gt;&lt;wsp:rsid wsp:val=&quot;000B798A&quot;/&gt;&lt;wsp:rsid wsp:val=&quot;000C131E&quot;/&gt;&lt;wsp:rsid wsp:val=&quot;000C1ABF&quot;/&gt;&lt;wsp:rsid wsp:val=&quot;000C227D&quot;/&gt;&lt;wsp:rsid wsp:val=&quot;000C2FFD&quot;/&gt;&lt;wsp:rsid wsp:val=&quot;000C3601&quot;/&gt;&lt;wsp:rsid wsp:val=&quot;000C36CC&quot;/&gt;&lt;wsp:rsid wsp:val=&quot;000C456E&quot;/&gt;&lt;wsp:rsid wsp:val=&quot;000C4C95&quot;/&gt;&lt;wsp:rsid wsp:val=&quot;000C5D89&quot;/&gt;&lt;wsp:rsid wsp:val=&quot;000C5EF1&quot;/&gt;&lt;wsp:rsid wsp:val=&quot;000C5F57&quot;/&gt;&lt;wsp:rsid wsp:val=&quot;000C7A88&quot;/&gt;&lt;wsp:rsid wsp:val=&quot;000C7FE5&quot;/&gt;&lt;wsp:rsid wsp:val=&quot;000D1404&quot;/&gt;&lt;wsp:rsid wsp:val=&quot;000D1AC8&quot;/&gt;&lt;wsp:rsid wsp:val=&quot;000D1B22&quot;/&gt;&lt;wsp:rsid wsp:val=&quot;000D1D53&quot;/&gt;&lt;wsp:rsid wsp:val=&quot;000D20EB&quot;/&gt;&lt;wsp:rsid wsp:val=&quot;000D27C9&quot;/&gt;&lt;wsp:rsid wsp:val=&quot;000D2BFD&quot;/&gt;&lt;wsp:rsid wsp:val=&quot;000D32ED&quot;/&gt;&lt;wsp:rsid wsp:val=&quot;000D3891&quot;/&gt;&lt;wsp:rsid wsp:val=&quot;000D3D9F&quot;/&gt;&lt;wsp:rsid wsp:val=&quot;000D42BE&quot;/&gt;&lt;wsp:rsid wsp:val=&quot;000D48A6&quot;/&gt;&lt;wsp:rsid wsp:val=&quot;000D5AFE&quot;/&gt;&lt;wsp:rsid wsp:val=&quot;000D648A&quot;/&gt;&lt;wsp:rsid wsp:val=&quot;000D6544&quot;/&gt;&lt;wsp:rsid wsp:val=&quot;000D7D80&quot;/&gt;&lt;wsp:rsid wsp:val=&quot;000E0E0F&quot;/&gt;&lt;wsp:rsid wsp:val=&quot;000E1A80&quot;/&gt;&lt;wsp:rsid wsp:val=&quot;000E2AB4&quot;/&gt;&lt;wsp:rsid wsp:val=&quot;000E2C11&quot;/&gt;&lt;wsp:rsid wsp:val=&quot;000E31D1&quot;/&gt;&lt;wsp:rsid wsp:val=&quot;000E3420&quot;/&gt;&lt;wsp:rsid wsp:val=&quot;000E44EF&quot;/&gt;&lt;wsp:rsid wsp:val=&quot;000E4AA2&quot;/&gt;&lt;wsp:rsid wsp:val=&quot;000E5EBC&quot;/&gt;&lt;wsp:rsid wsp:val=&quot;000E6A21&quot;/&gt;&lt;wsp:rsid wsp:val=&quot;000E796D&quot;/&gt;&lt;wsp:rsid wsp:val=&quot;000F0F29&quot;/&gt;&lt;wsp:rsid wsp:val=&quot;000F17B0&quot;/&gt;&lt;wsp:rsid wsp:val=&quot;000F1FB9&quot;/&gt;&lt;wsp:rsid wsp:val=&quot;000F21D1&quot;/&gt;&lt;wsp:rsid wsp:val=&quot;000F24BA&quot;/&gt;&lt;wsp:rsid wsp:val=&quot;000F273F&quot;/&gt;&lt;wsp:rsid wsp:val=&quot;000F2922&quot;/&gt;&lt;wsp:rsid wsp:val=&quot;000F2A74&quot;/&gt;&lt;wsp:rsid wsp:val=&quot;000F361E&quot;/&gt;&lt;wsp:rsid wsp:val=&quot;000F3B55&quot;/&gt;&lt;wsp:rsid wsp:val=&quot;000F3D4A&quot;/&gt;&lt;wsp:rsid wsp:val=&quot;000F5BA6&quot;/&gt;&lt;wsp:rsid wsp:val=&quot;000F7F9C&quot;/&gt;&lt;wsp:rsid wsp:val=&quot;00101E44&quot;/&gt;&lt;wsp:rsid wsp:val=&quot;001032E1&quot;/&gt;&lt;wsp:rsid wsp:val=&quot;00104E71&quot;/&gt;&lt;wsp:rsid wsp:val=&quot;0010670C&quot;/&gt;&lt;wsp:rsid wsp:val=&quot;001073C6&quot;/&gt;&lt;wsp:rsid wsp:val=&quot;00112B2E&quot;/&gt;&lt;wsp:rsid wsp:val=&quot;00113194&quot;/&gt;&lt;wsp:rsid wsp:val=&quot;001132EA&quot;/&gt;&lt;wsp:rsid wsp:val=&quot;00113F49&quot;/&gt;&lt;wsp:rsid wsp:val=&quot;00114432&quot;/&gt;&lt;wsp:rsid wsp:val=&quot;00115176&quot;/&gt;&lt;wsp:rsid wsp:val=&quot;00115274&quot;/&gt;&lt;wsp:rsid wsp:val=&quot;00115864&quot;/&gt;&lt;wsp:rsid wsp:val=&quot;00115958&quot;/&gt;&lt;wsp:rsid wsp:val=&quot;00116FA4&quot;/&gt;&lt;wsp:rsid wsp:val=&quot;00117296&quot;/&gt;&lt;wsp:rsid wsp:val=&quot;00120675&quot;/&gt;&lt;wsp:rsid wsp:val=&quot;001207D9&quot;/&gt;&lt;wsp:rsid wsp:val=&quot;001241C5&quot;/&gt;&lt;wsp:rsid wsp:val=&quot;00124298&quot;/&gt;&lt;wsp:rsid wsp:val=&quot;001244DA&quot;/&gt;&lt;wsp:rsid wsp:val=&quot;00125063&quot;/&gt;&lt;wsp:rsid wsp:val=&quot;00125120&quot;/&gt;&lt;wsp:rsid wsp:val=&quot;00125182&quot;/&gt;&lt;wsp:rsid wsp:val=&quot;00125A8C&quot;/&gt;&lt;wsp:rsid wsp:val=&quot;001265B9&quot;/&gt;&lt;wsp:rsid wsp:val=&quot;00126BC0&quot;/&gt;&lt;wsp:rsid wsp:val=&quot;00126DF9&quot;/&gt;&lt;wsp:rsid wsp:val=&quot;0012725D&quot;/&gt;&lt;wsp:rsid wsp:val=&quot;001273E1&quot;/&gt;&lt;wsp:rsid wsp:val=&quot;001274DF&quot;/&gt;&lt;wsp:rsid wsp:val=&quot;001307FA&quot;/&gt;&lt;wsp:rsid wsp:val=&quot;001312DD&quot;/&gt;&lt;wsp:rsid wsp:val=&quot;0013272D&quot;/&gt;&lt;wsp:rsid wsp:val=&quot;00133676&quot;/&gt;&lt;wsp:rsid wsp:val=&quot;001368D7&quot;/&gt;&lt;wsp:rsid wsp:val=&quot;00136DAF&quot;/&gt;&lt;wsp:rsid wsp:val=&quot;00137C85&quot;/&gt;&lt;wsp:rsid wsp:val=&quot;001412E2&quot;/&gt;&lt;wsp:rsid wsp:val=&quot;00141E8B&quot;/&gt;&lt;wsp:rsid wsp:val=&quot;00143651&quot;/&gt;&lt;wsp:rsid wsp:val=&quot;00143936&quot;/&gt;&lt;wsp:rsid wsp:val=&quot;0014487D&quot;/&gt;&lt;wsp:rsid wsp:val=&quot;00144BE8&quot;/&gt;&lt;wsp:rsid wsp:val=&quot;00146730&quot;/&gt;&lt;wsp:rsid wsp:val=&quot;00146B01&quot;/&gt;&lt;wsp:rsid wsp:val=&quot;00146B61&quot;/&gt;&lt;wsp:rsid wsp:val=&quot;00146B85&quot;/&gt;&lt;wsp:rsid wsp:val=&quot;00147B99&quot;/&gt;&lt;wsp:rsid wsp:val=&quot;00147EDE&quot;/&gt;&lt;wsp:rsid wsp:val=&quot;00150999&quot;/&gt;&lt;wsp:rsid wsp:val=&quot;00150DF6&quot;/&gt;&lt;wsp:rsid wsp:val=&quot;00151A4C&quot;/&gt;&lt;wsp:rsid wsp:val=&quot;00151DDF&quot;/&gt;&lt;wsp:rsid wsp:val=&quot;00152F6F&quot;/&gt;&lt;wsp:rsid wsp:val=&quot;00153826&quot;/&gt;&lt;wsp:rsid wsp:val=&quot;001545D5&quot;/&gt;&lt;wsp:rsid wsp:val=&quot;00154780&quot;/&gt;&lt;wsp:rsid wsp:val=&quot;00154898&quot;/&gt;&lt;wsp:rsid wsp:val=&quot;001556CB&quot;/&gt;&lt;wsp:rsid wsp:val=&quot;00160EF8&quot;/&gt;&lt;wsp:rsid wsp:val=&quot;001624C0&quot;/&gt;&lt;wsp:rsid wsp:val=&quot;00162774&quot;/&gt;&lt;wsp:rsid wsp:val=&quot;001633B2&quot;/&gt;&lt;wsp:rsid wsp:val=&quot;00163F17&quot;/&gt;&lt;wsp:rsid wsp:val=&quot;00164CC7&quot;/&gt;&lt;wsp:rsid wsp:val=&quot;00165EE8&quot;/&gt;&lt;wsp:rsid wsp:val=&quot;001672BE&quot;/&gt;&lt;wsp:rsid wsp:val=&quot;00167575&quot;/&gt;&lt;wsp:rsid wsp:val=&quot;00167650&quot;/&gt;&lt;wsp:rsid wsp:val=&quot;0017091D&quot;/&gt;&lt;wsp:rsid wsp:val=&quot;00170EF6&quot;/&gt;&lt;wsp:rsid wsp:val=&quot;00171E89&quot;/&gt;&lt;wsp:rsid wsp:val=&quot;001732BA&quot;/&gt;&lt;wsp:rsid wsp:val=&quot;00173501&quot;/&gt;&lt;wsp:rsid wsp:val=&quot;001735D9&quot;/&gt;&lt;wsp:rsid wsp:val=&quot;00173A58&quot;/&gt;&lt;wsp:rsid wsp:val=&quot;00174375&quot;/&gt;&lt;wsp:rsid wsp:val=&quot;00174F4D&quot;/&gt;&lt;wsp:rsid wsp:val=&quot;001756F2&quot;/&gt;&lt;wsp:rsid wsp:val=&quot;001768EF&quot;/&gt;&lt;wsp:rsid wsp:val=&quot;00176C65&quot;/&gt;&lt;wsp:rsid wsp:val=&quot;00177483&quot;/&gt;&lt;wsp:rsid wsp:val=&quot;00180BDD&quot;/&gt;&lt;wsp:rsid wsp:val=&quot;00180D62&quot;/&gt;&lt;wsp:rsid wsp:val=&quot;00181982&quot;/&gt;&lt;wsp:rsid wsp:val=&quot;001861AD&quot;/&gt;&lt;wsp:rsid wsp:val=&quot;0019034F&quot;/&gt;&lt;wsp:rsid wsp:val=&quot;001903E7&quot;/&gt;&lt;wsp:rsid wsp:val=&quot;001905BD&quot;/&gt;&lt;wsp:rsid wsp:val=&quot;00191C03&quot;/&gt;&lt;wsp:rsid wsp:val=&quot;00194940&quot;/&gt;&lt;wsp:rsid wsp:val=&quot;00195FF6&quot;/&gt;&lt;wsp:rsid wsp:val=&quot;001A018E&quot;/&gt;&lt;wsp:rsid wsp:val=&quot;001A021D&quot;/&gt;&lt;wsp:rsid wsp:val=&quot;001A0285&quot;/&gt;&lt;wsp:rsid wsp:val=&quot;001A086A&quot;/&gt;&lt;wsp:rsid wsp:val=&quot;001A0B22&quot;/&gt;&lt;wsp:rsid wsp:val=&quot;001A4906&quot;/&gt;&lt;wsp:rsid wsp:val=&quot;001A4CAC&quot;/&gt;&lt;wsp:rsid wsp:val=&quot;001A53C4&quot;/&gt;&lt;wsp:rsid wsp:val=&quot;001A5678&quot;/&gt;&lt;wsp:rsid wsp:val=&quot;001A6921&quot;/&gt;&lt;wsp:rsid wsp:val=&quot;001A6DF8&quot;/&gt;&lt;wsp:rsid wsp:val=&quot;001A6EE0&quot;/&gt;&lt;wsp:rsid wsp:val=&quot;001A7030&quot;/&gt;&lt;wsp:rsid wsp:val=&quot;001B09C9&quot;/&gt;&lt;wsp:rsid wsp:val=&quot;001B0B86&quot;/&gt;&lt;wsp:rsid wsp:val=&quot;001B1691&quot;/&gt;&lt;wsp:rsid wsp:val=&quot;001B1BED&quot;/&gt;&lt;wsp:rsid wsp:val=&quot;001B1DFF&quot;/&gt;&lt;wsp:rsid wsp:val=&quot;001B3A66&quot;/&gt;&lt;wsp:rsid wsp:val=&quot;001B3CBD&quot;/&gt;&lt;wsp:rsid wsp:val=&quot;001B5A24&quot;/&gt;&lt;wsp:rsid wsp:val=&quot;001B60EC&quot;/&gt;&lt;wsp:rsid wsp:val=&quot;001B61EA&quot;/&gt;&lt;wsp:rsid wsp:val=&quot;001B651E&quot;/&gt;&lt;wsp:rsid wsp:val=&quot;001B6A91&quot;/&gt;&lt;wsp:rsid wsp:val=&quot;001B7142&quot;/&gt;&lt;wsp:rsid wsp:val=&quot;001B71A8&quot;/&gt;&lt;wsp:rsid wsp:val=&quot;001B75A7&quot;/&gt;&lt;wsp:rsid wsp:val=&quot;001B76FE&quot;/&gt;&lt;wsp:rsid wsp:val=&quot;001C0529&quot;/&gt;&lt;wsp:rsid wsp:val=&quot;001C09A8&quot;/&gt;&lt;wsp:rsid wsp:val=&quot;001C0B3D&quot;/&gt;&lt;wsp:rsid wsp:val=&quot;001C1190&quot;/&gt;&lt;wsp:rsid wsp:val=&quot;001C1EFA&quot;/&gt;&lt;wsp:rsid wsp:val=&quot;001C2A0C&quot;/&gt;&lt;wsp:rsid wsp:val=&quot;001C33FD&quot;/&gt;&lt;wsp:rsid wsp:val=&quot;001C4CF3&quot;/&gt;&lt;wsp:rsid wsp:val=&quot;001C55AA&quot;/&gt;&lt;wsp:rsid wsp:val=&quot;001C5FDE&quot;/&gt;&lt;wsp:rsid wsp:val=&quot;001C6171&quot;/&gt;&lt;wsp:rsid wsp:val=&quot;001C6572&quot;/&gt;&lt;wsp:rsid wsp:val=&quot;001C6BB2&quot;/&gt;&lt;wsp:rsid wsp:val=&quot;001C7DEE&quot;/&gt;&lt;wsp:rsid wsp:val=&quot;001D04FE&quot;/&gt;&lt;wsp:rsid wsp:val=&quot;001D176C&quot;/&gt;&lt;wsp:rsid wsp:val=&quot;001D17B3&quot;/&gt;&lt;wsp:rsid wsp:val=&quot;001D224E&quot;/&gt;&lt;wsp:rsid wsp:val=&quot;001D24F2&quot;/&gt;&lt;wsp:rsid wsp:val=&quot;001D3C00&quot;/&gt;&lt;wsp:rsid wsp:val=&quot;001D3DB4&quot;/&gt;&lt;wsp:rsid wsp:val=&quot;001D42E0&quot;/&gt;&lt;wsp:rsid wsp:val=&quot;001D4853&quot;/&gt;&lt;wsp:rsid wsp:val=&quot;001D5269&quot;/&gt;&lt;wsp:rsid wsp:val=&quot;001D5607&quot;/&gt;&lt;wsp:rsid wsp:val=&quot;001D59D7&quot;/&gt;&lt;wsp:rsid wsp:val=&quot;001D6A15&quot;/&gt;&lt;wsp:rsid wsp:val=&quot;001D749F&quot;/&gt;&lt;wsp:rsid wsp:val=&quot;001E05D0&quot;/&gt;&lt;wsp:rsid wsp:val=&quot;001E1002&quot;/&gt;&lt;wsp:rsid wsp:val=&quot;001E1161&quot;/&gt;&lt;wsp:rsid wsp:val=&quot;001E11B6&quot;/&gt;&lt;wsp:rsid wsp:val=&quot;001E3F67&quot;/&gt;&lt;wsp:rsid wsp:val=&quot;001E42F2&quot;/&gt;&lt;wsp:rsid wsp:val=&quot;001E4300&quot;/&gt;&lt;wsp:rsid wsp:val=&quot;001E4892&quot;/&gt;&lt;wsp:rsid wsp:val=&quot;001E6A6F&quot;/&gt;&lt;wsp:rsid wsp:val=&quot;001E799B&quot;/&gt;&lt;wsp:rsid wsp:val=&quot;001E7BFE&quot;/&gt;&lt;wsp:rsid wsp:val=&quot;001F0B42&quot;/&gt;&lt;wsp:rsid wsp:val=&quot;001F207B&quot;/&gt;&lt;wsp:rsid wsp:val=&quot;001F266B&quot;/&gt;&lt;wsp:rsid wsp:val=&quot;001F2697&quot;/&gt;&lt;wsp:rsid wsp:val=&quot;001F3548&quot;/&gt;&lt;wsp:rsid wsp:val=&quot;001F4023&quot;/&gt;&lt;wsp:rsid wsp:val=&quot;001F4370&quot;/&gt;&lt;wsp:rsid wsp:val=&quot;001F49B6&quot;/&gt;&lt;wsp:rsid wsp:val=&quot;001F4B67&quot;/&gt;&lt;wsp:rsid wsp:val=&quot;001F4BD4&quot;/&gt;&lt;wsp:rsid wsp:val=&quot;001F5533&quot;/&gt;&lt;wsp:rsid wsp:val=&quot;001F6B43&quot;/&gt;&lt;wsp:rsid wsp:val=&quot;001F6C4A&quot;/&gt;&lt;wsp:rsid wsp:val=&quot;001F6DF3&quot;/&gt;&lt;wsp:rsid wsp:val=&quot;00200201&quot;/&gt;&lt;wsp:rsid wsp:val=&quot;002007E7&quot;/&gt;&lt;wsp:rsid wsp:val=&quot;00204DAB&quot;/&gt;&lt;wsp:rsid wsp:val=&quot;00205220&quot;/&gt;&lt;wsp:rsid wsp:val=&quot;002059AA&quot;/&gt;&lt;wsp:rsid wsp:val=&quot;00206F9F&quot;/&gt;&lt;wsp:rsid wsp:val=&quot;002072D6&quot;/&gt;&lt;wsp:rsid wsp:val=&quot;00210C62&quot;/&gt;&lt;wsp:rsid wsp:val=&quot;00212459&quot;/&gt;&lt;wsp:rsid wsp:val=&quot;00213222&quot;/&gt;&lt;wsp:rsid wsp:val=&quot;0021570F&quot;/&gt;&lt;wsp:rsid wsp:val=&quot;002202A0&quot;/&gt;&lt;wsp:rsid wsp:val=&quot;002203B9&quot;/&gt;&lt;wsp:rsid wsp:val=&quot;00223A0E&quot;/&gt;&lt;wsp:rsid wsp:val=&quot;00223EB2&quot;/&gt;&lt;wsp:rsid wsp:val=&quot;002254FE&quot;/&gt;&lt;wsp:rsid wsp:val=&quot;00225685&quot;/&gt;&lt;wsp:rsid wsp:val=&quot;00225968&quot;/&gt;&lt;wsp:rsid wsp:val=&quot;00225B58&quot;/&gt;&lt;wsp:rsid wsp:val=&quot;002265DA&quot;/&gt;&lt;wsp:rsid wsp:val=&quot;0022660B&quot;/&gt;&lt;wsp:rsid wsp:val=&quot;0022779C&quot;/&gt;&lt;wsp:rsid wsp:val=&quot;00230826&quot;/&gt;&lt;wsp:rsid wsp:val=&quot;002309FF&quot;/&gt;&lt;wsp:rsid wsp:val=&quot;00230FDA&quot;/&gt;&lt;wsp:rsid wsp:val=&quot;00232FEC&quot;/&gt;&lt;wsp:rsid wsp:val=&quot;00233681&quot;/&gt;&lt;wsp:rsid wsp:val=&quot;00233F85&quot;/&gt;&lt;wsp:rsid wsp:val=&quot;00234AFB&quot;/&gt;&lt;wsp:rsid wsp:val=&quot;00235332&quot;/&gt;&lt;wsp:rsid wsp:val=&quot;00235699&quot;/&gt;&lt;wsp:rsid wsp:val=&quot;00236B8E&quot;/&gt;&lt;wsp:rsid wsp:val=&quot;002375C9&quot;/&gt;&lt;wsp:rsid wsp:val=&quot;0023774D&quot;/&gt;&lt;wsp:rsid wsp:val=&quot;00240CF6&quot;/&gt;&lt;wsp:rsid wsp:val=&quot;00241A2A&quot;/&gt;&lt;wsp:rsid wsp:val=&quot;002428BC&quot;/&gt;&lt;wsp:rsid wsp:val=&quot;00242B81&quot;/&gt;&lt;wsp:rsid wsp:val=&quot;002433AB&quot;/&gt;&lt;wsp:rsid wsp:val=&quot;0024575D&quot;/&gt;&lt;wsp:rsid wsp:val=&quot;00246C3B&quot;/&gt;&lt;wsp:rsid wsp:val=&quot;00251D1A&quot;/&gt;&lt;wsp:rsid wsp:val=&quot;00251F56&quot;/&gt;&lt;wsp:rsid wsp:val=&quot;002534C0&quot;/&gt;&lt;wsp:rsid wsp:val=&quot;00253E25&quot;/&gt;&lt;wsp:rsid wsp:val=&quot;00253F9C&quot;/&gt;&lt;wsp:rsid wsp:val=&quot;00254F32&quot;/&gt;&lt;wsp:rsid wsp:val=&quot;00255840&quot;/&gt;&lt;wsp:rsid wsp:val=&quot;002570CC&quot;/&gt;&lt;wsp:rsid wsp:val=&quot;00257A0A&quot;/&gt;&lt;wsp:rsid wsp:val=&quot;00257AC6&quot;/&gt;&lt;wsp:rsid wsp:val=&quot;002604E0&quot;/&gt;&lt;wsp:rsid wsp:val=&quot;002620A9&quot;/&gt;&lt;wsp:rsid wsp:val=&quot;002630A7&quot;/&gt;&lt;wsp:rsid wsp:val=&quot;00265AF6&quot;/&gt;&lt;wsp:rsid wsp:val=&quot;002674A5&quot;/&gt;&lt;wsp:rsid wsp:val=&quot;0026787D&quot;/&gt;&lt;wsp:rsid wsp:val=&quot;00270E97&quot;/&gt;&lt;wsp:rsid wsp:val=&quot;0027171C&quot;/&gt;&lt;wsp:rsid wsp:val=&quot;00273F35&quot;/&gt;&lt;wsp:rsid wsp:val=&quot;002742CD&quot;/&gt;&lt;wsp:rsid wsp:val=&quot;00274617&quot;/&gt;&lt;wsp:rsid wsp:val=&quot;002757D2&quot;/&gt;&lt;wsp:rsid wsp:val=&quot;00276043&quot;/&gt;&lt;wsp:rsid wsp:val=&quot;0027667D&quot;/&gt;&lt;wsp:rsid wsp:val=&quot;00276D97&quot;/&gt;&lt;wsp:rsid wsp:val=&quot;00276DDD&quot;/&gt;&lt;wsp:rsid wsp:val=&quot;00277B4D&quot;/&gt;&lt;wsp:rsid wsp:val=&quot;0028137A&quot;/&gt;&lt;wsp:rsid wsp:val=&quot;00282C16&quot;/&gt;&lt;wsp:rsid wsp:val=&quot;002833EB&quot;/&gt;&lt;wsp:rsid wsp:val=&quot;002835EC&quot;/&gt;&lt;wsp:rsid wsp:val=&quot;002835F9&quot;/&gt;&lt;wsp:rsid wsp:val=&quot;002859BF&quot;/&gt;&lt;wsp:rsid wsp:val=&quot;00286DD7&quot;/&gt;&lt;wsp:rsid wsp:val=&quot;00287074&quot;/&gt;&lt;wsp:rsid wsp:val=&quot;002877A6&quot;/&gt;&lt;wsp:rsid wsp:val=&quot;00287938&quot;/&gt;&lt;wsp:rsid wsp:val=&quot;00291E78&quot;/&gt;&lt;wsp:rsid wsp:val=&quot;002922C1&quot;/&gt;&lt;wsp:rsid wsp:val=&quot;00292C7F&quot;/&gt;&lt;wsp:rsid wsp:val=&quot;00294685&quot;/&gt;&lt;wsp:rsid wsp:val=&quot;00294903&quot;/&gt;&lt;wsp:rsid wsp:val=&quot;00295625&quot;/&gt;&lt;wsp:rsid wsp:val=&quot;00297343&quot;/&gt;&lt;wsp:rsid wsp:val=&quot;002A0802&quot;/&gt;&lt;wsp:rsid wsp:val=&quot;002A0BCC&quot;/&gt;&lt;wsp:rsid wsp:val=&quot;002A148F&quot;/&gt;&lt;wsp:rsid wsp:val=&quot;002A1AB3&quot;/&gt;&lt;wsp:rsid wsp:val=&quot;002A1DE1&quot;/&gt;&lt;wsp:rsid wsp:val=&quot;002A1E7F&quot;/&gt;&lt;wsp:rsid wsp:val=&quot;002A1EA3&quot;/&gt;&lt;wsp:rsid wsp:val=&quot;002A1FD0&quot;/&gt;&lt;wsp:rsid wsp:val=&quot;002A21CF&quot;/&gt;&lt;wsp:rsid wsp:val=&quot;002A3505&quot;/&gt;&lt;wsp:rsid wsp:val=&quot;002A383F&quot;/&gt;&lt;wsp:rsid wsp:val=&quot;002A4E04&quot;/&gt;&lt;wsp:rsid wsp:val=&quot;002A59AD&quot;/&gt;&lt;wsp:rsid wsp:val=&quot;002A5FBB&quot;/&gt;&lt;wsp:rsid wsp:val=&quot;002A6051&quot;/&gt;&lt;wsp:rsid wsp:val=&quot;002A6122&quot;/&gt;&lt;wsp:rsid wsp:val=&quot;002A72C2&quot;/&gt;&lt;wsp:rsid wsp:val=&quot;002A7940&quot;/&gt;&lt;wsp:rsid wsp:val=&quot;002A7A26&quot;/&gt;&lt;wsp:rsid wsp:val=&quot;002A7DAA&quot;/&gt;&lt;wsp:rsid wsp:val=&quot;002B0B3D&quot;/&gt;&lt;wsp:rsid wsp:val=&quot;002B1958&quot;/&gt;&lt;wsp:rsid wsp:val=&quot;002B1B1F&quot;/&gt;&lt;wsp:rsid wsp:val=&quot;002B1C20&quot;/&gt;&lt;wsp:rsid wsp:val=&quot;002B1F2D&quot;/&gt;&lt;wsp:rsid wsp:val=&quot;002B37DD&quot;/&gt;&lt;wsp:rsid wsp:val=&quot;002B3EE9&quot;/&gt;&lt;wsp:rsid wsp:val=&quot;002B472E&quot;/&gt;&lt;wsp:rsid wsp:val=&quot;002B5A6E&quot;/&gt;&lt;wsp:rsid wsp:val=&quot;002B60C1&quot;/&gt;&lt;wsp:rsid wsp:val=&quot;002B6332&quot;/&gt;&lt;wsp:rsid wsp:val=&quot;002B707E&quot;/&gt;&lt;wsp:rsid wsp:val=&quot;002B7502&quot;/&gt;&lt;wsp:rsid wsp:val=&quot;002B7B55&quot;/&gt;&lt;wsp:rsid wsp:val=&quot;002C1021&quot;/&gt;&lt;wsp:rsid wsp:val=&quot;002C2675&quot;/&gt;&lt;wsp:rsid wsp:val=&quot;002C3935&quot;/&gt;&lt;wsp:rsid wsp:val=&quot;002C3DF3&quot;/&gt;&lt;wsp:rsid wsp:val=&quot;002C4601&quot;/&gt;&lt;wsp:rsid wsp:val=&quot;002C7355&quot;/&gt;&lt;wsp:rsid wsp:val=&quot;002C7ED2&quot;/&gt;&lt;wsp:rsid wsp:val=&quot;002D1366&quot;/&gt;&lt;wsp:rsid wsp:val=&quot;002D3ABE&quot;/&gt;&lt;wsp:rsid wsp:val=&quot;002D40D3&quot;/&gt;&lt;wsp:rsid wsp:val=&quot;002D42CF&quot;/&gt;&lt;wsp:rsid wsp:val=&quot;002D4546&quot;/&gt;&lt;wsp:rsid wsp:val=&quot;002D49E9&quot;/&gt;&lt;wsp:rsid wsp:val=&quot;002D4EBF&quot;/&gt;&lt;wsp:rsid wsp:val=&quot;002D60A1&quot;/&gt;&lt;wsp:rsid wsp:val=&quot;002D671A&quot;/&gt;&lt;wsp:rsid wsp:val=&quot;002D6D07&quot;/&gt;&lt;wsp:rsid wsp:val=&quot;002D6D5F&quot;/&gt;&lt;wsp:rsid wsp:val=&quot;002D7506&quot;/&gt;&lt;wsp:rsid wsp:val=&quot;002E0694&quot;/&gt;&lt;wsp:rsid wsp:val=&quot;002E1F83&quot;/&gt;&lt;wsp:rsid wsp:val=&quot;002E329B&quot;/&gt;&lt;wsp:rsid wsp:val=&quot;002E3C9C&quot;/&gt;&lt;wsp:rsid wsp:val=&quot;002E41A0&quot;/&gt;&lt;wsp:rsid wsp:val=&quot;002E628E&quot;/&gt;&lt;wsp:rsid wsp:val=&quot;002E67D2&quot;/&gt;&lt;wsp:rsid wsp:val=&quot;002E7E2F&quot;/&gt;&lt;wsp:rsid wsp:val=&quot;002F1A1D&quot;/&gt;&lt;wsp:rsid wsp:val=&quot;002F1C53&quot;/&gt;&lt;wsp:rsid wsp:val=&quot;002F2063&quot;/&gt;&lt;wsp:rsid wsp:val=&quot;002F2929&quot;/&gt;&lt;wsp:rsid wsp:val=&quot;002F3AEA&quot;/&gt;&lt;wsp:rsid wsp:val=&quot;002F4EE6&quot;/&gt;&lt;wsp:rsid wsp:val=&quot;002F56E1&quot;/&gt;&lt;wsp:rsid wsp:val=&quot;002F6CC6&quot;/&gt;&lt;wsp:rsid wsp:val=&quot;002F6E23&quot;/&gt;&lt;wsp:rsid wsp:val=&quot;002F783A&quot;/&gt;&lt;wsp:rsid wsp:val=&quot;00300BFD&quot;/&gt;&lt;wsp:rsid wsp:val=&quot;00300E33&quot;/&gt;&lt;wsp:rsid wsp:val=&quot;00300F1F&quot;/&gt;&lt;wsp:rsid wsp:val=&quot;00301846&quot;/&gt;&lt;wsp:rsid wsp:val=&quot;00301D9A&quot;/&gt;&lt;wsp:rsid wsp:val=&quot;00302401&quot;/&gt;&lt;wsp:rsid wsp:val=&quot;00303081&quot;/&gt;&lt;wsp:rsid wsp:val=&quot;00303562&quot;/&gt;&lt;wsp:rsid wsp:val=&quot;00304933&quot;/&gt;&lt;wsp:rsid wsp:val=&quot;00304C80&quot;/&gt;&lt;wsp:rsid wsp:val=&quot;0030589B&quot;/&gt;&lt;wsp:rsid wsp:val=&quot;0030611B&quot;/&gt;&lt;wsp:rsid wsp:val=&quot;003065C8&quot;/&gt;&lt;wsp:rsid wsp:val=&quot;0030677C&quot;/&gt;&lt;wsp:rsid wsp:val=&quot;00306EDB&quot;/&gt;&lt;wsp:rsid wsp:val=&quot;00310578&quot;/&gt;&lt;wsp:rsid wsp:val=&quot;00310E77&quot;/&gt;&lt;wsp:rsid wsp:val=&quot;003125FB&quot;/&gt;&lt;wsp:rsid wsp:val=&quot;00312CFC&quot;/&gt;&lt;wsp:rsid wsp:val=&quot;003135E0&quot;/&gt;&lt;wsp:rsid wsp:val=&quot;003157C3&quot;/&gt;&lt;wsp:rsid wsp:val=&quot;00316F39&quot;/&gt;&lt;wsp:rsid wsp:val=&quot;003172DE&quot;/&gt;&lt;wsp:rsid wsp:val=&quot;0031735B&quot;/&gt;&lt;wsp:rsid wsp:val=&quot;003178C0&quot;/&gt;&lt;wsp:rsid wsp:val=&quot;00317B03&quot;/&gt;&lt;wsp:rsid wsp:val=&quot;00320282&quot;/&gt;&lt;wsp:rsid wsp:val=&quot;003210D2&quot;/&gt;&lt;wsp:rsid wsp:val=&quot;00321D07&quot;/&gt;&lt;wsp:rsid wsp:val=&quot;0032353F&quot;/&gt;&lt;wsp:rsid wsp:val=&quot;00324BD8&quot;/&gt;&lt;wsp:rsid wsp:val=&quot;00324CB9&quot;/&gt;&lt;wsp:rsid wsp:val=&quot;00324D1F&quot;/&gt;&lt;wsp:rsid wsp:val=&quot;00325F2D&quot;/&gt;&lt;wsp:rsid wsp:val=&quot;00326043&quot;/&gt;&lt;wsp:rsid wsp:val=&quot;003268D3&quot;/&gt;&lt;wsp:rsid wsp:val=&quot;00326A41&quot;/&gt;&lt;wsp:rsid wsp:val=&quot;003270FF&quot;/&gt;&lt;wsp:rsid wsp:val=&quot;00327127&quot;/&gt;&lt;wsp:rsid wsp:val=&quot;00327365&quot;/&gt;&lt;wsp:rsid wsp:val=&quot;00330871&quot;/&gt;&lt;wsp:rsid wsp:val=&quot;00331387&quot;/&gt;&lt;wsp:rsid wsp:val=&quot;003325EF&quot;/&gt;&lt;wsp:rsid wsp:val=&quot;003336E7&quot;/&gt;&lt;wsp:rsid wsp:val=&quot;00333910&quot;/&gt;&lt;wsp:rsid wsp:val=&quot;0033531C&quot;/&gt;&lt;wsp:rsid wsp:val=&quot;003364CF&quot;/&gt;&lt;wsp:rsid wsp:val=&quot;00336BBD&quot;/&gt;&lt;wsp:rsid wsp:val=&quot;00336F41&quot;/&gt;&lt;wsp:rsid wsp:val=&quot;003373B3&quot;/&gt;&lt;wsp:rsid wsp:val=&quot;0033758F&quot;/&gt;&lt;wsp:rsid wsp:val=&quot;003377AA&quot;/&gt;&lt;wsp:rsid wsp:val=&quot;00340AA1&quot;/&gt;&lt;wsp:rsid wsp:val=&quot;00340EEB&quot;/&gt;&lt;wsp:rsid wsp:val=&quot;00341A04&quot;/&gt;&lt;wsp:rsid wsp:val=&quot;00341C1C&quot;/&gt;&lt;wsp:rsid wsp:val=&quot;0034219A&quot;/&gt;&lt;wsp:rsid wsp:val=&quot;00342FC3&quot;/&gt;&lt;wsp:rsid wsp:val=&quot;003440AC&quot;/&gt;&lt;wsp:rsid wsp:val=&quot;0034591C&quot;/&gt;&lt;wsp:rsid wsp:val=&quot;00345D84&quot;/&gt;&lt;wsp:rsid wsp:val=&quot;00346295&quot;/&gt;&lt;wsp:rsid wsp:val=&quot;00346662&quot;/&gt;&lt;wsp:rsid wsp:val=&quot;00346841&quot;/&gt;&lt;wsp:rsid wsp:val=&quot;003476FE&quot;/&gt;&lt;wsp:rsid wsp:val=&quot;00350729&quot;/&gt;&lt;wsp:rsid wsp:val=&quot;00350C34&quot;/&gt;&lt;wsp:rsid wsp:val=&quot;003513E1&quot;/&gt;&lt;wsp:rsid wsp:val=&quot;00351A5F&quot;/&gt;&lt;wsp:rsid wsp:val=&quot;00351FC6&quot;/&gt;&lt;wsp:rsid wsp:val=&quot;00352C53&quot;/&gt;&lt;wsp:rsid wsp:val=&quot;00356F04&quot;/&gt;&lt;wsp:rsid wsp:val=&quot;00357892&quot;/&gt;&lt;wsp:rsid wsp:val=&quot;0036052B&quot;/&gt;&lt;wsp:rsid wsp:val=&quot;00360C31&quot;/&gt;&lt;wsp:rsid wsp:val=&quot;00361E15&quot;/&gt;&lt;wsp:rsid wsp:val=&quot;003623AC&quot;/&gt;&lt;wsp:rsid wsp:val=&quot;00362D75&quot;/&gt;&lt;wsp:rsid wsp:val=&quot;00362ECF&quot;/&gt;&lt;wsp:rsid wsp:val=&quot;00364029&quot;/&gt;&lt;wsp:rsid wsp:val=&quot;003641B2&quot;/&gt;&lt;wsp:rsid wsp:val=&quot;00364DB9&quot;/&gt;&lt;wsp:rsid wsp:val=&quot;003650F8&quot;/&gt;&lt;wsp:rsid wsp:val=&quot;00365320&quot;/&gt;&lt;wsp:rsid wsp:val=&quot;003654EE&quot;/&gt;&lt;wsp:rsid wsp:val=&quot;00366C04&quot;/&gt;&lt;wsp:rsid wsp:val=&quot;00367373&quot;/&gt;&lt;wsp:rsid wsp:val=&quot;0036752F&quot;/&gt;&lt;wsp:rsid wsp:val=&quot;00367F1B&quot;/&gt;&lt;wsp:rsid wsp:val=&quot;00371114&quot;/&gt;&lt;wsp:rsid wsp:val=&quot;0037135B&quot;/&gt;&lt;wsp:rsid wsp:val=&quot;00371625&quot;/&gt;&lt;wsp:rsid wsp:val=&quot;00371F7E&quot;/&gt;&lt;wsp:rsid wsp:val=&quot;00373DE2&quot;/&gt;&lt;wsp:rsid wsp:val=&quot;00374D4E&quot;/&gt;&lt;wsp:rsid wsp:val=&quot;00374D6E&quot;/&gt;&lt;wsp:rsid wsp:val=&quot;00375229&quot;/&gt;&lt;wsp:rsid wsp:val=&quot;00376640&quot;/&gt;&lt;wsp:rsid wsp:val=&quot;003766F8&quot;/&gt;&lt;wsp:rsid wsp:val=&quot;00377412&quot;/&gt;&lt;wsp:rsid wsp:val=&quot;00377C98&quot;/&gt;&lt;wsp:rsid wsp:val=&quot;00380170&quot;/&gt;&lt;wsp:rsid wsp:val=&quot;003805A9&quot;/&gt;&lt;wsp:rsid wsp:val=&quot;00380C77&quot;/&gt;&lt;wsp:rsid wsp:val=&quot;00382141&quot;/&gt;&lt;wsp:rsid wsp:val=&quot;00382B3E&quot;/&gt;&lt;wsp:rsid wsp:val=&quot;003834B2&quot;/&gt;&lt;wsp:rsid wsp:val=&quot;003838D4&quot;/&gt;&lt;wsp:rsid wsp:val=&quot;00383E80&quot;/&gt;&lt;wsp:rsid wsp:val=&quot;0038422E&quot;/&gt;&lt;wsp:rsid wsp:val=&quot;003842A2&quot;/&gt;&lt;wsp:rsid wsp:val=&quot;00384945&quot;/&gt;&lt;wsp:rsid wsp:val=&quot;00384A28&quot;/&gt;&lt;wsp:rsid wsp:val=&quot;0038555C&quot;/&gt;&lt;wsp:rsid wsp:val=&quot;00386732&quot;/&gt;&lt;wsp:rsid wsp:val=&quot;00386E3F&quot;/&gt;&lt;wsp:rsid wsp:val=&quot;003870EF&quot;/&gt;&lt;wsp:rsid wsp:val=&quot;00390891&quot;/&gt;&lt;wsp:rsid wsp:val=&quot;00390CEA&quot;/&gt;&lt;wsp:rsid wsp:val=&quot;00390EBD&quot;/&gt;&lt;wsp:rsid wsp:val=&quot;00391465&quot;/&gt;&lt;wsp:rsid wsp:val=&quot;003914C4&quot;/&gt;&lt;wsp:rsid wsp:val=&quot;003923E0&quot;/&gt;&lt;wsp:rsid wsp:val=&quot;003924F2&quot;/&gt;&lt;wsp:rsid wsp:val=&quot;0039546F&quot;/&gt;&lt;wsp:rsid wsp:val=&quot;00395922&quot;/&gt;&lt;wsp:rsid wsp:val=&quot;00395BF5&quot;/&gt;&lt;wsp:rsid wsp:val=&quot;00397185&quot;/&gt;&lt;wsp:rsid wsp:val=&quot;00397AAC&quot;/&gt;&lt;wsp:rsid wsp:val=&quot;00397D0B&quot;/&gt;&lt;wsp:rsid wsp:val=&quot;00397DE6&quot;/&gt;&lt;wsp:rsid wsp:val=&quot;00397F5B&quot;/&gt;&lt;wsp:rsid wsp:val=&quot;003A033B&quot;/&gt;&lt;wsp:rsid wsp:val=&quot;003A05F5&quot;/&gt;&lt;wsp:rsid wsp:val=&quot;003A10D6&quot;/&gt;&lt;wsp:rsid wsp:val=&quot;003A1FF4&quot;/&gt;&lt;wsp:rsid wsp:val=&quot;003A249C&quot;/&gt;&lt;wsp:rsid wsp:val=&quot;003A2849&quot;/&gt;&lt;wsp:rsid wsp:val=&quot;003A2B1B&quot;/&gt;&lt;wsp:rsid wsp:val=&quot;003A2C72&quot;/&gt;&lt;wsp:rsid wsp:val=&quot;003A3074&quot;/&gt;&lt;wsp:rsid wsp:val=&quot;003A30EF&quot;/&gt;&lt;wsp:rsid wsp:val=&quot;003A39F0&quot;/&gt;&lt;wsp:rsid wsp:val=&quot;003A54B3&quot;/&gt;&lt;wsp:rsid wsp:val=&quot;003A78E7&quot;/&gt;&lt;wsp:rsid wsp:val=&quot;003A7932&quot;/&gt;&lt;wsp:rsid wsp:val=&quot;003B02C4&quot;/&gt;&lt;wsp:rsid wsp:val=&quot;003B071D&quot;/&gt;&lt;wsp:rsid wsp:val=&quot;003B315E&quot;/&gt;&lt;wsp:rsid wsp:val=&quot;003B4589&quot;/&gt;&lt;wsp:rsid wsp:val=&quot;003B770D&quot;/&gt;&lt;wsp:rsid wsp:val=&quot;003C0595&quot;/&gt;&lt;wsp:rsid wsp:val=&quot;003C1C38&quot;/&gt;&lt;wsp:rsid wsp:val=&quot;003C1FEE&quot;/&gt;&lt;wsp:rsid wsp:val=&quot;003C4B80&quot;/&gt;&lt;wsp:rsid wsp:val=&quot;003C4F87&quot;/&gt;&lt;wsp:rsid wsp:val=&quot;003C5A75&quot;/&gt;&lt;wsp:rsid wsp:val=&quot;003C65AD&quot;/&gt;&lt;wsp:rsid wsp:val=&quot;003C754A&quot;/&gt;&lt;wsp:rsid wsp:val=&quot;003D0404&quot;/&gt;&lt;wsp:rsid wsp:val=&quot;003D1E3B&quot;/&gt;&lt;wsp:rsid wsp:val=&quot;003D29A3&quot;/&gt;&lt;wsp:rsid wsp:val=&quot;003D29F1&quot;/&gt;&lt;wsp:rsid wsp:val=&quot;003D2EE6&quot;/&gt;&lt;wsp:rsid wsp:val=&quot;003D3381&quot;/&gt;&lt;wsp:rsid wsp:val=&quot;003D359C&quot;/&gt;&lt;wsp:rsid wsp:val=&quot;003D4B56&quot;/&gt;&lt;wsp:rsid wsp:val=&quot;003D4BF0&quot;/&gt;&lt;wsp:rsid wsp:val=&quot;003D5485&quot;/&gt;&lt;wsp:rsid wsp:val=&quot;003D7668&quot;/&gt;&lt;wsp:rsid wsp:val=&quot;003D7DE0&quot;/&gt;&lt;wsp:rsid wsp:val=&quot;003D7EF9&quot;/&gt;&lt;wsp:rsid wsp:val=&quot;003E013C&quot;/&gt;&lt;wsp:rsid wsp:val=&quot;003E2AD1&quot;/&gt;&lt;wsp:rsid wsp:val=&quot;003E2EF9&quot;/&gt;&lt;wsp:rsid wsp:val=&quot;003E2F7D&quot;/&gt;&lt;wsp:rsid wsp:val=&quot;003E5D20&quot;/&gt;&lt;wsp:rsid wsp:val=&quot;003E6B63&quot;/&gt;&lt;wsp:rsid wsp:val=&quot;003E6E53&quot;/&gt;&lt;wsp:rsid wsp:val=&quot;003E7131&quot;/&gt;&lt;wsp:rsid wsp:val=&quot;003F170B&quot;/&gt;&lt;wsp:rsid wsp:val=&quot;003F2810&quot;/&gt;&lt;wsp:rsid wsp:val=&quot;003F2EA9&quot;/&gt;&lt;wsp:rsid wsp:val=&quot;003F440E&quot;/&gt;&lt;wsp:rsid wsp:val=&quot;003F49D4&quot;/&gt;&lt;wsp:rsid wsp:val=&quot;003F544B&quot;/&gt;&lt;wsp:rsid wsp:val=&quot;003F5AD1&quot;/&gt;&lt;wsp:rsid wsp:val=&quot;003F7282&quot;/&gt;&lt;wsp:rsid wsp:val=&quot;00400691&quot;/&gt;&lt;wsp:rsid wsp:val=&quot;00400821&quot;/&gt;&lt;wsp:rsid wsp:val=&quot;00400C51&quot;/&gt;&lt;wsp:rsid wsp:val=&quot;0040154F&quot;/&gt;&lt;wsp:rsid wsp:val=&quot;00403D8C&quot;/&gt;&lt;wsp:rsid wsp:val=&quot;00404695&quot;/&gt;&lt;wsp:rsid wsp:val=&quot;00404D22&quot;/&gt;&lt;wsp:rsid wsp:val=&quot;004053AA&quot;/&gt;&lt;wsp:rsid wsp:val=&quot;00405920&quot;/&gt;&lt;wsp:rsid wsp:val=&quot;00406236&quot;/&gt;&lt;wsp:rsid wsp:val=&quot;004062E0&quot;/&gt;&lt;wsp:rsid wsp:val=&quot;00407C2D&quot;/&gt;&lt;wsp:rsid wsp:val=&quot;004130FC&quot;/&gt;&lt;wsp:rsid wsp:val=&quot;00413777&quot;/&gt;&lt;wsp:rsid wsp:val=&quot;00413DDF&quot;/&gt;&lt;wsp:rsid wsp:val=&quot;0041488F&quot;/&gt;&lt;wsp:rsid wsp:val=&quot;004151E9&quot;/&gt;&lt;wsp:rsid wsp:val=&quot;00415337&quot;/&gt;&lt;wsp:rsid wsp:val=&quot;00415ED7&quot;/&gt;&lt;wsp:rsid wsp:val=&quot;00416161&quot;/&gt;&lt;wsp:rsid wsp:val=&quot;00420261&quot;/&gt;&lt;wsp:rsid wsp:val=&quot;004209E3&quot;/&gt;&lt;wsp:rsid wsp:val=&quot;00420CE9&quot;/&gt;&lt;wsp:rsid wsp:val=&quot;0042138E&quot;/&gt;&lt;wsp:rsid wsp:val=&quot;0042170C&quot;/&gt;&lt;wsp:rsid wsp:val=&quot;00421825&quot;/&gt;&lt;wsp:rsid wsp:val=&quot;0042299C&quot;/&gt;&lt;wsp:rsid wsp:val=&quot;00424D64&quot;/&gt;&lt;wsp:rsid wsp:val=&quot;00427004&quot;/&gt;&lt;wsp:rsid wsp:val=&quot;004273A3&quot;/&gt;&lt;wsp:rsid wsp:val=&quot;0042790C&quot;/&gt;&lt;wsp:rsid wsp:val=&quot;004307D6&quot;/&gt;&lt;wsp:rsid wsp:val=&quot;0043090D&quot;/&gt;&lt;wsp:rsid wsp:val=&quot;00430E53&quot;/&gt;&lt;wsp:rsid wsp:val=&quot;00431819&quot;/&gt;&lt;wsp:rsid wsp:val=&quot;0043202B&quot;/&gt;&lt;wsp:rsid wsp:val=&quot;00432AF4&quot;/&gt;&lt;wsp:rsid wsp:val=&quot;00432E97&quot;/&gt;&lt;wsp:rsid wsp:val=&quot;00434012&quot;/&gt;&lt;wsp:rsid wsp:val=&quot;00435295&quot;/&gt;&lt;wsp:rsid wsp:val=&quot;00435CF2&quot;/&gt;&lt;wsp:rsid wsp:val=&quot;00435EB1&quot;/&gt;&lt;wsp:rsid wsp:val=&quot;00436F0C&quot;/&gt;&lt;wsp:rsid wsp:val=&quot;004373B8&quot;/&gt;&lt;wsp:rsid wsp:val=&quot;00437A79&quot;/&gt;&lt;wsp:rsid wsp:val=&quot;0044129F&quot;/&gt;&lt;wsp:rsid wsp:val=&quot;004417E1&quot;/&gt;&lt;wsp:rsid wsp:val=&quot;0044255F&quot;/&gt;&lt;wsp:rsid wsp:val=&quot;004435BF&quot;/&gt;&lt;wsp:rsid wsp:val=&quot;00444CCE&quot;/&gt;&lt;wsp:rsid wsp:val=&quot;00444D66&quot;/&gt;&lt;wsp:rsid wsp:val=&quot;00444E09&quot;/&gt;&lt;wsp:rsid wsp:val=&quot;0044611E&quot;/&gt;&lt;wsp:rsid wsp:val=&quot;00446FC0&quot;/&gt;&lt;wsp:rsid wsp:val=&quot;004476A2&quot;/&gt;&lt;wsp:rsid wsp:val=&quot;00450A83&quot;/&gt;&lt;wsp:rsid wsp:val=&quot;00451F38&quot;/&gt;&lt;wsp:rsid wsp:val=&quot;0045273F&quot;/&gt;&lt;wsp:rsid wsp:val=&quot;0045303D&quot;/&gt;&lt;wsp:rsid wsp:val=&quot;004538EF&quot;/&gt;&lt;wsp:rsid wsp:val=&quot;00453C3E&quot;/&gt;&lt;wsp:rsid wsp:val=&quot;00454844&quot;/&gt;&lt;wsp:rsid wsp:val=&quot;00454DD1&quot;/&gt;&lt;wsp:rsid wsp:val=&quot;004550DB&quot;/&gt;&lt;wsp:rsid wsp:val=&quot;00455E75&quot;/&gt;&lt;wsp:rsid wsp:val=&quot;004568ED&quot;/&gt;&lt;wsp:rsid wsp:val=&quot;004574E5&quot;/&gt;&lt;wsp:rsid wsp:val=&quot;004574EA&quot;/&gt;&lt;wsp:rsid wsp:val=&quot;004575D5&quot;/&gt;&lt;wsp:rsid wsp:val=&quot;00457A31&quot;/&gt;&lt;wsp:rsid wsp:val=&quot;00457D1F&quot;/&gt;&lt;wsp:rsid wsp:val=&quot;004601EA&quot;/&gt;&lt;wsp:rsid wsp:val=&quot;004602DF&quot;/&gt;&lt;wsp:rsid wsp:val=&quot;004617EF&quot;/&gt;&lt;wsp:rsid wsp:val=&quot;004623D6&quot;/&gt;&lt;wsp:rsid wsp:val=&quot;004634D7&quot;/&gt;&lt;wsp:rsid wsp:val=&quot;00463751&quot;/&gt;&lt;wsp:rsid wsp:val=&quot;004639C7&quot;/&gt;&lt;wsp:rsid wsp:val=&quot;00464533&quot;/&gt;&lt;wsp:rsid wsp:val=&quot;004651FF&quot;/&gt;&lt;wsp:rsid wsp:val=&quot;004652B1&quot;/&gt;&lt;wsp:rsid wsp:val=&quot;0046543D&quot;/&gt;&lt;wsp:rsid wsp:val=&quot;004658D5&quot;/&gt;&lt;wsp:rsid wsp:val=&quot;004663E5&quot;/&gt;&lt;wsp:rsid wsp:val=&quot;004667E0&quot;/&gt;&lt;wsp:rsid wsp:val=&quot;00470D18&quot;/&gt;&lt;wsp:rsid wsp:val=&quot;004715C2&quot;/&gt;&lt;wsp:rsid wsp:val=&quot;00471D06&quot;/&gt;&lt;wsp:rsid wsp:val=&quot;0047332D&quot;/&gt;&lt;wsp:rsid wsp:val=&quot;004749BB&quot;/&gt;&lt;wsp:rsid wsp:val=&quot;004753A9&quot;/&gt;&lt;wsp:rsid wsp:val=&quot;004761F2&quot;/&gt;&lt;wsp:rsid wsp:val=&quot;0047734E&quot;/&gt;&lt;wsp:rsid wsp:val=&quot;00477C76&quot;/&gt;&lt;wsp:rsid wsp:val=&quot;00480CF1&quot;/&gt;&lt;wsp:rsid wsp:val=&quot;00481D77&quot;/&gt;&lt;wsp:rsid wsp:val=&quot;004830C5&quot;/&gt;&lt;wsp:rsid wsp:val=&quot;004857C2&quot;/&gt;&lt;wsp:rsid wsp:val=&quot;00485B53&quot;/&gt;&lt;wsp:rsid wsp:val=&quot;00486154&quot;/&gt;&lt;wsp:rsid wsp:val=&quot;00486CDF&quot;/&gt;&lt;wsp:rsid wsp:val=&quot;0049021E&quot;/&gt;&lt;wsp:rsid wsp:val=&quot;00490C91&quot;/&gt;&lt;wsp:rsid wsp:val=&quot;00492407&quot;/&gt;&lt;wsp:rsid wsp:val=&quot;00493340&quot;/&gt;&lt;wsp:rsid wsp:val=&quot;00494378&quot;/&gt;&lt;wsp:rsid wsp:val=&quot;00494F22&quot;/&gt;&lt;wsp:rsid wsp:val=&quot;004976B9&quot;/&gt;&lt;wsp:rsid wsp:val=&quot;004A183E&quot;/&gt;&lt;wsp:rsid wsp:val=&quot;004A19E6&quot;/&gt;&lt;wsp:rsid wsp:val=&quot;004A19EC&quot;/&gt;&lt;wsp:rsid wsp:val=&quot;004A2915&quot;/&gt;&lt;wsp:rsid wsp:val=&quot;004A4771&quot;/&gt;&lt;wsp:rsid wsp:val=&quot;004A4C9D&quot;/&gt;&lt;wsp:rsid wsp:val=&quot;004A52B5&quot;/&gt;&lt;wsp:rsid wsp:val=&quot;004A6D2A&quot;/&gt;&lt;wsp:rsid wsp:val=&quot;004A6F4A&quot;/&gt;&lt;wsp:rsid wsp:val=&quot;004A7E78&quot;/&gt;&lt;wsp:rsid wsp:val=&quot;004B0944&quot;/&gt;&lt;wsp:rsid wsp:val=&quot;004B1178&quot;/&gt;&lt;wsp:rsid wsp:val=&quot;004B149E&quot;/&gt;&lt;wsp:rsid wsp:val=&quot;004B3213&quot;/&gt;&lt;wsp:rsid wsp:val=&quot;004B331A&quot;/&gt;&lt;wsp:rsid wsp:val=&quot;004B496F&quot;/&gt;&lt;wsp:rsid wsp:val=&quot;004B606A&quot;/&gt;&lt;wsp:rsid wsp:val=&quot;004B6FF7&quot;/&gt;&lt;wsp:rsid wsp:val=&quot;004B7298&quot;/&gt;&lt;wsp:rsid wsp:val=&quot;004B7C80&quot;/&gt;&lt;wsp:rsid wsp:val=&quot;004C18FB&quot;/&gt;&lt;wsp:rsid wsp:val=&quot;004C1E87&quot;/&gt;&lt;wsp:rsid wsp:val=&quot;004C27FA&quot;/&gt;&lt;wsp:rsid wsp:val=&quot;004C2BAA&quot;/&gt;&lt;wsp:rsid wsp:val=&quot;004C309E&quot;/&gt;&lt;wsp:rsid wsp:val=&quot;004C3449&quot;/&gt;&lt;wsp:rsid wsp:val=&quot;004C4CA9&quot;/&gt;&lt;wsp:rsid wsp:val=&quot;004C4D82&quot;/&gt;&lt;wsp:rsid wsp:val=&quot;004C50F5&quot;/&gt;&lt;wsp:rsid wsp:val=&quot;004C531B&quot;/&gt;&lt;wsp:rsid wsp:val=&quot;004C5AC0&quot;/&gt;&lt;wsp:rsid wsp:val=&quot;004C6A7C&quot;/&gt;&lt;wsp:rsid wsp:val=&quot;004C7B4A&quot;/&gt;&lt;wsp:rsid wsp:val=&quot;004C7DA6&quot;/&gt;&lt;wsp:rsid wsp:val=&quot;004D0719&quot;/&gt;&lt;wsp:rsid wsp:val=&quot;004D3EC0&quot;/&gt;&lt;wsp:rsid wsp:val=&quot;004D40DF&quot;/&gt;&lt;wsp:rsid wsp:val=&quot;004D4B59&quot;/&gt;&lt;wsp:rsid wsp:val=&quot;004D711A&quot;/&gt;&lt;wsp:rsid wsp:val=&quot;004D746C&quot;/&gt;&lt;wsp:rsid wsp:val=&quot;004D75DD&quot;/&gt;&lt;wsp:rsid wsp:val=&quot;004D7BE2&quot;/&gt;&lt;wsp:rsid wsp:val=&quot;004E09B3&quot;/&gt;&lt;wsp:rsid wsp:val=&quot;004E1081&quot;/&gt;&lt;wsp:rsid wsp:val=&quot;004E12BC&quot;/&gt;&lt;wsp:rsid wsp:val=&quot;004E13D9&quot;/&gt;&lt;wsp:rsid wsp:val=&quot;004E6166&quot;/&gt;&lt;wsp:rsid wsp:val=&quot;004E6889&quot;/&gt;&lt;wsp:rsid wsp:val=&quot;004E6F1E&quot;/&gt;&lt;wsp:rsid wsp:val=&quot;004E7023&quot;/&gt;&lt;wsp:rsid wsp:val=&quot;004F06AD&quot;/&gt;&lt;wsp:rsid wsp:val=&quot;004F0969&quot;/&gt;&lt;wsp:rsid wsp:val=&quot;004F1789&quot;/&gt;&lt;wsp:rsid wsp:val=&quot;004F1B63&quot;/&gt;&lt;wsp:rsid wsp:val=&quot;004F2AD2&quot;/&gt;&lt;wsp:rsid wsp:val=&quot;004F3539&quot;/&gt;&lt;wsp:rsid wsp:val=&quot;004F398E&quot;/&gt;&lt;wsp:rsid wsp:val=&quot;004F3FB9&quot;/&gt;&lt;wsp:rsid wsp:val=&quot;004F4299&quot;/&gt;&lt;wsp:rsid wsp:val=&quot;004F45D8&quot;/&gt;&lt;wsp:rsid wsp:val=&quot;004F47D1&quot;/&gt;&lt;wsp:rsid wsp:val=&quot;004F5775&quot;/&gt;&lt;wsp:rsid wsp:val=&quot;004F5FAD&quot;/&gt;&lt;wsp:rsid wsp:val=&quot;004F610B&quot;/&gt;&lt;wsp:rsid wsp:val=&quot;004F71C6&quot;/&gt;&lt;wsp:rsid wsp:val=&quot;004F78AB&quot;/&gt;&lt;wsp:rsid wsp:val=&quot;0050005B&quot;/&gt;&lt;wsp:rsid wsp:val=&quot;005006C9&quot;/&gt;&lt;wsp:rsid wsp:val=&quot;005017D1&quot;/&gt;&lt;wsp:rsid wsp:val=&quot;005021AD&quot;/&gt;&lt;wsp:rsid wsp:val=&quot;00502201&quot;/&gt;&lt;wsp:rsid wsp:val=&quot;005023D1&quot;/&gt;&lt;wsp:rsid wsp:val=&quot;00505B18&quot;/&gt;&lt;wsp:rsid wsp:val=&quot;00506007&quot;/&gt;&lt;wsp:rsid wsp:val=&quot;00507085&quot;/&gt;&lt;wsp:rsid wsp:val=&quot;005104EE&quot;/&gt;&lt;wsp:rsid wsp:val=&quot;00511DBD&quot;/&gt;&lt;wsp:rsid wsp:val=&quot;00513FD7&quot;/&gt;&lt;wsp:rsid wsp:val=&quot;00514771&quot;/&gt;&lt;wsp:rsid wsp:val=&quot;005149CC&quot;/&gt;&lt;wsp:rsid wsp:val=&quot;0051562C&quot;/&gt;&lt;wsp:rsid wsp:val=&quot;005165E7&quot;/&gt;&lt;wsp:rsid wsp:val=&quot;00516752&quot;/&gt;&lt;wsp:rsid wsp:val=&quot;00516A2A&quot;/&gt;&lt;wsp:rsid wsp:val=&quot;00517298&quot;/&gt;&lt;wsp:rsid wsp:val=&quot;00517315&quot;/&gt;&lt;wsp:rsid wsp:val=&quot;00517D84&quot;/&gt;&lt;wsp:rsid wsp:val=&quot;005216FB&quot;/&gt;&lt;wsp:rsid wsp:val=&quot;0052187B&quot;/&gt;&lt;wsp:rsid wsp:val=&quot;00523CA5&quot;/&gt;&lt;wsp:rsid wsp:val=&quot;00524441&quot;/&gt;&lt;wsp:rsid wsp:val=&quot;00525380&quot;/&gt;&lt;wsp:rsid wsp:val=&quot;00525A7C&quot;/&gt;&lt;wsp:rsid wsp:val=&quot;00526734&quot;/&gt;&lt;wsp:rsid wsp:val=&quot;00526964&quot;/&gt;&lt;wsp:rsid wsp:val=&quot;00526E4B&quot;/&gt;&lt;wsp:rsid wsp:val=&quot;005278F6&quot;/&gt;&lt;wsp:rsid wsp:val=&quot;005302FB&quot;/&gt;&lt;wsp:rsid wsp:val=&quot;00531318&quot;/&gt;&lt;wsp:rsid wsp:val=&quot;00531630&quot;/&gt;&lt;wsp:rsid wsp:val=&quot;00531971&quot;/&gt;&lt;wsp:rsid wsp:val=&quot;00532C47&quot;/&gt;&lt;wsp:rsid wsp:val=&quot;00532E1C&quot;/&gt;&lt;wsp:rsid wsp:val=&quot;00532F17&quot;/&gt;&lt;wsp:rsid wsp:val=&quot;00533335&quot;/&gt;&lt;wsp:rsid wsp:val=&quot;00534FDC&quot;/&gt;&lt;wsp:rsid wsp:val=&quot;005357AC&quot;/&gt;&lt;wsp:rsid wsp:val=&quot;00535E7B&quot;/&gt;&lt;wsp:rsid wsp:val=&quot;0053632F&quot;/&gt;&lt;wsp:rsid wsp:val=&quot;0053677B&quot;/&gt;&lt;wsp:rsid wsp:val=&quot;00537835&quot;/&gt;&lt;wsp:rsid wsp:val=&quot;00537D72&quot;/&gt;&lt;wsp:rsid wsp:val=&quot;0054025A&quot;/&gt;&lt;wsp:rsid wsp:val=&quot;00542E87&quot;/&gt;&lt;wsp:rsid wsp:val=&quot;00543524&quot;/&gt;&lt;wsp:rsid wsp:val=&quot;0054355B&quot;/&gt;&lt;wsp:rsid wsp:val=&quot;0054445F&quot;/&gt;&lt;wsp:rsid wsp:val=&quot;005444EC&quot;/&gt;&lt;wsp:rsid wsp:val=&quot;00545CB6&quot;/&gt;&lt;wsp:rsid wsp:val=&quot;005460EC&quot;/&gt;&lt;wsp:rsid wsp:val=&quot;0054724A&quot;/&gt;&lt;wsp:rsid wsp:val=&quot;0054778D&quot;/&gt;&lt;wsp:rsid wsp:val=&quot;00547D80&quot;/&gt;&lt;wsp:rsid wsp:val=&quot;005502A8&quot;/&gt;&lt;wsp:rsid wsp:val=&quot;005519F3&quot;/&gt;&lt;wsp:rsid wsp:val=&quot;00551A43&quot;/&gt;&lt;wsp:rsid wsp:val=&quot;00552670&quot;/&gt;&lt;wsp:rsid wsp:val=&quot;0055276B&quot;/&gt;&lt;wsp:rsid wsp:val=&quot;005545D5&quot;/&gt;&lt;wsp:rsid wsp:val=&quot;00554741&quot;/&gt;&lt;wsp:rsid wsp:val=&quot;00555374&quot;/&gt;&lt;wsp:rsid wsp:val=&quot;00557866&quot;/&gt;&lt;wsp:rsid wsp:val=&quot;00557D06&quot;/&gt;&lt;wsp:rsid wsp:val=&quot;005663F8&quot;/&gt;&lt;wsp:rsid wsp:val=&quot;00566DD0&quot;/&gt;&lt;wsp:rsid wsp:val=&quot;00567802&quot;/&gt;&lt;wsp:rsid wsp:val=&quot;00571A39&quot;/&gt;&lt;wsp:rsid wsp:val=&quot;00571CD7&quot;/&gt;&lt;wsp:rsid wsp:val=&quot;005720B4&quot;/&gt;&lt;wsp:rsid wsp:val=&quot;00572280&quot;/&gt;&lt;wsp:rsid wsp:val=&quot;0057315D&quot;/&gt;&lt;wsp:rsid wsp:val=&quot;00573D57&quot;/&gt;&lt;wsp:rsid wsp:val=&quot;005763C9&quot;/&gt;&lt;wsp:rsid wsp:val=&quot;0057692A&quot;/&gt;&lt;wsp:rsid wsp:val=&quot;005775A1&quot;/&gt;&lt;wsp:rsid wsp:val=&quot;0058238C&quot;/&gt;&lt;wsp:rsid wsp:val=&quot;00583733&quot;/&gt;&lt;wsp:rsid wsp:val=&quot;00586235&quot;/&gt;&lt;wsp:rsid wsp:val=&quot;005863CC&quot;/&gt;&lt;wsp:rsid wsp:val=&quot;005865AE&quot;/&gt;&lt;wsp:rsid wsp:val=&quot;00586A44&quot;/&gt;&lt;wsp:rsid wsp:val=&quot;00586FBC&quot;/&gt;&lt;wsp:rsid wsp:val=&quot;00587E5F&quot;/&gt;&lt;wsp:rsid wsp:val=&quot;005900E4&quot;/&gt;&lt;wsp:rsid wsp:val=&quot;00590BE1&quot;/&gt;&lt;wsp:rsid wsp:val=&quot;00591D08&quot;/&gt;&lt;wsp:rsid wsp:val=&quot;005932E7&quot;/&gt;&lt;wsp:rsid wsp:val=&quot;005933FC&quot;/&gt;&lt;wsp:rsid wsp:val=&quot;005953C0&quot;/&gt;&lt;wsp:rsid wsp:val=&quot;005958CB&quot;/&gt;&lt;wsp:rsid wsp:val=&quot;005963D7&quot;/&gt;&lt;wsp:rsid wsp:val=&quot;005A0823&quot;/&gt;&lt;wsp:rsid wsp:val=&quot;005A0DC6&quot;/&gt;&lt;wsp:rsid wsp:val=&quot;005A13AB&quot;/&gt;&lt;wsp:rsid wsp:val=&quot;005A21F6&quot;/&gt;&lt;wsp:rsid wsp:val=&quot;005A506C&quot;/&gt;&lt;wsp:rsid wsp:val=&quot;005A5162&quot;/&gt;&lt;wsp:rsid wsp:val=&quot;005A5914&quot;/&gt;&lt;wsp:rsid wsp:val=&quot;005A744E&quot;/&gt;&lt;wsp:rsid wsp:val=&quot;005A7B85&quot;/&gt;&lt;wsp:rsid wsp:val=&quot;005B07A7&quot;/&gt;&lt;wsp:rsid wsp:val=&quot;005B0B88&quot;/&gt;&lt;wsp:rsid wsp:val=&quot;005B1484&quot;/&gt;&lt;wsp:rsid wsp:val=&quot;005B3FF3&quot;/&gt;&lt;wsp:rsid wsp:val=&quot;005B432A&quot;/&gt;&lt;wsp:rsid wsp:val=&quot;005B49A8&quot;/&gt;&lt;wsp:rsid wsp:val=&quot;005B5DC4&quot;/&gt;&lt;wsp:rsid wsp:val=&quot;005B75BC&quot;/&gt;&lt;wsp:rsid wsp:val=&quot;005B7880&quot;/&gt;&lt;wsp:rsid wsp:val=&quot;005C02EA&quot;/&gt;&lt;wsp:rsid wsp:val=&quot;005C0774&quot;/&gt;&lt;wsp:rsid wsp:val=&quot;005C0E2A&quot;/&gt;&lt;wsp:rsid wsp:val=&quot;005C0F19&quot;/&gt;&lt;wsp:rsid wsp:val=&quot;005C1091&quot;/&gt;&lt;wsp:rsid wsp:val=&quot;005C2793&quot;/&gt;&lt;wsp:rsid wsp:val=&quot;005C4D9F&quot;/&gt;&lt;wsp:rsid wsp:val=&quot;005C6014&quot;/&gt;&lt;wsp:rsid wsp:val=&quot;005C61DB&quot;/&gt;&lt;wsp:rsid wsp:val=&quot;005C6B9A&quot;/&gt;&lt;wsp:rsid wsp:val=&quot;005D055B&quot;/&gt;&lt;wsp:rsid wsp:val=&quot;005D0FA9&quot;/&gt;&lt;wsp:rsid wsp:val=&quot;005D12CB&quot;/&gt;&lt;wsp:rsid wsp:val=&quot;005D1780&quot;/&gt;&lt;wsp:rsid wsp:val=&quot;005D1960&quot;/&gt;&lt;wsp:rsid wsp:val=&quot;005D199A&quot;/&gt;&lt;wsp:rsid wsp:val=&quot;005D1B68&quot;/&gt;&lt;wsp:rsid wsp:val=&quot;005D1DDD&quot;/&gt;&lt;wsp:rsid wsp:val=&quot;005D1E49&quot;/&gt;&lt;wsp:rsid wsp:val=&quot;005D2527&quot;/&gt;&lt;wsp:rsid wsp:val=&quot;005D2746&quot;/&gt;&lt;wsp:rsid wsp:val=&quot;005D2F87&quot;/&gt;&lt;wsp:rsid wsp:val=&quot;005D35BF&quot;/&gt;&lt;wsp:rsid wsp:val=&quot;005D3A52&quot;/&gt;&lt;wsp:rsid wsp:val=&quot;005D50B7&quot;/&gt;&lt;wsp:rsid wsp:val=&quot;005D5200&quot;/&gt;&lt;wsp:rsid wsp:val=&quot;005D5C64&quot;/&gt;&lt;wsp:rsid wsp:val=&quot;005D69C7&quot;/&gt;&lt;wsp:rsid wsp:val=&quot;005D6CEE&quot;/&gt;&lt;wsp:rsid wsp:val=&quot;005E26AE&quot;/&gt;&lt;wsp:rsid wsp:val=&quot;005E2AA4&quot;/&gt;&lt;wsp:rsid wsp:val=&quot;005E32A7&quot;/&gt;&lt;wsp:rsid wsp:val=&quot;005E397A&quot;/&gt;&lt;wsp:rsid wsp:val=&quot;005E455A&quot;/&gt;&lt;wsp:rsid wsp:val=&quot;005E5277&quot;/&gt;&lt;wsp:rsid wsp:val=&quot;005E5AD6&quot;/&gt;&lt;wsp:rsid wsp:val=&quot;005E5CD0&quot;/&gt;&lt;wsp:rsid wsp:val=&quot;005E6A4F&quot;/&gt;&lt;wsp:rsid wsp:val=&quot;005E73BD&quot;/&gt;&lt;wsp:rsid wsp:val=&quot;005E75B4&quot;/&gt;&lt;wsp:rsid wsp:val=&quot;005F0682&quot;/&gt;&lt;wsp:rsid wsp:val=&quot;005F108E&quot;/&gt;&lt;wsp:rsid wsp:val=&quot;005F30A6&quot;/&gt;&lt;wsp:rsid wsp:val=&quot;005F3698&quot;/&gt;&lt;wsp:rsid wsp:val=&quot;005F45A2&quot;/&gt;&lt;wsp:rsid wsp:val=&quot;005F460E&quot;/&gt;&lt;wsp:rsid wsp:val=&quot;005F47DA&quot;/&gt;&lt;wsp:rsid wsp:val=&quot;005F5662&quot;/&gt;&lt;wsp:rsid wsp:val=&quot;005F5B3A&quot;/&gt;&lt;wsp:rsid wsp:val=&quot;005F5B83&quot;/&gt;&lt;wsp:rsid wsp:val=&quot;005F605C&quot;/&gt;&lt;wsp:rsid wsp:val=&quot;005F67F0&quot;/&gt;&lt;wsp:rsid wsp:val=&quot;005F6A65&quot;/&gt;&lt;wsp:rsid wsp:val=&quot;005F6EB6&quot;/&gt;&lt;wsp:rsid wsp:val=&quot;005F77F8&quot;/&gt;&lt;wsp:rsid wsp:val=&quot;00600A58&quot;/&gt;&lt;wsp:rsid wsp:val=&quot;00600B56&quot;/&gt;&lt;wsp:rsid wsp:val=&quot;006025E5&quot;/&gt;&lt;wsp:rsid wsp:val=&quot;00603E64&quot;/&gt;&lt;wsp:rsid wsp:val=&quot;00605DD9&quot;/&gt;&lt;wsp:rsid wsp:val=&quot;00606848&quot;/&gt;&lt;wsp:rsid wsp:val=&quot;00606D36&quot;/&gt;&lt;wsp:rsid wsp:val=&quot;00606D56&quot;/&gt;&lt;wsp:rsid wsp:val=&quot;00607F98&quot;/&gt;&lt;wsp:rsid wsp:val=&quot;00610EAA&quot;/&gt;&lt;wsp:rsid wsp:val=&quot;00613FAB&quot;/&gt;&lt;wsp:rsid wsp:val=&quot;00614835&quot;/&gt;&lt;wsp:rsid wsp:val=&quot;006156DA&quot;/&gt;&lt;wsp:rsid wsp:val=&quot;00615A4B&quot;/&gt;&lt;wsp:rsid wsp:val=&quot;00615FA0&quot;/&gt;&lt;wsp:rsid wsp:val=&quot;00616249&quot;/&gt;&lt;wsp:rsid wsp:val=&quot;0061681B&quot;/&gt;&lt;wsp:rsid wsp:val=&quot;00616E80&quot;/&gt;&lt;wsp:rsid wsp:val=&quot;00617A37&quot;/&gt;&lt;wsp:rsid wsp:val=&quot;006200E6&quot;/&gt;&lt;wsp:rsid wsp:val=&quot;006203F6&quot;/&gt;&lt;wsp:rsid wsp:val=&quot;0062116D&quot;/&gt;&lt;wsp:rsid wsp:val=&quot;00623725&quot;/&gt;&lt;wsp:rsid wsp:val=&quot;0062532B&quot;/&gt;&lt;wsp:rsid wsp:val=&quot;00625DD5&quot;/&gt;&lt;wsp:rsid wsp:val=&quot;006315E6&quot;/&gt;&lt;wsp:rsid wsp:val=&quot;006322C5&quot;/&gt;&lt;wsp:rsid wsp:val=&quot;00632B1A&quot;/&gt;&lt;wsp:rsid wsp:val=&quot;00633EA6&quot;/&gt;&lt;wsp:rsid wsp:val=&quot;0063423E&quot;/&gt;&lt;wsp:rsid wsp:val=&quot;00634F57&quot;/&gt;&lt;wsp:rsid wsp:val=&quot;0063612D&quot;/&gt;&lt;wsp:rsid wsp:val=&quot;00636C19&quot;/&gt;&lt;wsp:rsid wsp:val=&quot;006373F6&quot;/&gt;&lt;wsp:rsid wsp:val=&quot;00640E01&quot;/&gt;&lt;wsp:rsid wsp:val=&quot;00640F9C&quot;/&gt;&lt;wsp:rsid wsp:val=&quot;00641DD6&quot;/&gt;&lt;wsp:rsid wsp:val=&quot;00642764&quot;/&gt;&lt;wsp:rsid wsp:val=&quot;00642DE6&quot;/&gt;&lt;wsp:rsid wsp:val=&quot;00643856&quot;/&gt;&lt;wsp:rsid wsp:val=&quot;00645043&quot;/&gt;&lt;wsp:rsid wsp:val=&quot;006454C6&quot;/&gt;&lt;wsp:rsid wsp:val=&quot;00645862&quot;/&gt;&lt;wsp:rsid wsp:val=&quot;00645B67&quot;/&gt;&lt;wsp:rsid wsp:val=&quot;006462BC&quot;/&gt;&lt;wsp:rsid wsp:val=&quot;006535CA&quot;/&gt;&lt;wsp:rsid wsp:val=&quot;0065398C&quot;/&gt;&lt;wsp:rsid wsp:val=&quot;006540CC&quot;/&gt;&lt;wsp:rsid wsp:val=&quot;00654155&quot;/&gt;&lt;wsp:rsid wsp:val=&quot;00655758&quot;/&gt;&lt;wsp:rsid wsp:val=&quot;00656A7C&quot;/&gt;&lt;wsp:rsid wsp:val=&quot;006578DE&quot;/&gt;&lt;wsp:rsid wsp:val=&quot;0066190A&quot;/&gt;&lt;wsp:rsid wsp:val=&quot;00661E29&quot;/&gt;&lt;wsp:rsid wsp:val=&quot;00662172&quot;/&gt;&lt;wsp:rsid wsp:val=&quot;00662484&quot;/&gt;&lt;wsp:rsid wsp:val=&quot;00662A57&quot;/&gt;&lt;wsp:rsid wsp:val=&quot;006648C9&quot;/&gt;&lt;wsp:rsid wsp:val=&quot;00664980&quot;/&gt;&lt;wsp:rsid wsp:val=&quot;00664A5E&quot;/&gt;&lt;wsp:rsid wsp:val=&quot;006667BD&quot;/&gt;&lt;wsp:rsid wsp:val=&quot;00667073&quot;/&gt;&lt;wsp:rsid wsp:val=&quot;0067057F&quot;/&gt;&lt;wsp:rsid wsp:val=&quot;006705F2&quot;/&gt;&lt;wsp:rsid wsp:val=&quot;00670BD4&quot;/&gt;&lt;wsp:rsid wsp:val=&quot;00671D3B&quot;/&gt;&lt;wsp:rsid wsp:val=&quot;00672163&quot;/&gt;&lt;wsp:rsid wsp:val=&quot;00672E72&quot;/&gt;&lt;wsp:rsid wsp:val=&quot;006734A1&quot;/&gt;&lt;wsp:rsid wsp:val=&quot;00674143&quot;/&gt;&lt;wsp:rsid wsp:val=&quot;00676E41&quot;/&gt;&lt;wsp:rsid wsp:val=&quot;00677A87&quot;/&gt;&lt;wsp:rsid wsp:val=&quot;00683976&quot;/&gt;&lt;wsp:rsid wsp:val=&quot;006847BF&quot;/&gt;&lt;wsp:rsid wsp:val=&quot;006853E0&quot;/&gt;&lt;wsp:rsid wsp:val=&quot;006877CD&quot;/&gt;&lt;wsp:rsid wsp:val=&quot;00687E1B&quot;/&gt;&lt;wsp:rsid wsp:val=&quot;00691D64&quot;/&gt;&lt;wsp:rsid wsp:val=&quot;006923CE&quot;/&gt;&lt;wsp:rsid wsp:val=&quot;006940F6&quot;/&gt;&lt;wsp:rsid wsp:val=&quot;00694268&quot;/&gt;&lt;wsp:rsid wsp:val=&quot;006949BC&quot;/&gt;&lt;wsp:rsid wsp:val=&quot;00694AF1&quot;/&gt;&lt;wsp:rsid wsp:val=&quot;006958FA&quot;/&gt;&lt;wsp:rsid wsp:val=&quot;00695B51&quot;/&gt;&lt;wsp:rsid wsp:val=&quot;00696C4B&quot;/&gt;&lt;wsp:rsid wsp:val=&quot;006A1942&quot;/&gt;&lt;wsp:rsid wsp:val=&quot;006A1C90&quot;/&gt;&lt;wsp:rsid wsp:val=&quot;006A257D&quot;/&gt;&lt;wsp:rsid wsp:val=&quot;006A2ADB&quot;/&gt;&lt;wsp:rsid wsp:val=&quot;006A537A&quot;/&gt;&lt;wsp:rsid wsp:val=&quot;006A58C8&quot;/&gt;&lt;wsp:rsid wsp:val=&quot;006A76DA&quot;/&gt;&lt;wsp:rsid wsp:val=&quot;006B1325&quot;/&gt;&lt;wsp:rsid wsp:val=&quot;006B1DC2&quot;/&gt;&lt;wsp:rsid wsp:val=&quot;006B33B9&quot;/&gt;&lt;wsp:rsid wsp:val=&quot;006B423D&quot;/&gt;&lt;wsp:rsid wsp:val=&quot;006B43AC&quot;/&gt;&lt;wsp:rsid wsp:val=&quot;006B54E3&quot;/&gt;&lt;wsp:rsid wsp:val=&quot;006B55CF&quot;/&gt;&lt;wsp:rsid wsp:val=&quot;006B626D&quot;/&gt;&lt;wsp:rsid wsp:val=&quot;006B68AE&quot;/&gt;&lt;wsp:rsid wsp:val=&quot;006B6DE9&quot;/&gt;&lt;wsp:rsid wsp:val=&quot;006B717F&quot;/&gt;&lt;wsp:rsid wsp:val=&quot;006B798D&quot;/&gt;&lt;wsp:rsid wsp:val=&quot;006C03D4&quot;/&gt;&lt;wsp:rsid wsp:val=&quot;006C07E8&quot;/&gt;&lt;wsp:rsid wsp:val=&quot;006C2542&quot;/&gt;&lt;wsp:rsid wsp:val=&quot;006C2A1A&quot;/&gt;&lt;wsp:rsid wsp:val=&quot;006C3503&quot;/&gt;&lt;wsp:rsid wsp:val=&quot;006C470E&quot;/&gt;&lt;wsp:rsid wsp:val=&quot;006C4F53&quot;/&gt;&lt;wsp:rsid wsp:val=&quot;006C538C&quot;/&gt;&lt;wsp:rsid wsp:val=&quot;006C652D&quot;/&gt;&lt;wsp:rsid wsp:val=&quot;006C6E76&quot;/&gt;&lt;wsp:rsid wsp:val=&quot;006C7C0F&quot;/&gt;&lt;wsp:rsid wsp:val=&quot;006C7D0A&quot;/&gt;&lt;wsp:rsid wsp:val=&quot;006D37F7&quot;/&gt;&lt;wsp:rsid wsp:val=&quot;006D3C32&quot;/&gt;&lt;wsp:rsid wsp:val=&quot;006D4E48&quot;/&gt;&lt;wsp:rsid wsp:val=&quot;006D5EA1&quot;/&gt;&lt;wsp:rsid wsp:val=&quot;006D6C72&quot;/&gt;&lt;wsp:rsid wsp:val=&quot;006D7053&quot;/&gt;&lt;wsp:rsid wsp:val=&quot;006E023D&quot;/&gt;&lt;wsp:rsid wsp:val=&quot;006E0E89&quot;/&gt;&lt;wsp:rsid wsp:val=&quot;006E10DC&quot;/&gt;&lt;wsp:rsid wsp:val=&quot;006E2560&quot;/&gt;&lt;wsp:rsid wsp:val=&quot;006E2B7E&quot;/&gt;&lt;wsp:rsid wsp:val=&quot;006E403A&quot;/&gt;&lt;wsp:rsid wsp:val=&quot;006E632D&quot;/&gt;&lt;wsp:rsid wsp:val=&quot;006E6DD4&quot;/&gt;&lt;wsp:rsid wsp:val=&quot;006E77B2&quot;/&gt;&lt;wsp:rsid wsp:val=&quot;006F054D&quot;/&gt;&lt;wsp:rsid wsp:val=&quot;006F1702&quot;/&gt;&lt;wsp:rsid wsp:val=&quot;006F28E1&quot;/&gt;&lt;wsp:rsid wsp:val=&quot;006F3B44&quot;/&gt;&lt;wsp:rsid wsp:val=&quot;006F770B&quot;/&gt;&lt;wsp:rsid wsp:val=&quot;006F7F57&quot;/&gt;&lt;wsp:rsid wsp:val=&quot;007028D6&quot;/&gt;&lt;wsp:rsid wsp:val=&quot;00702BD5&quot;/&gt;&lt;wsp:rsid wsp:val=&quot;00702CC1&quot;/&gt;&lt;wsp:rsid wsp:val=&quot;00702E7E&quot;/&gt;&lt;wsp:rsid wsp:val=&quot;0070387E&quot;/&gt;&lt;wsp:rsid wsp:val=&quot;00704A2A&quot;/&gt;&lt;wsp:rsid wsp:val=&quot;00704A69&quot;/&gt;&lt;wsp:rsid wsp:val=&quot;00704D18&quot;/&gt;&lt;wsp:rsid wsp:val=&quot;00705A8F&quot;/&gt;&lt;wsp:rsid wsp:val=&quot;00705E83&quot;/&gt;&lt;wsp:rsid wsp:val=&quot;007063F4&quot;/&gt;&lt;wsp:rsid wsp:val=&quot;00706C8E&quot;/&gt;&lt;wsp:rsid wsp:val=&quot;00707436&quot;/&gt;&lt;wsp:rsid wsp:val=&quot;00707730&quot;/&gt;&lt;wsp:rsid wsp:val=&quot;0071136E&quot;/&gt;&lt;wsp:rsid wsp:val=&quot;00712075&quot;/&gt;&lt;wsp:rsid wsp:val=&quot;0071327D&quot;/&gt;&lt;wsp:rsid wsp:val=&quot;007137A3&quot;/&gt;&lt;wsp:rsid wsp:val=&quot;00713B21&quot;/&gt;&lt;wsp:rsid wsp:val=&quot;007141C4&quot;/&gt;&lt;wsp:rsid wsp:val=&quot;00715676&quot;/&gt;&lt;wsp:rsid wsp:val=&quot;007169E0&quot;/&gt;&lt;wsp:rsid wsp:val=&quot;007177CD&quot;/&gt;&lt;wsp:rsid wsp:val=&quot;00720CA7&quot;/&gt;&lt;wsp:rsid wsp:val=&quot;00721B44&quot;/&gt;&lt;wsp:rsid wsp:val=&quot;00722AD3&quot;/&gt;&lt;wsp:rsid wsp:val=&quot;00722DF2&quot;/&gt;&lt;wsp:rsid wsp:val=&quot;007236F1&quot;/&gt;&lt;wsp:rsid wsp:val=&quot;00724532&quot;/&gt;&lt;wsp:rsid wsp:val=&quot;00724666&quot;/&gt;&lt;wsp:rsid wsp:val=&quot;0072497F&quot;/&gt;&lt;wsp:rsid wsp:val=&quot;0072603C&quot;/&gt;&lt;wsp:rsid wsp:val=&quot;00726E12&quot;/&gt;&lt;wsp:rsid wsp:val=&quot;00731022&quot;/&gt;&lt;wsp:rsid wsp:val=&quot;007312D6&quot;/&gt;&lt;wsp:rsid wsp:val=&quot;007326D1&quot;/&gt;&lt;wsp:rsid wsp:val=&quot;00732837&quot;/&gt;&lt;wsp:rsid wsp:val=&quot;00732ED6&quot;/&gt;&lt;wsp:rsid wsp:val=&quot;00734332&quot;/&gt;&lt;wsp:rsid wsp:val=&quot;00734A95&quot;/&gt;&lt;wsp:rsid wsp:val=&quot;00734FA5&quot;/&gt;&lt;wsp:rsid wsp:val=&quot;00736194&quot;/&gt;&lt;wsp:rsid wsp:val=&quot;007378D7&quot;/&gt;&lt;wsp:rsid wsp:val=&quot;00741782&quot;/&gt;&lt;wsp:rsid wsp:val=&quot;00741976&quot;/&gt;&lt;wsp:rsid wsp:val=&quot;0074327D&quot;/&gt;&lt;wsp:rsid wsp:val=&quot;00743570&quot;/&gt;&lt;wsp:rsid wsp:val=&quot;0074557C&quot;/&gt;&lt;wsp:rsid wsp:val=&quot;0074591B&quot;/&gt;&lt;wsp:rsid wsp:val=&quot;007459E1&quot;/&gt;&lt;wsp:rsid wsp:val=&quot;007466C6&quot;/&gt;&lt;wsp:rsid wsp:val=&quot;00746DFB&quot;/&gt;&lt;wsp:rsid wsp:val=&quot;00751788&quot;/&gt;&lt;wsp:rsid wsp:val=&quot;00752954&quot;/&gt;&lt;wsp:rsid wsp:val=&quot;00752EFA&quot;/&gt;&lt;wsp:rsid wsp:val=&quot;007535DC&quot;/&gt;&lt;wsp:rsid wsp:val=&quot;00753B5C&quot;/&gt;&lt;wsp:rsid wsp:val=&quot;007545EB&quot;/&gt;&lt;wsp:rsid wsp:val=&quot;007554C9&quot;/&gt;&lt;wsp:rsid wsp:val=&quot;00756688&quot;/&gt;&lt;wsp:rsid wsp:val=&quot;00756ABF&quot;/&gt;&lt;wsp:rsid wsp:val=&quot;00756DA8&quot;/&gt;&lt;wsp:rsid wsp:val=&quot;00757ED1&quot;/&gt;&lt;wsp:rsid wsp:val=&quot;00757F61&quot;/&gt;&lt;wsp:rsid wsp:val=&quot;007610BA&quot;/&gt;&lt;wsp:rsid wsp:val=&quot;00762303&quot;/&gt;&lt;wsp:rsid wsp:val=&quot;00762426&quot;/&gt;&lt;wsp:rsid wsp:val=&quot;00763F1F&quot;/&gt;&lt;wsp:rsid wsp:val=&quot;00765C8C&quot;/&gt;&lt;wsp:rsid wsp:val=&quot;007667B2&quot;/&gt;&lt;wsp:rsid wsp:val=&quot;00767382&quot;/&gt;&lt;wsp:rsid wsp:val=&quot;007706FB&quot;/&gt;&lt;wsp:rsid wsp:val=&quot;00770869&quot;/&gt;&lt;wsp:rsid wsp:val=&quot;00771DC0&quot;/&gt;&lt;wsp:rsid wsp:val=&quot;00772A63&quot;/&gt;&lt;wsp:rsid wsp:val=&quot;00776A21&quot;/&gt;&lt;wsp:rsid wsp:val=&quot;00776BCE&quot;/&gt;&lt;wsp:rsid wsp:val=&quot;00777B48&quot;/&gt;&lt;wsp:rsid wsp:val=&quot;00777F45&quot;/&gt;&lt;wsp:rsid wsp:val=&quot;00780E87&quot;/&gt;&lt;wsp:rsid wsp:val=&quot;00781C77&quot;/&gt;&lt;wsp:rsid wsp:val=&quot;00781D02&quot;/&gt;&lt;wsp:rsid wsp:val=&quot;00782635&quot;/&gt;&lt;wsp:rsid wsp:val=&quot;007827D5&quot;/&gt;&lt;wsp:rsid wsp:val=&quot;00782F1C&quot;/&gt;&lt;wsp:rsid wsp:val=&quot;007836B2&quot;/&gt;&lt;wsp:rsid wsp:val=&quot;00783ED5&quot;/&gt;&lt;wsp:rsid wsp:val=&quot;007842CB&quot;/&gt;&lt;wsp:rsid wsp:val=&quot;007844DE&quot;/&gt;&lt;wsp:rsid wsp:val=&quot;00784716&quot;/&gt;&lt;wsp:rsid wsp:val=&quot;007850EE&quot;/&gt;&lt;wsp:rsid wsp:val=&quot;007854A4&quot;/&gt;&lt;wsp:rsid wsp:val=&quot;0078565B&quot;/&gt;&lt;wsp:rsid wsp:val=&quot;00786E20&quot;/&gt;&lt;wsp:rsid wsp:val=&quot;007903CD&quot;/&gt;&lt;wsp:rsid wsp:val=&quot;00790616&quot;/&gt;&lt;wsp:rsid wsp:val=&quot;00790975&quot;/&gt;&lt;wsp:rsid wsp:val=&quot;007910CD&quot;/&gt;&lt;wsp:rsid wsp:val=&quot;0079140A&quot;/&gt;&lt;wsp:rsid wsp:val=&quot;0079147A&quot;/&gt;&lt;wsp:rsid wsp:val=&quot;00792495&quot;/&gt;&lt;wsp:rsid wsp:val=&quot;007924BC&quot;/&gt;&lt;wsp:rsid wsp:val=&quot;00793FA7&quot;/&gt;&lt;wsp:rsid wsp:val=&quot;007943B8&quot;/&gt;&lt;wsp:rsid wsp:val=&quot;00794B95&quot;/&gt;&lt;wsp:rsid wsp:val=&quot;00795894&quot;/&gt;&lt;wsp:rsid wsp:val=&quot;007965DF&quot;/&gt;&lt;wsp:rsid wsp:val=&quot;0079740A&quot;/&gt;&lt;wsp:rsid wsp:val=&quot;00797704&quot;/&gt;&lt;wsp:rsid wsp:val=&quot;00797F8B&quot;/&gt;&lt;wsp:rsid wsp:val=&quot;007A0E72&quot;/&gt;&lt;wsp:rsid wsp:val=&quot;007A1ECB&quot;/&gt;&lt;wsp:rsid wsp:val=&quot;007A1FC1&quot;/&gt;&lt;wsp:rsid wsp:val=&quot;007A2B36&quot;/&gt;&lt;wsp:rsid wsp:val=&quot;007A5649&quot;/&gt;&lt;wsp:rsid wsp:val=&quot;007A70EA&quot;/&gt;&lt;wsp:rsid wsp:val=&quot;007A7276&quot;/&gt;&lt;wsp:rsid wsp:val=&quot;007A74F5&quot;/&gt;&lt;wsp:rsid wsp:val=&quot;007B014A&quot;/&gt;&lt;wsp:rsid wsp:val=&quot;007B01AC&quot;/&gt;&lt;wsp:rsid wsp:val=&quot;007B068D&quot;/&gt;&lt;wsp:rsid wsp:val=&quot;007B1FAB&quot;/&gt;&lt;wsp:rsid wsp:val=&quot;007B2474&quot;/&gt;&lt;wsp:rsid wsp:val=&quot;007B25BA&quot;/&gt;&lt;wsp:rsid wsp:val=&quot;007B25E8&quot;/&gt;&lt;wsp:rsid wsp:val=&quot;007B47E9&quot;/&gt;&lt;wsp:rsid wsp:val=&quot;007B4C85&quot;/&gt;&lt;wsp:rsid wsp:val=&quot;007B6E7B&quot;/&gt;&lt;wsp:rsid wsp:val=&quot;007B7222&quot;/&gt;&lt;wsp:rsid wsp:val=&quot;007C27A6&quot;/&gt;&lt;wsp:rsid wsp:val=&quot;007C27D0&quot;/&gt;&lt;wsp:rsid wsp:val=&quot;007C2D98&quot;/&gt;&lt;wsp:rsid wsp:val=&quot;007C386D&quot;/&gt;&lt;wsp:rsid wsp:val=&quot;007C43B1&quot;/&gt;&lt;wsp:rsid wsp:val=&quot;007C5CB5&quot;/&gt;&lt;wsp:rsid wsp:val=&quot;007C5F4A&quot;/&gt;&lt;wsp:rsid wsp:val=&quot;007C7E6E&quot;/&gt;&lt;wsp:rsid wsp:val=&quot;007D0075&quot;/&gt;&lt;wsp:rsid wsp:val=&quot;007D1CE1&quot;/&gt;&lt;wsp:rsid wsp:val=&quot;007D20A5&quot;/&gt;&lt;wsp:rsid wsp:val=&quot;007D23DE&quot;/&gt;&lt;wsp:rsid wsp:val=&quot;007D278B&quot;/&gt;&lt;wsp:rsid wsp:val=&quot;007D2F8F&quot;/&gt;&lt;wsp:rsid wsp:val=&quot;007D3458&quot;/&gt;&lt;wsp:rsid wsp:val=&quot;007D36F7&quot;/&gt;&lt;wsp:rsid wsp:val=&quot;007D37DC&quot;/&gt;&lt;wsp:rsid wsp:val=&quot;007D3944&quot;/&gt;&lt;wsp:rsid wsp:val=&quot;007D43E3&quot;/&gt;&lt;wsp:rsid wsp:val=&quot;007D440C&quot;/&gt;&lt;wsp:rsid wsp:val=&quot;007D4CC6&quot;/&gt;&lt;wsp:rsid wsp:val=&quot;007D70D2&quot;/&gt;&lt;wsp:rsid wsp:val=&quot;007D7728&quot;/&gt;&lt;wsp:rsid wsp:val=&quot;007D7AF6&quot;/&gt;&lt;wsp:rsid wsp:val=&quot;007E0E9B&quot;/&gt;&lt;wsp:rsid wsp:val=&quot;007E1B78&quot;/&gt;&lt;wsp:rsid wsp:val=&quot;007E1EDA&quot;/&gt;&lt;wsp:rsid wsp:val=&quot;007E24C3&quot;/&gt;&lt;wsp:rsid wsp:val=&quot;007E28A7&quot;/&gt;&lt;wsp:rsid wsp:val=&quot;007E2B69&quot;/&gt;&lt;wsp:rsid wsp:val=&quot;007E31E7&quot;/&gt;&lt;wsp:rsid wsp:val=&quot;007E3641&quot;/&gt;&lt;wsp:rsid wsp:val=&quot;007E3D8B&quot;/&gt;&lt;wsp:rsid wsp:val=&quot;007E3E4C&quot;/&gt;&lt;wsp:rsid wsp:val=&quot;007E4520&quot;/&gt;&lt;wsp:rsid wsp:val=&quot;007E5154&quot;/&gt;&lt;wsp:rsid wsp:val=&quot;007E52AE&quot;/&gt;&lt;wsp:rsid wsp:val=&quot;007E56FF&quot;/&gt;&lt;wsp:rsid wsp:val=&quot;007E5AC7&quot;/&gt;&lt;wsp:rsid wsp:val=&quot;007F0C7B&quot;/&gt;&lt;wsp:rsid wsp:val=&quot;007F168A&quot;/&gt;&lt;wsp:rsid wsp:val=&quot;007F28CB&quot;/&gt;&lt;wsp:rsid wsp:val=&quot;007F2E26&quot;/&gt;&lt;wsp:rsid wsp:val=&quot;007F2F5D&quot;/&gt;&lt;wsp:rsid wsp:val=&quot;007F39AE&quot;/&gt;&lt;wsp:rsid wsp:val=&quot;007F46B5&quot;/&gt;&lt;wsp:rsid wsp:val=&quot;007F4AA6&quot;/&gt;&lt;wsp:rsid wsp:val=&quot;007F5AD6&quot;/&gt;&lt;wsp:rsid wsp:val=&quot;007F60EF&quot;/&gt;&lt;wsp:rsid wsp:val=&quot;008000B9&quot;/&gt;&lt;wsp:rsid wsp:val=&quot;00800150&quot;/&gt;&lt;wsp:rsid wsp:val=&quot;008005BC&quot;/&gt;&lt;wsp:rsid wsp:val=&quot;008009BE&quot;/&gt;&lt;wsp:rsid wsp:val=&quot;00801821&quot;/&gt;&lt;wsp:rsid wsp:val=&quot;00802307&quot;/&gt;&lt;wsp:rsid wsp:val=&quot;00802468&quot;/&gt;&lt;wsp:rsid wsp:val=&quot;00802D13&quot;/&gt;&lt;wsp:rsid wsp:val=&quot;00803A70&quot;/&gt;&lt;wsp:rsid wsp:val=&quot;00804BF4&quot;/&gt;&lt;wsp:rsid wsp:val=&quot;008062B7&quot;/&gt;&lt;wsp:rsid wsp:val=&quot;008066BD&quot;/&gt;&lt;wsp:rsid wsp:val=&quot;008103A2&quot;/&gt;&lt;wsp:rsid wsp:val=&quot;00812B37&quot;/&gt;&lt;wsp:rsid wsp:val=&quot;00812DC1&quot;/&gt;&lt;wsp:rsid wsp:val=&quot;00813033&quot;/&gt;&lt;wsp:rsid wsp:val=&quot;00813106&quot;/&gt;&lt;wsp:rsid wsp:val=&quot;008137E3&quot;/&gt;&lt;wsp:rsid wsp:val=&quot;008137F4&quot;/&gt;&lt;wsp:rsid wsp:val=&quot;00814804&quot;/&gt;&lt;wsp:rsid wsp:val=&quot;008165F8&quot;/&gt;&lt;wsp:rsid wsp:val=&quot;00817D20&quot;/&gt;&lt;wsp:rsid wsp:val=&quot;008200F8&quot;/&gt;&lt;wsp:rsid wsp:val=&quot;0082048D&quot;/&gt;&lt;wsp:rsid wsp:val=&quot;0082086F&quot;/&gt;&lt;wsp:rsid wsp:val=&quot;008226E9&quot;/&gt;&lt;wsp:rsid wsp:val=&quot;00823260&quot;/&gt;&lt;wsp:rsid wsp:val=&quot;008234BC&quot;/&gt;&lt;wsp:rsid wsp:val=&quot;008248EE&quot;/&gt;&lt;wsp:rsid wsp:val=&quot;00825178&quot;/&gt;&lt;wsp:rsid wsp:val=&quot;00825707&quot;/&gt;&lt;wsp:rsid wsp:val=&quot;0082583B&quot;/&gt;&lt;wsp:rsid wsp:val=&quot;00825A28&quot;/&gt;&lt;wsp:rsid wsp:val=&quot;0082657F&quot;/&gt;&lt;wsp:rsid wsp:val=&quot;00826CF7&quot;/&gt;&lt;wsp:rsid wsp:val=&quot;00827A48&quot;/&gt;&lt;wsp:rsid wsp:val=&quot;00827F37&quot;/&gt;&lt;wsp:rsid wsp:val=&quot;008306C9&quot;/&gt;&lt;wsp:rsid wsp:val=&quot;00831E4B&quot;/&gt;&lt;wsp:rsid wsp:val=&quot;008321A5&quot;/&gt;&lt;wsp:rsid wsp:val=&quot;008337B5&quot;/&gt;&lt;wsp:rsid wsp:val=&quot;008356B0&quot;/&gt;&lt;wsp:rsid wsp:val=&quot;008366BB&quot;/&gt;&lt;wsp:rsid wsp:val=&quot;008375C3&quot;/&gt;&lt;wsp:rsid wsp:val=&quot;008409E3&quot;/&gt;&lt;wsp:rsid wsp:val=&quot;00842ECF&quot;/&gt;&lt;wsp:rsid wsp:val=&quot;0084327B&quot;/&gt;&lt;wsp:rsid wsp:val=&quot;008432CF&quot;/&gt;&lt;wsp:rsid wsp:val=&quot;00844D2E&quot;/&gt;&lt;wsp:rsid wsp:val=&quot;00845BA5&quot;/&gt;&lt;wsp:rsid wsp:val=&quot;00846C91&quot;/&gt;&lt;wsp:rsid wsp:val=&quot;00847C10&quot;/&gt;&lt;wsp:rsid wsp:val=&quot;00847F27&quot;/&gt;&lt;wsp:rsid wsp:val=&quot;00851A73&quot;/&gt;&lt;wsp:rsid wsp:val=&quot;00852124&quot;/&gt;&lt;wsp:rsid wsp:val=&quot;0085293B&quot;/&gt;&lt;wsp:rsid wsp:val=&quot;00853749&quot;/&gt;&lt;wsp:rsid wsp:val=&quot;00853C71&quot;/&gt;&lt;wsp:rsid wsp:val=&quot;00854933&quot;/&gt;&lt;wsp:rsid wsp:val=&quot;00856804&quot;/&gt;&lt;wsp:rsid wsp:val=&quot;00857DB8&quot;/&gt;&lt;wsp:rsid wsp:val=&quot;00860841&quot;/&gt;&lt;wsp:rsid wsp:val=&quot;00861CF2&quot;/&gt;&lt;wsp:rsid wsp:val=&quot;0086215F&quot;/&gt;&lt;wsp:rsid wsp:val=&quot;0086303E&quot;/&gt;&lt;wsp:rsid wsp:val=&quot;00864660&quot;/&gt;&lt;wsp:rsid wsp:val=&quot;00864ACE&quot;/&gt;&lt;wsp:rsid wsp:val=&quot;00870382&quot;/&gt;&lt;wsp:rsid wsp:val=&quot;008714C4&quot;/&gt;&lt;wsp:rsid wsp:val=&quot;0087257B&quot;/&gt;&lt;wsp:rsid wsp:val=&quot;008729DA&quot;/&gt;&lt;wsp:rsid wsp:val=&quot;00874204&quot;/&gt;&lt;wsp:rsid wsp:val=&quot;00876BD7&quot;/&gt;&lt;wsp:rsid wsp:val=&quot;0087723B&quot;/&gt;&lt;wsp:rsid wsp:val=&quot;00880679&quot;/&gt;&lt;wsp:rsid wsp:val=&quot;008840D5&quot;/&gt;&lt;wsp:rsid wsp:val=&quot;00884B0E&quot;/&gt;&lt;wsp:rsid wsp:val=&quot;00884B9F&quot;/&gt;&lt;wsp:rsid wsp:val=&quot;008851FE&quot;/&gt;&lt;wsp:rsid wsp:val=&quot;00885AD5&quot;/&gt;&lt;wsp:rsid wsp:val=&quot;008860C4&quot;/&gt;&lt;wsp:rsid wsp:val=&quot;00886402&quot;/&gt;&lt;wsp:rsid wsp:val=&quot;00886DDD&quot;/&gt;&lt;wsp:rsid wsp:val=&quot;00886E33&quot;/&gt;&lt;wsp:rsid wsp:val=&quot;008903B1&quot;/&gt;&lt;wsp:rsid wsp:val=&quot;00890B19&quot;/&gt;&lt;wsp:rsid wsp:val=&quot;00890E4D&quot;/&gt;&lt;wsp:rsid wsp:val=&quot;008910BA&quot;/&gt;&lt;wsp:rsid wsp:val=&quot;00891153&quot;/&gt;&lt;wsp:rsid wsp:val=&quot;00891FD0&quot;/&gt;&lt;wsp:rsid wsp:val=&quot;00892182&quot;/&gt;&lt;wsp:rsid wsp:val=&quot;008926A1&quot;/&gt;&lt;wsp:rsid wsp:val=&quot;00892B70&quot;/&gt;&lt;wsp:rsid wsp:val=&quot;008955AA&quot;/&gt;&lt;wsp:rsid wsp:val=&quot;00895659&quot;/&gt;&lt;wsp:rsid wsp:val=&quot;00896CB3&quot;/&gt;&lt;wsp:rsid wsp:val=&quot;008974AB&quot;/&gt;&lt;wsp:rsid wsp:val=&quot;008A28BE&quot;/&gt;&lt;wsp:rsid wsp:val=&quot;008A2EE0&quot;/&gt;&lt;wsp:rsid wsp:val=&quot;008A3021&quot;/&gt;&lt;wsp:rsid wsp:val=&quot;008A556F&quot;/&gt;&lt;wsp:rsid wsp:val=&quot;008A7471&quot;/&gt;&lt;wsp:rsid wsp:val=&quot;008A761E&quot;/&gt;&lt;wsp:rsid wsp:val=&quot;008B0185&quot;/&gt;&lt;wsp:rsid wsp:val=&quot;008B10BB&quot;/&gt;&lt;wsp:rsid wsp:val=&quot;008B1389&quot;/&gt;&lt;wsp:rsid wsp:val=&quot;008B1A4D&quot;/&gt;&lt;wsp:rsid wsp:val=&quot;008B201E&quot;/&gt;&lt;wsp:rsid wsp:val=&quot;008B41F0&quot;/&gt;&lt;wsp:rsid wsp:val=&quot;008B4364&quot;/&gt;&lt;wsp:rsid wsp:val=&quot;008B57B5&quot;/&gt;&lt;wsp:rsid wsp:val=&quot;008B57C2&quot;/&gt;&lt;wsp:rsid wsp:val=&quot;008B60FD&quot;/&gt;&lt;wsp:rsid wsp:val=&quot;008B62AF&quot;/&gt;&lt;wsp:rsid wsp:val=&quot;008B7529&quot;/&gt;&lt;wsp:rsid wsp:val=&quot;008B7A86&quot;/&gt;&lt;wsp:rsid wsp:val=&quot;008C2536&quot;/&gt;&lt;wsp:rsid wsp:val=&quot;008C2BD8&quot;/&gt;&lt;wsp:rsid wsp:val=&quot;008C32DF&quot;/&gt;&lt;wsp:rsid wsp:val=&quot;008C38B7&quot;/&gt;&lt;wsp:rsid wsp:val=&quot;008C414B&quot;/&gt;&lt;wsp:rsid wsp:val=&quot;008C500A&quot;/&gt;&lt;wsp:rsid wsp:val=&quot;008C5588&quot;/&gt;&lt;wsp:rsid wsp:val=&quot;008C7001&quot;/&gt;&lt;wsp:rsid wsp:val=&quot;008C73B3&quot;/&gt;&lt;wsp:rsid wsp:val=&quot;008C7448&quot;/&gt;&lt;wsp:rsid wsp:val=&quot;008C76EA&quot;/&gt;&lt;wsp:rsid wsp:val=&quot;008D0150&quot;/&gt;&lt;wsp:rsid wsp:val=&quot;008D0896&quot;/&gt;&lt;wsp:rsid wsp:val=&quot;008D2D9C&quot;/&gt;&lt;wsp:rsid wsp:val=&quot;008D50CB&quot;/&gt;&lt;wsp:rsid wsp:val=&quot;008D7812&quot;/&gt;&lt;wsp:rsid wsp:val=&quot;008D78D2&quot;/&gt;&lt;wsp:rsid wsp:val=&quot;008D7D03&quot;/&gt;&lt;wsp:rsid wsp:val=&quot;008D7D99&quot;/&gt;&lt;wsp:rsid wsp:val=&quot;008E0585&quot;/&gt;&lt;wsp:rsid wsp:val=&quot;008E0DD5&quot;/&gt;&lt;wsp:rsid wsp:val=&quot;008E2621&quot;/&gt;&lt;wsp:rsid wsp:val=&quot;008E2BEE&quot;/&gt;&lt;wsp:rsid wsp:val=&quot;008E3B31&quot;/&gt;&lt;wsp:rsid wsp:val=&quot;008E438B&quot;/&gt;&lt;wsp:rsid wsp:val=&quot;008E4A7D&quot;/&gt;&lt;wsp:rsid wsp:val=&quot;008F0ED1&quot;/&gt;&lt;wsp:rsid wsp:val=&quot;008F0ED3&quot;/&gt;&lt;wsp:rsid wsp:val=&quot;008F1D68&quot;/&gt;&lt;wsp:rsid wsp:val=&quot;008F2F3F&quot;/&gt;&lt;wsp:rsid wsp:val=&quot;008F31F3&quot;/&gt;&lt;wsp:rsid wsp:val=&quot;008F3AEA&quot;/&gt;&lt;wsp:rsid wsp:val=&quot;008F3EE8&quot;/&gt;&lt;wsp:rsid wsp:val=&quot;008F43BF&quot;/&gt;&lt;wsp:rsid wsp:val=&quot;008F5AA8&quot;/&gt;&lt;wsp:rsid wsp:val=&quot;008F6660&quot;/&gt;&lt;wsp:rsid wsp:val=&quot;008F6999&quot;/&gt;&lt;wsp:rsid wsp:val=&quot;008F7AB3&quot;/&gt;&lt;wsp:rsid wsp:val=&quot;00900188&quot;/&gt;&lt;wsp:rsid wsp:val=&quot;00900542&quot;/&gt;&lt;wsp:rsid wsp:val=&quot;009010EA&quot;/&gt;&lt;wsp:rsid wsp:val=&quot;009018EB&quot;/&gt;&lt;wsp:rsid wsp:val=&quot;00902376&quot;/&gt;&lt;wsp:rsid wsp:val=&quot;00902C02&quot;/&gt;&lt;wsp:rsid wsp:val=&quot;009034F0&quot;/&gt;&lt;wsp:rsid wsp:val=&quot;00903E5A&quot;/&gt;&lt;wsp:rsid wsp:val=&quot;00903EA7&quot;/&gt;&lt;wsp:rsid wsp:val=&quot;00904E92&quot;/&gt;&lt;wsp:rsid wsp:val=&quot;00904EFF&quot;/&gt;&lt;wsp:rsid wsp:val=&quot;009064EE&quot;/&gt;&lt;wsp:rsid wsp:val=&quot;00906AFF&quot;/&gt;&lt;wsp:rsid wsp:val=&quot;009074BA&quot;/&gt;&lt;wsp:rsid wsp:val=&quot;009106AE&quot;/&gt;&lt;wsp:rsid wsp:val=&quot;00910AD2&quot;/&gt;&lt;wsp:rsid wsp:val=&quot;00910DF2&quot;/&gt;&lt;wsp:rsid wsp:val=&quot;00911D85&quot;/&gt;&lt;wsp:rsid wsp:val=&quot;009123A0&quot;/&gt;&lt;wsp:rsid wsp:val=&quot;009125E0&quot;/&gt;&lt;wsp:rsid wsp:val=&quot;00913FE3&quot;/&gt;&lt;wsp:rsid wsp:val=&quot;00914AD4&quot;/&gt;&lt;wsp:rsid wsp:val=&quot;00914AD6&quot;/&gt;&lt;wsp:rsid wsp:val=&quot;00915530&quot;/&gt;&lt;wsp:rsid wsp:val=&quot;00916949&quot;/&gt;&lt;wsp:rsid wsp:val=&quot;009179B4&quot;/&gt;&lt;wsp:rsid wsp:val=&quot;00917B65&quot;/&gt;&lt;wsp:rsid wsp:val=&quot;00920520&quot;/&gt;&lt;wsp:rsid wsp:val=&quot;00922B76&quot;/&gt;&lt;wsp:rsid wsp:val=&quot;00924B3D&quot;/&gt;&lt;wsp:rsid wsp:val=&quot;0092648B&quot;/&gt;&lt;wsp:rsid wsp:val=&quot;00930144&quot;/&gt;&lt;wsp:rsid wsp:val=&quot;0093042A&quot;/&gt;&lt;wsp:rsid wsp:val=&quot;00930557&quot;/&gt;&lt;wsp:rsid wsp:val=&quot;00930A0E&quot;/&gt;&lt;wsp:rsid wsp:val=&quot;009311E9&quot;/&gt;&lt;wsp:rsid wsp:val=&quot;009317E4&quot;/&gt;&lt;wsp:rsid wsp:val=&quot;0093219D&quot;/&gt;&lt;wsp:rsid wsp:val=&quot;0093234F&quot;/&gt;&lt;wsp:rsid wsp:val=&quot;00932A1C&quot;/&gt;&lt;wsp:rsid wsp:val=&quot;009360BF&quot;/&gt;&lt;wsp:rsid wsp:val=&quot;00936535&quot;/&gt;&lt;wsp:rsid wsp:val=&quot;00936CEA&quot;/&gt;&lt;wsp:rsid wsp:val=&quot;0094004A&quot;/&gt;&lt;wsp:rsid wsp:val=&quot;009407D7&quot;/&gt;&lt;wsp:rsid wsp:val=&quot;009408D0&quot;/&gt;&lt;wsp:rsid wsp:val=&quot;00941DEC&quot;/&gt;&lt;wsp:rsid wsp:val=&quot;00942F8F&quot;/&gt;&lt;wsp:rsid wsp:val=&quot;009432A7&quot;/&gt;&lt;wsp:rsid wsp:val=&quot;009433DE&quot;/&gt;&lt;wsp:rsid wsp:val=&quot;00944606&quot;/&gt;&lt;wsp:rsid wsp:val=&quot;00944693&quot;/&gt;&lt;wsp:rsid wsp:val=&quot;00944C8F&quot;/&gt;&lt;wsp:rsid wsp:val=&quot;009450A5&quot;/&gt;&lt;wsp:rsid wsp:val=&quot;00945DC0&quot;/&gt;&lt;wsp:rsid wsp:val=&quot;00945EE5&quot;/&gt;&lt;wsp:rsid wsp:val=&quot;00947159&quot;/&gt;&lt;wsp:rsid wsp:val=&quot;00947450&quot;/&gt;&lt;wsp:rsid wsp:val=&quot;009478E5&quot;/&gt;&lt;wsp:rsid wsp:val=&quot;0095159C&quot;/&gt;&lt;wsp:rsid wsp:val=&quot;0095182B&quot;/&gt;&lt;wsp:rsid wsp:val=&quot;00953C8D&quot;/&gt;&lt;wsp:rsid wsp:val=&quot;00954416&quot;/&gt;&lt;wsp:rsid wsp:val=&quot;00954F0B&quot;/&gt;&lt;wsp:rsid wsp:val=&quot;009558FD&quot;/&gt;&lt;wsp:rsid wsp:val=&quot;009559AD&quot;/&gt;&lt;wsp:rsid wsp:val=&quot;0095632F&quot;/&gt;&lt;wsp:rsid wsp:val=&quot;00956E33&quot;/&gt;&lt;wsp:rsid wsp:val=&quot;00957262&quot;/&gt;&lt;wsp:rsid wsp:val=&quot;00961226&quot;/&gt;&lt;wsp:rsid wsp:val=&quot;00961374&quot;/&gt;&lt;wsp:rsid wsp:val=&quot;00963B5D&quot;/&gt;&lt;wsp:rsid wsp:val=&quot;0096418D&quot;/&gt;&lt;wsp:rsid wsp:val=&quot;00965C75&quot;/&gt;&lt;wsp:rsid wsp:val=&quot;00966038&quot;/&gt;&lt;wsp:rsid wsp:val=&quot;00966B21&quot;/&gt;&lt;wsp:rsid wsp:val=&quot;00967F9F&quot;/&gt;&lt;wsp:rsid wsp:val=&quot;009702AC&quot;/&gt;&lt;wsp:rsid wsp:val=&quot;00971B3F&quot;/&gt;&lt;wsp:rsid wsp:val=&quot;00971E74&quot;/&gt;&lt;wsp:rsid wsp:val=&quot;00972BD4&quot;/&gt;&lt;wsp:rsid wsp:val=&quot;00973538&quot;/&gt;&lt;wsp:rsid wsp:val=&quot;00974BDB&quot;/&gt;&lt;wsp:rsid wsp:val=&quot;0097567E&quot;/&gt;&lt;wsp:rsid wsp:val=&quot;009757DF&quot;/&gt;&lt;wsp:rsid wsp:val=&quot;00976B19&quot;/&gt;&lt;wsp:rsid wsp:val=&quot;00977454&quot;/&gt;&lt;wsp:rsid wsp:val=&quot;00977A62&quot;/&gt;&lt;wsp:rsid wsp:val=&quot;00980FC6&quot;/&gt;&lt;wsp:rsid wsp:val=&quot;0098257A&quot;/&gt;&lt;wsp:rsid wsp:val=&quot;00982DF8&quot;/&gt;&lt;wsp:rsid wsp:val=&quot;00983FBF&quot;/&gt;&lt;wsp:rsid wsp:val=&quot;0098440B&quot;/&gt;&lt;wsp:rsid wsp:val=&quot;00984C1F&quot;/&gt;&lt;wsp:rsid wsp:val=&quot;00985381&quot;/&gt;&lt;wsp:rsid wsp:val=&quot;00990A1F&quot;/&gt;&lt;wsp:rsid wsp:val=&quot;00990E5B&quot;/&gt;&lt;wsp:rsid wsp:val=&quot;0099329C&quot;/&gt;&lt;wsp:rsid wsp:val=&quot;009934AF&quot;/&gt;&lt;wsp:rsid wsp:val=&quot;0099375E&quot;/&gt;&lt;wsp:rsid wsp:val=&quot;00993C0B&quot;/&gt;&lt;wsp:rsid wsp:val=&quot;00994849&quot;/&gt;&lt;wsp:rsid wsp:val=&quot;00995E04&quot;/&gt;&lt;wsp:rsid wsp:val=&quot;00995FFB&quot;/&gt;&lt;wsp:rsid wsp:val=&quot;0099643D&quot;/&gt;&lt;wsp:rsid wsp:val=&quot;00997882&quot;/&gt;&lt;wsp:rsid wsp:val=&quot;009A0923&quot;/&gt;&lt;wsp:rsid wsp:val=&quot;009A3BB4&quot;/&gt;&lt;wsp:rsid wsp:val=&quot;009A5E11&quot;/&gt;&lt;wsp:rsid wsp:val=&quot;009A6261&quot;/&gt;&lt;wsp:rsid wsp:val=&quot;009A6738&quot;/&gt;&lt;wsp:rsid wsp:val=&quot;009A6D58&quot;/&gt;&lt;wsp:rsid wsp:val=&quot;009B056E&quot;/&gt;&lt;wsp:rsid wsp:val=&quot;009B3FA3&quot;/&gt;&lt;wsp:rsid wsp:val=&quot;009B4099&quot;/&gt;&lt;wsp:rsid wsp:val=&quot;009B4BE8&quot;/&gt;&lt;wsp:rsid wsp:val=&quot;009B5082&quot;/&gt;&lt;wsp:rsid wsp:val=&quot;009B54F6&quot;/&gt;&lt;wsp:rsid wsp:val=&quot;009B6C4B&quot;/&gt;&lt;wsp:rsid wsp:val=&quot;009B6FCF&quot;/&gt;&lt;wsp:rsid wsp:val=&quot;009B751C&quot;/&gt;&lt;wsp:rsid wsp:val=&quot;009B7BA7&quot;/&gt;&lt;wsp:rsid wsp:val=&quot;009B7F4B&quot;/&gt;&lt;wsp:rsid wsp:val=&quot;009C036E&quot;/&gt;&lt;wsp:rsid wsp:val=&quot;009C0B47&quot;/&gt;&lt;wsp:rsid wsp:val=&quot;009C18E1&quot;/&gt;&lt;wsp:rsid wsp:val=&quot;009C2349&quot;/&gt;&lt;wsp:rsid wsp:val=&quot;009C2E81&quot;/&gt;&lt;wsp:rsid wsp:val=&quot;009C485F&quot;/&gt;&lt;wsp:rsid wsp:val=&quot;009C54B6&quot;/&gt;&lt;wsp:rsid wsp:val=&quot;009C56E8&quot;/&gt;&lt;wsp:rsid wsp:val=&quot;009C5B66&quot;/&gt;&lt;wsp:rsid wsp:val=&quot;009C6224&quot;/&gt;&lt;wsp:rsid wsp:val=&quot;009C647F&quot;/&gt;&lt;wsp:rsid wsp:val=&quot;009C677B&quot;/&gt;&lt;wsp:rsid wsp:val=&quot;009C6944&quot;/&gt;&lt;wsp:rsid wsp:val=&quot;009D089C&quot;/&gt;&lt;wsp:rsid wsp:val=&quot;009D0B79&quot;/&gt;&lt;wsp:rsid wsp:val=&quot;009D2A0C&quot;/&gt;&lt;wsp:rsid wsp:val=&quot;009D3C41&quot;/&gt;&lt;wsp:rsid wsp:val=&quot;009D4359&quot;/&gt;&lt;wsp:rsid wsp:val=&quot;009D5296&quot;/&gt;&lt;wsp:rsid wsp:val=&quot;009D6111&quot;/&gt;&lt;wsp:rsid wsp:val=&quot;009E1538&quot;/&gt;&lt;wsp:rsid wsp:val=&quot;009E15D2&quot;/&gt;&lt;wsp:rsid wsp:val=&quot;009E16B9&quot;/&gt;&lt;wsp:rsid wsp:val=&quot;009E1A18&quot;/&gt;&lt;wsp:rsid wsp:val=&quot;009E2BF6&quot;/&gt;&lt;wsp:rsid wsp:val=&quot;009E3A24&quot;/&gt;&lt;wsp:rsid wsp:val=&quot;009E4374&quot;/&gt;&lt;wsp:rsid wsp:val=&quot;009E4CF3&quot;/&gt;&lt;wsp:rsid wsp:val=&quot;009E5D59&quot;/&gt;&lt;wsp:rsid wsp:val=&quot;009E7FF4&quot;/&gt;&lt;wsp:rsid wsp:val=&quot;009F02F1&quot;/&gt;&lt;wsp:rsid wsp:val=&quot;009F1BA8&quot;/&gt;&lt;wsp:rsid wsp:val=&quot;009F21EA&quot;/&gt;&lt;wsp:rsid wsp:val=&quot;009F2534&quot;/&gt;&lt;wsp:rsid wsp:val=&quot;009F25BA&quot;/&gt;&lt;wsp:rsid wsp:val=&quot;009F4FAF&quot;/&gt;&lt;wsp:rsid wsp:val=&quot;009F6FB8&quot;/&gt;&lt;wsp:rsid wsp:val=&quot;009F7316&quot;/&gt;&lt;wsp:rsid wsp:val=&quot;00A00110&quot;/&gt;&lt;wsp:rsid wsp:val=&quot;00A00143&quot;/&gt;&lt;wsp:rsid wsp:val=&quot;00A02030&quot;/&gt;&lt;wsp:rsid wsp:val=&quot;00A0385E&quot;/&gt;&lt;wsp:rsid wsp:val=&quot;00A03DC7&quot;/&gt;&lt;wsp:rsid wsp:val=&quot;00A040A5&quot;/&gt;&lt;wsp:rsid wsp:val=&quot;00A056D8&quot;/&gt;&lt;wsp:rsid wsp:val=&quot;00A0749D&quot;/&gt;&lt;wsp:rsid wsp:val=&quot;00A10260&quot;/&gt;&lt;wsp:rsid wsp:val=&quot;00A10662&quot;/&gt;&lt;wsp:rsid wsp:val=&quot;00A11244&quot;/&gt;&lt;wsp:rsid wsp:val=&quot;00A11A46&quot;/&gt;&lt;wsp:rsid wsp:val=&quot;00A14B4D&quot;/&gt;&lt;wsp:rsid wsp:val=&quot;00A15A06&quot;/&gt;&lt;wsp:rsid wsp:val=&quot;00A15DB0&quot;/&gt;&lt;wsp:rsid wsp:val=&quot;00A1682D&quot;/&gt;&lt;wsp:rsid wsp:val=&quot;00A17768&quot;/&gt;&lt;wsp:rsid wsp:val=&quot;00A17CC2&quot;/&gt;&lt;wsp:rsid wsp:val=&quot;00A17EA9&quot;/&gt;&lt;wsp:rsid wsp:val=&quot;00A20034&quot;/&gt;&lt;wsp:rsid wsp:val=&quot;00A21C8D&quot;/&gt;&lt;wsp:rsid wsp:val=&quot;00A21C9B&quot;/&gt;&lt;wsp:rsid wsp:val=&quot;00A23167&quot;/&gt;&lt;wsp:rsid wsp:val=&quot;00A23AB9&quot;/&gt;&lt;wsp:rsid wsp:val=&quot;00A23BBF&quot;/&gt;&lt;wsp:rsid wsp:val=&quot;00A258F1&quot;/&gt;&lt;wsp:rsid wsp:val=&quot;00A30EBB&quot;/&gt;&lt;wsp:rsid wsp:val=&quot;00A3171A&quot;/&gt;&lt;wsp:rsid wsp:val=&quot;00A325EB&quot;/&gt;&lt;wsp:rsid wsp:val=&quot;00A354EC&quot;/&gt;&lt;wsp:rsid wsp:val=&quot;00A40347&quot;/&gt;&lt;wsp:rsid wsp:val=&quot;00A40B95&quot;/&gt;&lt;wsp:rsid wsp:val=&quot;00A41100&quot;/&gt;&lt;wsp:rsid wsp:val=&quot;00A41705&quot;/&gt;&lt;wsp:rsid wsp:val=&quot;00A42ADC&quot;/&gt;&lt;wsp:rsid wsp:val=&quot;00A435D6&quot;/&gt;&lt;wsp:rsid wsp:val=&quot;00A442C7&quot;/&gt;&lt;wsp:rsid wsp:val=&quot;00A4561F&quot;/&gt;&lt;wsp:rsid wsp:val=&quot;00A45A58&quot;/&gt;&lt;wsp:rsid wsp:val=&quot;00A4615E&quot;/&gt;&lt;wsp:rsid wsp:val=&quot;00A46B58&quot;/&gt;&lt;wsp:rsid wsp:val=&quot;00A473B3&quot;/&gt;&lt;wsp:rsid wsp:val=&quot;00A47D0E&quot;/&gt;&lt;wsp:rsid wsp:val=&quot;00A47DE3&quot;/&gt;&lt;wsp:rsid wsp:val=&quot;00A50650&quot;/&gt;&lt;wsp:rsid wsp:val=&quot;00A51206&quot;/&gt;&lt;wsp:rsid wsp:val=&quot;00A516DC&quot;/&gt;&lt;wsp:rsid wsp:val=&quot;00A51D19&quot;/&gt;&lt;wsp:rsid wsp:val=&quot;00A52327&quot;/&gt;&lt;wsp:rsid wsp:val=&quot;00A53739&quot;/&gt;&lt;wsp:rsid wsp:val=&quot;00A5445C&quot;/&gt;&lt;wsp:rsid wsp:val=&quot;00A547A3&quot;/&gt;&lt;wsp:rsid wsp:val=&quot;00A54E29&quot;/&gt;&lt;wsp:rsid wsp:val=&quot;00A55488&quot;/&gt;&lt;wsp:rsid wsp:val=&quot;00A555BB&quot;/&gt;&lt;wsp:rsid wsp:val=&quot;00A5568D&quot;/&gt;&lt;wsp:rsid wsp:val=&quot;00A567C2&quot;/&gt;&lt;wsp:rsid wsp:val=&quot;00A57176&quot;/&gt;&lt;wsp:rsid wsp:val=&quot;00A57647&quot;/&gt;&lt;wsp:rsid wsp:val=&quot;00A613A2&quot;/&gt;&lt;wsp:rsid wsp:val=&quot;00A62480&quot;/&gt;&lt;wsp:rsid wsp:val=&quot;00A628BE&quot;/&gt;&lt;wsp:rsid wsp:val=&quot;00A629ED&quot;/&gt;&lt;wsp:rsid wsp:val=&quot;00A62EA4&quot;/&gt;&lt;wsp:rsid wsp:val=&quot;00A62FAF&quot;/&gt;&lt;wsp:rsid wsp:val=&quot;00A639FD&quot;/&gt;&lt;wsp:rsid wsp:val=&quot;00A6497A&quot;/&gt;&lt;wsp:rsid wsp:val=&quot;00A64A2F&quot;/&gt;&lt;wsp:rsid wsp:val=&quot;00A66AE3&quot;/&gt;&lt;wsp:rsid wsp:val=&quot;00A66CC5&quot;/&gt;&lt;wsp:rsid wsp:val=&quot;00A6705D&quot;/&gt;&lt;wsp:rsid wsp:val=&quot;00A72765&quot;/&gt;&lt;wsp:rsid wsp:val=&quot;00A73A0B&quot;/&gt;&lt;wsp:rsid wsp:val=&quot;00A7471D&quot;/&gt;&lt;wsp:rsid wsp:val=&quot;00A7494E&quot;/&gt;&lt;wsp:rsid wsp:val=&quot;00A75228&quot;/&gt;&lt;wsp:rsid wsp:val=&quot;00A7526D&quot;/&gt;&lt;wsp:rsid wsp:val=&quot;00A76A6B&quot;/&gt;&lt;wsp:rsid wsp:val=&quot;00A76D36&quot;/&gt;&lt;wsp:rsid wsp:val=&quot;00A775AC&quot;/&gt;&lt;wsp:rsid wsp:val=&quot;00A8020A&quot;/&gt;&lt;wsp:rsid wsp:val=&quot;00A818A2&quot;/&gt;&lt;wsp:rsid wsp:val=&quot;00A81CCC&quot;/&gt;&lt;wsp:rsid wsp:val=&quot;00A82D94&quot;/&gt;&lt;wsp:rsid wsp:val=&quot;00A82ECB&quot;/&gt;&lt;wsp:rsid wsp:val=&quot;00A82F62&quot;/&gt;&lt;wsp:rsid wsp:val=&quot;00A83028&quot;/&gt;&lt;wsp:rsid wsp:val=&quot;00A84387&quot;/&gt;&lt;wsp:rsid wsp:val=&quot;00A84834&quot;/&gt;&lt;wsp:rsid wsp:val=&quot;00A84C55&quot;/&gt;&lt;wsp:rsid wsp:val=&quot;00A85742&quot;/&gt;&lt;wsp:rsid wsp:val=&quot;00A85E89&quot;/&gt;&lt;wsp:rsid wsp:val=&quot;00A90E46&quot;/&gt;&lt;wsp:rsid wsp:val=&quot;00A9181C&quot;/&gt;&lt;wsp:rsid wsp:val=&quot;00A91B8A&quot;/&gt;&lt;wsp:rsid wsp:val=&quot;00A92482&quot;/&gt;&lt;wsp:rsid wsp:val=&quot;00A92BFD&quot;/&gt;&lt;wsp:rsid wsp:val=&quot;00A9369D&quot;/&gt;&lt;wsp:rsid wsp:val=&quot;00A93980&quot;/&gt;&lt;wsp:rsid wsp:val=&quot;00A96527&quot;/&gt;&lt;wsp:rsid wsp:val=&quot;00A97C4A&quot;/&gt;&lt;wsp:rsid wsp:val=&quot;00AA230C&quot;/&gt;&lt;wsp:rsid wsp:val=&quot;00AA3C85&quot;/&gt;&lt;wsp:rsid wsp:val=&quot;00AA49B4&quot;/&gt;&lt;wsp:rsid wsp:val=&quot;00AA4E0E&quot;/&gt;&lt;wsp:rsid wsp:val=&quot;00AA572F&quot;/&gt;&lt;wsp:rsid wsp:val=&quot;00AA5B4B&quot;/&gt;&lt;wsp:rsid wsp:val=&quot;00AA658C&quot;/&gt;&lt;wsp:rsid wsp:val=&quot;00AA6C6A&quot;/&gt;&lt;wsp:rsid wsp:val=&quot;00AA6D5D&quot;/&gt;&lt;wsp:rsid wsp:val=&quot;00AA6E5E&quot;/&gt;&lt;wsp:rsid wsp:val=&quot;00AA6F21&quot;/&gt;&lt;wsp:rsid wsp:val=&quot;00AA7402&quot;/&gt;&lt;wsp:rsid wsp:val=&quot;00AB0B87&quot;/&gt;&lt;wsp:rsid wsp:val=&quot;00AB0D2B&quot;/&gt;&lt;wsp:rsid wsp:val=&quot;00AB0E97&quot;/&gt;&lt;wsp:rsid wsp:val=&quot;00AB4135&quot;/&gt;&lt;wsp:rsid wsp:val=&quot;00AB467F&quot;/&gt;&lt;wsp:rsid wsp:val=&quot;00AB62CB&quot;/&gt;&lt;wsp:rsid wsp:val=&quot;00AB7D32&quot;/&gt;&lt;wsp:rsid wsp:val=&quot;00AB7F3D&quot;/&gt;&lt;wsp:rsid wsp:val=&quot;00AC085C&quot;/&gt;&lt;wsp:rsid wsp:val=&quot;00AC132D&quot;/&gt;&lt;wsp:rsid wsp:val=&quot;00AC14FD&quot;/&gt;&lt;wsp:rsid wsp:val=&quot;00AC248F&quot;/&gt;&lt;wsp:rsid wsp:val=&quot;00AC343F&quot;/&gt;&lt;wsp:rsid wsp:val=&quot;00AC4F38&quot;/&gt;&lt;wsp:rsid wsp:val=&quot;00AC64B0&quot;/&gt;&lt;wsp:rsid wsp:val=&quot;00AC697A&quot;/&gt;&lt;wsp:rsid wsp:val=&quot;00AC7220&quot;/&gt;&lt;wsp:rsid wsp:val=&quot;00AC7773&quot;/&gt;&lt;wsp:rsid wsp:val=&quot;00AC7804&quot;/&gt;&lt;wsp:rsid wsp:val=&quot;00AD0BF0&quot;/&gt;&lt;wsp:rsid wsp:val=&quot;00AD1CFE&quot;/&gt;&lt;wsp:rsid wsp:val=&quot;00AD2B0D&quot;/&gt;&lt;wsp:rsid wsp:val=&quot;00AD34A9&quot;/&gt;&lt;wsp:rsid wsp:val=&quot;00AD3CE1&quot;/&gt;&lt;wsp:rsid wsp:val=&quot;00AD4139&quot;/&gt;&lt;wsp:rsid wsp:val=&quot;00AD4AD6&quot;/&gt;&lt;wsp:rsid wsp:val=&quot;00AD4C59&quot;/&gt;&lt;wsp:rsid wsp:val=&quot;00AD5397&quot;/&gt;&lt;wsp:rsid wsp:val=&quot;00AE051D&quot;/&gt;&lt;wsp:rsid wsp:val=&quot;00AE0962&quot;/&gt;&lt;wsp:rsid wsp:val=&quot;00AE0AE4&quot;/&gt;&lt;wsp:rsid wsp:val=&quot;00AE2BC5&quot;/&gt;&lt;wsp:rsid wsp:val=&quot;00AE3217&quot;/&gt;&lt;wsp:rsid wsp:val=&quot;00AE6DB2&quot;/&gt;&lt;wsp:rsid wsp:val=&quot;00AF0C46&quot;/&gt;&lt;wsp:rsid wsp:val=&quot;00AF0D8B&quot;/&gt;&lt;wsp:rsid wsp:val=&quot;00AF16B6&quot;/&gt;&lt;wsp:rsid wsp:val=&quot;00AF2C83&quot;/&gt;&lt;wsp:rsid wsp:val=&quot;00AF34C3&quot;/&gt;&lt;wsp:rsid wsp:val=&quot;00AF419C&quot;/&gt;&lt;wsp:rsid wsp:val=&quot;00AF4293&quot;/&gt;&lt;wsp:rsid wsp:val=&quot;00AF4B10&quot;/&gt;&lt;wsp:rsid wsp:val=&quot;00AF5979&quot;/&gt;&lt;wsp:rsid wsp:val=&quot;00AF5C0A&quot;/&gt;&lt;wsp:rsid wsp:val=&quot;00AF6477&quot;/&gt;&lt;wsp:rsid wsp:val=&quot;00AF66C1&quot;/&gt;&lt;wsp:rsid wsp:val=&quot;00B01BBB&quot;/&gt;&lt;wsp:rsid wsp:val=&quot;00B02355&quot;/&gt;&lt;wsp:rsid wsp:val=&quot;00B03151&quot;/&gt;&lt;wsp:rsid wsp:val=&quot;00B0492D&quot;/&gt;&lt;wsp:rsid wsp:val=&quot;00B05666&quot;/&gt;&lt;wsp:rsid wsp:val=&quot;00B05872&quot;/&gt;&lt;wsp:rsid wsp:val=&quot;00B0667C&quot;/&gt;&lt;wsp:rsid wsp:val=&quot;00B0776E&quot;/&gt;&lt;wsp:rsid wsp:val=&quot;00B10423&quot;/&gt;&lt;wsp:rsid wsp:val=&quot;00B11147&quot;/&gt;&lt;wsp:rsid wsp:val=&quot;00B1261C&quot;/&gt;&lt;wsp:rsid wsp:val=&quot;00B14CC5&quot;/&gt;&lt;wsp:rsid wsp:val=&quot;00B14F56&quot;/&gt;&lt;wsp:rsid wsp:val=&quot;00B152F6&quot;/&gt;&lt;wsp:rsid wsp:val=&quot;00B176A7&quot;/&gt;&lt;wsp:rsid wsp:val=&quot;00B235A2&quot;/&gt;&lt;wsp:rsid wsp:val=&quot;00B2435A&quot;/&gt;&lt;wsp:rsid wsp:val=&quot;00B24579&quot;/&gt;&lt;wsp:rsid wsp:val=&quot;00B245B9&quot;/&gt;&lt;wsp:rsid wsp:val=&quot;00B246C5&quot;/&gt;&lt;wsp:rsid wsp:val=&quot;00B249A1&quot;/&gt;&lt;wsp:rsid wsp:val=&quot;00B25721&quot;/&gt;&lt;wsp:rsid wsp:val=&quot;00B27150&quot;/&gt;&lt;wsp:rsid wsp:val=&quot;00B27E82&quot;/&gt;&lt;wsp:rsid wsp:val=&quot;00B27FFC&quot;/&gt;&lt;wsp:rsid wsp:val=&quot;00B308B6&quot;/&gt;&lt;wsp:rsid wsp:val=&quot;00B314E8&quot;/&gt;&lt;wsp:rsid wsp:val=&quot;00B31C47&quot;/&gt;&lt;wsp:rsid wsp:val=&quot;00B3266B&quot;/&gt;&lt;wsp:rsid wsp:val=&quot;00B326C7&quot;/&gt;&lt;wsp:rsid wsp:val=&quot;00B3443E&quot;/&gt;&lt;wsp:rsid wsp:val=&quot;00B3464B&quot;/&gt;&lt;wsp:rsid wsp:val=&quot;00B3651A&quot;/&gt;&lt;wsp:rsid wsp:val=&quot;00B3657B&quot;/&gt;&lt;wsp:rsid wsp:val=&quot;00B41E9B&quot;/&gt;&lt;wsp:rsid wsp:val=&quot;00B426B6&quot;/&gt;&lt;wsp:rsid wsp:val=&quot;00B427D4&quot;/&gt;&lt;wsp:rsid wsp:val=&quot;00B42ADC&quot;/&gt;&lt;wsp:rsid wsp:val=&quot;00B43ACE&quot;/&gt;&lt;wsp:rsid wsp:val=&quot;00B44FA5&quot;/&gt;&lt;wsp:rsid wsp:val=&quot;00B4510A&quot;/&gt;&lt;wsp:rsid wsp:val=&quot;00B476D1&quot;/&gt;&lt;wsp:rsid wsp:val=&quot;00B4793B&quot;/&gt;&lt;wsp:rsid wsp:val=&quot;00B47D5D&quot;/&gt;&lt;wsp:rsid wsp:val=&quot;00B47D6D&quot;/&gt;&lt;wsp:rsid wsp:val=&quot;00B501D1&quot;/&gt;&lt;wsp:rsid wsp:val=&quot;00B509C8&quot;/&gt;&lt;wsp:rsid wsp:val=&quot;00B50C2C&quot;/&gt;&lt;wsp:rsid wsp:val=&quot;00B50D71&quot;/&gt;&lt;wsp:rsid wsp:val=&quot;00B51A2D&quot;/&gt;&lt;wsp:rsid wsp:val=&quot;00B51E34&quot;/&gt;&lt;wsp:rsid wsp:val=&quot;00B53FCF&quot;/&gt;&lt;wsp:rsid wsp:val=&quot;00B547F5&quot;/&gt;&lt;wsp:rsid wsp:val=&quot;00B5483E&quot;/&gt;&lt;wsp:rsid wsp:val=&quot;00B54887&quot;/&gt;&lt;wsp:rsid wsp:val=&quot;00B549C6&quot;/&gt;&lt;wsp:rsid wsp:val=&quot;00B55059&quot;/&gt;&lt;wsp:rsid wsp:val=&quot;00B55B8C&quot;/&gt;&lt;wsp:rsid wsp:val=&quot;00B563EC&quot;/&gt;&lt;wsp:rsid wsp:val=&quot;00B56BCC&quot;/&gt;&lt;wsp:rsid wsp:val=&quot;00B56F46&quot;/&gt;&lt;wsp:rsid wsp:val=&quot;00B57ABF&quot;/&gt;&lt;wsp:rsid wsp:val=&quot;00B605B8&quot;/&gt;&lt;wsp:rsid wsp:val=&quot;00B609CF&quot;/&gt;&lt;wsp:rsid wsp:val=&quot;00B6119C&quot;/&gt;&lt;wsp:rsid wsp:val=&quot;00B61810&quot;/&gt;&lt;wsp:rsid wsp:val=&quot;00B620E5&quot;/&gt;&lt;wsp:rsid wsp:val=&quot;00B62116&quot;/&gt;&lt;wsp:rsid wsp:val=&quot;00B62AA7&quot;/&gt;&lt;wsp:rsid wsp:val=&quot;00B62B35&quot;/&gt;&lt;wsp:rsid wsp:val=&quot;00B63249&quot;/&gt;&lt;wsp:rsid wsp:val=&quot;00B632B3&quot;/&gt;&lt;wsp:rsid wsp:val=&quot;00B63B33&quot;/&gt;&lt;wsp:rsid wsp:val=&quot;00B657DF&quot;/&gt;&lt;wsp:rsid wsp:val=&quot;00B6598F&quot;/&gt;&lt;wsp:rsid wsp:val=&quot;00B66838&quot;/&gt;&lt;wsp:rsid wsp:val=&quot;00B66FD5&quot;/&gt;&lt;wsp:rsid wsp:val=&quot;00B6715D&quot;/&gt;&lt;wsp:rsid wsp:val=&quot;00B675B2&quot;/&gt;&lt;wsp:rsid wsp:val=&quot;00B678E5&quot;/&gt;&lt;wsp:rsid wsp:val=&quot;00B70FE5&quot;/&gt;&lt;wsp:rsid wsp:val=&quot;00B71648&quot;/&gt;&lt;wsp:rsid wsp:val=&quot;00B7251A&quot;/&gt;&lt;wsp:rsid wsp:val=&quot;00B728CC&quot;/&gt;&lt;wsp:rsid wsp:val=&quot;00B7346B&quot;/&gt;&lt;wsp:rsid wsp:val=&quot;00B74170&quot;/&gt;&lt;wsp:rsid wsp:val=&quot;00B74BB5&quot;/&gt;&lt;wsp:rsid wsp:val=&quot;00B75E8B&quot;/&gt;&lt;wsp:rsid wsp:val=&quot;00B81590&quot;/&gt;&lt;wsp:rsid wsp:val=&quot;00B81C27&quot;/&gt;&lt;wsp:rsid wsp:val=&quot;00B82581&quot;/&gt;&lt;wsp:rsid wsp:val=&quot;00B829DB&quot;/&gt;&lt;wsp:rsid wsp:val=&quot;00B842C0&quot;/&gt;&lt;wsp:rsid wsp:val=&quot;00B84774&quot;/&gt;&lt;wsp:rsid wsp:val=&quot;00B8534D&quot;/&gt;&lt;wsp:rsid wsp:val=&quot;00B857E3&quot;/&gt;&lt;wsp:rsid wsp:val=&quot;00B86617&quot;/&gt;&lt;wsp:rsid wsp:val=&quot;00B87107&quot;/&gt;&lt;wsp:rsid wsp:val=&quot;00B87A80&quot;/&gt;&lt;wsp:rsid wsp:val=&quot;00B87D23&quot;/&gt;&lt;wsp:rsid wsp:val=&quot;00B9046E&quot;/&gt;&lt;wsp:rsid wsp:val=&quot;00B90F79&quot;/&gt;&lt;wsp:rsid wsp:val=&quot;00B91268&quot;/&gt;&lt;wsp:rsid wsp:val=&quot;00B93497&quot;/&gt;&lt;wsp:rsid wsp:val=&quot;00B9366A&quot;/&gt;&lt;wsp:rsid wsp:val=&quot;00B94BC4&quot;/&gt;&lt;wsp:rsid wsp:val=&quot;00B953E9&quot;/&gt;&lt;wsp:rsid wsp:val=&quot;00B95738&quot;/&gt;&lt;wsp:rsid wsp:val=&quot;00B95770&quot;/&gt;&lt;wsp:rsid wsp:val=&quot;00B95C95&quot;/&gt;&lt;wsp:rsid wsp:val=&quot;00B96EFB&quot;/&gt;&lt;wsp:rsid wsp:val=&quot;00B9741B&quot;/&gt;&lt;wsp:rsid wsp:val=&quot;00BA0683&quot;/&gt;&lt;wsp:rsid wsp:val=&quot;00BA0890&quot;/&gt;&lt;wsp:rsid wsp:val=&quot;00BA18DB&quot;/&gt;&lt;wsp:rsid wsp:val=&quot;00BA23C9&quot;/&gt;&lt;wsp:rsid wsp:val=&quot;00BA2F51&quot;/&gt;&lt;wsp:rsid wsp:val=&quot;00BA360D&quot;/&gt;&lt;wsp:rsid wsp:val=&quot;00BA4730&quot;/&gt;&lt;wsp:rsid wsp:val=&quot;00BA5852&quot;/&gt;&lt;wsp:rsid wsp:val=&quot;00BA5859&quot;/&gt;&lt;wsp:rsid wsp:val=&quot;00BA5C09&quot;/&gt;&lt;wsp:rsid wsp:val=&quot;00BA5F48&quot;/&gt;&lt;wsp:rsid wsp:val=&quot;00BA7D48&quot;/&gt;&lt;wsp:rsid wsp:val=&quot;00BB1607&quot;/&gt;&lt;wsp:rsid wsp:val=&quot;00BB1EBF&quot;/&gt;&lt;wsp:rsid wsp:val=&quot;00BB3750&quot;/&gt;&lt;wsp:rsid wsp:val=&quot;00BB44B3&quot;/&gt;&lt;wsp:rsid wsp:val=&quot;00BB5CEE&quot;/&gt;&lt;wsp:rsid wsp:val=&quot;00BB7A2F&quot;/&gt;&lt;wsp:rsid wsp:val=&quot;00BB7D6A&quot;/&gt;&lt;wsp:rsid wsp:val=&quot;00BC0367&quot;/&gt;&lt;wsp:rsid wsp:val=&quot;00BC04D4&quot;/&gt;&lt;wsp:rsid wsp:val=&quot;00BC17F6&quot;/&gt;&lt;wsp:rsid wsp:val=&quot;00BC349B&quot;/&gt;&lt;wsp:rsid wsp:val=&quot;00BC3F22&quot;/&gt;&lt;wsp:rsid wsp:val=&quot;00BC4D0B&quot;/&gt;&lt;wsp:rsid wsp:val=&quot;00BC51BE&quot;/&gt;&lt;wsp:rsid wsp:val=&quot;00BC5448&quot;/&gt;&lt;wsp:rsid wsp:val=&quot;00BC5E8C&quot;/&gt;&lt;wsp:rsid wsp:val=&quot;00BC78A3&quot;/&gt;&lt;wsp:rsid wsp:val=&quot;00BC78DD&quot;/&gt;&lt;wsp:rsid wsp:val=&quot;00BD02BF&quot;/&gt;&lt;wsp:rsid wsp:val=&quot;00BD1D7B&quot;/&gt;&lt;wsp:rsid wsp:val=&quot;00BD2ECE&quot;/&gt;&lt;wsp:rsid wsp:val=&quot;00BD40EA&quot;/&gt;&lt;wsp:rsid wsp:val=&quot;00BD49CF&quot;/&gt;&lt;wsp:rsid wsp:val=&quot;00BD5104&quot;/&gt;&lt;wsp:rsid wsp:val=&quot;00BD581B&quot;/&gt;&lt;wsp:rsid wsp:val=&quot;00BD7A42&quot;/&gt;&lt;wsp:rsid wsp:val=&quot;00BD7B2E&quot;/&gt;&lt;wsp:rsid wsp:val=&quot;00BE2D5F&quot;/&gt;&lt;wsp:rsid wsp:val=&quot;00BE323A&quot;/&gt;&lt;wsp:rsid wsp:val=&quot;00BE35E9&quot;/&gt;&lt;wsp:rsid wsp:val=&quot;00BE4119&quot;/&gt;&lt;wsp:rsid wsp:val=&quot;00BE4B83&quot;/&gt;&lt;wsp:rsid wsp:val=&quot;00BE4CBE&quot;/&gt;&lt;wsp:rsid wsp:val=&quot;00BE7DA1&quot;/&gt;&lt;wsp:rsid wsp:val=&quot;00BF0BA9&quot;/&gt;&lt;wsp:rsid wsp:val=&quot;00BF15C4&quot;/&gt;&lt;wsp:rsid wsp:val=&quot;00BF1723&quot;/&gt;&lt;wsp:rsid wsp:val=&quot;00BF1AB5&quot;/&gt;&lt;wsp:rsid wsp:val=&quot;00BF209F&quot;/&gt;&lt;wsp:rsid wsp:val=&quot;00BF294A&quot;/&gt;&lt;wsp:rsid wsp:val=&quot;00BF32B8&quot;/&gt;&lt;wsp:rsid wsp:val=&quot;00BF3AA9&quot;/&gt;&lt;wsp:rsid wsp:val=&quot;00BF4387&quot;/&gt;&lt;wsp:rsid wsp:val=&quot;00BF443C&quot;/&gt;&lt;wsp:rsid wsp:val=&quot;00BF4F55&quot;/&gt;&lt;wsp:rsid wsp:val=&quot;00BF60F4&quot;/&gt;&lt;wsp:rsid wsp:val=&quot;00BF6A69&quot;/&gt;&lt;wsp:rsid wsp:val=&quot;00BF7027&quot;/&gt;&lt;wsp:rsid wsp:val=&quot;00BF7448&quot;/&gt;&lt;wsp:rsid wsp:val=&quot;00BF7AB4&quot;/&gt;&lt;wsp:rsid wsp:val=&quot;00C00B75&quot;/&gt;&lt;wsp:rsid wsp:val=&quot;00C010E2&quot;/&gt;&lt;wsp:rsid wsp:val=&quot;00C02FD9&quot;/&gt;&lt;wsp:rsid wsp:val=&quot;00C03174&quot;/&gt;&lt;wsp:rsid wsp:val=&quot;00C03488&quot;/&gt;&lt;wsp:rsid wsp:val=&quot;00C0471C&quot;/&gt;&lt;wsp:rsid wsp:val=&quot;00C0689B&quot;/&gt;&lt;wsp:rsid wsp:val=&quot;00C06CED&quot;/&gt;&lt;wsp:rsid wsp:val=&quot;00C07B04&quot;/&gt;&lt;wsp:rsid wsp:val=&quot;00C135CC&quot;/&gt;&lt;wsp:rsid wsp:val=&quot;00C15330&quot;/&gt;&lt;wsp:rsid wsp:val=&quot;00C156B0&quot;/&gt;&lt;wsp:rsid wsp:val=&quot;00C16AAD&quot;/&gt;&lt;wsp:rsid wsp:val=&quot;00C172BB&quot;/&gt;&lt;wsp:rsid wsp:val=&quot;00C17423&quot;/&gt;&lt;wsp:rsid wsp:val=&quot;00C20D00&quot;/&gt;&lt;wsp:rsid wsp:val=&quot;00C2284D&quot;/&gt;&lt;wsp:rsid wsp:val=&quot;00C242D7&quot;/&gt;&lt;wsp:rsid wsp:val=&quot;00C24BC0&quot;/&gt;&lt;wsp:rsid wsp:val=&quot;00C25080&quot;/&gt;&lt;wsp:rsid wsp:val=&quot;00C256D5&quot;/&gt;&lt;wsp:rsid wsp:val=&quot;00C268D4&quot;/&gt;&lt;wsp:rsid wsp:val=&quot;00C2795A&quot;/&gt;&lt;wsp:rsid wsp:val=&quot;00C27AB9&quot;/&gt;&lt;wsp:rsid wsp:val=&quot;00C3047B&quot;/&gt;&lt;wsp:rsid wsp:val=&quot;00C31739&quot;/&gt;&lt;wsp:rsid wsp:val=&quot;00C32701&quot;/&gt;&lt;wsp:rsid wsp:val=&quot;00C32E6E&quot;/&gt;&lt;wsp:rsid wsp:val=&quot;00C34E2B&quot;/&gt;&lt;wsp:rsid wsp:val=&quot;00C358C6&quot;/&gt;&lt;wsp:rsid wsp:val=&quot;00C364B7&quot;/&gt;&lt;wsp:rsid wsp:val=&quot;00C366A2&quot;/&gt;&lt;wsp:rsid wsp:val=&quot;00C366A7&quot;/&gt;&lt;wsp:rsid wsp:val=&quot;00C37FC7&quot;/&gt;&lt;wsp:rsid wsp:val=&quot;00C4142F&quot;/&gt;&lt;wsp:rsid wsp:val=&quot;00C43CD0&quot;/&gt;&lt;wsp:rsid wsp:val=&quot;00C448CA&quot;/&gt;&lt;wsp:rsid wsp:val=&quot;00C44D4B&quot;/&gt;&lt;wsp:rsid wsp:val=&quot;00C45A37&quot;/&gt;&lt;wsp:rsid wsp:val=&quot;00C475A8&quot;/&gt;&lt;wsp:rsid wsp:val=&quot;00C47875&quot;/&gt;&lt;wsp:rsid wsp:val=&quot;00C47AD2&quot;/&gt;&lt;wsp:rsid wsp:val=&quot;00C47B1B&quot;/&gt;&lt;wsp:rsid wsp:val=&quot;00C50738&quot;/&gt;&lt;wsp:rsid wsp:val=&quot;00C50EB1&quot;/&gt;&lt;wsp:rsid wsp:val=&quot;00C52B13&quot;/&gt;&lt;wsp:rsid wsp:val=&quot;00C534B8&quot;/&gt;&lt;wsp:rsid wsp:val=&quot;00C538BF&quot;/&gt;&lt;wsp:rsid wsp:val=&quot;00C546FA&quot;/&gt;&lt;wsp:rsid wsp:val=&quot;00C54B6A&quot;/&gt;&lt;wsp:rsid wsp:val=&quot;00C54F99&quot;/&gt;&lt;wsp:rsid wsp:val=&quot;00C5523E&quot;/&gt;&lt;wsp:rsid wsp:val=&quot;00C55AA7&quot;/&gt;&lt;wsp:rsid wsp:val=&quot;00C55B55&quot;/&gt;&lt;wsp:rsid wsp:val=&quot;00C57C2F&quot;/&gt;&lt;wsp:rsid wsp:val=&quot;00C57FAF&quot;/&gt;&lt;wsp:rsid wsp:val=&quot;00C604FE&quot;/&gt;&lt;wsp:rsid wsp:val=&quot;00C60BD5&quot;/&gt;&lt;wsp:rsid wsp:val=&quot;00C61011&quot;/&gt;&lt;wsp:rsid wsp:val=&quot;00C6273D&quot;/&gt;&lt;wsp:rsid wsp:val=&quot;00C639B2&quot;/&gt;&lt;wsp:rsid wsp:val=&quot;00C63EB5&quot;/&gt;&lt;wsp:rsid wsp:val=&quot;00C65294&quot;/&gt;&lt;wsp:rsid wsp:val=&quot;00C6598D&quot;/&gt;&lt;wsp:rsid wsp:val=&quot;00C65A8A&quot;/&gt;&lt;wsp:rsid wsp:val=&quot;00C65DE1&quot;/&gt;&lt;wsp:rsid wsp:val=&quot;00C65FAC&quot;/&gt;&lt;wsp:rsid wsp:val=&quot;00C66169&quot;/&gt;&lt;wsp:rsid wsp:val=&quot;00C6664E&quot;/&gt;&lt;wsp:rsid wsp:val=&quot;00C67368&quot;/&gt;&lt;wsp:rsid wsp:val=&quot;00C6772E&quot;/&gt;&lt;wsp:rsid wsp:val=&quot;00C70975&quot;/&gt;&lt;wsp:rsid wsp:val=&quot;00C70986&quot;/&gt;&lt;wsp:rsid wsp:val=&quot;00C71150&quot;/&gt;&lt;wsp:rsid wsp:val=&quot;00C715DB&quot;/&gt;&lt;wsp:rsid wsp:val=&quot;00C71A02&quot;/&gt;&lt;wsp:rsid wsp:val=&quot;00C72898&quot;/&gt;&lt;wsp:rsid wsp:val=&quot;00C73DA1&quot;/&gt;&lt;wsp:rsid wsp:val=&quot;00C75082&quot;/&gt;&lt;wsp:rsid wsp:val=&quot;00C75E05&quot;/&gt;&lt;wsp:rsid wsp:val=&quot;00C77F89&quot;/&gt;&lt;wsp:rsid wsp:val=&quot;00C802B1&quot;/&gt;&lt;wsp:rsid wsp:val=&quot;00C80CA8&quot;/&gt;&lt;wsp:rsid wsp:val=&quot;00C83131&quot;/&gt;&lt;wsp:rsid wsp:val=&quot;00C83AE9&quot;/&gt;&lt;wsp:rsid wsp:val=&quot;00C842D8&quot;/&gt;&lt;wsp:rsid wsp:val=&quot;00C8512D&quot;/&gt;&lt;wsp:rsid wsp:val=&quot;00C86137&quot;/&gt;&lt;wsp:rsid wsp:val=&quot;00C86146&quot;/&gt;&lt;wsp:rsid wsp:val=&quot;00C86A94&quot;/&gt;&lt;wsp:rsid wsp:val=&quot;00C86D1B&quot;/&gt;&lt;wsp:rsid wsp:val=&quot;00C9187F&quot;/&gt;&lt;wsp:rsid wsp:val=&quot;00C921C6&quot;/&gt;&lt;wsp:rsid wsp:val=&quot;00C92383&quot;/&gt;&lt;wsp:rsid wsp:val=&quot;00C9393A&quot;/&gt;&lt;wsp:rsid wsp:val=&quot;00C97D21&quot;/&gt;&lt;wsp:rsid wsp:val=&quot;00C97DA0&quot;/&gt;&lt;wsp:rsid wsp:val=&quot;00CA022C&quot;/&gt;&lt;wsp:rsid wsp:val=&quot;00CA0569&quot;/&gt;&lt;wsp:rsid wsp:val=&quot;00CA2655&quot;/&gt;&lt;wsp:rsid wsp:val=&quot;00CA3655&quot;/&gt;&lt;wsp:rsid wsp:val=&quot;00CA409E&quot;/&gt;&lt;wsp:rsid wsp:val=&quot;00CA47E1&quot;/&gt;&lt;wsp:rsid wsp:val=&quot;00CA5403&quot;/&gt;&lt;wsp:rsid wsp:val=&quot;00CA5541&quot;/&gt;&lt;wsp:rsid wsp:val=&quot;00CA5A40&quot;/&gt;&lt;wsp:rsid wsp:val=&quot;00CA67F2&quot;/&gt;&lt;wsp:rsid wsp:val=&quot;00CA7992&quot;/&gt;&lt;wsp:rsid wsp:val=&quot;00CA7C85&quot;/&gt;&lt;wsp:rsid wsp:val=&quot;00CA7DAD&quot;/&gt;&lt;wsp:rsid wsp:val=&quot;00CB014B&quot;/&gt;&lt;wsp:rsid wsp:val=&quot;00CB090F&quot;/&gt;&lt;wsp:rsid wsp:val=&quot;00CB36A8&quot;/&gt;&lt;wsp:rsid wsp:val=&quot;00CB3F10&quot;/&gt;&lt;wsp:rsid wsp:val=&quot;00CB5DD2&quot;/&gt;&lt;wsp:rsid wsp:val=&quot;00CC043A&quot;/&gt;&lt;wsp:rsid wsp:val=&quot;00CC05BD&quot;/&gt;&lt;wsp:rsid wsp:val=&quot;00CC246D&quot;/&gt;&lt;wsp:rsid wsp:val=&quot;00CC332A&quot;/&gt;&lt;wsp:rsid wsp:val=&quot;00CC390D&quot;/&gt;&lt;wsp:rsid wsp:val=&quot;00CC4959&quot;/&gt;&lt;wsp:rsid wsp:val=&quot;00CC5071&quot;/&gt;&lt;wsp:rsid wsp:val=&quot;00CC69F9&quot;/&gt;&lt;wsp:rsid wsp:val=&quot;00CC6C0E&quot;/&gt;&lt;wsp:rsid wsp:val=&quot;00CD056F&quot;/&gt;&lt;wsp:rsid wsp:val=&quot;00CD0E66&quot;/&gt;&lt;wsp:rsid wsp:val=&quot;00CD2491&quot;/&gt;&lt;wsp:rsid wsp:val=&quot;00CD368A&quot;/&gt;&lt;wsp:rsid wsp:val=&quot;00CD47B1&quot;/&gt;&lt;wsp:rsid wsp:val=&quot;00CD4F34&quot;/&gt;&lt;wsp:rsid wsp:val=&quot;00CD5467&quot;/&gt;&lt;wsp:rsid wsp:val=&quot;00CD5786&quot;/&gt;&lt;wsp:rsid wsp:val=&quot;00CD6EAE&quot;/&gt;&lt;wsp:rsid wsp:val=&quot;00CD7637&quot;/&gt;&lt;wsp:rsid wsp:val=&quot;00CE04CD&quot;/&gt;&lt;wsp:rsid wsp:val=&quot;00CE1256&quot;/&gt;&lt;wsp:rsid wsp:val=&quot;00CE12A8&quot;/&gt;&lt;wsp:rsid wsp:val=&quot;00CE1F6D&quot;/&gt;&lt;wsp:rsid wsp:val=&quot;00CE29EF&quot;/&gt;&lt;wsp:rsid wsp:val=&quot;00CE3A40&quot;/&gt;&lt;wsp:rsid wsp:val=&quot;00CE5207&quot;/&gt;&lt;wsp:rsid wsp:val=&quot;00CE680D&quot;/&gt;&lt;wsp:rsid wsp:val=&quot;00CE7CB9&quot;/&gt;&lt;wsp:rsid wsp:val=&quot;00CF0D57&quot;/&gt;&lt;wsp:rsid wsp:val=&quot;00CF0EDD&quot;/&gt;&lt;wsp:rsid wsp:val=&quot;00CF0FCC&quot;/&gt;&lt;wsp:rsid wsp:val=&quot;00CF222E&quot;/&gt;&lt;wsp:rsid wsp:val=&quot;00CF286A&quot;/&gt;&lt;wsp:rsid wsp:val=&quot;00CF397D&quot;/&gt;&lt;wsp:rsid wsp:val=&quot;00CF3CA9&quot;/&gt;&lt;wsp:rsid wsp:val=&quot;00CF419A&quot;/&gt;&lt;wsp:rsid wsp:val=&quot;00CF46E8&quot;/&gt;&lt;wsp:rsid wsp:val=&quot;00CF710C&quot;/&gt;&lt;wsp:rsid wsp:val=&quot;00CF793B&quot;/&gt;&lt;wsp:rsid wsp:val=&quot;00CF7B4F&quot;/&gt;&lt;wsp:rsid wsp:val=&quot;00D00624&quot;/&gt;&lt;wsp:rsid wsp:val=&quot;00D007BD&quot;/&gt;&lt;wsp:rsid wsp:val=&quot;00D00E24&quot;/&gt;&lt;wsp:rsid wsp:val=&quot;00D017D7&quot;/&gt;&lt;wsp:rsid wsp:val=&quot;00D01DC3&quot;/&gt;&lt;wsp:rsid wsp:val=&quot;00D0223B&quot;/&gt;&lt;wsp:rsid wsp:val=&quot;00D03E53&quot;/&gt;&lt;wsp:rsid wsp:val=&quot;00D03FFA&quot;/&gt;&lt;wsp:rsid wsp:val=&quot;00D0425B&quot;/&gt;&lt;wsp:rsid wsp:val=&quot;00D047C1&quot;/&gt;&lt;wsp:rsid wsp:val=&quot;00D04FAE&quot;/&gt;&lt;wsp:rsid wsp:val=&quot;00D05383&quot;/&gt;&lt;wsp:rsid wsp:val=&quot;00D06B21&quot;/&gt;&lt;wsp:rsid wsp:val=&quot;00D06EAE&quot;/&gt;&lt;wsp:rsid wsp:val=&quot;00D0792C&quot;/&gt;&lt;wsp:rsid wsp:val=&quot;00D079E0&quot;/&gt;&lt;wsp:rsid wsp:val=&quot;00D07DFF&quot;/&gt;&lt;wsp:rsid wsp:val=&quot;00D10D86&quot;/&gt;&lt;wsp:rsid wsp:val=&quot;00D1198F&quot;/&gt;&lt;wsp:rsid wsp:val=&quot;00D12EFE&quot;/&gt;&lt;wsp:rsid wsp:val=&quot;00D13841&quot;/&gt;&lt;wsp:rsid wsp:val=&quot;00D138E4&quot;/&gt;&lt;wsp:rsid wsp:val=&quot;00D17BCA&quot;/&gt;&lt;wsp:rsid wsp:val=&quot;00D17CE9&quot;/&gt;&lt;wsp:rsid wsp:val=&quot;00D17D55&quot;/&gt;&lt;wsp:rsid wsp:val=&quot;00D20506&quot;/&gt;&lt;wsp:rsid wsp:val=&quot;00D2079F&quot;/&gt;&lt;wsp:rsid wsp:val=&quot;00D20D1F&quot;/&gt;&lt;wsp:rsid wsp:val=&quot;00D2108F&quot;/&gt;&lt;wsp:rsid wsp:val=&quot;00D21AC1&quot;/&gt;&lt;wsp:rsid wsp:val=&quot;00D2330D&quot;/&gt;&lt;wsp:rsid wsp:val=&quot;00D2437A&quot;/&gt;&lt;wsp:rsid wsp:val=&quot;00D2444D&quot;/&gt;&lt;wsp:rsid wsp:val=&quot;00D2570C&quot;/&gt;&lt;wsp:rsid wsp:val=&quot;00D25A06&quot;/&gt;&lt;wsp:rsid wsp:val=&quot;00D25B6B&quot;/&gt;&lt;wsp:rsid wsp:val=&quot;00D25B7F&quot;/&gt;&lt;wsp:rsid wsp:val=&quot;00D25D67&quot;/&gt;&lt;wsp:rsid wsp:val=&quot;00D264D1&quot;/&gt;&lt;wsp:rsid wsp:val=&quot;00D26B1E&quot;/&gt;&lt;wsp:rsid wsp:val=&quot;00D27229&quot;/&gt;&lt;wsp:rsid wsp:val=&quot;00D279D4&quot;/&gt;&lt;wsp:rsid wsp:val=&quot;00D32E29&quot;/&gt;&lt;wsp:rsid wsp:val=&quot;00D335B8&quot;/&gt;&lt;wsp:rsid wsp:val=&quot;00D335D7&quot;/&gt;&lt;wsp:rsid wsp:val=&quot;00D33D30&quot;/&gt;&lt;wsp:rsid wsp:val=&quot;00D342FE&quot;/&gt;&lt;wsp:rsid wsp:val=&quot;00D36143&quot;/&gt;&lt;wsp:rsid wsp:val=&quot;00D3635A&quot;/&gt;&lt;wsp:rsid wsp:val=&quot;00D37B4B&quot;/&gt;&lt;wsp:rsid wsp:val=&quot;00D41F79&quot;/&gt;&lt;wsp:rsid wsp:val=&quot;00D467F8&quot;/&gt;&lt;wsp:rsid wsp:val=&quot;00D50853&quot;/&gt;&lt;wsp:rsid wsp:val=&quot;00D50FD1&quot;/&gt;&lt;wsp:rsid wsp:val=&quot;00D53A52&quot;/&gt;&lt;wsp:rsid wsp:val=&quot;00D53C0C&quot;/&gt;&lt;wsp:rsid wsp:val=&quot;00D53F26&quot;/&gt;&lt;wsp:rsid wsp:val=&quot;00D5427E&quot;/&gt;&lt;wsp:rsid wsp:val=&quot;00D54AD2&quot;/&gt;&lt;wsp:rsid wsp:val=&quot;00D562CE&quot;/&gt;&lt;wsp:rsid wsp:val=&quot;00D56EEB&quot;/&gt;&lt;wsp:rsid wsp:val=&quot;00D61E8D&quot;/&gt;&lt;wsp:rsid wsp:val=&quot;00D62BAE&quot;/&gt;&lt;wsp:rsid wsp:val=&quot;00D63B63&quot;/&gt;&lt;wsp:rsid wsp:val=&quot;00D63BE8&quot;/&gt;&lt;wsp:rsid wsp:val=&quot;00D63C1B&quot;/&gt;&lt;wsp:rsid wsp:val=&quot;00D63D03&quot;/&gt;&lt;wsp:rsid wsp:val=&quot;00D64B65&quot;/&gt;&lt;wsp:rsid wsp:val=&quot;00D64D7F&quot;/&gt;&lt;wsp:rsid wsp:val=&quot;00D6625D&quot;/&gt;&lt;wsp:rsid wsp:val=&quot;00D66CE6&quot;/&gt;&lt;wsp:rsid wsp:val=&quot;00D70443&quot;/&gt;&lt;wsp:rsid wsp:val=&quot;00D70819&quot;/&gt;&lt;wsp:rsid wsp:val=&quot;00D70C00&quot;/&gt;&lt;wsp:rsid wsp:val=&quot;00D723DC&quot;/&gt;&lt;wsp:rsid wsp:val=&quot;00D73B32&quot;/&gt;&lt;wsp:rsid wsp:val=&quot;00D74A7C&quot;/&gt;&lt;wsp:rsid wsp:val=&quot;00D756EE&quot;/&gt;&lt;wsp:rsid wsp:val=&quot;00D774FD&quot;/&gt;&lt;wsp:rsid wsp:val=&quot;00D77682&quot;/&gt;&lt;wsp:rsid wsp:val=&quot;00D80C5B&quot;/&gt;&lt;wsp:rsid wsp:val=&quot;00D81B15&quot;/&gt;&lt;wsp:rsid wsp:val=&quot;00D85AE6&quot;/&gt;&lt;wsp:rsid wsp:val=&quot;00D85B61&quot;/&gt;&lt;wsp:rsid wsp:val=&quot;00D86610&quot;/&gt;&lt;wsp:rsid wsp:val=&quot;00D86AA6&quot;/&gt;&lt;wsp:rsid wsp:val=&quot;00D921B9&quot;/&gt;&lt;wsp:rsid wsp:val=&quot;00D92B8B&quot;/&gt;&lt;wsp:rsid wsp:val=&quot;00D9319B&quot;/&gt;&lt;wsp:rsid wsp:val=&quot;00D93F12&quot;/&gt;&lt;wsp:rsid wsp:val=&quot;00D95C75&quot;/&gt;&lt;wsp:rsid wsp:val=&quot;00D9616C&quot;/&gt;&lt;wsp:rsid wsp:val=&quot;00D97047&quot;/&gt;&lt;wsp:rsid wsp:val=&quot;00DA00E4&quot;/&gt;&lt;wsp:rsid wsp:val=&quot;00DA0380&quot;/&gt;&lt;wsp:rsid wsp:val=&quot;00DA043B&quot;/&gt;&lt;wsp:rsid wsp:val=&quot;00DA0478&quot;/&gt;&lt;wsp:rsid wsp:val=&quot;00DA0E41&quot;/&gt;&lt;wsp:rsid wsp:val=&quot;00DA0ED2&quot;/&gt;&lt;wsp:rsid wsp:val=&quot;00DA1761&quot;/&gt;&lt;wsp:rsid wsp:val=&quot;00DA1D15&quot;/&gt;&lt;wsp:rsid wsp:val=&quot;00DA2365&quot;/&gt;&lt;wsp:rsid wsp:val=&quot;00DA27FD&quot;/&gt;&lt;wsp:rsid wsp:val=&quot;00DA2A2F&quot;/&gt;&lt;wsp:rsid wsp:val=&quot;00DA35B1&quot;/&gt;&lt;wsp:rsid wsp:val=&quot;00DA4489&quot;/&gt;&lt;wsp:rsid wsp:val=&quot;00DA473D&quot;/&gt;&lt;wsp:rsid wsp:val=&quot;00DA4781&quot;/&gt;&lt;wsp:rsid wsp:val=&quot;00DA4ED6&quot;/&gt;&lt;wsp:rsid wsp:val=&quot;00DA5D66&quot;/&gt;&lt;wsp:rsid wsp:val=&quot;00DA6053&quot;/&gt;&lt;wsp:rsid wsp:val=&quot;00DA63EE&quot;/&gt;&lt;wsp:rsid wsp:val=&quot;00DA6C33&quot;/&gt;&lt;wsp:rsid wsp:val=&quot;00DA7C58&quot;/&gt;&lt;wsp:rsid wsp:val=&quot;00DB0253&quot;/&gt;&lt;wsp:rsid wsp:val=&quot;00DB0472&quot;/&gt;&lt;wsp:rsid wsp:val=&quot;00DB1722&quot;/&gt;&lt;wsp:rsid wsp:val=&quot;00DB2066&quot;/&gt;&lt;wsp:rsid wsp:val=&quot;00DB3963&quot;/&gt;&lt;wsp:rsid wsp:val=&quot;00DB3CAA&quot;/&gt;&lt;wsp:rsid wsp:val=&quot;00DB4A01&quot;/&gt;&lt;wsp:rsid wsp:val=&quot;00DB5E28&quot;/&gt;&lt;wsp:rsid wsp:val=&quot;00DB5F2E&quot;/&gt;&lt;wsp:rsid wsp:val=&quot;00DB6FFC&quot;/&gt;&lt;wsp:rsid wsp:val=&quot;00DB72B7&quot;/&gt;&lt;wsp:rsid wsp:val=&quot;00DC07B1&quot;/&gt;&lt;wsp:rsid wsp:val=&quot;00DC0B1E&quot;/&gt;&lt;wsp:rsid wsp:val=&quot;00DC115D&quot;/&gt;&lt;wsp:rsid wsp:val=&quot;00DC14DE&quot;/&gt;&lt;wsp:rsid wsp:val=&quot;00DC26E6&quot;/&gt;&lt;wsp:rsid wsp:val=&quot;00DC2A26&quot;/&gt;&lt;wsp:rsid wsp:val=&quot;00DC35E9&quot;/&gt;&lt;wsp:rsid wsp:val=&quot;00DC3CF9&quot;/&gt;&lt;wsp:rsid wsp:val=&quot;00DC4BE6&quot;/&gt;&lt;wsp:rsid wsp:val=&quot;00DC60FF&quot;/&gt;&lt;wsp:rsid wsp:val=&quot;00DC742D&quot;/&gt;&lt;wsp:rsid wsp:val=&quot;00DD1F83&quot;/&gt;&lt;wsp:rsid wsp:val=&quot;00DD2579&quot;/&gt;&lt;wsp:rsid wsp:val=&quot;00DD29B8&quot;/&gt;&lt;wsp:rsid wsp:val=&quot;00DD3B2F&quot;/&gt;&lt;wsp:rsid wsp:val=&quot;00DD3F4A&quot;/&gt;&lt;wsp:rsid wsp:val=&quot;00DD5CF9&quot;/&gt;&lt;wsp:rsid wsp:val=&quot;00DE05F3&quot;/&gt;&lt;wsp:rsid wsp:val=&quot;00DE109A&quot;/&gt;&lt;wsp:rsid wsp:val=&quot;00DE10A1&quot;/&gt;&lt;wsp:rsid wsp:val=&quot;00DE3469&quot;/&gt;&lt;wsp:rsid wsp:val=&quot;00DE3EF7&quot;/&gt;&lt;wsp:rsid wsp:val=&quot;00DE45D7&quot;/&gt;&lt;wsp:rsid wsp:val=&quot;00DE4E1A&quot;/&gt;&lt;wsp:rsid wsp:val=&quot;00DE63D1&quot;/&gt;&lt;wsp:rsid wsp:val=&quot;00DE6965&quot;/&gt;&lt;wsp:rsid wsp:val=&quot;00DF0DC5&quot;/&gt;&lt;wsp:rsid wsp:val=&quot;00DF0F29&quot;/&gt;&lt;wsp:rsid wsp:val=&quot;00DF1154&quot;/&gt;&lt;wsp:rsid wsp:val=&quot;00DF238C&quot;/&gt;&lt;wsp:rsid wsp:val=&quot;00DF2E67&quot;/&gt;&lt;wsp:rsid wsp:val=&quot;00DF2EE0&quot;/&gt;&lt;wsp:rsid wsp:val=&quot;00DF3404&quot;/&gt;&lt;wsp:rsid wsp:val=&quot;00DF37FF&quot;/&gt;&lt;wsp:rsid wsp:val=&quot;00DF53B0&quot;/&gt;&lt;wsp:rsid wsp:val=&quot;00DF58CD&quot;/&gt;&lt;wsp:rsid wsp:val=&quot;00DF691A&quot;/&gt;&lt;wsp:rsid wsp:val=&quot;00DF6BBC&quot;/&gt;&lt;wsp:rsid wsp:val=&quot;00DF6D37&quot;/&gt;&lt;wsp:rsid wsp:val=&quot;00DF7CE1&quot;/&gt;&lt;wsp:rsid wsp:val=&quot;00DF7E5A&quot;/&gt;&lt;wsp:rsid wsp:val=&quot;00E01EAB&quot;/&gt;&lt;wsp:rsid wsp:val=&quot;00E02600&quot;/&gt;&lt;wsp:rsid wsp:val=&quot;00E02BCF&quot;/&gt;&lt;wsp:rsid wsp:val=&quot;00E05E84&quot;/&gt;&lt;wsp:rsid wsp:val=&quot;00E05F75&quot;/&gt;&lt;wsp:rsid wsp:val=&quot;00E10523&quot;/&gt;&lt;wsp:rsid wsp:val=&quot;00E10613&quot;/&gt;&lt;wsp:rsid wsp:val=&quot;00E13150&quot;/&gt;&lt;wsp:rsid wsp:val=&quot;00E145E2&quot;/&gt;&lt;wsp:rsid wsp:val=&quot;00E147E3&quot;/&gt;&lt;wsp:rsid wsp:val=&quot;00E148FC&quot;/&gt;&lt;wsp:rsid wsp:val=&quot;00E14B6F&quot;/&gt;&lt;wsp:rsid wsp:val=&quot;00E14C8B&quot;/&gt;&lt;wsp:rsid wsp:val=&quot;00E15618&quot;/&gt;&lt;wsp:rsid wsp:val=&quot;00E158A6&quot;/&gt;&lt;wsp:rsid wsp:val=&quot;00E15C1E&quot;/&gt;&lt;wsp:rsid wsp:val=&quot;00E15E1D&quot;/&gt;&lt;wsp:rsid wsp:val=&quot;00E1747A&quot;/&gt;&lt;wsp:rsid wsp:val=&quot;00E176A1&quot;/&gt;&lt;wsp:rsid wsp:val=&quot;00E17841&quot;/&gt;&lt;wsp:rsid wsp:val=&quot;00E204A6&quot;/&gt;&lt;wsp:rsid wsp:val=&quot;00E20510&quot;/&gt;&lt;wsp:rsid wsp:val=&quot;00E20971&quot;/&gt;&lt;wsp:rsid wsp:val=&quot;00E21B14&quot;/&gt;&lt;wsp:rsid wsp:val=&quot;00E231D6&quot;/&gt;&lt;wsp:rsid wsp:val=&quot;00E24289&quot;/&gt;&lt;wsp:rsid wsp:val=&quot;00E2657D&quot;/&gt;&lt;wsp:rsid wsp:val=&quot;00E269F8&quot;/&gt;&lt;wsp:rsid wsp:val=&quot;00E27D2A&quot;/&gt;&lt;wsp:rsid wsp:val=&quot;00E27F4D&quot;/&gt;&lt;wsp:rsid wsp:val=&quot;00E30789&quot;/&gt;&lt;wsp:rsid wsp:val=&quot;00E316A3&quot;/&gt;&lt;wsp:rsid wsp:val=&quot;00E326D0&quot;/&gt;&lt;wsp:rsid wsp:val=&quot;00E332DF&quot;/&gt;&lt;wsp:rsid wsp:val=&quot;00E33F77&quot;/&gt;&lt;wsp:rsid wsp:val=&quot;00E36649&quot;/&gt;&lt;wsp:rsid wsp:val=&quot;00E3699B&quot;/&gt;&lt;wsp:rsid wsp:val=&quot;00E36FE7&quot;/&gt;&lt;wsp:rsid wsp:val=&quot;00E37535&quot;/&gt;&lt;wsp:rsid wsp:val=&quot;00E4015E&quot;/&gt;&lt;wsp:rsid wsp:val=&quot;00E4232C&quot;/&gt;&lt;wsp:rsid wsp:val=&quot;00E44FCA&quot;/&gt;&lt;wsp:rsid wsp:val=&quot;00E45DC7&quot;/&gt;&lt;wsp:rsid wsp:val=&quot;00E466BB&quot;/&gt;&lt;wsp:rsid wsp:val=&quot;00E46A16&quot;/&gt;&lt;wsp:rsid wsp:val=&quot;00E47098&quot;/&gt;&lt;wsp:rsid wsp:val=&quot;00E47691&quot;/&gt;&lt;wsp:rsid wsp:val=&quot;00E5050C&quot;/&gt;&lt;wsp:rsid wsp:val=&quot;00E51D95&quot;/&gt;&lt;wsp:rsid wsp:val=&quot;00E55213&quot;/&gt;&lt;wsp:rsid wsp:val=&quot;00E55F55&quot;/&gt;&lt;wsp:rsid wsp:val=&quot;00E563FE&quot;/&gt;&lt;wsp:rsid wsp:val=&quot;00E56A68&quot;/&gt;&lt;wsp:rsid wsp:val=&quot;00E56D5C&quot;/&gt;&lt;wsp:rsid wsp:val=&quot;00E56F0D&quot;/&gt;&lt;wsp:rsid wsp:val=&quot;00E60B50&quot;/&gt;&lt;wsp:rsid wsp:val=&quot;00E61347&quot;/&gt;&lt;wsp:rsid wsp:val=&quot;00E634EE&quot;/&gt;&lt;wsp:rsid wsp:val=&quot;00E7037D&quot;/&gt;&lt;wsp:rsid wsp:val=&quot;00E704AD&quot;/&gt;&lt;wsp:rsid wsp:val=&quot;00E70988&quot;/&gt;&lt;wsp:rsid wsp:val=&quot;00E70BD7&quot;/&gt;&lt;wsp:rsid wsp:val=&quot;00E71627&quot;/&gt;&lt;wsp:rsid wsp:val=&quot;00E727E1&quot;/&gt;&lt;wsp:rsid wsp:val=&quot;00E730B5&quot;/&gt;&lt;wsp:rsid wsp:val=&quot;00E7390F&quot;/&gt;&lt;wsp:rsid wsp:val=&quot;00E7542B&quot;/&gt;&lt;wsp:rsid wsp:val=&quot;00E76743&quot;/&gt;&lt;wsp:rsid wsp:val=&quot;00E76B40&quot;/&gt;&lt;wsp:rsid wsp:val=&quot;00E77A03&quot;/&gt;&lt;wsp:rsid wsp:val=&quot;00E81700&quot;/&gt;&lt;wsp:rsid wsp:val=&quot;00E83730&quot;/&gt;&lt;wsp:rsid wsp:val=&quot;00E8598C&quot;/&gt;&lt;wsp:rsid wsp:val=&quot;00E9216F&quot;/&gt;&lt;wsp:rsid wsp:val=&quot;00E92595&quot;/&gt;&lt;wsp:rsid wsp:val=&quot;00E92A87&quot;/&gt;&lt;wsp:rsid wsp:val=&quot;00E92D78&quot;/&gt;&lt;wsp:rsid wsp:val=&quot;00E93614&quot;/&gt;&lt;wsp:rsid wsp:val=&quot;00E93BCB&quot;/&gt;&lt;wsp:rsid wsp:val=&quot;00E94B27&quot;/&gt;&lt;wsp:rsid wsp:val=&quot;00E94EFF&quot;/&gt;&lt;wsp:rsid wsp:val=&quot;00E95B20&quot;/&gt;&lt;wsp:rsid wsp:val=&quot;00E95D8B&quot;/&gt;&lt;wsp:rsid wsp:val=&quot;00E96A9E&quot;/&gt;&lt;wsp:rsid wsp:val=&quot;00E96EE4&quot;/&gt;&lt;wsp:rsid wsp:val=&quot;00E97E74&quot;/&gt;&lt;wsp:rsid wsp:val=&quot;00EA053E&quot;/&gt;&lt;wsp:rsid wsp:val=&quot;00EA0C24&quot;/&gt;&lt;wsp:rsid wsp:val=&quot;00EA1780&quot;/&gt;&lt;wsp:rsid wsp:val=&quot;00EA31BB&quot;/&gt;&lt;wsp:rsid wsp:val=&quot;00EA3A0E&quot;/&gt;&lt;wsp:rsid wsp:val=&quot;00EA50F6&quot;/&gt;&lt;wsp:rsid wsp:val=&quot;00EA58D4&quot;/&gt;&lt;wsp:rsid wsp:val=&quot;00EA77EB&quot;/&gt;&lt;wsp:rsid wsp:val=&quot;00EA7AD1&quot;/&gt;&lt;wsp:rsid wsp:val=&quot;00EB0F6B&quot;/&gt;&lt;wsp:rsid wsp:val=&quot;00EB13E8&quot;/&gt;&lt;wsp:rsid wsp:val=&quot;00EB2463&quot;/&gt;&lt;wsp:rsid wsp:val=&quot;00EB259C&quot;/&gt;&lt;wsp:rsid wsp:val=&quot;00EB262E&quot;/&gt;&lt;wsp:rsid wsp:val=&quot;00EB2AF9&quot;/&gt;&lt;wsp:rsid wsp:val=&quot;00EB2EFD&quot;/&gt;&lt;wsp:rsid wsp:val=&quot;00EB3466&quot;/&gt;&lt;wsp:rsid wsp:val=&quot;00EB395D&quot;/&gt;&lt;wsp:rsid wsp:val=&quot;00EB5585&quot;/&gt;&lt;wsp:rsid wsp:val=&quot;00EB5896&quot;/&gt;&lt;wsp:rsid wsp:val=&quot;00EB63FD&quot;/&gt;&lt;wsp:rsid wsp:val=&quot;00EB74AF&quot;/&gt;&lt;wsp:rsid wsp:val=&quot;00EB7B55&quot;/&gt;&lt;wsp:rsid wsp:val=&quot;00EC044D&quot;/&gt;&lt;wsp:rsid wsp:val=&quot;00EC14EE&quot;/&gt;&lt;wsp:rsid wsp:val=&quot;00EC171E&quot;/&gt;&lt;wsp:rsid wsp:val=&quot;00EC1D70&quot;/&gt;&lt;wsp:rsid wsp:val=&quot;00EC253F&quot;/&gt;&lt;wsp:rsid wsp:val=&quot;00EC29AB&quot;/&gt;&lt;wsp:rsid wsp:val=&quot;00EC3727&quot;/&gt;&lt;wsp:rsid wsp:val=&quot;00EC37D6&quot;/&gt;&lt;wsp:rsid wsp:val=&quot;00EC41D3&quot;/&gt;&lt;wsp:rsid wsp:val=&quot;00EC43FA&quot;/&gt;&lt;wsp:rsid wsp:val=&quot;00EC4ADB&quot;/&gt;&lt;wsp:rsid wsp:val=&quot;00EC530F&quot;/&gt;&lt;wsp:rsid wsp:val=&quot;00EC57F3&quot;/&gt;&lt;wsp:rsid wsp:val=&quot;00EC6788&quot;/&gt;&lt;wsp:rsid wsp:val=&quot;00EC7C51&quot;/&gt;&lt;wsp:rsid wsp:val=&quot;00EC7D3D&quot;/&gt;&lt;wsp:rsid wsp:val=&quot;00ED0857&quot;/&gt;&lt;wsp:rsid wsp:val=&quot;00ED15EE&quot;/&gt;&lt;wsp:rsid wsp:val=&quot;00ED2A35&quot;/&gt;&lt;wsp:rsid wsp:val=&quot;00ED3E2D&quot;/&gt;&lt;wsp:rsid wsp:val=&quot;00ED52B4&quot;/&gt;&lt;wsp:rsid wsp:val=&quot;00ED52F5&quot;/&gt;&lt;wsp:rsid wsp:val=&quot;00ED5A6C&quot;/&gt;&lt;wsp:rsid wsp:val=&quot;00ED5AD7&quot;/&gt;&lt;wsp:rsid wsp:val=&quot;00ED687E&quot;/&gt;&lt;wsp:rsid wsp:val=&quot;00ED6CA3&quot;/&gt;&lt;wsp:rsid wsp:val=&quot;00ED7528&quot;/&gt;&lt;wsp:rsid wsp:val=&quot;00ED7D00&quot;/&gt;&lt;wsp:rsid wsp:val=&quot;00EE0297&quot;/&gt;&lt;wsp:rsid wsp:val=&quot;00EE029E&quot;/&gt;&lt;wsp:rsid wsp:val=&quot;00EE073C&quot;/&gt;&lt;wsp:rsid wsp:val=&quot;00EE0B4B&quot;/&gt;&lt;wsp:rsid wsp:val=&quot;00EE3621&quot;/&gt;&lt;wsp:rsid wsp:val=&quot;00EE3E30&quot;/&gt;&lt;wsp:rsid wsp:val=&quot;00EE42D1&quot;/&gt;&lt;wsp:rsid wsp:val=&quot;00EE48B2&quot;/&gt;&lt;wsp:rsid wsp:val=&quot;00EE54C9&quot;/&gt;&lt;wsp:rsid wsp:val=&quot;00EE5503&quot;/&gt;&lt;wsp:rsid wsp:val=&quot;00EE6CAB&quot;/&gt;&lt;wsp:rsid wsp:val=&quot;00EF0A5E&quot;/&gt;&lt;wsp:rsid wsp:val=&quot;00EF1221&quot;/&gt;&lt;wsp:rsid wsp:val=&quot;00EF2DBA&quot;/&gt;&lt;wsp:rsid wsp:val=&quot;00EF3774&quot;/&gt;&lt;wsp:rsid wsp:val=&quot;00EF3A6C&quot;/&gt;&lt;wsp:rsid wsp:val=&quot;00EF585A&quot;/&gt;&lt;wsp:rsid wsp:val=&quot;00EF61D4&quot;/&gt;&lt;wsp:rsid wsp:val=&quot;00EF6B38&quot;/&gt;&lt;wsp:rsid wsp:val=&quot;00EF78F7&quot;/&gt;&lt;wsp:rsid wsp:val=&quot;00F027FE&quot;/&gt;&lt;wsp:rsid wsp:val=&quot;00F04138&quot;/&gt;&lt;wsp:rsid wsp:val=&quot;00F05D7D&quot;/&gt;&lt;wsp:rsid wsp:val=&quot;00F0699F&quot;/&gt;&lt;wsp:rsid wsp:val=&quot;00F06C66&quot;/&gt;&lt;wsp:rsid wsp:val=&quot;00F10D2C&quot;/&gt;&lt;wsp:rsid wsp:val=&quot;00F1378F&quot;/&gt;&lt;wsp:rsid wsp:val=&quot;00F13A5C&quot;/&gt;&lt;wsp:rsid wsp:val=&quot;00F147BC&quot;/&gt;&lt;wsp:rsid wsp:val=&quot;00F14872&quot;/&gt;&lt;wsp:rsid wsp:val=&quot;00F150E8&quot;/&gt;&lt;wsp:rsid wsp:val=&quot;00F15DCA&quot;/&gt;&lt;wsp:rsid wsp:val=&quot;00F16859&quot;/&gt;&lt;wsp:rsid wsp:val=&quot;00F16860&quot;/&gt;&lt;wsp:rsid wsp:val=&quot;00F16CDE&quot;/&gt;&lt;wsp:rsid wsp:val=&quot;00F17C07&quot;/&gt;&lt;wsp:rsid wsp:val=&quot;00F17F97&quot;/&gt;&lt;wsp:rsid wsp:val=&quot;00F200AB&quot;/&gt;&lt;wsp:rsid wsp:val=&quot;00F20A6F&quot;/&gt;&lt;wsp:rsid wsp:val=&quot;00F20D44&quot;/&gt;&lt;wsp:rsid wsp:val=&quot;00F21BE7&quot;/&gt;&lt;wsp:rsid wsp:val=&quot;00F21FE0&quot;/&gt;&lt;wsp:rsid wsp:val=&quot;00F22084&quot;/&gt;&lt;wsp:rsid wsp:val=&quot;00F2251A&quot;/&gt;&lt;wsp:rsid wsp:val=&quot;00F2398E&quot;/&gt;&lt;wsp:rsid wsp:val=&quot;00F24D73&quot;/&gt;&lt;wsp:rsid wsp:val=&quot;00F26CAD&quot;/&gt;&lt;wsp:rsid wsp:val=&quot;00F2737D&quot;/&gt;&lt;wsp:rsid wsp:val=&quot;00F277E7&quot;/&gt;&lt;wsp:rsid wsp:val=&quot;00F27D25&quot;/&gt;&lt;wsp:rsid wsp:val=&quot;00F30052&quot;/&gt;&lt;wsp:rsid wsp:val=&quot;00F304B3&quot;/&gt;&lt;wsp:rsid wsp:val=&quot;00F30D89&quot;/&gt;&lt;wsp:rsid wsp:val=&quot;00F30DCC&quot;/&gt;&lt;wsp:rsid wsp:val=&quot;00F3108B&quot;/&gt;&lt;wsp:rsid wsp:val=&quot;00F31197&quot;/&gt;&lt;wsp:rsid wsp:val=&quot;00F31576&quot;/&gt;&lt;wsp:rsid wsp:val=&quot;00F31F35&quot;/&gt;&lt;wsp:rsid wsp:val=&quot;00F3226D&quot;/&gt;&lt;wsp:rsid wsp:val=&quot;00F32770&quot;/&gt;&lt;wsp:rsid wsp:val=&quot;00F33330&quot;/&gt;&lt;wsp:rsid wsp:val=&quot;00F33CB0&quot;/&gt;&lt;wsp:rsid wsp:val=&quot;00F33E28&quot;/&gt;&lt;wsp:rsid wsp:val=&quot;00F3424F&quot;/&gt;&lt;wsp:rsid wsp:val=&quot;00F343C7&quot;/&gt;&lt;wsp:rsid wsp:val=&quot;00F34BDF&quot;/&gt;&lt;wsp:rsid wsp:val=&quot;00F35551&quot;/&gt;&lt;wsp:rsid wsp:val=&quot;00F35D38&quot;/&gt;&lt;wsp:rsid wsp:val=&quot;00F3666B&quot;/&gt;&lt;wsp:rsid wsp:val=&quot;00F377CD&quot;/&gt;&lt;wsp:rsid wsp:val=&quot;00F37AF1&quot;/&gt;&lt;wsp:rsid wsp:val=&quot;00F37CF4&quot;/&gt;&lt;wsp:rsid wsp:val=&quot;00F40484&quot;/&gt;&lt;wsp:rsid wsp:val=&quot;00F4550E&quot;/&gt;&lt;wsp:rsid wsp:val=&quot;00F458AB&quot;/&gt;&lt;wsp:rsid wsp:val=&quot;00F47214&quot;/&gt;&lt;wsp:rsid wsp:val=&quot;00F50499&quot;/&gt;&lt;wsp:rsid wsp:val=&quot;00F514FF&quot;/&gt;&lt;wsp:rsid wsp:val=&quot;00F52189&quot;/&gt;&lt;wsp:rsid wsp:val=&quot;00F521F2&quot;/&gt;&lt;wsp:rsid wsp:val=&quot;00F529F8&quot;/&gt;&lt;wsp:rsid wsp:val=&quot;00F53524&quot;/&gt;&lt;wsp:rsid wsp:val=&quot;00F536E3&quot;/&gt;&lt;wsp:rsid wsp:val=&quot;00F5398C&quot;/&gt;&lt;wsp:rsid wsp:val=&quot;00F5612E&quot;/&gt;&lt;wsp:rsid wsp:val=&quot;00F56535&quot;/&gt;&lt;wsp:rsid wsp:val=&quot;00F57D6E&quot;/&gt;&lt;wsp:rsid wsp:val=&quot;00F6017C&quot;/&gt;&lt;wsp:rsid wsp:val=&quot;00F620EB&quot;/&gt;&lt;wsp:rsid wsp:val=&quot;00F62A18&quot;/&gt;&lt;wsp:rsid wsp:val=&quot;00F62F0B&quot;/&gt;&lt;wsp:rsid wsp:val=&quot;00F63311&quot;/&gt;&lt;wsp:rsid wsp:val=&quot;00F63427&quot;/&gt;&lt;wsp:rsid wsp:val=&quot;00F64C71&quot;/&gt;&lt;wsp:rsid wsp:val=&quot;00F64DD2&quot;/&gt;&lt;wsp:rsid wsp:val=&quot;00F6543A&quot;/&gt;&lt;wsp:rsid wsp:val=&quot;00F65494&quot;/&gt;&lt;wsp:rsid wsp:val=&quot;00F66094&quot;/&gt;&lt;wsp:rsid wsp:val=&quot;00F66DD8&quot;/&gt;&lt;wsp:rsid wsp:val=&quot;00F67884&quot;/&gt;&lt;wsp:rsid wsp:val=&quot;00F67B31&quot;/&gt;&lt;wsp:rsid wsp:val=&quot;00F70B41&quot;/&gt;&lt;wsp:rsid wsp:val=&quot;00F71D22&quot;/&gt;&lt;wsp:rsid wsp:val=&quot;00F72B2C&quot;/&gt;&lt;wsp:rsid wsp:val=&quot;00F72F3B&quot;/&gt;&lt;wsp:rsid wsp:val=&quot;00F7319E&quot;/&gt;&lt;wsp:rsid wsp:val=&quot;00F73BE1&quot;/&gt;&lt;wsp:rsid wsp:val=&quot;00F748BE&quot;/&gt;&lt;wsp:rsid wsp:val=&quot;00F74A71&quot;/&gt;&lt;wsp:rsid wsp:val=&quot;00F754AD&quot;/&gt;&lt;wsp:rsid wsp:val=&quot;00F7618E&quot;/&gt;&lt;wsp:rsid wsp:val=&quot;00F77360&quot;/&gt;&lt;wsp:rsid wsp:val=&quot;00F802CF&quot;/&gt;&lt;wsp:rsid wsp:val=&quot;00F8155E&quot;/&gt;&lt;wsp:rsid wsp:val=&quot;00F81887&quot;/&gt;&lt;wsp:rsid wsp:val=&quot;00F81F48&quot;/&gt;&lt;wsp:rsid wsp:val=&quot;00F820EB&quot;/&gt;&lt;wsp:rsid wsp:val=&quot;00F82725&quot;/&gt;&lt;wsp:rsid wsp:val=&quot;00F827AB&quot;/&gt;&lt;wsp:rsid wsp:val=&quot;00F82BDD&quot;/&gt;&lt;wsp:rsid wsp:val=&quot;00F82E4D&quot;/&gt;&lt;wsp:rsid wsp:val=&quot;00F8460C&quot;/&gt;&lt;wsp:rsid wsp:val=&quot;00F85205&quot;/&gt;&lt;wsp:rsid wsp:val=&quot;00F879C3&quot;/&gt;&lt;wsp:rsid wsp:val=&quot;00F91003&quot;/&gt;&lt;wsp:rsid wsp:val=&quot;00F91138&quot;/&gt;&lt;wsp:rsid wsp:val=&quot;00F91982&quot;/&gt;&lt;wsp:rsid wsp:val=&quot;00F91B26&quot;/&gt;&lt;wsp:rsid wsp:val=&quot;00F92A68&quot;/&gt;&lt;wsp:rsid wsp:val=&quot;00F92E89&quot;/&gt;&lt;wsp:rsid wsp:val=&quot;00F9360D&quot;/&gt;&lt;wsp:rsid wsp:val=&quot;00F94917&quot;/&gt;&lt;wsp:rsid wsp:val=&quot;00F94C32&quot;/&gt;&lt;wsp:rsid wsp:val=&quot;00F95C8A&quot;/&gt;&lt;wsp:rsid wsp:val=&quot;00F97345&quot;/&gt;&lt;wsp:rsid wsp:val=&quot;00FA0DE0&quot;/&gt;&lt;wsp:rsid wsp:val=&quot;00FA0F78&quot;/&gt;&lt;wsp:rsid wsp:val=&quot;00FA134B&quot;/&gt;&lt;wsp:rsid wsp:val=&quot;00FA1E06&quot;/&gt;&lt;wsp:rsid wsp:val=&quot;00FA25B8&quot;/&gt;&lt;wsp:rsid wsp:val=&quot;00FA5FFB&quot;/&gt;&lt;wsp:rsid wsp:val=&quot;00FA66F6&quot;/&gt;&lt;wsp:rsid wsp:val=&quot;00FA7629&quot;/&gt;&lt;wsp:rsid wsp:val=&quot;00FA78A6&quot;/&gt;&lt;wsp:rsid wsp:val=&quot;00FA7ADF&quot;/&gt;&lt;wsp:rsid wsp:val=&quot;00FB0E4C&quot;/&gt;&lt;wsp:rsid wsp:val=&quot;00FB1E41&quot;/&gt;&lt;wsp:rsid wsp:val=&quot;00FB25AD&quot;/&gt;&lt;wsp:rsid wsp:val=&quot;00FB2BE5&quot;/&gt;&lt;wsp:rsid wsp:val=&quot;00FB2FEC&quot;/&gt;&lt;wsp:rsid wsp:val=&quot;00FB3FAB&quot;/&gt;&lt;wsp:rsid wsp:val=&quot;00FB46A3&quot;/&gt;&lt;wsp:rsid wsp:val=&quot;00FB57B6&quot;/&gt;&lt;wsp:rsid wsp:val=&quot;00FB70C4&quot;/&gt;&lt;wsp:rsid wsp:val=&quot;00FB73A3&quot;/&gt;&lt;wsp:rsid wsp:val=&quot;00FB762A&quot;/&gt;&lt;wsp:rsid wsp:val=&quot;00FB7748&quot;/&gt;&lt;wsp:rsid wsp:val=&quot;00FB7CF2&quot;/&gt;&lt;wsp:rsid wsp:val=&quot;00FC2E7A&quot;/&gt;&lt;wsp:rsid wsp:val=&quot;00FC304B&quot;/&gt;&lt;wsp:rsid wsp:val=&quot;00FC32CE&quot;/&gt;&lt;wsp:rsid wsp:val=&quot;00FC3530&quot;/&gt;&lt;wsp:rsid wsp:val=&quot;00FC3B14&quot;/&gt;&lt;wsp:rsid wsp:val=&quot;00FC4281&quot;/&gt;&lt;wsp:rsid wsp:val=&quot;00FC5E09&quot;/&gt;&lt;wsp:rsid wsp:val=&quot;00FC6637&quot;/&gt;&lt;wsp:rsid wsp:val=&quot;00FD1CCE&quot;/&gt;&lt;wsp:rsid wsp:val=&quot;00FD28D4&quot;/&gt;&lt;wsp:rsid wsp:val=&quot;00FD29B9&quot;/&gt;&lt;wsp:rsid wsp:val=&quot;00FD30DE&quot;/&gt;&lt;wsp:rsid wsp:val=&quot;00FD385E&quot;/&gt;&lt;wsp:rsid wsp:val=&quot;00FD3ED8&quot;/&gt;&lt;wsp:rsid wsp:val=&quot;00FD406A&quot;/&gt;&lt;wsp:rsid wsp:val=&quot;00FD42A6&quot;/&gt;&lt;wsp:rsid wsp:val=&quot;00FD5E46&quot;/&gt;&lt;wsp:rsid wsp:val=&quot;00FD6532&quot;/&gt;&lt;wsp:rsid wsp:val=&quot;00FD68ED&quot;/&gt;&lt;wsp:rsid wsp:val=&quot;00FE0271&quot;/&gt;&lt;wsp:rsid wsp:val=&quot;00FE09FE&quot;/&gt;&lt;wsp:rsid wsp:val=&quot;00FE1297&quot;/&gt;&lt;wsp:rsid wsp:val=&quot;00FE18E6&quot;/&gt;&lt;wsp:rsid wsp:val=&quot;00FE2C21&quot;/&gt;&lt;wsp:rsid wsp:val=&quot;00FE2E5A&quot;/&gt;&lt;wsp:rsid wsp:val=&quot;00FE5542&quot;/&gt;&lt;wsp:rsid wsp:val=&quot;00FE71B6&quot;/&gt;&lt;wsp:rsid wsp:val=&quot;00FF05E9&quot;/&gt;&lt;wsp:rsid wsp:val=&quot;00FF15AA&quot;/&gt;&lt;wsp:rsid wsp:val=&quot;00FF294C&quot;/&gt;&lt;wsp:rsid wsp:val=&quot;00FF3072&quot;/&gt;&lt;wsp:rsid wsp:val=&quot;00FF329B&quot;/&gt;&lt;wsp:rsid wsp:val=&quot;00FF35CE&quot;/&gt;&lt;wsp:rsid wsp:val=&quot;00FF474A&quot;/&gt;&lt;wsp:rsid wsp:val=&quot;00FF48CB&quot;/&gt;&lt;wsp:rsid wsp:val=&quot;00FF5205&quot;/&gt;&lt;wsp:rsid wsp:val=&quot;00FF5304&quot;/&gt;&lt;wsp:rsid wsp:val=&quot;00FF567D&quot;/&gt;&lt;wsp:rsid wsp:val=&quot;00FF570D&quot;/&gt;&lt;wsp:rsid wsp:val=&quot;00FF629F&quot;/&gt;&lt;wsp:rsid wsp:val=&quot;00FF6CB8&quot;/&gt;&lt;wsp:rsid wsp:val=&quot;00FF7EC8&quot;/&gt;&lt;/wsp:rsids&gt;&lt;/w:docPr&gt;&lt;w:body&gt;&lt;w:p wsp:rsidR=&quot;00000000&quot; wsp:rsidRDefault=&quot;004F3539&quot;&gt;&lt;m:oMathPara&gt;&lt;m:oMath&gt;&lt;m:f&gt;&lt;m:fPr&gt;&lt;m:ctrlPr&gt;&lt;w:rPr&gt;&lt;w:rFonts w:ascii=&quot;Cambria Math&quot; w:fareast=&quot;方正黑体简体&quot; w:h-ansi=&quot;Cambria Math&quot;/&gt;&lt;wx:font wx:val=&quot;Cambria Math&quot;/&gt;&lt;w:sz w:val=&quot;24&quot;/&gt;&lt;/w:rPr&gt;&lt;/m:ctrlPr&gt;&lt;/m:fPr&gt;&lt;m:num&gt;&lt;m:r&gt;&lt;m:rPr&gt;&lt;m:sty m:val=&quot;p&quot;/&gt;&lt;/m:rPr&gt;&lt;w:rPr&gt;&lt;w:rFonts w:ascii=&quot;Cambria Math&quot; w:fareast=&quot;方正黑体简体&quot; w:h-ansi=&quot;Cambria Math&quot; w:hint=&quot;fareast&quot;/&gt;&lt;wx:font wx:val=&quot;Cambria Math&quot;/&gt;&lt;w:sz w:val=&quot;24&quot;/&gt;&lt;/w:rPr&gt;&lt;m:t&gt;1&lt;/m:t&gt;&lt;/m:r&gt;&lt;/m:num&gt;&lt;m:den&gt;&lt;m:r&gt;&lt;m:rPr&gt;&lt;m:sty m:val=&quot;p&quot;/&gt;&lt;/m:rPr&gt;&lt;w:rPr&gt;&lt;w:rFonts w:ascii=&quot;Cambria Math&quot; w:fareast=&quot;方正黑体简体&quot; w:h-ansi=&quot;Cambria Math&quot;/&gt;&lt;wx:font wx:val=&quot;Cambria Math&quot;/&gt;&lt;w:sz w:val=&quot;24&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14" chromakey="#FFFFFF" o:title=""/>
            <o:lock v:ext="edit" aspectratio="t"/>
            <w10:wrap type="none"/>
            <w10:anchorlock/>
          </v:shape>
        </w:pict>
      </w:r>
      <w:r>
        <w:rPr>
          <w:rFonts w:ascii="仿宋_GB2312" w:hAnsi="宋体" w:eastAsia="仿宋_GB2312"/>
          <w:sz w:val="32"/>
          <w:szCs w:val="32"/>
        </w:rPr>
        <w:instrText xml:space="preserve">  \* MERGEFORMAT </w:instrText>
      </w:r>
      <w:r>
        <w:rPr>
          <w:rFonts w:ascii="仿宋_GB2312" w:hAnsi="宋体" w:eastAsia="仿宋_GB2312"/>
          <w:sz w:val="32"/>
          <w:szCs w:val="32"/>
        </w:rPr>
        <w:fldChar w:fldCharType="separate"/>
      </w:r>
      <w:r>
        <w:rPr>
          <w:rFonts w:hint="eastAsia" w:ascii="仿宋_GB2312" w:hAnsi="宋体" w:eastAsia="仿宋_GB2312"/>
          <w:sz w:val="32"/>
          <w:szCs w:val="32"/>
        </w:rPr>
        <w:pict>
          <v:shape id="_x0000_i1027" o:spt="75" type="#_x0000_t75" style="height:25.5pt;width:5.2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6&quot;/&gt;&lt;w:displayBackgroundShape/&gt;&lt;w:bordersDontSurroundHeader/&gt;&lt;w:bordersDontSurroundFooter/&gt;&lt;w:stylePaneFormatFilter w:val=&quot;3F01&quot;/&gt;&lt;w:defaultTabStop w:val=&quot;420&quot;/&gt;&lt;w:drawingGridHorizontalSpacing w:val=&quot;189&quot;/&gt;&lt;w:drawingGridVerticalSpacing w:val=&quot;505&quot;/&gt;&lt;w:displayHorizontalDrawingGridEvery w:val=&quot;0&quot;/&gt;&lt;w:punctuationKerning/&gt;&lt;w:characterSpacingControl w:val=&quot;CompressPunctuation&quot;/&gt;&lt;w:noLineBreaksAfter w:lang=&quot;ZH-CN&quot; w:val=&quot;([{·‘“〈《「『【〔〖（．［｛￡￥&quot;/&gt;&lt;w:noLineBreaksBefore w:lang=&quot;ZH-CN&quot; w:val=&quot;!),.:;?]}¨·ˇˉ―‖’”…∶、。〃々〉》」』】〕〗！＂＇），．：；？］｀｜｝～￠&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9B056E&quot;/&gt;&lt;wsp:rsid wsp:val=&quot;000007F3&quot;/&gt;&lt;wsp:rsid wsp:val=&quot;00001DB2&quot;/&gt;&lt;wsp:rsid wsp:val=&quot;000022B8&quot;/&gt;&lt;wsp:rsid wsp:val=&quot;00002438&quot;/&gt;&lt;wsp:rsid wsp:val=&quot;00002FC5&quot;/&gt;&lt;wsp:rsid wsp:val=&quot;00003B7C&quot;/&gt;&lt;wsp:rsid wsp:val=&quot;000046E4&quot;/&gt;&lt;wsp:rsid wsp:val=&quot;000049C6&quot;/&gt;&lt;wsp:rsid wsp:val=&quot;0000504C&quot;/&gt;&lt;wsp:rsid wsp:val=&quot;000052E4&quot;/&gt;&lt;wsp:rsid wsp:val=&quot;00005EC1&quot;/&gt;&lt;wsp:rsid wsp:val=&quot;00006469&quot;/&gt;&lt;wsp:rsid wsp:val=&quot;00006957&quot;/&gt;&lt;wsp:rsid wsp:val=&quot;00006C6A&quot;/&gt;&lt;wsp:rsid wsp:val=&quot;00006E1C&quot;/&gt;&lt;wsp:rsid wsp:val=&quot;00007706&quot;/&gt;&lt;wsp:rsid wsp:val=&quot;00010287&quot;/&gt;&lt;wsp:rsid wsp:val=&quot;0001073F&quot;/&gt;&lt;wsp:rsid wsp:val=&quot;000115A1&quot;/&gt;&lt;wsp:rsid wsp:val=&quot;000115C8&quot;/&gt;&lt;wsp:rsid wsp:val=&quot;00011F01&quot;/&gt;&lt;wsp:rsid wsp:val=&quot;0001227D&quot;/&gt;&lt;wsp:rsid wsp:val=&quot;00014861&quot;/&gt;&lt;wsp:rsid wsp:val=&quot;00017C1A&quot;/&gt;&lt;wsp:rsid wsp:val=&quot;000204DE&quot;/&gt;&lt;wsp:rsid wsp:val=&quot;000213CF&quot;/&gt;&lt;wsp:rsid wsp:val=&quot;00021ADF&quot;/&gt;&lt;wsp:rsid wsp:val=&quot;00022CC4&quot;/&gt;&lt;wsp:rsid wsp:val=&quot;0002621A&quot;/&gt;&lt;wsp:rsid wsp:val=&quot;000278B7&quot;/&gt;&lt;wsp:rsid wsp:val=&quot;000300BC&quot;/&gt;&lt;wsp:rsid wsp:val=&quot;0003088E&quot;/&gt;&lt;wsp:rsid wsp:val=&quot;00032282&quot;/&gt;&lt;wsp:rsid wsp:val=&quot;000331A6&quot;/&gt;&lt;wsp:rsid wsp:val=&quot;000355F9&quot;/&gt;&lt;wsp:rsid wsp:val=&quot;000369F0&quot;/&gt;&lt;wsp:rsid wsp:val=&quot;00036DA9&quot;/&gt;&lt;wsp:rsid wsp:val=&quot;0003712A&quot;/&gt;&lt;wsp:rsid wsp:val=&quot;000371B6&quot;/&gt;&lt;wsp:rsid wsp:val=&quot;00037862&quot;/&gt;&lt;wsp:rsid wsp:val=&quot;000416CF&quot;/&gt;&lt;wsp:rsid wsp:val=&quot;000418BA&quot;/&gt;&lt;wsp:rsid wsp:val=&quot;000423DF&quot;/&gt;&lt;wsp:rsid wsp:val=&quot;000429AF&quot;/&gt;&lt;wsp:rsid wsp:val=&quot;00042B23&quot;/&gt;&lt;wsp:rsid wsp:val=&quot;00042F86&quot;/&gt;&lt;wsp:rsid wsp:val=&quot;00043186&quot;/&gt;&lt;wsp:rsid wsp:val=&quot;000442E8&quot;/&gt;&lt;wsp:rsid wsp:val=&quot;00044DA6&quot;/&gt;&lt;wsp:rsid wsp:val=&quot;000451C7&quot;/&gt;&lt;wsp:rsid wsp:val=&quot;0004706E&quot;/&gt;&lt;wsp:rsid wsp:val=&quot;00051002&quot;/&gt;&lt;wsp:rsid wsp:val=&quot;0005214E&quot;/&gt;&lt;wsp:rsid wsp:val=&quot;00053235&quot;/&gt;&lt;wsp:rsid wsp:val=&quot;0005339B&quot;/&gt;&lt;wsp:rsid wsp:val=&quot;00053733&quot;/&gt;&lt;wsp:rsid wsp:val=&quot;00053CB1&quot;/&gt;&lt;wsp:rsid wsp:val=&quot;00053FED&quot;/&gt;&lt;wsp:rsid wsp:val=&quot;00054276&quot;/&gt;&lt;wsp:rsid wsp:val=&quot;00054E28&quot;/&gt;&lt;wsp:rsid wsp:val=&quot;0005503C&quot;/&gt;&lt;wsp:rsid wsp:val=&quot;0005729C&quot;/&gt;&lt;wsp:rsid wsp:val=&quot;000602CE&quot;/&gt;&lt;wsp:rsid wsp:val=&quot;00060A92&quot;/&gt;&lt;wsp:rsid wsp:val=&quot;00061173&quot;/&gt;&lt;wsp:rsid wsp:val=&quot;00061A93&quot;/&gt;&lt;wsp:rsid wsp:val=&quot;00061D77&quot;/&gt;&lt;wsp:rsid wsp:val=&quot;000629EB&quot;/&gt;&lt;wsp:rsid wsp:val=&quot;0006581E&quot;/&gt;&lt;wsp:rsid wsp:val=&quot;00066D36&quot;/&gt;&lt;wsp:rsid wsp:val=&quot;00066E8E&quot;/&gt;&lt;wsp:rsid wsp:val=&quot;00066FCB&quot;/&gt;&lt;wsp:rsid wsp:val=&quot;0006704C&quot;/&gt;&lt;wsp:rsid wsp:val=&quot;0006712D&quot;/&gt;&lt;wsp:rsid wsp:val=&quot;0006799C&quot;/&gt;&lt;wsp:rsid wsp:val=&quot;00067EB5&quot;/&gt;&lt;wsp:rsid wsp:val=&quot;00070442&quot;/&gt;&lt;wsp:rsid wsp:val=&quot;000716B1&quot;/&gt;&lt;wsp:rsid wsp:val=&quot;0007402A&quot;/&gt;&lt;wsp:rsid wsp:val=&quot;00074042&quot;/&gt;&lt;wsp:rsid wsp:val=&quot;000742F6&quot;/&gt;&lt;wsp:rsid wsp:val=&quot;000752D9&quot;/&gt;&lt;wsp:rsid wsp:val=&quot;00076615&quot;/&gt;&lt;wsp:rsid wsp:val=&quot;00076AA1&quot;/&gt;&lt;wsp:rsid wsp:val=&quot;00076E39&quot;/&gt;&lt;wsp:rsid wsp:val=&quot;000773EE&quot;/&gt;&lt;wsp:rsid wsp:val=&quot;000774C4&quot;/&gt;&lt;wsp:rsid wsp:val=&quot;00077A2F&quot;/&gt;&lt;wsp:rsid wsp:val=&quot;00080183&quot;/&gt;&lt;wsp:rsid wsp:val=&quot;00080A28&quot;/&gt;&lt;wsp:rsid wsp:val=&quot;0008231B&quot;/&gt;&lt;wsp:rsid wsp:val=&quot;00082EF7&quot;/&gt;&lt;wsp:rsid wsp:val=&quot;000847CF&quot;/&gt;&lt;wsp:rsid wsp:val=&quot;00084962&quot;/&gt;&lt;wsp:rsid wsp:val=&quot;00085370&quot;/&gt;&lt;wsp:rsid wsp:val=&quot;000865E5&quot;/&gt;&lt;wsp:rsid wsp:val=&quot;00086A01&quot;/&gt;&lt;wsp:rsid wsp:val=&quot;00086E56&quot;/&gt;&lt;wsp:rsid wsp:val=&quot;000871DB&quot;/&gt;&lt;wsp:rsid wsp:val=&quot;00087473&quot;/&gt;&lt;wsp:rsid wsp:val=&quot;0009089B&quot;/&gt;&lt;wsp:rsid wsp:val=&quot;000915B8&quot;/&gt;&lt;wsp:rsid wsp:val=&quot;000956EC&quot;/&gt;&lt;wsp:rsid wsp:val=&quot;00095DBA&quot;/&gt;&lt;wsp:rsid wsp:val=&quot;00096A9E&quot;/&gt;&lt;wsp:rsid wsp:val=&quot;000973C3&quot;/&gt;&lt;wsp:rsid wsp:val=&quot;0009771D&quot;/&gt;&lt;wsp:rsid wsp:val=&quot;00097A10&quot;/&gt;&lt;wsp:rsid wsp:val=&quot;000A0A35&quot;/&gt;&lt;wsp:rsid wsp:val=&quot;000A0D47&quot;/&gt;&lt;wsp:rsid wsp:val=&quot;000A26A2&quot;/&gt;&lt;wsp:rsid wsp:val=&quot;000A3243&quot;/&gt;&lt;wsp:rsid wsp:val=&quot;000A53B6&quot;/&gt;&lt;wsp:rsid wsp:val=&quot;000A6781&quot;/&gt;&lt;wsp:rsid wsp:val=&quot;000A6A83&quot;/&gt;&lt;wsp:rsid wsp:val=&quot;000A6B79&quot;/&gt;&lt;wsp:rsid wsp:val=&quot;000B1365&quot;/&gt;&lt;wsp:rsid wsp:val=&quot;000B1B4E&quot;/&gt;&lt;wsp:rsid wsp:val=&quot;000B2520&quot;/&gt;&lt;wsp:rsid wsp:val=&quot;000B2EE4&quot;/&gt;&lt;wsp:rsid wsp:val=&quot;000B34EF&quot;/&gt;&lt;wsp:rsid wsp:val=&quot;000B36A4&quot;/&gt;&lt;wsp:rsid wsp:val=&quot;000B3741&quot;/&gt;&lt;wsp:rsid wsp:val=&quot;000B3EE7&quot;/&gt;&lt;wsp:rsid wsp:val=&quot;000B74B3&quot;/&gt;&lt;wsp:rsid wsp:val=&quot;000B798A&quot;/&gt;&lt;wsp:rsid wsp:val=&quot;000C131E&quot;/&gt;&lt;wsp:rsid wsp:val=&quot;000C1ABF&quot;/&gt;&lt;wsp:rsid wsp:val=&quot;000C227D&quot;/&gt;&lt;wsp:rsid wsp:val=&quot;000C2FFD&quot;/&gt;&lt;wsp:rsid wsp:val=&quot;000C3601&quot;/&gt;&lt;wsp:rsid wsp:val=&quot;000C36CC&quot;/&gt;&lt;wsp:rsid wsp:val=&quot;000C456E&quot;/&gt;&lt;wsp:rsid wsp:val=&quot;000C4C95&quot;/&gt;&lt;wsp:rsid wsp:val=&quot;000C5D89&quot;/&gt;&lt;wsp:rsid wsp:val=&quot;000C5EF1&quot;/&gt;&lt;wsp:rsid wsp:val=&quot;000C5F57&quot;/&gt;&lt;wsp:rsid wsp:val=&quot;000C7A88&quot;/&gt;&lt;wsp:rsid wsp:val=&quot;000C7FE5&quot;/&gt;&lt;wsp:rsid wsp:val=&quot;000D1404&quot;/&gt;&lt;wsp:rsid wsp:val=&quot;000D1AC8&quot;/&gt;&lt;wsp:rsid wsp:val=&quot;000D1B22&quot;/&gt;&lt;wsp:rsid wsp:val=&quot;000D1D53&quot;/&gt;&lt;wsp:rsid wsp:val=&quot;000D20EB&quot;/&gt;&lt;wsp:rsid wsp:val=&quot;000D27C9&quot;/&gt;&lt;wsp:rsid wsp:val=&quot;000D2BFD&quot;/&gt;&lt;wsp:rsid wsp:val=&quot;000D32ED&quot;/&gt;&lt;wsp:rsid wsp:val=&quot;000D3891&quot;/&gt;&lt;wsp:rsid wsp:val=&quot;000D3D9F&quot;/&gt;&lt;wsp:rsid wsp:val=&quot;000D42BE&quot;/&gt;&lt;wsp:rsid wsp:val=&quot;000D48A6&quot;/&gt;&lt;wsp:rsid wsp:val=&quot;000D5AFE&quot;/&gt;&lt;wsp:rsid wsp:val=&quot;000D648A&quot;/&gt;&lt;wsp:rsid wsp:val=&quot;000D6544&quot;/&gt;&lt;wsp:rsid wsp:val=&quot;000D7D80&quot;/&gt;&lt;wsp:rsid wsp:val=&quot;000E0E0F&quot;/&gt;&lt;wsp:rsid wsp:val=&quot;000E1A80&quot;/&gt;&lt;wsp:rsid wsp:val=&quot;000E2AB4&quot;/&gt;&lt;wsp:rsid wsp:val=&quot;000E2C11&quot;/&gt;&lt;wsp:rsid wsp:val=&quot;000E31D1&quot;/&gt;&lt;wsp:rsid wsp:val=&quot;000E3420&quot;/&gt;&lt;wsp:rsid wsp:val=&quot;000E44EF&quot;/&gt;&lt;wsp:rsid wsp:val=&quot;000E4AA2&quot;/&gt;&lt;wsp:rsid wsp:val=&quot;000E5EBC&quot;/&gt;&lt;wsp:rsid wsp:val=&quot;000E6A21&quot;/&gt;&lt;wsp:rsid wsp:val=&quot;000E796D&quot;/&gt;&lt;wsp:rsid wsp:val=&quot;000F0F29&quot;/&gt;&lt;wsp:rsid wsp:val=&quot;000F17B0&quot;/&gt;&lt;wsp:rsid wsp:val=&quot;000F1FB9&quot;/&gt;&lt;wsp:rsid wsp:val=&quot;000F21D1&quot;/&gt;&lt;wsp:rsid wsp:val=&quot;000F24BA&quot;/&gt;&lt;wsp:rsid wsp:val=&quot;000F273F&quot;/&gt;&lt;wsp:rsid wsp:val=&quot;000F2922&quot;/&gt;&lt;wsp:rsid wsp:val=&quot;000F2A74&quot;/&gt;&lt;wsp:rsid wsp:val=&quot;000F361E&quot;/&gt;&lt;wsp:rsid wsp:val=&quot;000F3B55&quot;/&gt;&lt;wsp:rsid wsp:val=&quot;000F3D4A&quot;/&gt;&lt;wsp:rsid wsp:val=&quot;000F5BA6&quot;/&gt;&lt;wsp:rsid wsp:val=&quot;000F7F9C&quot;/&gt;&lt;wsp:rsid wsp:val=&quot;00101E44&quot;/&gt;&lt;wsp:rsid wsp:val=&quot;001032E1&quot;/&gt;&lt;wsp:rsid wsp:val=&quot;00104E71&quot;/&gt;&lt;wsp:rsid wsp:val=&quot;0010670C&quot;/&gt;&lt;wsp:rsid wsp:val=&quot;001073C6&quot;/&gt;&lt;wsp:rsid wsp:val=&quot;00112B2E&quot;/&gt;&lt;wsp:rsid wsp:val=&quot;00113194&quot;/&gt;&lt;wsp:rsid wsp:val=&quot;001132EA&quot;/&gt;&lt;wsp:rsid wsp:val=&quot;00113F49&quot;/&gt;&lt;wsp:rsid wsp:val=&quot;00114432&quot;/&gt;&lt;wsp:rsid wsp:val=&quot;00115176&quot;/&gt;&lt;wsp:rsid wsp:val=&quot;00115274&quot;/&gt;&lt;wsp:rsid wsp:val=&quot;00115864&quot;/&gt;&lt;wsp:rsid wsp:val=&quot;00115958&quot;/&gt;&lt;wsp:rsid wsp:val=&quot;00116FA4&quot;/&gt;&lt;wsp:rsid wsp:val=&quot;00117296&quot;/&gt;&lt;wsp:rsid wsp:val=&quot;00120675&quot;/&gt;&lt;wsp:rsid wsp:val=&quot;001207D9&quot;/&gt;&lt;wsp:rsid wsp:val=&quot;001241C5&quot;/&gt;&lt;wsp:rsid wsp:val=&quot;00124298&quot;/&gt;&lt;wsp:rsid wsp:val=&quot;001244DA&quot;/&gt;&lt;wsp:rsid wsp:val=&quot;00125063&quot;/&gt;&lt;wsp:rsid wsp:val=&quot;00125120&quot;/&gt;&lt;wsp:rsid wsp:val=&quot;00125182&quot;/&gt;&lt;wsp:rsid wsp:val=&quot;00125A8C&quot;/&gt;&lt;wsp:rsid wsp:val=&quot;001265B9&quot;/&gt;&lt;wsp:rsid wsp:val=&quot;00126BC0&quot;/&gt;&lt;wsp:rsid wsp:val=&quot;00126DF9&quot;/&gt;&lt;wsp:rsid wsp:val=&quot;0012725D&quot;/&gt;&lt;wsp:rsid wsp:val=&quot;001273E1&quot;/&gt;&lt;wsp:rsid wsp:val=&quot;001274DF&quot;/&gt;&lt;wsp:rsid wsp:val=&quot;001307FA&quot;/&gt;&lt;wsp:rsid wsp:val=&quot;001312DD&quot;/&gt;&lt;wsp:rsid wsp:val=&quot;0013272D&quot;/&gt;&lt;wsp:rsid wsp:val=&quot;00133676&quot;/&gt;&lt;wsp:rsid wsp:val=&quot;001368D7&quot;/&gt;&lt;wsp:rsid wsp:val=&quot;00136DAF&quot;/&gt;&lt;wsp:rsid wsp:val=&quot;00137C85&quot;/&gt;&lt;wsp:rsid wsp:val=&quot;001412E2&quot;/&gt;&lt;wsp:rsid wsp:val=&quot;00141E8B&quot;/&gt;&lt;wsp:rsid wsp:val=&quot;00143651&quot;/&gt;&lt;wsp:rsid wsp:val=&quot;00143936&quot;/&gt;&lt;wsp:rsid wsp:val=&quot;0014487D&quot;/&gt;&lt;wsp:rsid wsp:val=&quot;00144BE8&quot;/&gt;&lt;wsp:rsid wsp:val=&quot;00146730&quot;/&gt;&lt;wsp:rsid wsp:val=&quot;00146B01&quot;/&gt;&lt;wsp:rsid wsp:val=&quot;00146B61&quot;/&gt;&lt;wsp:rsid wsp:val=&quot;00146B85&quot;/&gt;&lt;wsp:rsid wsp:val=&quot;00147B99&quot;/&gt;&lt;wsp:rsid wsp:val=&quot;00147EDE&quot;/&gt;&lt;wsp:rsid wsp:val=&quot;00150999&quot;/&gt;&lt;wsp:rsid wsp:val=&quot;00150DF6&quot;/&gt;&lt;wsp:rsid wsp:val=&quot;00151A4C&quot;/&gt;&lt;wsp:rsid wsp:val=&quot;00151DDF&quot;/&gt;&lt;wsp:rsid wsp:val=&quot;00152F6F&quot;/&gt;&lt;wsp:rsid wsp:val=&quot;00153826&quot;/&gt;&lt;wsp:rsid wsp:val=&quot;001545D5&quot;/&gt;&lt;wsp:rsid wsp:val=&quot;00154780&quot;/&gt;&lt;wsp:rsid wsp:val=&quot;00154898&quot;/&gt;&lt;wsp:rsid wsp:val=&quot;001556CB&quot;/&gt;&lt;wsp:rsid wsp:val=&quot;00160EF8&quot;/&gt;&lt;wsp:rsid wsp:val=&quot;001624C0&quot;/&gt;&lt;wsp:rsid wsp:val=&quot;00162774&quot;/&gt;&lt;wsp:rsid wsp:val=&quot;001633B2&quot;/&gt;&lt;wsp:rsid wsp:val=&quot;00163F17&quot;/&gt;&lt;wsp:rsid wsp:val=&quot;00164CC7&quot;/&gt;&lt;wsp:rsid wsp:val=&quot;00165EE8&quot;/&gt;&lt;wsp:rsid wsp:val=&quot;001672BE&quot;/&gt;&lt;wsp:rsid wsp:val=&quot;00167575&quot;/&gt;&lt;wsp:rsid wsp:val=&quot;00167650&quot;/&gt;&lt;wsp:rsid wsp:val=&quot;0017091D&quot;/&gt;&lt;wsp:rsid wsp:val=&quot;00170EF6&quot;/&gt;&lt;wsp:rsid wsp:val=&quot;00171E89&quot;/&gt;&lt;wsp:rsid wsp:val=&quot;001732BA&quot;/&gt;&lt;wsp:rsid wsp:val=&quot;00173501&quot;/&gt;&lt;wsp:rsid wsp:val=&quot;001735D9&quot;/&gt;&lt;wsp:rsid wsp:val=&quot;00173A58&quot;/&gt;&lt;wsp:rsid wsp:val=&quot;00174375&quot;/&gt;&lt;wsp:rsid wsp:val=&quot;00174F4D&quot;/&gt;&lt;wsp:rsid wsp:val=&quot;001756F2&quot;/&gt;&lt;wsp:rsid wsp:val=&quot;001768EF&quot;/&gt;&lt;wsp:rsid wsp:val=&quot;00176C65&quot;/&gt;&lt;wsp:rsid wsp:val=&quot;00177483&quot;/&gt;&lt;wsp:rsid wsp:val=&quot;00180BDD&quot;/&gt;&lt;wsp:rsid wsp:val=&quot;00180D62&quot;/&gt;&lt;wsp:rsid wsp:val=&quot;00181982&quot;/&gt;&lt;wsp:rsid wsp:val=&quot;001861AD&quot;/&gt;&lt;wsp:rsid wsp:val=&quot;0019034F&quot;/&gt;&lt;wsp:rsid wsp:val=&quot;001903E7&quot;/&gt;&lt;wsp:rsid wsp:val=&quot;001905BD&quot;/&gt;&lt;wsp:rsid wsp:val=&quot;00191C03&quot;/&gt;&lt;wsp:rsid wsp:val=&quot;00194940&quot;/&gt;&lt;wsp:rsid wsp:val=&quot;00195FF6&quot;/&gt;&lt;wsp:rsid wsp:val=&quot;001A018E&quot;/&gt;&lt;wsp:rsid wsp:val=&quot;001A021D&quot;/&gt;&lt;wsp:rsid wsp:val=&quot;001A0285&quot;/&gt;&lt;wsp:rsid wsp:val=&quot;001A086A&quot;/&gt;&lt;wsp:rsid wsp:val=&quot;001A0B22&quot;/&gt;&lt;wsp:rsid wsp:val=&quot;001A4906&quot;/&gt;&lt;wsp:rsid wsp:val=&quot;001A4CAC&quot;/&gt;&lt;wsp:rsid wsp:val=&quot;001A53C4&quot;/&gt;&lt;wsp:rsid wsp:val=&quot;001A5678&quot;/&gt;&lt;wsp:rsid wsp:val=&quot;001A6921&quot;/&gt;&lt;wsp:rsid wsp:val=&quot;001A6DF8&quot;/&gt;&lt;wsp:rsid wsp:val=&quot;001A6EE0&quot;/&gt;&lt;wsp:rsid wsp:val=&quot;001A7030&quot;/&gt;&lt;wsp:rsid wsp:val=&quot;001B09C9&quot;/&gt;&lt;wsp:rsid wsp:val=&quot;001B0B86&quot;/&gt;&lt;wsp:rsid wsp:val=&quot;001B1691&quot;/&gt;&lt;wsp:rsid wsp:val=&quot;001B1BED&quot;/&gt;&lt;wsp:rsid wsp:val=&quot;001B1DFF&quot;/&gt;&lt;wsp:rsid wsp:val=&quot;001B3A66&quot;/&gt;&lt;wsp:rsid wsp:val=&quot;001B3CBD&quot;/&gt;&lt;wsp:rsid wsp:val=&quot;001B5A24&quot;/&gt;&lt;wsp:rsid wsp:val=&quot;001B60EC&quot;/&gt;&lt;wsp:rsid wsp:val=&quot;001B61EA&quot;/&gt;&lt;wsp:rsid wsp:val=&quot;001B651E&quot;/&gt;&lt;wsp:rsid wsp:val=&quot;001B6A91&quot;/&gt;&lt;wsp:rsid wsp:val=&quot;001B7142&quot;/&gt;&lt;wsp:rsid wsp:val=&quot;001B71A8&quot;/&gt;&lt;wsp:rsid wsp:val=&quot;001B75A7&quot;/&gt;&lt;wsp:rsid wsp:val=&quot;001B76FE&quot;/&gt;&lt;wsp:rsid wsp:val=&quot;001C0529&quot;/&gt;&lt;wsp:rsid wsp:val=&quot;001C09A8&quot;/&gt;&lt;wsp:rsid wsp:val=&quot;001C0B3D&quot;/&gt;&lt;wsp:rsid wsp:val=&quot;001C1190&quot;/&gt;&lt;wsp:rsid wsp:val=&quot;001C1EFA&quot;/&gt;&lt;wsp:rsid wsp:val=&quot;001C2A0C&quot;/&gt;&lt;wsp:rsid wsp:val=&quot;001C33FD&quot;/&gt;&lt;wsp:rsid wsp:val=&quot;001C4CF3&quot;/&gt;&lt;wsp:rsid wsp:val=&quot;001C55AA&quot;/&gt;&lt;wsp:rsid wsp:val=&quot;001C5FDE&quot;/&gt;&lt;wsp:rsid wsp:val=&quot;001C6171&quot;/&gt;&lt;wsp:rsid wsp:val=&quot;001C6572&quot;/&gt;&lt;wsp:rsid wsp:val=&quot;001C6BB2&quot;/&gt;&lt;wsp:rsid wsp:val=&quot;001C7DEE&quot;/&gt;&lt;wsp:rsid wsp:val=&quot;001D04FE&quot;/&gt;&lt;wsp:rsid wsp:val=&quot;001D176C&quot;/&gt;&lt;wsp:rsid wsp:val=&quot;001D17B3&quot;/&gt;&lt;wsp:rsid wsp:val=&quot;001D224E&quot;/&gt;&lt;wsp:rsid wsp:val=&quot;001D24F2&quot;/&gt;&lt;wsp:rsid wsp:val=&quot;001D3C00&quot;/&gt;&lt;wsp:rsid wsp:val=&quot;001D3DB4&quot;/&gt;&lt;wsp:rsid wsp:val=&quot;001D42E0&quot;/&gt;&lt;wsp:rsid wsp:val=&quot;001D4853&quot;/&gt;&lt;wsp:rsid wsp:val=&quot;001D5269&quot;/&gt;&lt;wsp:rsid wsp:val=&quot;001D5607&quot;/&gt;&lt;wsp:rsid wsp:val=&quot;001D59D7&quot;/&gt;&lt;wsp:rsid wsp:val=&quot;001D6A15&quot;/&gt;&lt;wsp:rsid wsp:val=&quot;001D749F&quot;/&gt;&lt;wsp:rsid wsp:val=&quot;001E05D0&quot;/&gt;&lt;wsp:rsid wsp:val=&quot;001E1002&quot;/&gt;&lt;wsp:rsid wsp:val=&quot;001E1161&quot;/&gt;&lt;wsp:rsid wsp:val=&quot;001E11B6&quot;/&gt;&lt;wsp:rsid wsp:val=&quot;001E3F67&quot;/&gt;&lt;wsp:rsid wsp:val=&quot;001E42F2&quot;/&gt;&lt;wsp:rsid wsp:val=&quot;001E4300&quot;/&gt;&lt;wsp:rsid wsp:val=&quot;001E4892&quot;/&gt;&lt;wsp:rsid wsp:val=&quot;001E6A6F&quot;/&gt;&lt;wsp:rsid wsp:val=&quot;001E799B&quot;/&gt;&lt;wsp:rsid wsp:val=&quot;001E7BFE&quot;/&gt;&lt;wsp:rsid wsp:val=&quot;001F0B42&quot;/&gt;&lt;wsp:rsid wsp:val=&quot;001F207B&quot;/&gt;&lt;wsp:rsid wsp:val=&quot;001F266B&quot;/&gt;&lt;wsp:rsid wsp:val=&quot;001F2697&quot;/&gt;&lt;wsp:rsid wsp:val=&quot;001F3548&quot;/&gt;&lt;wsp:rsid wsp:val=&quot;001F4023&quot;/&gt;&lt;wsp:rsid wsp:val=&quot;001F4370&quot;/&gt;&lt;wsp:rsid wsp:val=&quot;001F49B6&quot;/&gt;&lt;wsp:rsid wsp:val=&quot;001F4B67&quot;/&gt;&lt;wsp:rsid wsp:val=&quot;001F4BD4&quot;/&gt;&lt;wsp:rsid wsp:val=&quot;001F5533&quot;/&gt;&lt;wsp:rsid wsp:val=&quot;001F6B43&quot;/&gt;&lt;wsp:rsid wsp:val=&quot;001F6C4A&quot;/&gt;&lt;wsp:rsid wsp:val=&quot;001F6DF3&quot;/&gt;&lt;wsp:rsid wsp:val=&quot;00200201&quot;/&gt;&lt;wsp:rsid wsp:val=&quot;002007E7&quot;/&gt;&lt;wsp:rsid wsp:val=&quot;00204DAB&quot;/&gt;&lt;wsp:rsid wsp:val=&quot;00205220&quot;/&gt;&lt;wsp:rsid wsp:val=&quot;002059AA&quot;/&gt;&lt;wsp:rsid wsp:val=&quot;00206F9F&quot;/&gt;&lt;wsp:rsid wsp:val=&quot;002072D6&quot;/&gt;&lt;wsp:rsid wsp:val=&quot;00210C62&quot;/&gt;&lt;wsp:rsid wsp:val=&quot;00212459&quot;/&gt;&lt;wsp:rsid wsp:val=&quot;00213222&quot;/&gt;&lt;wsp:rsid wsp:val=&quot;0021570F&quot;/&gt;&lt;wsp:rsid wsp:val=&quot;002202A0&quot;/&gt;&lt;wsp:rsid wsp:val=&quot;002203B9&quot;/&gt;&lt;wsp:rsid wsp:val=&quot;00223A0E&quot;/&gt;&lt;wsp:rsid wsp:val=&quot;00223EB2&quot;/&gt;&lt;wsp:rsid wsp:val=&quot;002254FE&quot;/&gt;&lt;wsp:rsid wsp:val=&quot;00225685&quot;/&gt;&lt;wsp:rsid wsp:val=&quot;00225968&quot;/&gt;&lt;wsp:rsid wsp:val=&quot;00225B58&quot;/&gt;&lt;wsp:rsid wsp:val=&quot;002265DA&quot;/&gt;&lt;wsp:rsid wsp:val=&quot;0022660B&quot;/&gt;&lt;wsp:rsid wsp:val=&quot;0022779C&quot;/&gt;&lt;wsp:rsid wsp:val=&quot;00230826&quot;/&gt;&lt;wsp:rsid wsp:val=&quot;002309FF&quot;/&gt;&lt;wsp:rsid wsp:val=&quot;00230FDA&quot;/&gt;&lt;wsp:rsid wsp:val=&quot;00232FEC&quot;/&gt;&lt;wsp:rsid wsp:val=&quot;00233681&quot;/&gt;&lt;wsp:rsid wsp:val=&quot;00233F85&quot;/&gt;&lt;wsp:rsid wsp:val=&quot;00234AFB&quot;/&gt;&lt;wsp:rsid wsp:val=&quot;00235332&quot;/&gt;&lt;wsp:rsid wsp:val=&quot;00235699&quot;/&gt;&lt;wsp:rsid wsp:val=&quot;00236B8E&quot;/&gt;&lt;wsp:rsid wsp:val=&quot;002375C9&quot;/&gt;&lt;wsp:rsid wsp:val=&quot;0023774D&quot;/&gt;&lt;wsp:rsid wsp:val=&quot;00240CF6&quot;/&gt;&lt;wsp:rsid wsp:val=&quot;00241A2A&quot;/&gt;&lt;wsp:rsid wsp:val=&quot;002428BC&quot;/&gt;&lt;wsp:rsid wsp:val=&quot;00242B81&quot;/&gt;&lt;wsp:rsid wsp:val=&quot;002433AB&quot;/&gt;&lt;wsp:rsid wsp:val=&quot;0024575D&quot;/&gt;&lt;wsp:rsid wsp:val=&quot;00246C3B&quot;/&gt;&lt;wsp:rsid wsp:val=&quot;00251D1A&quot;/&gt;&lt;wsp:rsid wsp:val=&quot;00251F56&quot;/&gt;&lt;wsp:rsid wsp:val=&quot;002534C0&quot;/&gt;&lt;wsp:rsid wsp:val=&quot;00253E25&quot;/&gt;&lt;wsp:rsid wsp:val=&quot;00253F9C&quot;/&gt;&lt;wsp:rsid wsp:val=&quot;00254F32&quot;/&gt;&lt;wsp:rsid wsp:val=&quot;00255840&quot;/&gt;&lt;wsp:rsid wsp:val=&quot;002570CC&quot;/&gt;&lt;wsp:rsid wsp:val=&quot;00257A0A&quot;/&gt;&lt;wsp:rsid wsp:val=&quot;00257AC6&quot;/&gt;&lt;wsp:rsid wsp:val=&quot;002604E0&quot;/&gt;&lt;wsp:rsid wsp:val=&quot;002620A9&quot;/&gt;&lt;wsp:rsid wsp:val=&quot;002630A7&quot;/&gt;&lt;wsp:rsid wsp:val=&quot;00265AF6&quot;/&gt;&lt;wsp:rsid wsp:val=&quot;002674A5&quot;/&gt;&lt;wsp:rsid wsp:val=&quot;0026787D&quot;/&gt;&lt;wsp:rsid wsp:val=&quot;00270E97&quot;/&gt;&lt;wsp:rsid wsp:val=&quot;0027171C&quot;/&gt;&lt;wsp:rsid wsp:val=&quot;00273F35&quot;/&gt;&lt;wsp:rsid wsp:val=&quot;002742CD&quot;/&gt;&lt;wsp:rsid wsp:val=&quot;00274617&quot;/&gt;&lt;wsp:rsid wsp:val=&quot;002757D2&quot;/&gt;&lt;wsp:rsid wsp:val=&quot;00276043&quot;/&gt;&lt;wsp:rsid wsp:val=&quot;0027667D&quot;/&gt;&lt;wsp:rsid wsp:val=&quot;00276D97&quot;/&gt;&lt;wsp:rsid wsp:val=&quot;00276DDD&quot;/&gt;&lt;wsp:rsid wsp:val=&quot;00277B4D&quot;/&gt;&lt;wsp:rsid wsp:val=&quot;0028137A&quot;/&gt;&lt;wsp:rsid wsp:val=&quot;00282C16&quot;/&gt;&lt;wsp:rsid wsp:val=&quot;002833EB&quot;/&gt;&lt;wsp:rsid wsp:val=&quot;002835EC&quot;/&gt;&lt;wsp:rsid wsp:val=&quot;002835F9&quot;/&gt;&lt;wsp:rsid wsp:val=&quot;002859BF&quot;/&gt;&lt;wsp:rsid wsp:val=&quot;00286DD7&quot;/&gt;&lt;wsp:rsid wsp:val=&quot;00287074&quot;/&gt;&lt;wsp:rsid wsp:val=&quot;002877A6&quot;/&gt;&lt;wsp:rsid wsp:val=&quot;00287938&quot;/&gt;&lt;wsp:rsid wsp:val=&quot;00291E78&quot;/&gt;&lt;wsp:rsid wsp:val=&quot;002922C1&quot;/&gt;&lt;wsp:rsid wsp:val=&quot;00292C7F&quot;/&gt;&lt;wsp:rsid wsp:val=&quot;00294685&quot;/&gt;&lt;wsp:rsid wsp:val=&quot;00294903&quot;/&gt;&lt;wsp:rsid wsp:val=&quot;00295625&quot;/&gt;&lt;wsp:rsid wsp:val=&quot;00297343&quot;/&gt;&lt;wsp:rsid wsp:val=&quot;002A0802&quot;/&gt;&lt;wsp:rsid wsp:val=&quot;002A0BCC&quot;/&gt;&lt;wsp:rsid wsp:val=&quot;002A148F&quot;/&gt;&lt;wsp:rsid wsp:val=&quot;002A1AB3&quot;/&gt;&lt;wsp:rsid wsp:val=&quot;002A1DE1&quot;/&gt;&lt;wsp:rsid wsp:val=&quot;002A1E7F&quot;/&gt;&lt;wsp:rsid wsp:val=&quot;002A1EA3&quot;/&gt;&lt;wsp:rsid wsp:val=&quot;002A1FD0&quot;/&gt;&lt;wsp:rsid wsp:val=&quot;002A21CF&quot;/&gt;&lt;wsp:rsid wsp:val=&quot;002A3505&quot;/&gt;&lt;wsp:rsid wsp:val=&quot;002A383F&quot;/&gt;&lt;wsp:rsid wsp:val=&quot;002A4E04&quot;/&gt;&lt;wsp:rsid wsp:val=&quot;002A59AD&quot;/&gt;&lt;wsp:rsid wsp:val=&quot;002A5FBB&quot;/&gt;&lt;wsp:rsid wsp:val=&quot;002A6051&quot;/&gt;&lt;wsp:rsid wsp:val=&quot;002A6122&quot;/&gt;&lt;wsp:rsid wsp:val=&quot;002A72C2&quot;/&gt;&lt;wsp:rsid wsp:val=&quot;002A7940&quot;/&gt;&lt;wsp:rsid wsp:val=&quot;002A7A26&quot;/&gt;&lt;wsp:rsid wsp:val=&quot;002A7DAA&quot;/&gt;&lt;wsp:rsid wsp:val=&quot;002B0B3D&quot;/&gt;&lt;wsp:rsid wsp:val=&quot;002B1958&quot;/&gt;&lt;wsp:rsid wsp:val=&quot;002B1B1F&quot;/&gt;&lt;wsp:rsid wsp:val=&quot;002B1C20&quot;/&gt;&lt;wsp:rsid wsp:val=&quot;002B1F2D&quot;/&gt;&lt;wsp:rsid wsp:val=&quot;002B37DD&quot;/&gt;&lt;wsp:rsid wsp:val=&quot;002B3EE9&quot;/&gt;&lt;wsp:rsid wsp:val=&quot;002B472E&quot;/&gt;&lt;wsp:rsid wsp:val=&quot;002B5A6E&quot;/&gt;&lt;wsp:rsid wsp:val=&quot;002B60C1&quot;/&gt;&lt;wsp:rsid wsp:val=&quot;002B6332&quot;/&gt;&lt;wsp:rsid wsp:val=&quot;002B707E&quot;/&gt;&lt;wsp:rsid wsp:val=&quot;002B7502&quot;/&gt;&lt;wsp:rsid wsp:val=&quot;002B7B55&quot;/&gt;&lt;wsp:rsid wsp:val=&quot;002C1021&quot;/&gt;&lt;wsp:rsid wsp:val=&quot;002C2675&quot;/&gt;&lt;wsp:rsid wsp:val=&quot;002C3935&quot;/&gt;&lt;wsp:rsid wsp:val=&quot;002C3DF3&quot;/&gt;&lt;wsp:rsid wsp:val=&quot;002C4601&quot;/&gt;&lt;wsp:rsid wsp:val=&quot;002C7355&quot;/&gt;&lt;wsp:rsid wsp:val=&quot;002C7ED2&quot;/&gt;&lt;wsp:rsid wsp:val=&quot;002D1366&quot;/&gt;&lt;wsp:rsid wsp:val=&quot;002D3ABE&quot;/&gt;&lt;wsp:rsid wsp:val=&quot;002D40D3&quot;/&gt;&lt;wsp:rsid wsp:val=&quot;002D42CF&quot;/&gt;&lt;wsp:rsid wsp:val=&quot;002D4546&quot;/&gt;&lt;wsp:rsid wsp:val=&quot;002D49E9&quot;/&gt;&lt;wsp:rsid wsp:val=&quot;002D4EBF&quot;/&gt;&lt;wsp:rsid wsp:val=&quot;002D60A1&quot;/&gt;&lt;wsp:rsid wsp:val=&quot;002D671A&quot;/&gt;&lt;wsp:rsid wsp:val=&quot;002D6D07&quot;/&gt;&lt;wsp:rsid wsp:val=&quot;002D6D5F&quot;/&gt;&lt;wsp:rsid wsp:val=&quot;002D7506&quot;/&gt;&lt;wsp:rsid wsp:val=&quot;002E0694&quot;/&gt;&lt;wsp:rsid wsp:val=&quot;002E1F83&quot;/&gt;&lt;wsp:rsid wsp:val=&quot;002E329B&quot;/&gt;&lt;wsp:rsid wsp:val=&quot;002E3C9C&quot;/&gt;&lt;wsp:rsid wsp:val=&quot;002E41A0&quot;/&gt;&lt;wsp:rsid wsp:val=&quot;002E628E&quot;/&gt;&lt;wsp:rsid wsp:val=&quot;002E67D2&quot;/&gt;&lt;wsp:rsid wsp:val=&quot;002E7E2F&quot;/&gt;&lt;wsp:rsid wsp:val=&quot;002F1A1D&quot;/&gt;&lt;wsp:rsid wsp:val=&quot;002F1C53&quot;/&gt;&lt;wsp:rsid wsp:val=&quot;002F2063&quot;/&gt;&lt;wsp:rsid wsp:val=&quot;002F2929&quot;/&gt;&lt;wsp:rsid wsp:val=&quot;002F3AEA&quot;/&gt;&lt;wsp:rsid wsp:val=&quot;002F4EE6&quot;/&gt;&lt;wsp:rsid wsp:val=&quot;002F56E1&quot;/&gt;&lt;wsp:rsid wsp:val=&quot;002F6CC6&quot;/&gt;&lt;wsp:rsid wsp:val=&quot;002F6E23&quot;/&gt;&lt;wsp:rsid wsp:val=&quot;002F783A&quot;/&gt;&lt;wsp:rsid wsp:val=&quot;00300BFD&quot;/&gt;&lt;wsp:rsid wsp:val=&quot;00300E33&quot;/&gt;&lt;wsp:rsid wsp:val=&quot;00300F1F&quot;/&gt;&lt;wsp:rsid wsp:val=&quot;00301846&quot;/&gt;&lt;wsp:rsid wsp:val=&quot;00301D9A&quot;/&gt;&lt;wsp:rsid wsp:val=&quot;00302401&quot;/&gt;&lt;wsp:rsid wsp:val=&quot;00303081&quot;/&gt;&lt;wsp:rsid wsp:val=&quot;00303562&quot;/&gt;&lt;wsp:rsid wsp:val=&quot;00304933&quot;/&gt;&lt;wsp:rsid wsp:val=&quot;00304C80&quot;/&gt;&lt;wsp:rsid wsp:val=&quot;0030589B&quot;/&gt;&lt;wsp:rsid wsp:val=&quot;0030611B&quot;/&gt;&lt;wsp:rsid wsp:val=&quot;003065C8&quot;/&gt;&lt;wsp:rsid wsp:val=&quot;0030677C&quot;/&gt;&lt;wsp:rsid wsp:val=&quot;00306EDB&quot;/&gt;&lt;wsp:rsid wsp:val=&quot;00310578&quot;/&gt;&lt;wsp:rsid wsp:val=&quot;00310E77&quot;/&gt;&lt;wsp:rsid wsp:val=&quot;003125FB&quot;/&gt;&lt;wsp:rsid wsp:val=&quot;00312CFC&quot;/&gt;&lt;wsp:rsid wsp:val=&quot;003135E0&quot;/&gt;&lt;wsp:rsid wsp:val=&quot;003157C3&quot;/&gt;&lt;wsp:rsid wsp:val=&quot;00316F39&quot;/&gt;&lt;wsp:rsid wsp:val=&quot;003172DE&quot;/&gt;&lt;wsp:rsid wsp:val=&quot;0031735B&quot;/&gt;&lt;wsp:rsid wsp:val=&quot;003178C0&quot;/&gt;&lt;wsp:rsid wsp:val=&quot;00317B03&quot;/&gt;&lt;wsp:rsid wsp:val=&quot;00320282&quot;/&gt;&lt;wsp:rsid wsp:val=&quot;003210D2&quot;/&gt;&lt;wsp:rsid wsp:val=&quot;00321D07&quot;/&gt;&lt;wsp:rsid wsp:val=&quot;0032353F&quot;/&gt;&lt;wsp:rsid wsp:val=&quot;00324BD8&quot;/&gt;&lt;wsp:rsid wsp:val=&quot;00324CB9&quot;/&gt;&lt;wsp:rsid wsp:val=&quot;00324D1F&quot;/&gt;&lt;wsp:rsid wsp:val=&quot;00325F2D&quot;/&gt;&lt;wsp:rsid wsp:val=&quot;00326043&quot;/&gt;&lt;wsp:rsid wsp:val=&quot;003268D3&quot;/&gt;&lt;wsp:rsid wsp:val=&quot;00326A41&quot;/&gt;&lt;wsp:rsid wsp:val=&quot;003270FF&quot;/&gt;&lt;wsp:rsid wsp:val=&quot;00327127&quot;/&gt;&lt;wsp:rsid wsp:val=&quot;00327365&quot;/&gt;&lt;wsp:rsid wsp:val=&quot;00330871&quot;/&gt;&lt;wsp:rsid wsp:val=&quot;00331387&quot;/&gt;&lt;wsp:rsid wsp:val=&quot;003325EF&quot;/&gt;&lt;wsp:rsid wsp:val=&quot;003336E7&quot;/&gt;&lt;wsp:rsid wsp:val=&quot;00333910&quot;/&gt;&lt;wsp:rsid wsp:val=&quot;0033531C&quot;/&gt;&lt;wsp:rsid wsp:val=&quot;003364CF&quot;/&gt;&lt;wsp:rsid wsp:val=&quot;00336BBD&quot;/&gt;&lt;wsp:rsid wsp:val=&quot;00336F41&quot;/&gt;&lt;wsp:rsid wsp:val=&quot;003373B3&quot;/&gt;&lt;wsp:rsid wsp:val=&quot;0033758F&quot;/&gt;&lt;wsp:rsid wsp:val=&quot;003377AA&quot;/&gt;&lt;wsp:rsid wsp:val=&quot;00340AA1&quot;/&gt;&lt;wsp:rsid wsp:val=&quot;00340EEB&quot;/&gt;&lt;wsp:rsid wsp:val=&quot;00341A04&quot;/&gt;&lt;wsp:rsid wsp:val=&quot;00341C1C&quot;/&gt;&lt;wsp:rsid wsp:val=&quot;0034219A&quot;/&gt;&lt;wsp:rsid wsp:val=&quot;00342FC3&quot;/&gt;&lt;wsp:rsid wsp:val=&quot;003440AC&quot;/&gt;&lt;wsp:rsid wsp:val=&quot;0034591C&quot;/&gt;&lt;wsp:rsid wsp:val=&quot;00345D84&quot;/&gt;&lt;wsp:rsid wsp:val=&quot;00346295&quot;/&gt;&lt;wsp:rsid wsp:val=&quot;00346662&quot;/&gt;&lt;wsp:rsid wsp:val=&quot;00346841&quot;/&gt;&lt;wsp:rsid wsp:val=&quot;003476FE&quot;/&gt;&lt;wsp:rsid wsp:val=&quot;00350729&quot;/&gt;&lt;wsp:rsid wsp:val=&quot;00350C34&quot;/&gt;&lt;wsp:rsid wsp:val=&quot;003513E1&quot;/&gt;&lt;wsp:rsid wsp:val=&quot;00351A5F&quot;/&gt;&lt;wsp:rsid wsp:val=&quot;00351FC6&quot;/&gt;&lt;wsp:rsid wsp:val=&quot;00352C53&quot;/&gt;&lt;wsp:rsid wsp:val=&quot;00356F04&quot;/&gt;&lt;wsp:rsid wsp:val=&quot;00357892&quot;/&gt;&lt;wsp:rsid wsp:val=&quot;0036052B&quot;/&gt;&lt;wsp:rsid wsp:val=&quot;00360C31&quot;/&gt;&lt;wsp:rsid wsp:val=&quot;00361E15&quot;/&gt;&lt;wsp:rsid wsp:val=&quot;003623AC&quot;/&gt;&lt;wsp:rsid wsp:val=&quot;00362D75&quot;/&gt;&lt;wsp:rsid wsp:val=&quot;00362ECF&quot;/&gt;&lt;wsp:rsid wsp:val=&quot;00364029&quot;/&gt;&lt;wsp:rsid wsp:val=&quot;003641B2&quot;/&gt;&lt;wsp:rsid wsp:val=&quot;00364DB9&quot;/&gt;&lt;wsp:rsid wsp:val=&quot;003650F8&quot;/&gt;&lt;wsp:rsid wsp:val=&quot;00365320&quot;/&gt;&lt;wsp:rsid wsp:val=&quot;003654EE&quot;/&gt;&lt;wsp:rsid wsp:val=&quot;00366C04&quot;/&gt;&lt;wsp:rsid wsp:val=&quot;00367373&quot;/&gt;&lt;wsp:rsid wsp:val=&quot;0036752F&quot;/&gt;&lt;wsp:rsid wsp:val=&quot;00367F1B&quot;/&gt;&lt;wsp:rsid wsp:val=&quot;00371114&quot;/&gt;&lt;wsp:rsid wsp:val=&quot;0037135B&quot;/&gt;&lt;wsp:rsid wsp:val=&quot;00371625&quot;/&gt;&lt;wsp:rsid wsp:val=&quot;00371F7E&quot;/&gt;&lt;wsp:rsid wsp:val=&quot;00373DE2&quot;/&gt;&lt;wsp:rsid wsp:val=&quot;00374D4E&quot;/&gt;&lt;wsp:rsid wsp:val=&quot;00374D6E&quot;/&gt;&lt;wsp:rsid wsp:val=&quot;00375229&quot;/&gt;&lt;wsp:rsid wsp:val=&quot;00376640&quot;/&gt;&lt;wsp:rsid wsp:val=&quot;003766F8&quot;/&gt;&lt;wsp:rsid wsp:val=&quot;00377412&quot;/&gt;&lt;wsp:rsid wsp:val=&quot;00377C98&quot;/&gt;&lt;wsp:rsid wsp:val=&quot;00380170&quot;/&gt;&lt;wsp:rsid wsp:val=&quot;003805A9&quot;/&gt;&lt;wsp:rsid wsp:val=&quot;00380C77&quot;/&gt;&lt;wsp:rsid wsp:val=&quot;00382141&quot;/&gt;&lt;wsp:rsid wsp:val=&quot;00382B3E&quot;/&gt;&lt;wsp:rsid wsp:val=&quot;003834B2&quot;/&gt;&lt;wsp:rsid wsp:val=&quot;003838D4&quot;/&gt;&lt;wsp:rsid wsp:val=&quot;00383E80&quot;/&gt;&lt;wsp:rsid wsp:val=&quot;0038422E&quot;/&gt;&lt;wsp:rsid wsp:val=&quot;003842A2&quot;/&gt;&lt;wsp:rsid wsp:val=&quot;00384945&quot;/&gt;&lt;wsp:rsid wsp:val=&quot;00384A28&quot;/&gt;&lt;wsp:rsid wsp:val=&quot;0038555C&quot;/&gt;&lt;wsp:rsid wsp:val=&quot;00386732&quot;/&gt;&lt;wsp:rsid wsp:val=&quot;00386E3F&quot;/&gt;&lt;wsp:rsid wsp:val=&quot;003870EF&quot;/&gt;&lt;wsp:rsid wsp:val=&quot;00390891&quot;/&gt;&lt;wsp:rsid wsp:val=&quot;00390CEA&quot;/&gt;&lt;wsp:rsid wsp:val=&quot;00390EBD&quot;/&gt;&lt;wsp:rsid wsp:val=&quot;00391465&quot;/&gt;&lt;wsp:rsid wsp:val=&quot;003914C4&quot;/&gt;&lt;wsp:rsid wsp:val=&quot;003923E0&quot;/&gt;&lt;wsp:rsid wsp:val=&quot;003924F2&quot;/&gt;&lt;wsp:rsid wsp:val=&quot;0039546F&quot;/&gt;&lt;wsp:rsid wsp:val=&quot;00395922&quot;/&gt;&lt;wsp:rsid wsp:val=&quot;00395BF5&quot;/&gt;&lt;wsp:rsid wsp:val=&quot;00397185&quot;/&gt;&lt;wsp:rsid wsp:val=&quot;00397AAC&quot;/&gt;&lt;wsp:rsid wsp:val=&quot;00397D0B&quot;/&gt;&lt;wsp:rsid wsp:val=&quot;00397DE6&quot;/&gt;&lt;wsp:rsid wsp:val=&quot;00397F5B&quot;/&gt;&lt;wsp:rsid wsp:val=&quot;003A033B&quot;/&gt;&lt;wsp:rsid wsp:val=&quot;003A05F5&quot;/&gt;&lt;wsp:rsid wsp:val=&quot;003A10D6&quot;/&gt;&lt;wsp:rsid wsp:val=&quot;003A1FF4&quot;/&gt;&lt;wsp:rsid wsp:val=&quot;003A249C&quot;/&gt;&lt;wsp:rsid wsp:val=&quot;003A2849&quot;/&gt;&lt;wsp:rsid wsp:val=&quot;003A2B1B&quot;/&gt;&lt;wsp:rsid wsp:val=&quot;003A2C72&quot;/&gt;&lt;wsp:rsid wsp:val=&quot;003A3074&quot;/&gt;&lt;wsp:rsid wsp:val=&quot;003A30EF&quot;/&gt;&lt;wsp:rsid wsp:val=&quot;003A39F0&quot;/&gt;&lt;wsp:rsid wsp:val=&quot;003A54B3&quot;/&gt;&lt;wsp:rsid wsp:val=&quot;003A78E7&quot;/&gt;&lt;wsp:rsid wsp:val=&quot;003A7932&quot;/&gt;&lt;wsp:rsid wsp:val=&quot;003B02C4&quot;/&gt;&lt;wsp:rsid wsp:val=&quot;003B071D&quot;/&gt;&lt;wsp:rsid wsp:val=&quot;003B315E&quot;/&gt;&lt;wsp:rsid wsp:val=&quot;003B4589&quot;/&gt;&lt;wsp:rsid wsp:val=&quot;003B770D&quot;/&gt;&lt;wsp:rsid wsp:val=&quot;003C0595&quot;/&gt;&lt;wsp:rsid wsp:val=&quot;003C1C38&quot;/&gt;&lt;wsp:rsid wsp:val=&quot;003C1FEE&quot;/&gt;&lt;wsp:rsid wsp:val=&quot;003C4B80&quot;/&gt;&lt;wsp:rsid wsp:val=&quot;003C4F87&quot;/&gt;&lt;wsp:rsid wsp:val=&quot;003C5A75&quot;/&gt;&lt;wsp:rsid wsp:val=&quot;003C65AD&quot;/&gt;&lt;wsp:rsid wsp:val=&quot;003C754A&quot;/&gt;&lt;wsp:rsid wsp:val=&quot;003D0404&quot;/&gt;&lt;wsp:rsid wsp:val=&quot;003D1E3B&quot;/&gt;&lt;wsp:rsid wsp:val=&quot;003D29A3&quot;/&gt;&lt;wsp:rsid wsp:val=&quot;003D29F1&quot;/&gt;&lt;wsp:rsid wsp:val=&quot;003D2EE6&quot;/&gt;&lt;wsp:rsid wsp:val=&quot;003D3381&quot;/&gt;&lt;wsp:rsid wsp:val=&quot;003D359C&quot;/&gt;&lt;wsp:rsid wsp:val=&quot;003D4B56&quot;/&gt;&lt;wsp:rsid wsp:val=&quot;003D4BF0&quot;/&gt;&lt;wsp:rsid wsp:val=&quot;003D5485&quot;/&gt;&lt;wsp:rsid wsp:val=&quot;003D7668&quot;/&gt;&lt;wsp:rsid wsp:val=&quot;003D7DE0&quot;/&gt;&lt;wsp:rsid wsp:val=&quot;003D7EF9&quot;/&gt;&lt;wsp:rsid wsp:val=&quot;003E013C&quot;/&gt;&lt;wsp:rsid wsp:val=&quot;003E2AD1&quot;/&gt;&lt;wsp:rsid wsp:val=&quot;003E2EF9&quot;/&gt;&lt;wsp:rsid wsp:val=&quot;003E2F7D&quot;/&gt;&lt;wsp:rsid wsp:val=&quot;003E5D20&quot;/&gt;&lt;wsp:rsid wsp:val=&quot;003E6B63&quot;/&gt;&lt;wsp:rsid wsp:val=&quot;003E6E53&quot;/&gt;&lt;wsp:rsid wsp:val=&quot;003E7131&quot;/&gt;&lt;wsp:rsid wsp:val=&quot;003F170B&quot;/&gt;&lt;wsp:rsid wsp:val=&quot;003F2810&quot;/&gt;&lt;wsp:rsid wsp:val=&quot;003F2EA9&quot;/&gt;&lt;wsp:rsid wsp:val=&quot;003F440E&quot;/&gt;&lt;wsp:rsid wsp:val=&quot;003F49D4&quot;/&gt;&lt;wsp:rsid wsp:val=&quot;003F544B&quot;/&gt;&lt;wsp:rsid wsp:val=&quot;003F5AD1&quot;/&gt;&lt;wsp:rsid wsp:val=&quot;003F7282&quot;/&gt;&lt;wsp:rsid wsp:val=&quot;00400691&quot;/&gt;&lt;wsp:rsid wsp:val=&quot;00400821&quot;/&gt;&lt;wsp:rsid wsp:val=&quot;00400C51&quot;/&gt;&lt;wsp:rsid wsp:val=&quot;0040154F&quot;/&gt;&lt;wsp:rsid wsp:val=&quot;00403D8C&quot;/&gt;&lt;wsp:rsid wsp:val=&quot;00404695&quot;/&gt;&lt;wsp:rsid wsp:val=&quot;00404D22&quot;/&gt;&lt;wsp:rsid wsp:val=&quot;004053AA&quot;/&gt;&lt;wsp:rsid wsp:val=&quot;00405920&quot;/&gt;&lt;wsp:rsid wsp:val=&quot;00406236&quot;/&gt;&lt;wsp:rsid wsp:val=&quot;004062E0&quot;/&gt;&lt;wsp:rsid wsp:val=&quot;00407C2D&quot;/&gt;&lt;wsp:rsid wsp:val=&quot;004130FC&quot;/&gt;&lt;wsp:rsid wsp:val=&quot;00413777&quot;/&gt;&lt;wsp:rsid wsp:val=&quot;00413DDF&quot;/&gt;&lt;wsp:rsid wsp:val=&quot;0041488F&quot;/&gt;&lt;wsp:rsid wsp:val=&quot;004151E9&quot;/&gt;&lt;wsp:rsid wsp:val=&quot;00415337&quot;/&gt;&lt;wsp:rsid wsp:val=&quot;00415ED7&quot;/&gt;&lt;wsp:rsid wsp:val=&quot;00416161&quot;/&gt;&lt;wsp:rsid wsp:val=&quot;00420261&quot;/&gt;&lt;wsp:rsid wsp:val=&quot;004209E3&quot;/&gt;&lt;wsp:rsid wsp:val=&quot;00420CE9&quot;/&gt;&lt;wsp:rsid wsp:val=&quot;0042138E&quot;/&gt;&lt;wsp:rsid wsp:val=&quot;0042170C&quot;/&gt;&lt;wsp:rsid wsp:val=&quot;00421825&quot;/&gt;&lt;wsp:rsid wsp:val=&quot;0042299C&quot;/&gt;&lt;wsp:rsid wsp:val=&quot;00424D64&quot;/&gt;&lt;wsp:rsid wsp:val=&quot;00427004&quot;/&gt;&lt;wsp:rsid wsp:val=&quot;004273A3&quot;/&gt;&lt;wsp:rsid wsp:val=&quot;0042790C&quot;/&gt;&lt;wsp:rsid wsp:val=&quot;004307D6&quot;/&gt;&lt;wsp:rsid wsp:val=&quot;0043090D&quot;/&gt;&lt;wsp:rsid wsp:val=&quot;00430E53&quot;/&gt;&lt;wsp:rsid wsp:val=&quot;00431819&quot;/&gt;&lt;wsp:rsid wsp:val=&quot;0043202B&quot;/&gt;&lt;wsp:rsid wsp:val=&quot;00432AF4&quot;/&gt;&lt;wsp:rsid wsp:val=&quot;00432E97&quot;/&gt;&lt;wsp:rsid wsp:val=&quot;00434012&quot;/&gt;&lt;wsp:rsid wsp:val=&quot;00435295&quot;/&gt;&lt;wsp:rsid wsp:val=&quot;00435CF2&quot;/&gt;&lt;wsp:rsid wsp:val=&quot;00435EB1&quot;/&gt;&lt;wsp:rsid wsp:val=&quot;00436F0C&quot;/&gt;&lt;wsp:rsid wsp:val=&quot;004373B8&quot;/&gt;&lt;wsp:rsid wsp:val=&quot;00437A79&quot;/&gt;&lt;wsp:rsid wsp:val=&quot;0044129F&quot;/&gt;&lt;wsp:rsid wsp:val=&quot;004417E1&quot;/&gt;&lt;wsp:rsid wsp:val=&quot;0044255F&quot;/&gt;&lt;wsp:rsid wsp:val=&quot;004435BF&quot;/&gt;&lt;wsp:rsid wsp:val=&quot;00444CCE&quot;/&gt;&lt;wsp:rsid wsp:val=&quot;00444D66&quot;/&gt;&lt;wsp:rsid wsp:val=&quot;00444E09&quot;/&gt;&lt;wsp:rsid wsp:val=&quot;0044611E&quot;/&gt;&lt;wsp:rsid wsp:val=&quot;00446FC0&quot;/&gt;&lt;wsp:rsid wsp:val=&quot;004476A2&quot;/&gt;&lt;wsp:rsid wsp:val=&quot;00450A83&quot;/&gt;&lt;wsp:rsid wsp:val=&quot;00451F38&quot;/&gt;&lt;wsp:rsid wsp:val=&quot;0045273F&quot;/&gt;&lt;wsp:rsid wsp:val=&quot;0045303D&quot;/&gt;&lt;wsp:rsid wsp:val=&quot;004538EF&quot;/&gt;&lt;wsp:rsid wsp:val=&quot;00453C3E&quot;/&gt;&lt;wsp:rsid wsp:val=&quot;00454844&quot;/&gt;&lt;wsp:rsid wsp:val=&quot;00454DD1&quot;/&gt;&lt;wsp:rsid wsp:val=&quot;004550DB&quot;/&gt;&lt;wsp:rsid wsp:val=&quot;00455E75&quot;/&gt;&lt;wsp:rsid wsp:val=&quot;004568ED&quot;/&gt;&lt;wsp:rsid wsp:val=&quot;004574E5&quot;/&gt;&lt;wsp:rsid wsp:val=&quot;004574EA&quot;/&gt;&lt;wsp:rsid wsp:val=&quot;004575D5&quot;/&gt;&lt;wsp:rsid wsp:val=&quot;00457A31&quot;/&gt;&lt;wsp:rsid wsp:val=&quot;00457D1F&quot;/&gt;&lt;wsp:rsid wsp:val=&quot;004601EA&quot;/&gt;&lt;wsp:rsid wsp:val=&quot;004602DF&quot;/&gt;&lt;wsp:rsid wsp:val=&quot;004617EF&quot;/&gt;&lt;wsp:rsid wsp:val=&quot;004623D6&quot;/&gt;&lt;wsp:rsid wsp:val=&quot;004634D7&quot;/&gt;&lt;wsp:rsid wsp:val=&quot;00463751&quot;/&gt;&lt;wsp:rsid wsp:val=&quot;004639C7&quot;/&gt;&lt;wsp:rsid wsp:val=&quot;00464533&quot;/&gt;&lt;wsp:rsid wsp:val=&quot;004651FF&quot;/&gt;&lt;wsp:rsid wsp:val=&quot;004652B1&quot;/&gt;&lt;wsp:rsid wsp:val=&quot;0046543D&quot;/&gt;&lt;wsp:rsid wsp:val=&quot;004658D5&quot;/&gt;&lt;wsp:rsid wsp:val=&quot;004663E5&quot;/&gt;&lt;wsp:rsid wsp:val=&quot;004667E0&quot;/&gt;&lt;wsp:rsid wsp:val=&quot;00470D18&quot;/&gt;&lt;wsp:rsid wsp:val=&quot;004715C2&quot;/&gt;&lt;wsp:rsid wsp:val=&quot;00471D06&quot;/&gt;&lt;wsp:rsid wsp:val=&quot;0047332D&quot;/&gt;&lt;wsp:rsid wsp:val=&quot;004749BB&quot;/&gt;&lt;wsp:rsid wsp:val=&quot;004753A9&quot;/&gt;&lt;wsp:rsid wsp:val=&quot;004761F2&quot;/&gt;&lt;wsp:rsid wsp:val=&quot;0047734E&quot;/&gt;&lt;wsp:rsid wsp:val=&quot;00477C76&quot;/&gt;&lt;wsp:rsid wsp:val=&quot;00480CF1&quot;/&gt;&lt;wsp:rsid wsp:val=&quot;00481D77&quot;/&gt;&lt;wsp:rsid wsp:val=&quot;004830C5&quot;/&gt;&lt;wsp:rsid wsp:val=&quot;004857C2&quot;/&gt;&lt;wsp:rsid wsp:val=&quot;00485B53&quot;/&gt;&lt;wsp:rsid wsp:val=&quot;00486154&quot;/&gt;&lt;wsp:rsid wsp:val=&quot;00486CDF&quot;/&gt;&lt;wsp:rsid wsp:val=&quot;0049021E&quot;/&gt;&lt;wsp:rsid wsp:val=&quot;00490C91&quot;/&gt;&lt;wsp:rsid wsp:val=&quot;00492407&quot;/&gt;&lt;wsp:rsid wsp:val=&quot;00493340&quot;/&gt;&lt;wsp:rsid wsp:val=&quot;00494378&quot;/&gt;&lt;wsp:rsid wsp:val=&quot;00494F22&quot;/&gt;&lt;wsp:rsid wsp:val=&quot;004976B9&quot;/&gt;&lt;wsp:rsid wsp:val=&quot;004A183E&quot;/&gt;&lt;wsp:rsid wsp:val=&quot;004A19E6&quot;/&gt;&lt;wsp:rsid wsp:val=&quot;004A19EC&quot;/&gt;&lt;wsp:rsid wsp:val=&quot;004A2915&quot;/&gt;&lt;wsp:rsid wsp:val=&quot;004A4771&quot;/&gt;&lt;wsp:rsid wsp:val=&quot;004A4C9D&quot;/&gt;&lt;wsp:rsid wsp:val=&quot;004A52B5&quot;/&gt;&lt;wsp:rsid wsp:val=&quot;004A6D2A&quot;/&gt;&lt;wsp:rsid wsp:val=&quot;004A6F4A&quot;/&gt;&lt;wsp:rsid wsp:val=&quot;004A7E78&quot;/&gt;&lt;wsp:rsid wsp:val=&quot;004B0944&quot;/&gt;&lt;wsp:rsid wsp:val=&quot;004B1178&quot;/&gt;&lt;wsp:rsid wsp:val=&quot;004B149E&quot;/&gt;&lt;wsp:rsid wsp:val=&quot;004B3213&quot;/&gt;&lt;wsp:rsid wsp:val=&quot;004B331A&quot;/&gt;&lt;wsp:rsid wsp:val=&quot;004B496F&quot;/&gt;&lt;wsp:rsid wsp:val=&quot;004B606A&quot;/&gt;&lt;wsp:rsid wsp:val=&quot;004B6FF7&quot;/&gt;&lt;wsp:rsid wsp:val=&quot;004B7298&quot;/&gt;&lt;wsp:rsid wsp:val=&quot;004B7C80&quot;/&gt;&lt;wsp:rsid wsp:val=&quot;004C18FB&quot;/&gt;&lt;wsp:rsid wsp:val=&quot;004C1E87&quot;/&gt;&lt;wsp:rsid wsp:val=&quot;004C27FA&quot;/&gt;&lt;wsp:rsid wsp:val=&quot;004C2BAA&quot;/&gt;&lt;wsp:rsid wsp:val=&quot;004C309E&quot;/&gt;&lt;wsp:rsid wsp:val=&quot;004C3449&quot;/&gt;&lt;wsp:rsid wsp:val=&quot;004C4CA9&quot;/&gt;&lt;wsp:rsid wsp:val=&quot;004C4D82&quot;/&gt;&lt;wsp:rsid wsp:val=&quot;004C50F5&quot;/&gt;&lt;wsp:rsid wsp:val=&quot;004C531B&quot;/&gt;&lt;wsp:rsid wsp:val=&quot;004C5AC0&quot;/&gt;&lt;wsp:rsid wsp:val=&quot;004C6A7C&quot;/&gt;&lt;wsp:rsid wsp:val=&quot;004C7B4A&quot;/&gt;&lt;wsp:rsid wsp:val=&quot;004C7DA6&quot;/&gt;&lt;wsp:rsid wsp:val=&quot;004D0719&quot;/&gt;&lt;wsp:rsid wsp:val=&quot;004D3EC0&quot;/&gt;&lt;wsp:rsid wsp:val=&quot;004D40DF&quot;/&gt;&lt;wsp:rsid wsp:val=&quot;004D4B59&quot;/&gt;&lt;wsp:rsid wsp:val=&quot;004D711A&quot;/&gt;&lt;wsp:rsid wsp:val=&quot;004D746C&quot;/&gt;&lt;wsp:rsid wsp:val=&quot;004D75DD&quot;/&gt;&lt;wsp:rsid wsp:val=&quot;004D7BE2&quot;/&gt;&lt;wsp:rsid wsp:val=&quot;004E09B3&quot;/&gt;&lt;wsp:rsid wsp:val=&quot;004E1081&quot;/&gt;&lt;wsp:rsid wsp:val=&quot;004E12BC&quot;/&gt;&lt;wsp:rsid wsp:val=&quot;004E13D9&quot;/&gt;&lt;wsp:rsid wsp:val=&quot;004E6166&quot;/&gt;&lt;wsp:rsid wsp:val=&quot;004E6889&quot;/&gt;&lt;wsp:rsid wsp:val=&quot;004E6F1E&quot;/&gt;&lt;wsp:rsid wsp:val=&quot;004E7023&quot;/&gt;&lt;wsp:rsid wsp:val=&quot;004F06AD&quot;/&gt;&lt;wsp:rsid wsp:val=&quot;004F0969&quot;/&gt;&lt;wsp:rsid wsp:val=&quot;004F1789&quot;/&gt;&lt;wsp:rsid wsp:val=&quot;004F1B63&quot;/&gt;&lt;wsp:rsid wsp:val=&quot;004F2AD2&quot;/&gt;&lt;wsp:rsid wsp:val=&quot;004F3539&quot;/&gt;&lt;wsp:rsid wsp:val=&quot;004F398E&quot;/&gt;&lt;wsp:rsid wsp:val=&quot;004F3FB9&quot;/&gt;&lt;wsp:rsid wsp:val=&quot;004F4299&quot;/&gt;&lt;wsp:rsid wsp:val=&quot;004F45D8&quot;/&gt;&lt;wsp:rsid wsp:val=&quot;004F47D1&quot;/&gt;&lt;wsp:rsid wsp:val=&quot;004F5775&quot;/&gt;&lt;wsp:rsid wsp:val=&quot;004F5FAD&quot;/&gt;&lt;wsp:rsid wsp:val=&quot;004F610B&quot;/&gt;&lt;wsp:rsid wsp:val=&quot;004F71C6&quot;/&gt;&lt;wsp:rsid wsp:val=&quot;004F78AB&quot;/&gt;&lt;wsp:rsid wsp:val=&quot;0050005B&quot;/&gt;&lt;wsp:rsid wsp:val=&quot;005006C9&quot;/&gt;&lt;wsp:rsid wsp:val=&quot;005017D1&quot;/&gt;&lt;wsp:rsid wsp:val=&quot;005021AD&quot;/&gt;&lt;wsp:rsid wsp:val=&quot;00502201&quot;/&gt;&lt;wsp:rsid wsp:val=&quot;005023D1&quot;/&gt;&lt;wsp:rsid wsp:val=&quot;00505B18&quot;/&gt;&lt;wsp:rsid wsp:val=&quot;00506007&quot;/&gt;&lt;wsp:rsid wsp:val=&quot;00507085&quot;/&gt;&lt;wsp:rsid wsp:val=&quot;005104EE&quot;/&gt;&lt;wsp:rsid wsp:val=&quot;00511DBD&quot;/&gt;&lt;wsp:rsid wsp:val=&quot;00513FD7&quot;/&gt;&lt;wsp:rsid wsp:val=&quot;00514771&quot;/&gt;&lt;wsp:rsid wsp:val=&quot;005149CC&quot;/&gt;&lt;wsp:rsid wsp:val=&quot;0051562C&quot;/&gt;&lt;wsp:rsid wsp:val=&quot;005165E7&quot;/&gt;&lt;wsp:rsid wsp:val=&quot;00516752&quot;/&gt;&lt;wsp:rsid wsp:val=&quot;00516A2A&quot;/&gt;&lt;wsp:rsid wsp:val=&quot;00517298&quot;/&gt;&lt;wsp:rsid wsp:val=&quot;00517315&quot;/&gt;&lt;wsp:rsid wsp:val=&quot;00517D84&quot;/&gt;&lt;wsp:rsid wsp:val=&quot;005216FB&quot;/&gt;&lt;wsp:rsid wsp:val=&quot;0052187B&quot;/&gt;&lt;wsp:rsid wsp:val=&quot;00523CA5&quot;/&gt;&lt;wsp:rsid wsp:val=&quot;00524441&quot;/&gt;&lt;wsp:rsid wsp:val=&quot;00525380&quot;/&gt;&lt;wsp:rsid wsp:val=&quot;00525A7C&quot;/&gt;&lt;wsp:rsid wsp:val=&quot;00526734&quot;/&gt;&lt;wsp:rsid wsp:val=&quot;00526964&quot;/&gt;&lt;wsp:rsid wsp:val=&quot;00526E4B&quot;/&gt;&lt;wsp:rsid wsp:val=&quot;005278F6&quot;/&gt;&lt;wsp:rsid wsp:val=&quot;005302FB&quot;/&gt;&lt;wsp:rsid wsp:val=&quot;00531318&quot;/&gt;&lt;wsp:rsid wsp:val=&quot;00531630&quot;/&gt;&lt;wsp:rsid wsp:val=&quot;00531971&quot;/&gt;&lt;wsp:rsid wsp:val=&quot;00532C47&quot;/&gt;&lt;wsp:rsid wsp:val=&quot;00532E1C&quot;/&gt;&lt;wsp:rsid wsp:val=&quot;00532F17&quot;/&gt;&lt;wsp:rsid wsp:val=&quot;00533335&quot;/&gt;&lt;wsp:rsid wsp:val=&quot;00534FDC&quot;/&gt;&lt;wsp:rsid wsp:val=&quot;005357AC&quot;/&gt;&lt;wsp:rsid wsp:val=&quot;00535E7B&quot;/&gt;&lt;wsp:rsid wsp:val=&quot;0053632F&quot;/&gt;&lt;wsp:rsid wsp:val=&quot;0053677B&quot;/&gt;&lt;wsp:rsid wsp:val=&quot;00537835&quot;/&gt;&lt;wsp:rsid wsp:val=&quot;00537D72&quot;/&gt;&lt;wsp:rsid wsp:val=&quot;0054025A&quot;/&gt;&lt;wsp:rsid wsp:val=&quot;00542E87&quot;/&gt;&lt;wsp:rsid wsp:val=&quot;00543524&quot;/&gt;&lt;wsp:rsid wsp:val=&quot;0054355B&quot;/&gt;&lt;wsp:rsid wsp:val=&quot;0054445F&quot;/&gt;&lt;wsp:rsid wsp:val=&quot;005444EC&quot;/&gt;&lt;wsp:rsid wsp:val=&quot;00545CB6&quot;/&gt;&lt;wsp:rsid wsp:val=&quot;005460EC&quot;/&gt;&lt;wsp:rsid wsp:val=&quot;0054724A&quot;/&gt;&lt;wsp:rsid wsp:val=&quot;0054778D&quot;/&gt;&lt;wsp:rsid wsp:val=&quot;00547D80&quot;/&gt;&lt;wsp:rsid wsp:val=&quot;005502A8&quot;/&gt;&lt;wsp:rsid wsp:val=&quot;005519F3&quot;/&gt;&lt;wsp:rsid wsp:val=&quot;00551A43&quot;/&gt;&lt;wsp:rsid wsp:val=&quot;00552670&quot;/&gt;&lt;wsp:rsid wsp:val=&quot;0055276B&quot;/&gt;&lt;wsp:rsid wsp:val=&quot;005545D5&quot;/&gt;&lt;wsp:rsid wsp:val=&quot;00554741&quot;/&gt;&lt;wsp:rsid wsp:val=&quot;00555374&quot;/&gt;&lt;wsp:rsid wsp:val=&quot;00557866&quot;/&gt;&lt;wsp:rsid wsp:val=&quot;00557D06&quot;/&gt;&lt;wsp:rsid wsp:val=&quot;005663F8&quot;/&gt;&lt;wsp:rsid wsp:val=&quot;00566DD0&quot;/&gt;&lt;wsp:rsid wsp:val=&quot;00567802&quot;/&gt;&lt;wsp:rsid wsp:val=&quot;00571A39&quot;/&gt;&lt;wsp:rsid wsp:val=&quot;00571CD7&quot;/&gt;&lt;wsp:rsid wsp:val=&quot;005720B4&quot;/&gt;&lt;wsp:rsid wsp:val=&quot;00572280&quot;/&gt;&lt;wsp:rsid wsp:val=&quot;0057315D&quot;/&gt;&lt;wsp:rsid wsp:val=&quot;00573D57&quot;/&gt;&lt;wsp:rsid wsp:val=&quot;005763C9&quot;/&gt;&lt;wsp:rsid wsp:val=&quot;0057692A&quot;/&gt;&lt;wsp:rsid wsp:val=&quot;005775A1&quot;/&gt;&lt;wsp:rsid wsp:val=&quot;0058238C&quot;/&gt;&lt;wsp:rsid wsp:val=&quot;00583733&quot;/&gt;&lt;wsp:rsid wsp:val=&quot;00586235&quot;/&gt;&lt;wsp:rsid wsp:val=&quot;005863CC&quot;/&gt;&lt;wsp:rsid wsp:val=&quot;005865AE&quot;/&gt;&lt;wsp:rsid wsp:val=&quot;00586A44&quot;/&gt;&lt;wsp:rsid wsp:val=&quot;00586FBC&quot;/&gt;&lt;wsp:rsid wsp:val=&quot;00587E5F&quot;/&gt;&lt;wsp:rsid wsp:val=&quot;005900E4&quot;/&gt;&lt;wsp:rsid wsp:val=&quot;00590BE1&quot;/&gt;&lt;wsp:rsid wsp:val=&quot;00591D08&quot;/&gt;&lt;wsp:rsid wsp:val=&quot;005932E7&quot;/&gt;&lt;wsp:rsid wsp:val=&quot;005933FC&quot;/&gt;&lt;wsp:rsid wsp:val=&quot;005953C0&quot;/&gt;&lt;wsp:rsid wsp:val=&quot;005958CB&quot;/&gt;&lt;wsp:rsid wsp:val=&quot;005963D7&quot;/&gt;&lt;wsp:rsid wsp:val=&quot;005A0823&quot;/&gt;&lt;wsp:rsid wsp:val=&quot;005A0DC6&quot;/&gt;&lt;wsp:rsid wsp:val=&quot;005A13AB&quot;/&gt;&lt;wsp:rsid wsp:val=&quot;005A21F6&quot;/&gt;&lt;wsp:rsid wsp:val=&quot;005A506C&quot;/&gt;&lt;wsp:rsid wsp:val=&quot;005A5162&quot;/&gt;&lt;wsp:rsid wsp:val=&quot;005A5914&quot;/&gt;&lt;wsp:rsid wsp:val=&quot;005A744E&quot;/&gt;&lt;wsp:rsid wsp:val=&quot;005A7B85&quot;/&gt;&lt;wsp:rsid wsp:val=&quot;005B07A7&quot;/&gt;&lt;wsp:rsid wsp:val=&quot;005B0B88&quot;/&gt;&lt;wsp:rsid wsp:val=&quot;005B1484&quot;/&gt;&lt;wsp:rsid wsp:val=&quot;005B3FF3&quot;/&gt;&lt;wsp:rsid wsp:val=&quot;005B432A&quot;/&gt;&lt;wsp:rsid wsp:val=&quot;005B49A8&quot;/&gt;&lt;wsp:rsid wsp:val=&quot;005B5DC4&quot;/&gt;&lt;wsp:rsid wsp:val=&quot;005B75BC&quot;/&gt;&lt;wsp:rsid wsp:val=&quot;005B7880&quot;/&gt;&lt;wsp:rsid wsp:val=&quot;005C02EA&quot;/&gt;&lt;wsp:rsid wsp:val=&quot;005C0774&quot;/&gt;&lt;wsp:rsid wsp:val=&quot;005C0E2A&quot;/&gt;&lt;wsp:rsid wsp:val=&quot;005C0F19&quot;/&gt;&lt;wsp:rsid wsp:val=&quot;005C1091&quot;/&gt;&lt;wsp:rsid wsp:val=&quot;005C2793&quot;/&gt;&lt;wsp:rsid wsp:val=&quot;005C4D9F&quot;/&gt;&lt;wsp:rsid wsp:val=&quot;005C6014&quot;/&gt;&lt;wsp:rsid wsp:val=&quot;005C61DB&quot;/&gt;&lt;wsp:rsid wsp:val=&quot;005C6B9A&quot;/&gt;&lt;wsp:rsid wsp:val=&quot;005D055B&quot;/&gt;&lt;wsp:rsid wsp:val=&quot;005D0FA9&quot;/&gt;&lt;wsp:rsid wsp:val=&quot;005D12CB&quot;/&gt;&lt;wsp:rsid wsp:val=&quot;005D1780&quot;/&gt;&lt;wsp:rsid wsp:val=&quot;005D1960&quot;/&gt;&lt;wsp:rsid wsp:val=&quot;005D199A&quot;/&gt;&lt;wsp:rsid wsp:val=&quot;005D1B68&quot;/&gt;&lt;wsp:rsid wsp:val=&quot;005D1DDD&quot;/&gt;&lt;wsp:rsid wsp:val=&quot;005D1E49&quot;/&gt;&lt;wsp:rsid wsp:val=&quot;005D2527&quot;/&gt;&lt;wsp:rsid wsp:val=&quot;005D2746&quot;/&gt;&lt;wsp:rsid wsp:val=&quot;005D2F87&quot;/&gt;&lt;wsp:rsid wsp:val=&quot;005D35BF&quot;/&gt;&lt;wsp:rsid wsp:val=&quot;005D3A52&quot;/&gt;&lt;wsp:rsid wsp:val=&quot;005D50B7&quot;/&gt;&lt;wsp:rsid wsp:val=&quot;005D5200&quot;/&gt;&lt;wsp:rsid wsp:val=&quot;005D5C64&quot;/&gt;&lt;wsp:rsid wsp:val=&quot;005D69C7&quot;/&gt;&lt;wsp:rsid wsp:val=&quot;005D6CEE&quot;/&gt;&lt;wsp:rsid wsp:val=&quot;005E26AE&quot;/&gt;&lt;wsp:rsid wsp:val=&quot;005E2AA4&quot;/&gt;&lt;wsp:rsid wsp:val=&quot;005E32A7&quot;/&gt;&lt;wsp:rsid wsp:val=&quot;005E397A&quot;/&gt;&lt;wsp:rsid wsp:val=&quot;005E455A&quot;/&gt;&lt;wsp:rsid wsp:val=&quot;005E5277&quot;/&gt;&lt;wsp:rsid wsp:val=&quot;005E5AD6&quot;/&gt;&lt;wsp:rsid wsp:val=&quot;005E5CD0&quot;/&gt;&lt;wsp:rsid wsp:val=&quot;005E6A4F&quot;/&gt;&lt;wsp:rsid wsp:val=&quot;005E73BD&quot;/&gt;&lt;wsp:rsid wsp:val=&quot;005E75B4&quot;/&gt;&lt;wsp:rsid wsp:val=&quot;005F0682&quot;/&gt;&lt;wsp:rsid wsp:val=&quot;005F108E&quot;/&gt;&lt;wsp:rsid wsp:val=&quot;005F30A6&quot;/&gt;&lt;wsp:rsid wsp:val=&quot;005F3698&quot;/&gt;&lt;wsp:rsid wsp:val=&quot;005F45A2&quot;/&gt;&lt;wsp:rsid wsp:val=&quot;005F460E&quot;/&gt;&lt;wsp:rsid wsp:val=&quot;005F47DA&quot;/&gt;&lt;wsp:rsid wsp:val=&quot;005F5662&quot;/&gt;&lt;wsp:rsid wsp:val=&quot;005F5B3A&quot;/&gt;&lt;wsp:rsid wsp:val=&quot;005F5B83&quot;/&gt;&lt;wsp:rsid wsp:val=&quot;005F605C&quot;/&gt;&lt;wsp:rsid wsp:val=&quot;005F67F0&quot;/&gt;&lt;wsp:rsid wsp:val=&quot;005F6A65&quot;/&gt;&lt;wsp:rsid wsp:val=&quot;005F6EB6&quot;/&gt;&lt;wsp:rsid wsp:val=&quot;005F77F8&quot;/&gt;&lt;wsp:rsid wsp:val=&quot;00600A58&quot;/&gt;&lt;wsp:rsid wsp:val=&quot;00600B56&quot;/&gt;&lt;wsp:rsid wsp:val=&quot;006025E5&quot;/&gt;&lt;wsp:rsid wsp:val=&quot;00603E64&quot;/&gt;&lt;wsp:rsid wsp:val=&quot;00605DD9&quot;/&gt;&lt;wsp:rsid wsp:val=&quot;00606848&quot;/&gt;&lt;wsp:rsid wsp:val=&quot;00606D36&quot;/&gt;&lt;wsp:rsid wsp:val=&quot;00606D56&quot;/&gt;&lt;wsp:rsid wsp:val=&quot;00607F98&quot;/&gt;&lt;wsp:rsid wsp:val=&quot;00610EAA&quot;/&gt;&lt;wsp:rsid wsp:val=&quot;00613FAB&quot;/&gt;&lt;wsp:rsid wsp:val=&quot;00614835&quot;/&gt;&lt;wsp:rsid wsp:val=&quot;006156DA&quot;/&gt;&lt;wsp:rsid wsp:val=&quot;00615A4B&quot;/&gt;&lt;wsp:rsid wsp:val=&quot;00615FA0&quot;/&gt;&lt;wsp:rsid wsp:val=&quot;00616249&quot;/&gt;&lt;wsp:rsid wsp:val=&quot;0061681B&quot;/&gt;&lt;wsp:rsid wsp:val=&quot;00616E80&quot;/&gt;&lt;wsp:rsid wsp:val=&quot;00617A37&quot;/&gt;&lt;wsp:rsid wsp:val=&quot;006200E6&quot;/&gt;&lt;wsp:rsid wsp:val=&quot;006203F6&quot;/&gt;&lt;wsp:rsid wsp:val=&quot;0062116D&quot;/&gt;&lt;wsp:rsid wsp:val=&quot;00623725&quot;/&gt;&lt;wsp:rsid wsp:val=&quot;0062532B&quot;/&gt;&lt;wsp:rsid wsp:val=&quot;00625DD5&quot;/&gt;&lt;wsp:rsid wsp:val=&quot;006315E6&quot;/&gt;&lt;wsp:rsid wsp:val=&quot;006322C5&quot;/&gt;&lt;wsp:rsid wsp:val=&quot;00632B1A&quot;/&gt;&lt;wsp:rsid wsp:val=&quot;00633EA6&quot;/&gt;&lt;wsp:rsid wsp:val=&quot;0063423E&quot;/&gt;&lt;wsp:rsid wsp:val=&quot;00634F57&quot;/&gt;&lt;wsp:rsid wsp:val=&quot;0063612D&quot;/&gt;&lt;wsp:rsid wsp:val=&quot;00636C19&quot;/&gt;&lt;wsp:rsid wsp:val=&quot;006373F6&quot;/&gt;&lt;wsp:rsid wsp:val=&quot;00640E01&quot;/&gt;&lt;wsp:rsid wsp:val=&quot;00640F9C&quot;/&gt;&lt;wsp:rsid wsp:val=&quot;00641DD6&quot;/&gt;&lt;wsp:rsid wsp:val=&quot;00642764&quot;/&gt;&lt;wsp:rsid wsp:val=&quot;00642DE6&quot;/&gt;&lt;wsp:rsid wsp:val=&quot;00643856&quot;/&gt;&lt;wsp:rsid wsp:val=&quot;00645043&quot;/&gt;&lt;wsp:rsid wsp:val=&quot;006454C6&quot;/&gt;&lt;wsp:rsid wsp:val=&quot;00645862&quot;/&gt;&lt;wsp:rsid wsp:val=&quot;00645B67&quot;/&gt;&lt;wsp:rsid wsp:val=&quot;006462BC&quot;/&gt;&lt;wsp:rsid wsp:val=&quot;006535CA&quot;/&gt;&lt;wsp:rsid wsp:val=&quot;0065398C&quot;/&gt;&lt;wsp:rsid wsp:val=&quot;006540CC&quot;/&gt;&lt;wsp:rsid wsp:val=&quot;00654155&quot;/&gt;&lt;wsp:rsid wsp:val=&quot;00655758&quot;/&gt;&lt;wsp:rsid wsp:val=&quot;00656A7C&quot;/&gt;&lt;wsp:rsid wsp:val=&quot;006578DE&quot;/&gt;&lt;wsp:rsid wsp:val=&quot;0066190A&quot;/&gt;&lt;wsp:rsid wsp:val=&quot;00661E29&quot;/&gt;&lt;wsp:rsid wsp:val=&quot;00662172&quot;/&gt;&lt;wsp:rsid wsp:val=&quot;00662484&quot;/&gt;&lt;wsp:rsid wsp:val=&quot;00662A57&quot;/&gt;&lt;wsp:rsid wsp:val=&quot;006648C9&quot;/&gt;&lt;wsp:rsid wsp:val=&quot;00664980&quot;/&gt;&lt;wsp:rsid wsp:val=&quot;00664A5E&quot;/&gt;&lt;wsp:rsid wsp:val=&quot;006667BD&quot;/&gt;&lt;wsp:rsid wsp:val=&quot;00667073&quot;/&gt;&lt;wsp:rsid wsp:val=&quot;0067057F&quot;/&gt;&lt;wsp:rsid wsp:val=&quot;006705F2&quot;/&gt;&lt;wsp:rsid wsp:val=&quot;00670BD4&quot;/&gt;&lt;wsp:rsid wsp:val=&quot;00671D3B&quot;/&gt;&lt;wsp:rsid wsp:val=&quot;00672163&quot;/&gt;&lt;wsp:rsid wsp:val=&quot;00672E72&quot;/&gt;&lt;wsp:rsid wsp:val=&quot;006734A1&quot;/&gt;&lt;wsp:rsid wsp:val=&quot;00674143&quot;/&gt;&lt;wsp:rsid wsp:val=&quot;00676E41&quot;/&gt;&lt;wsp:rsid wsp:val=&quot;00677A87&quot;/&gt;&lt;wsp:rsid wsp:val=&quot;00683976&quot;/&gt;&lt;wsp:rsid wsp:val=&quot;006847BF&quot;/&gt;&lt;wsp:rsid wsp:val=&quot;006853E0&quot;/&gt;&lt;wsp:rsid wsp:val=&quot;006877CD&quot;/&gt;&lt;wsp:rsid wsp:val=&quot;00687E1B&quot;/&gt;&lt;wsp:rsid wsp:val=&quot;00691D64&quot;/&gt;&lt;wsp:rsid wsp:val=&quot;006923CE&quot;/&gt;&lt;wsp:rsid wsp:val=&quot;006940F6&quot;/&gt;&lt;wsp:rsid wsp:val=&quot;00694268&quot;/&gt;&lt;wsp:rsid wsp:val=&quot;006949BC&quot;/&gt;&lt;wsp:rsid wsp:val=&quot;00694AF1&quot;/&gt;&lt;wsp:rsid wsp:val=&quot;006958FA&quot;/&gt;&lt;wsp:rsid wsp:val=&quot;00695B51&quot;/&gt;&lt;wsp:rsid wsp:val=&quot;00696C4B&quot;/&gt;&lt;wsp:rsid wsp:val=&quot;006A1942&quot;/&gt;&lt;wsp:rsid wsp:val=&quot;006A1C90&quot;/&gt;&lt;wsp:rsid wsp:val=&quot;006A257D&quot;/&gt;&lt;wsp:rsid wsp:val=&quot;006A2ADB&quot;/&gt;&lt;wsp:rsid wsp:val=&quot;006A537A&quot;/&gt;&lt;wsp:rsid wsp:val=&quot;006A58C8&quot;/&gt;&lt;wsp:rsid wsp:val=&quot;006A76DA&quot;/&gt;&lt;wsp:rsid wsp:val=&quot;006B1325&quot;/&gt;&lt;wsp:rsid wsp:val=&quot;006B1DC2&quot;/&gt;&lt;wsp:rsid wsp:val=&quot;006B33B9&quot;/&gt;&lt;wsp:rsid wsp:val=&quot;006B423D&quot;/&gt;&lt;wsp:rsid wsp:val=&quot;006B43AC&quot;/&gt;&lt;wsp:rsid wsp:val=&quot;006B54E3&quot;/&gt;&lt;wsp:rsid wsp:val=&quot;006B55CF&quot;/&gt;&lt;wsp:rsid wsp:val=&quot;006B626D&quot;/&gt;&lt;wsp:rsid wsp:val=&quot;006B68AE&quot;/&gt;&lt;wsp:rsid wsp:val=&quot;006B6DE9&quot;/&gt;&lt;wsp:rsid wsp:val=&quot;006B717F&quot;/&gt;&lt;wsp:rsid wsp:val=&quot;006B798D&quot;/&gt;&lt;wsp:rsid wsp:val=&quot;006C03D4&quot;/&gt;&lt;wsp:rsid wsp:val=&quot;006C07E8&quot;/&gt;&lt;wsp:rsid wsp:val=&quot;006C2542&quot;/&gt;&lt;wsp:rsid wsp:val=&quot;006C2A1A&quot;/&gt;&lt;wsp:rsid wsp:val=&quot;006C3503&quot;/&gt;&lt;wsp:rsid wsp:val=&quot;006C470E&quot;/&gt;&lt;wsp:rsid wsp:val=&quot;006C4F53&quot;/&gt;&lt;wsp:rsid wsp:val=&quot;006C538C&quot;/&gt;&lt;wsp:rsid wsp:val=&quot;006C652D&quot;/&gt;&lt;wsp:rsid wsp:val=&quot;006C6E76&quot;/&gt;&lt;wsp:rsid wsp:val=&quot;006C7C0F&quot;/&gt;&lt;wsp:rsid wsp:val=&quot;006C7D0A&quot;/&gt;&lt;wsp:rsid wsp:val=&quot;006D37F7&quot;/&gt;&lt;wsp:rsid wsp:val=&quot;006D3C32&quot;/&gt;&lt;wsp:rsid wsp:val=&quot;006D4E48&quot;/&gt;&lt;wsp:rsid wsp:val=&quot;006D5EA1&quot;/&gt;&lt;wsp:rsid wsp:val=&quot;006D6C72&quot;/&gt;&lt;wsp:rsid wsp:val=&quot;006D7053&quot;/&gt;&lt;wsp:rsid wsp:val=&quot;006E023D&quot;/&gt;&lt;wsp:rsid wsp:val=&quot;006E0E89&quot;/&gt;&lt;wsp:rsid wsp:val=&quot;006E10DC&quot;/&gt;&lt;wsp:rsid wsp:val=&quot;006E2560&quot;/&gt;&lt;wsp:rsid wsp:val=&quot;006E2B7E&quot;/&gt;&lt;wsp:rsid wsp:val=&quot;006E403A&quot;/&gt;&lt;wsp:rsid wsp:val=&quot;006E632D&quot;/&gt;&lt;wsp:rsid wsp:val=&quot;006E6DD4&quot;/&gt;&lt;wsp:rsid wsp:val=&quot;006E77B2&quot;/&gt;&lt;wsp:rsid wsp:val=&quot;006F054D&quot;/&gt;&lt;wsp:rsid wsp:val=&quot;006F1702&quot;/&gt;&lt;wsp:rsid wsp:val=&quot;006F28E1&quot;/&gt;&lt;wsp:rsid wsp:val=&quot;006F3B44&quot;/&gt;&lt;wsp:rsid wsp:val=&quot;006F770B&quot;/&gt;&lt;wsp:rsid wsp:val=&quot;006F7F57&quot;/&gt;&lt;wsp:rsid wsp:val=&quot;007028D6&quot;/&gt;&lt;wsp:rsid wsp:val=&quot;00702BD5&quot;/&gt;&lt;wsp:rsid wsp:val=&quot;00702CC1&quot;/&gt;&lt;wsp:rsid wsp:val=&quot;00702E7E&quot;/&gt;&lt;wsp:rsid wsp:val=&quot;0070387E&quot;/&gt;&lt;wsp:rsid wsp:val=&quot;00704A2A&quot;/&gt;&lt;wsp:rsid wsp:val=&quot;00704A69&quot;/&gt;&lt;wsp:rsid wsp:val=&quot;00704D18&quot;/&gt;&lt;wsp:rsid wsp:val=&quot;00705A8F&quot;/&gt;&lt;wsp:rsid wsp:val=&quot;00705E83&quot;/&gt;&lt;wsp:rsid wsp:val=&quot;007063F4&quot;/&gt;&lt;wsp:rsid wsp:val=&quot;00706C8E&quot;/&gt;&lt;wsp:rsid wsp:val=&quot;00707436&quot;/&gt;&lt;wsp:rsid wsp:val=&quot;00707730&quot;/&gt;&lt;wsp:rsid wsp:val=&quot;0071136E&quot;/&gt;&lt;wsp:rsid wsp:val=&quot;00712075&quot;/&gt;&lt;wsp:rsid wsp:val=&quot;0071327D&quot;/&gt;&lt;wsp:rsid wsp:val=&quot;007137A3&quot;/&gt;&lt;wsp:rsid wsp:val=&quot;00713B21&quot;/&gt;&lt;wsp:rsid wsp:val=&quot;007141C4&quot;/&gt;&lt;wsp:rsid wsp:val=&quot;00715676&quot;/&gt;&lt;wsp:rsid wsp:val=&quot;007169E0&quot;/&gt;&lt;wsp:rsid wsp:val=&quot;007177CD&quot;/&gt;&lt;wsp:rsid wsp:val=&quot;00720CA7&quot;/&gt;&lt;wsp:rsid wsp:val=&quot;00721B44&quot;/&gt;&lt;wsp:rsid wsp:val=&quot;00722AD3&quot;/&gt;&lt;wsp:rsid wsp:val=&quot;00722DF2&quot;/&gt;&lt;wsp:rsid wsp:val=&quot;007236F1&quot;/&gt;&lt;wsp:rsid wsp:val=&quot;00724532&quot;/&gt;&lt;wsp:rsid wsp:val=&quot;00724666&quot;/&gt;&lt;wsp:rsid wsp:val=&quot;0072497F&quot;/&gt;&lt;wsp:rsid wsp:val=&quot;0072603C&quot;/&gt;&lt;wsp:rsid wsp:val=&quot;00726E12&quot;/&gt;&lt;wsp:rsid wsp:val=&quot;00731022&quot;/&gt;&lt;wsp:rsid wsp:val=&quot;007312D6&quot;/&gt;&lt;wsp:rsid wsp:val=&quot;007326D1&quot;/&gt;&lt;wsp:rsid wsp:val=&quot;00732837&quot;/&gt;&lt;wsp:rsid wsp:val=&quot;00732ED6&quot;/&gt;&lt;wsp:rsid wsp:val=&quot;00734332&quot;/&gt;&lt;wsp:rsid wsp:val=&quot;00734A95&quot;/&gt;&lt;wsp:rsid wsp:val=&quot;00734FA5&quot;/&gt;&lt;wsp:rsid wsp:val=&quot;00736194&quot;/&gt;&lt;wsp:rsid wsp:val=&quot;007378D7&quot;/&gt;&lt;wsp:rsid wsp:val=&quot;00741782&quot;/&gt;&lt;wsp:rsid wsp:val=&quot;00741976&quot;/&gt;&lt;wsp:rsid wsp:val=&quot;0074327D&quot;/&gt;&lt;wsp:rsid wsp:val=&quot;00743570&quot;/&gt;&lt;wsp:rsid wsp:val=&quot;0074557C&quot;/&gt;&lt;wsp:rsid wsp:val=&quot;0074591B&quot;/&gt;&lt;wsp:rsid wsp:val=&quot;007459E1&quot;/&gt;&lt;wsp:rsid wsp:val=&quot;007466C6&quot;/&gt;&lt;wsp:rsid wsp:val=&quot;00746DFB&quot;/&gt;&lt;wsp:rsid wsp:val=&quot;00751788&quot;/&gt;&lt;wsp:rsid wsp:val=&quot;00752954&quot;/&gt;&lt;wsp:rsid wsp:val=&quot;00752EFA&quot;/&gt;&lt;wsp:rsid wsp:val=&quot;007535DC&quot;/&gt;&lt;wsp:rsid wsp:val=&quot;00753B5C&quot;/&gt;&lt;wsp:rsid wsp:val=&quot;007545EB&quot;/&gt;&lt;wsp:rsid wsp:val=&quot;007554C9&quot;/&gt;&lt;wsp:rsid wsp:val=&quot;00756688&quot;/&gt;&lt;wsp:rsid wsp:val=&quot;00756ABF&quot;/&gt;&lt;wsp:rsid wsp:val=&quot;00756DA8&quot;/&gt;&lt;wsp:rsid wsp:val=&quot;00757ED1&quot;/&gt;&lt;wsp:rsid wsp:val=&quot;00757F61&quot;/&gt;&lt;wsp:rsid wsp:val=&quot;007610BA&quot;/&gt;&lt;wsp:rsid wsp:val=&quot;00762303&quot;/&gt;&lt;wsp:rsid wsp:val=&quot;00762426&quot;/&gt;&lt;wsp:rsid wsp:val=&quot;00763F1F&quot;/&gt;&lt;wsp:rsid wsp:val=&quot;00765C8C&quot;/&gt;&lt;wsp:rsid wsp:val=&quot;007667B2&quot;/&gt;&lt;wsp:rsid wsp:val=&quot;00767382&quot;/&gt;&lt;wsp:rsid wsp:val=&quot;007706FB&quot;/&gt;&lt;wsp:rsid wsp:val=&quot;00770869&quot;/&gt;&lt;wsp:rsid wsp:val=&quot;00771DC0&quot;/&gt;&lt;wsp:rsid wsp:val=&quot;00772A63&quot;/&gt;&lt;wsp:rsid wsp:val=&quot;00776A21&quot;/&gt;&lt;wsp:rsid wsp:val=&quot;00776BCE&quot;/&gt;&lt;wsp:rsid wsp:val=&quot;00777B48&quot;/&gt;&lt;wsp:rsid wsp:val=&quot;00777F45&quot;/&gt;&lt;wsp:rsid wsp:val=&quot;00780E87&quot;/&gt;&lt;wsp:rsid wsp:val=&quot;00781C77&quot;/&gt;&lt;wsp:rsid wsp:val=&quot;00781D02&quot;/&gt;&lt;wsp:rsid wsp:val=&quot;00782635&quot;/&gt;&lt;wsp:rsid wsp:val=&quot;007827D5&quot;/&gt;&lt;wsp:rsid wsp:val=&quot;00782F1C&quot;/&gt;&lt;wsp:rsid wsp:val=&quot;007836B2&quot;/&gt;&lt;wsp:rsid wsp:val=&quot;00783ED5&quot;/&gt;&lt;wsp:rsid wsp:val=&quot;007842CB&quot;/&gt;&lt;wsp:rsid wsp:val=&quot;007844DE&quot;/&gt;&lt;wsp:rsid wsp:val=&quot;00784716&quot;/&gt;&lt;wsp:rsid wsp:val=&quot;007850EE&quot;/&gt;&lt;wsp:rsid wsp:val=&quot;007854A4&quot;/&gt;&lt;wsp:rsid wsp:val=&quot;0078565B&quot;/&gt;&lt;wsp:rsid wsp:val=&quot;00786E20&quot;/&gt;&lt;wsp:rsid wsp:val=&quot;007903CD&quot;/&gt;&lt;wsp:rsid wsp:val=&quot;00790616&quot;/&gt;&lt;wsp:rsid wsp:val=&quot;00790975&quot;/&gt;&lt;wsp:rsid wsp:val=&quot;007910CD&quot;/&gt;&lt;wsp:rsid wsp:val=&quot;0079140A&quot;/&gt;&lt;wsp:rsid wsp:val=&quot;0079147A&quot;/&gt;&lt;wsp:rsid wsp:val=&quot;00792495&quot;/&gt;&lt;wsp:rsid wsp:val=&quot;007924BC&quot;/&gt;&lt;wsp:rsid wsp:val=&quot;00793FA7&quot;/&gt;&lt;wsp:rsid wsp:val=&quot;007943B8&quot;/&gt;&lt;wsp:rsid wsp:val=&quot;00794B95&quot;/&gt;&lt;wsp:rsid wsp:val=&quot;00795894&quot;/&gt;&lt;wsp:rsid wsp:val=&quot;007965DF&quot;/&gt;&lt;wsp:rsid wsp:val=&quot;0079740A&quot;/&gt;&lt;wsp:rsid wsp:val=&quot;00797704&quot;/&gt;&lt;wsp:rsid wsp:val=&quot;00797F8B&quot;/&gt;&lt;wsp:rsid wsp:val=&quot;007A0E72&quot;/&gt;&lt;wsp:rsid wsp:val=&quot;007A1ECB&quot;/&gt;&lt;wsp:rsid wsp:val=&quot;007A1FC1&quot;/&gt;&lt;wsp:rsid wsp:val=&quot;007A2B36&quot;/&gt;&lt;wsp:rsid wsp:val=&quot;007A5649&quot;/&gt;&lt;wsp:rsid wsp:val=&quot;007A70EA&quot;/&gt;&lt;wsp:rsid wsp:val=&quot;007A7276&quot;/&gt;&lt;wsp:rsid wsp:val=&quot;007A74F5&quot;/&gt;&lt;wsp:rsid wsp:val=&quot;007B014A&quot;/&gt;&lt;wsp:rsid wsp:val=&quot;007B01AC&quot;/&gt;&lt;wsp:rsid wsp:val=&quot;007B068D&quot;/&gt;&lt;wsp:rsid wsp:val=&quot;007B1FAB&quot;/&gt;&lt;wsp:rsid wsp:val=&quot;007B2474&quot;/&gt;&lt;wsp:rsid wsp:val=&quot;007B25BA&quot;/&gt;&lt;wsp:rsid wsp:val=&quot;007B25E8&quot;/&gt;&lt;wsp:rsid wsp:val=&quot;007B47E9&quot;/&gt;&lt;wsp:rsid wsp:val=&quot;007B4C85&quot;/&gt;&lt;wsp:rsid wsp:val=&quot;007B6E7B&quot;/&gt;&lt;wsp:rsid wsp:val=&quot;007B7222&quot;/&gt;&lt;wsp:rsid wsp:val=&quot;007C27A6&quot;/&gt;&lt;wsp:rsid wsp:val=&quot;007C27D0&quot;/&gt;&lt;wsp:rsid wsp:val=&quot;007C2D98&quot;/&gt;&lt;wsp:rsid wsp:val=&quot;007C386D&quot;/&gt;&lt;wsp:rsid wsp:val=&quot;007C43B1&quot;/&gt;&lt;wsp:rsid wsp:val=&quot;007C5CB5&quot;/&gt;&lt;wsp:rsid wsp:val=&quot;007C5F4A&quot;/&gt;&lt;wsp:rsid wsp:val=&quot;007C7E6E&quot;/&gt;&lt;wsp:rsid wsp:val=&quot;007D0075&quot;/&gt;&lt;wsp:rsid wsp:val=&quot;007D1CE1&quot;/&gt;&lt;wsp:rsid wsp:val=&quot;007D20A5&quot;/&gt;&lt;wsp:rsid wsp:val=&quot;007D23DE&quot;/&gt;&lt;wsp:rsid wsp:val=&quot;007D278B&quot;/&gt;&lt;wsp:rsid wsp:val=&quot;007D2F8F&quot;/&gt;&lt;wsp:rsid wsp:val=&quot;007D3458&quot;/&gt;&lt;wsp:rsid wsp:val=&quot;007D36F7&quot;/&gt;&lt;wsp:rsid wsp:val=&quot;007D37DC&quot;/&gt;&lt;wsp:rsid wsp:val=&quot;007D3944&quot;/&gt;&lt;wsp:rsid wsp:val=&quot;007D43E3&quot;/&gt;&lt;wsp:rsid wsp:val=&quot;007D440C&quot;/&gt;&lt;wsp:rsid wsp:val=&quot;007D4CC6&quot;/&gt;&lt;wsp:rsid wsp:val=&quot;007D70D2&quot;/&gt;&lt;wsp:rsid wsp:val=&quot;007D7728&quot;/&gt;&lt;wsp:rsid wsp:val=&quot;007D7AF6&quot;/&gt;&lt;wsp:rsid wsp:val=&quot;007E0E9B&quot;/&gt;&lt;wsp:rsid wsp:val=&quot;007E1B78&quot;/&gt;&lt;wsp:rsid wsp:val=&quot;007E1EDA&quot;/&gt;&lt;wsp:rsid wsp:val=&quot;007E24C3&quot;/&gt;&lt;wsp:rsid wsp:val=&quot;007E28A7&quot;/&gt;&lt;wsp:rsid wsp:val=&quot;007E2B69&quot;/&gt;&lt;wsp:rsid wsp:val=&quot;007E31E7&quot;/&gt;&lt;wsp:rsid wsp:val=&quot;007E3641&quot;/&gt;&lt;wsp:rsid wsp:val=&quot;007E3D8B&quot;/&gt;&lt;wsp:rsid wsp:val=&quot;007E3E4C&quot;/&gt;&lt;wsp:rsid wsp:val=&quot;007E4520&quot;/&gt;&lt;wsp:rsid wsp:val=&quot;007E5154&quot;/&gt;&lt;wsp:rsid wsp:val=&quot;007E52AE&quot;/&gt;&lt;wsp:rsid wsp:val=&quot;007E56FF&quot;/&gt;&lt;wsp:rsid wsp:val=&quot;007E5AC7&quot;/&gt;&lt;wsp:rsid wsp:val=&quot;007F0C7B&quot;/&gt;&lt;wsp:rsid wsp:val=&quot;007F168A&quot;/&gt;&lt;wsp:rsid wsp:val=&quot;007F28CB&quot;/&gt;&lt;wsp:rsid wsp:val=&quot;007F2E26&quot;/&gt;&lt;wsp:rsid wsp:val=&quot;007F2F5D&quot;/&gt;&lt;wsp:rsid wsp:val=&quot;007F39AE&quot;/&gt;&lt;wsp:rsid wsp:val=&quot;007F46B5&quot;/&gt;&lt;wsp:rsid wsp:val=&quot;007F4AA6&quot;/&gt;&lt;wsp:rsid wsp:val=&quot;007F5AD6&quot;/&gt;&lt;wsp:rsid wsp:val=&quot;007F60EF&quot;/&gt;&lt;wsp:rsid wsp:val=&quot;008000B9&quot;/&gt;&lt;wsp:rsid wsp:val=&quot;00800150&quot;/&gt;&lt;wsp:rsid wsp:val=&quot;008005BC&quot;/&gt;&lt;wsp:rsid wsp:val=&quot;008009BE&quot;/&gt;&lt;wsp:rsid wsp:val=&quot;00801821&quot;/&gt;&lt;wsp:rsid wsp:val=&quot;00802307&quot;/&gt;&lt;wsp:rsid wsp:val=&quot;00802468&quot;/&gt;&lt;wsp:rsid wsp:val=&quot;00802D13&quot;/&gt;&lt;wsp:rsid wsp:val=&quot;00803A70&quot;/&gt;&lt;wsp:rsid wsp:val=&quot;00804BF4&quot;/&gt;&lt;wsp:rsid wsp:val=&quot;008062B7&quot;/&gt;&lt;wsp:rsid wsp:val=&quot;008066BD&quot;/&gt;&lt;wsp:rsid wsp:val=&quot;008103A2&quot;/&gt;&lt;wsp:rsid wsp:val=&quot;00812B37&quot;/&gt;&lt;wsp:rsid wsp:val=&quot;00812DC1&quot;/&gt;&lt;wsp:rsid wsp:val=&quot;00813033&quot;/&gt;&lt;wsp:rsid wsp:val=&quot;00813106&quot;/&gt;&lt;wsp:rsid wsp:val=&quot;008137E3&quot;/&gt;&lt;wsp:rsid wsp:val=&quot;008137F4&quot;/&gt;&lt;wsp:rsid wsp:val=&quot;00814804&quot;/&gt;&lt;wsp:rsid wsp:val=&quot;008165F8&quot;/&gt;&lt;wsp:rsid wsp:val=&quot;00817D20&quot;/&gt;&lt;wsp:rsid wsp:val=&quot;008200F8&quot;/&gt;&lt;wsp:rsid wsp:val=&quot;0082048D&quot;/&gt;&lt;wsp:rsid wsp:val=&quot;0082086F&quot;/&gt;&lt;wsp:rsid wsp:val=&quot;008226E9&quot;/&gt;&lt;wsp:rsid wsp:val=&quot;00823260&quot;/&gt;&lt;wsp:rsid wsp:val=&quot;008234BC&quot;/&gt;&lt;wsp:rsid wsp:val=&quot;008248EE&quot;/&gt;&lt;wsp:rsid wsp:val=&quot;00825178&quot;/&gt;&lt;wsp:rsid wsp:val=&quot;00825707&quot;/&gt;&lt;wsp:rsid wsp:val=&quot;0082583B&quot;/&gt;&lt;wsp:rsid wsp:val=&quot;00825A28&quot;/&gt;&lt;wsp:rsid wsp:val=&quot;0082657F&quot;/&gt;&lt;wsp:rsid wsp:val=&quot;00826CF7&quot;/&gt;&lt;wsp:rsid wsp:val=&quot;00827A48&quot;/&gt;&lt;wsp:rsid wsp:val=&quot;00827F37&quot;/&gt;&lt;wsp:rsid wsp:val=&quot;008306C9&quot;/&gt;&lt;wsp:rsid wsp:val=&quot;00831E4B&quot;/&gt;&lt;wsp:rsid wsp:val=&quot;008321A5&quot;/&gt;&lt;wsp:rsid wsp:val=&quot;008337B5&quot;/&gt;&lt;wsp:rsid wsp:val=&quot;008356B0&quot;/&gt;&lt;wsp:rsid wsp:val=&quot;008366BB&quot;/&gt;&lt;wsp:rsid wsp:val=&quot;008375C3&quot;/&gt;&lt;wsp:rsid wsp:val=&quot;008409E3&quot;/&gt;&lt;wsp:rsid wsp:val=&quot;00842ECF&quot;/&gt;&lt;wsp:rsid wsp:val=&quot;0084327B&quot;/&gt;&lt;wsp:rsid wsp:val=&quot;008432CF&quot;/&gt;&lt;wsp:rsid wsp:val=&quot;00844D2E&quot;/&gt;&lt;wsp:rsid wsp:val=&quot;00845BA5&quot;/&gt;&lt;wsp:rsid wsp:val=&quot;00846C91&quot;/&gt;&lt;wsp:rsid wsp:val=&quot;00847C10&quot;/&gt;&lt;wsp:rsid wsp:val=&quot;00847F27&quot;/&gt;&lt;wsp:rsid wsp:val=&quot;00851A73&quot;/&gt;&lt;wsp:rsid wsp:val=&quot;00852124&quot;/&gt;&lt;wsp:rsid wsp:val=&quot;0085293B&quot;/&gt;&lt;wsp:rsid wsp:val=&quot;00853749&quot;/&gt;&lt;wsp:rsid wsp:val=&quot;00853C71&quot;/&gt;&lt;wsp:rsid wsp:val=&quot;00854933&quot;/&gt;&lt;wsp:rsid wsp:val=&quot;00856804&quot;/&gt;&lt;wsp:rsid wsp:val=&quot;00857DB8&quot;/&gt;&lt;wsp:rsid wsp:val=&quot;00860841&quot;/&gt;&lt;wsp:rsid wsp:val=&quot;00861CF2&quot;/&gt;&lt;wsp:rsid wsp:val=&quot;0086215F&quot;/&gt;&lt;wsp:rsid wsp:val=&quot;0086303E&quot;/&gt;&lt;wsp:rsid wsp:val=&quot;00864660&quot;/&gt;&lt;wsp:rsid wsp:val=&quot;00864ACE&quot;/&gt;&lt;wsp:rsid wsp:val=&quot;00870382&quot;/&gt;&lt;wsp:rsid wsp:val=&quot;008714C4&quot;/&gt;&lt;wsp:rsid wsp:val=&quot;0087257B&quot;/&gt;&lt;wsp:rsid wsp:val=&quot;008729DA&quot;/&gt;&lt;wsp:rsid wsp:val=&quot;00874204&quot;/&gt;&lt;wsp:rsid wsp:val=&quot;00876BD7&quot;/&gt;&lt;wsp:rsid wsp:val=&quot;0087723B&quot;/&gt;&lt;wsp:rsid wsp:val=&quot;00880679&quot;/&gt;&lt;wsp:rsid wsp:val=&quot;008840D5&quot;/&gt;&lt;wsp:rsid wsp:val=&quot;00884B0E&quot;/&gt;&lt;wsp:rsid wsp:val=&quot;00884B9F&quot;/&gt;&lt;wsp:rsid wsp:val=&quot;008851FE&quot;/&gt;&lt;wsp:rsid wsp:val=&quot;00885AD5&quot;/&gt;&lt;wsp:rsid wsp:val=&quot;008860C4&quot;/&gt;&lt;wsp:rsid wsp:val=&quot;00886402&quot;/&gt;&lt;wsp:rsid wsp:val=&quot;00886DDD&quot;/&gt;&lt;wsp:rsid wsp:val=&quot;00886E33&quot;/&gt;&lt;wsp:rsid wsp:val=&quot;008903B1&quot;/&gt;&lt;wsp:rsid wsp:val=&quot;00890B19&quot;/&gt;&lt;wsp:rsid wsp:val=&quot;00890E4D&quot;/&gt;&lt;wsp:rsid wsp:val=&quot;008910BA&quot;/&gt;&lt;wsp:rsid wsp:val=&quot;00891153&quot;/&gt;&lt;wsp:rsid wsp:val=&quot;00891FD0&quot;/&gt;&lt;wsp:rsid wsp:val=&quot;00892182&quot;/&gt;&lt;wsp:rsid wsp:val=&quot;008926A1&quot;/&gt;&lt;wsp:rsid wsp:val=&quot;00892B70&quot;/&gt;&lt;wsp:rsid wsp:val=&quot;008955AA&quot;/&gt;&lt;wsp:rsid wsp:val=&quot;00895659&quot;/&gt;&lt;wsp:rsid wsp:val=&quot;00896CB3&quot;/&gt;&lt;wsp:rsid wsp:val=&quot;008974AB&quot;/&gt;&lt;wsp:rsid wsp:val=&quot;008A28BE&quot;/&gt;&lt;wsp:rsid wsp:val=&quot;008A2EE0&quot;/&gt;&lt;wsp:rsid wsp:val=&quot;008A3021&quot;/&gt;&lt;wsp:rsid wsp:val=&quot;008A556F&quot;/&gt;&lt;wsp:rsid wsp:val=&quot;008A7471&quot;/&gt;&lt;wsp:rsid wsp:val=&quot;008A761E&quot;/&gt;&lt;wsp:rsid wsp:val=&quot;008B0185&quot;/&gt;&lt;wsp:rsid wsp:val=&quot;008B10BB&quot;/&gt;&lt;wsp:rsid wsp:val=&quot;008B1389&quot;/&gt;&lt;wsp:rsid wsp:val=&quot;008B1A4D&quot;/&gt;&lt;wsp:rsid wsp:val=&quot;008B201E&quot;/&gt;&lt;wsp:rsid wsp:val=&quot;008B41F0&quot;/&gt;&lt;wsp:rsid wsp:val=&quot;008B4364&quot;/&gt;&lt;wsp:rsid wsp:val=&quot;008B57B5&quot;/&gt;&lt;wsp:rsid wsp:val=&quot;008B57C2&quot;/&gt;&lt;wsp:rsid wsp:val=&quot;008B60FD&quot;/&gt;&lt;wsp:rsid wsp:val=&quot;008B62AF&quot;/&gt;&lt;wsp:rsid wsp:val=&quot;008B7529&quot;/&gt;&lt;wsp:rsid wsp:val=&quot;008B7A86&quot;/&gt;&lt;wsp:rsid wsp:val=&quot;008C2536&quot;/&gt;&lt;wsp:rsid wsp:val=&quot;008C2BD8&quot;/&gt;&lt;wsp:rsid wsp:val=&quot;008C32DF&quot;/&gt;&lt;wsp:rsid wsp:val=&quot;008C38B7&quot;/&gt;&lt;wsp:rsid wsp:val=&quot;008C414B&quot;/&gt;&lt;wsp:rsid wsp:val=&quot;008C500A&quot;/&gt;&lt;wsp:rsid wsp:val=&quot;008C5588&quot;/&gt;&lt;wsp:rsid wsp:val=&quot;008C7001&quot;/&gt;&lt;wsp:rsid wsp:val=&quot;008C73B3&quot;/&gt;&lt;wsp:rsid wsp:val=&quot;008C7448&quot;/&gt;&lt;wsp:rsid wsp:val=&quot;008C76EA&quot;/&gt;&lt;wsp:rsid wsp:val=&quot;008D0150&quot;/&gt;&lt;wsp:rsid wsp:val=&quot;008D0896&quot;/&gt;&lt;wsp:rsid wsp:val=&quot;008D2D9C&quot;/&gt;&lt;wsp:rsid wsp:val=&quot;008D50CB&quot;/&gt;&lt;wsp:rsid wsp:val=&quot;008D7812&quot;/&gt;&lt;wsp:rsid wsp:val=&quot;008D78D2&quot;/&gt;&lt;wsp:rsid wsp:val=&quot;008D7D03&quot;/&gt;&lt;wsp:rsid wsp:val=&quot;008D7D99&quot;/&gt;&lt;wsp:rsid wsp:val=&quot;008E0585&quot;/&gt;&lt;wsp:rsid wsp:val=&quot;008E0DD5&quot;/&gt;&lt;wsp:rsid wsp:val=&quot;008E2621&quot;/&gt;&lt;wsp:rsid wsp:val=&quot;008E2BEE&quot;/&gt;&lt;wsp:rsid wsp:val=&quot;008E3B31&quot;/&gt;&lt;wsp:rsid wsp:val=&quot;008E438B&quot;/&gt;&lt;wsp:rsid wsp:val=&quot;008E4A7D&quot;/&gt;&lt;wsp:rsid wsp:val=&quot;008F0ED1&quot;/&gt;&lt;wsp:rsid wsp:val=&quot;008F0ED3&quot;/&gt;&lt;wsp:rsid wsp:val=&quot;008F1D68&quot;/&gt;&lt;wsp:rsid wsp:val=&quot;008F2F3F&quot;/&gt;&lt;wsp:rsid wsp:val=&quot;008F31F3&quot;/&gt;&lt;wsp:rsid wsp:val=&quot;008F3AEA&quot;/&gt;&lt;wsp:rsid wsp:val=&quot;008F3EE8&quot;/&gt;&lt;wsp:rsid wsp:val=&quot;008F43BF&quot;/&gt;&lt;wsp:rsid wsp:val=&quot;008F5AA8&quot;/&gt;&lt;wsp:rsid wsp:val=&quot;008F6660&quot;/&gt;&lt;wsp:rsid wsp:val=&quot;008F6999&quot;/&gt;&lt;wsp:rsid wsp:val=&quot;008F7AB3&quot;/&gt;&lt;wsp:rsid wsp:val=&quot;00900188&quot;/&gt;&lt;wsp:rsid wsp:val=&quot;00900542&quot;/&gt;&lt;wsp:rsid wsp:val=&quot;009010EA&quot;/&gt;&lt;wsp:rsid wsp:val=&quot;009018EB&quot;/&gt;&lt;wsp:rsid wsp:val=&quot;00902376&quot;/&gt;&lt;wsp:rsid wsp:val=&quot;00902C02&quot;/&gt;&lt;wsp:rsid wsp:val=&quot;009034F0&quot;/&gt;&lt;wsp:rsid wsp:val=&quot;00903E5A&quot;/&gt;&lt;wsp:rsid wsp:val=&quot;00903EA7&quot;/&gt;&lt;wsp:rsid wsp:val=&quot;00904E92&quot;/&gt;&lt;wsp:rsid wsp:val=&quot;00904EFF&quot;/&gt;&lt;wsp:rsid wsp:val=&quot;009064EE&quot;/&gt;&lt;wsp:rsid wsp:val=&quot;00906AFF&quot;/&gt;&lt;wsp:rsid wsp:val=&quot;009074BA&quot;/&gt;&lt;wsp:rsid wsp:val=&quot;009106AE&quot;/&gt;&lt;wsp:rsid wsp:val=&quot;00910AD2&quot;/&gt;&lt;wsp:rsid wsp:val=&quot;00910DF2&quot;/&gt;&lt;wsp:rsid wsp:val=&quot;00911D85&quot;/&gt;&lt;wsp:rsid wsp:val=&quot;009123A0&quot;/&gt;&lt;wsp:rsid wsp:val=&quot;009125E0&quot;/&gt;&lt;wsp:rsid wsp:val=&quot;00913FE3&quot;/&gt;&lt;wsp:rsid wsp:val=&quot;00914AD4&quot;/&gt;&lt;wsp:rsid wsp:val=&quot;00914AD6&quot;/&gt;&lt;wsp:rsid wsp:val=&quot;00915530&quot;/&gt;&lt;wsp:rsid wsp:val=&quot;00916949&quot;/&gt;&lt;wsp:rsid wsp:val=&quot;009179B4&quot;/&gt;&lt;wsp:rsid wsp:val=&quot;00917B65&quot;/&gt;&lt;wsp:rsid wsp:val=&quot;00920520&quot;/&gt;&lt;wsp:rsid wsp:val=&quot;00922B76&quot;/&gt;&lt;wsp:rsid wsp:val=&quot;00924B3D&quot;/&gt;&lt;wsp:rsid wsp:val=&quot;0092648B&quot;/&gt;&lt;wsp:rsid wsp:val=&quot;00930144&quot;/&gt;&lt;wsp:rsid wsp:val=&quot;0093042A&quot;/&gt;&lt;wsp:rsid wsp:val=&quot;00930557&quot;/&gt;&lt;wsp:rsid wsp:val=&quot;00930A0E&quot;/&gt;&lt;wsp:rsid wsp:val=&quot;009311E9&quot;/&gt;&lt;wsp:rsid wsp:val=&quot;009317E4&quot;/&gt;&lt;wsp:rsid wsp:val=&quot;0093219D&quot;/&gt;&lt;wsp:rsid wsp:val=&quot;0093234F&quot;/&gt;&lt;wsp:rsid wsp:val=&quot;00932A1C&quot;/&gt;&lt;wsp:rsid wsp:val=&quot;009360BF&quot;/&gt;&lt;wsp:rsid wsp:val=&quot;00936535&quot;/&gt;&lt;wsp:rsid wsp:val=&quot;00936CEA&quot;/&gt;&lt;wsp:rsid wsp:val=&quot;0094004A&quot;/&gt;&lt;wsp:rsid wsp:val=&quot;009407D7&quot;/&gt;&lt;wsp:rsid wsp:val=&quot;009408D0&quot;/&gt;&lt;wsp:rsid wsp:val=&quot;00941DEC&quot;/&gt;&lt;wsp:rsid wsp:val=&quot;00942F8F&quot;/&gt;&lt;wsp:rsid wsp:val=&quot;009432A7&quot;/&gt;&lt;wsp:rsid wsp:val=&quot;009433DE&quot;/&gt;&lt;wsp:rsid wsp:val=&quot;00944606&quot;/&gt;&lt;wsp:rsid wsp:val=&quot;00944693&quot;/&gt;&lt;wsp:rsid wsp:val=&quot;00944C8F&quot;/&gt;&lt;wsp:rsid wsp:val=&quot;009450A5&quot;/&gt;&lt;wsp:rsid wsp:val=&quot;00945DC0&quot;/&gt;&lt;wsp:rsid wsp:val=&quot;00945EE5&quot;/&gt;&lt;wsp:rsid wsp:val=&quot;00947159&quot;/&gt;&lt;wsp:rsid wsp:val=&quot;00947450&quot;/&gt;&lt;wsp:rsid wsp:val=&quot;009478E5&quot;/&gt;&lt;wsp:rsid wsp:val=&quot;0095159C&quot;/&gt;&lt;wsp:rsid wsp:val=&quot;0095182B&quot;/&gt;&lt;wsp:rsid wsp:val=&quot;00953C8D&quot;/&gt;&lt;wsp:rsid wsp:val=&quot;00954416&quot;/&gt;&lt;wsp:rsid wsp:val=&quot;00954F0B&quot;/&gt;&lt;wsp:rsid wsp:val=&quot;009558FD&quot;/&gt;&lt;wsp:rsid wsp:val=&quot;009559AD&quot;/&gt;&lt;wsp:rsid wsp:val=&quot;0095632F&quot;/&gt;&lt;wsp:rsid wsp:val=&quot;00956E33&quot;/&gt;&lt;wsp:rsid wsp:val=&quot;00957262&quot;/&gt;&lt;wsp:rsid wsp:val=&quot;00961226&quot;/&gt;&lt;wsp:rsid wsp:val=&quot;00961374&quot;/&gt;&lt;wsp:rsid wsp:val=&quot;00963B5D&quot;/&gt;&lt;wsp:rsid wsp:val=&quot;0096418D&quot;/&gt;&lt;wsp:rsid wsp:val=&quot;00965C75&quot;/&gt;&lt;wsp:rsid wsp:val=&quot;00966038&quot;/&gt;&lt;wsp:rsid wsp:val=&quot;00966B21&quot;/&gt;&lt;wsp:rsid wsp:val=&quot;00967F9F&quot;/&gt;&lt;wsp:rsid wsp:val=&quot;009702AC&quot;/&gt;&lt;wsp:rsid wsp:val=&quot;00971B3F&quot;/&gt;&lt;wsp:rsid wsp:val=&quot;00971E74&quot;/&gt;&lt;wsp:rsid wsp:val=&quot;00972BD4&quot;/&gt;&lt;wsp:rsid wsp:val=&quot;00973538&quot;/&gt;&lt;wsp:rsid wsp:val=&quot;00974BDB&quot;/&gt;&lt;wsp:rsid wsp:val=&quot;0097567E&quot;/&gt;&lt;wsp:rsid wsp:val=&quot;009757DF&quot;/&gt;&lt;wsp:rsid wsp:val=&quot;00976B19&quot;/&gt;&lt;wsp:rsid wsp:val=&quot;00977454&quot;/&gt;&lt;wsp:rsid wsp:val=&quot;00977A62&quot;/&gt;&lt;wsp:rsid wsp:val=&quot;00980FC6&quot;/&gt;&lt;wsp:rsid wsp:val=&quot;0098257A&quot;/&gt;&lt;wsp:rsid wsp:val=&quot;00982DF8&quot;/&gt;&lt;wsp:rsid wsp:val=&quot;00983FBF&quot;/&gt;&lt;wsp:rsid wsp:val=&quot;0098440B&quot;/&gt;&lt;wsp:rsid wsp:val=&quot;00984C1F&quot;/&gt;&lt;wsp:rsid wsp:val=&quot;00985381&quot;/&gt;&lt;wsp:rsid wsp:val=&quot;00990A1F&quot;/&gt;&lt;wsp:rsid wsp:val=&quot;00990E5B&quot;/&gt;&lt;wsp:rsid wsp:val=&quot;0099329C&quot;/&gt;&lt;wsp:rsid wsp:val=&quot;009934AF&quot;/&gt;&lt;wsp:rsid wsp:val=&quot;0099375E&quot;/&gt;&lt;wsp:rsid wsp:val=&quot;00993C0B&quot;/&gt;&lt;wsp:rsid wsp:val=&quot;00994849&quot;/&gt;&lt;wsp:rsid wsp:val=&quot;00995E04&quot;/&gt;&lt;wsp:rsid wsp:val=&quot;00995FFB&quot;/&gt;&lt;wsp:rsid wsp:val=&quot;0099643D&quot;/&gt;&lt;wsp:rsid wsp:val=&quot;00997882&quot;/&gt;&lt;wsp:rsid wsp:val=&quot;009A0923&quot;/&gt;&lt;wsp:rsid wsp:val=&quot;009A3BB4&quot;/&gt;&lt;wsp:rsid wsp:val=&quot;009A5E11&quot;/&gt;&lt;wsp:rsid wsp:val=&quot;009A6261&quot;/&gt;&lt;wsp:rsid wsp:val=&quot;009A6738&quot;/&gt;&lt;wsp:rsid wsp:val=&quot;009A6D58&quot;/&gt;&lt;wsp:rsid wsp:val=&quot;009B056E&quot;/&gt;&lt;wsp:rsid wsp:val=&quot;009B3FA3&quot;/&gt;&lt;wsp:rsid wsp:val=&quot;009B4099&quot;/&gt;&lt;wsp:rsid wsp:val=&quot;009B4BE8&quot;/&gt;&lt;wsp:rsid wsp:val=&quot;009B5082&quot;/&gt;&lt;wsp:rsid wsp:val=&quot;009B54F6&quot;/&gt;&lt;wsp:rsid wsp:val=&quot;009B6C4B&quot;/&gt;&lt;wsp:rsid wsp:val=&quot;009B6FCF&quot;/&gt;&lt;wsp:rsid wsp:val=&quot;009B751C&quot;/&gt;&lt;wsp:rsid wsp:val=&quot;009B7BA7&quot;/&gt;&lt;wsp:rsid wsp:val=&quot;009B7F4B&quot;/&gt;&lt;wsp:rsid wsp:val=&quot;009C036E&quot;/&gt;&lt;wsp:rsid wsp:val=&quot;009C0B47&quot;/&gt;&lt;wsp:rsid wsp:val=&quot;009C18E1&quot;/&gt;&lt;wsp:rsid wsp:val=&quot;009C2349&quot;/&gt;&lt;wsp:rsid wsp:val=&quot;009C2E81&quot;/&gt;&lt;wsp:rsid wsp:val=&quot;009C485F&quot;/&gt;&lt;wsp:rsid wsp:val=&quot;009C54B6&quot;/&gt;&lt;wsp:rsid wsp:val=&quot;009C56E8&quot;/&gt;&lt;wsp:rsid wsp:val=&quot;009C5B66&quot;/&gt;&lt;wsp:rsid wsp:val=&quot;009C6224&quot;/&gt;&lt;wsp:rsid wsp:val=&quot;009C647F&quot;/&gt;&lt;wsp:rsid wsp:val=&quot;009C677B&quot;/&gt;&lt;wsp:rsid wsp:val=&quot;009C6944&quot;/&gt;&lt;wsp:rsid wsp:val=&quot;009D089C&quot;/&gt;&lt;wsp:rsid wsp:val=&quot;009D0B79&quot;/&gt;&lt;wsp:rsid wsp:val=&quot;009D2A0C&quot;/&gt;&lt;wsp:rsid wsp:val=&quot;009D3C41&quot;/&gt;&lt;wsp:rsid wsp:val=&quot;009D4359&quot;/&gt;&lt;wsp:rsid wsp:val=&quot;009D5296&quot;/&gt;&lt;wsp:rsid wsp:val=&quot;009D6111&quot;/&gt;&lt;wsp:rsid wsp:val=&quot;009E1538&quot;/&gt;&lt;wsp:rsid wsp:val=&quot;009E15D2&quot;/&gt;&lt;wsp:rsid wsp:val=&quot;009E16B9&quot;/&gt;&lt;wsp:rsid wsp:val=&quot;009E1A18&quot;/&gt;&lt;wsp:rsid wsp:val=&quot;009E2BF6&quot;/&gt;&lt;wsp:rsid wsp:val=&quot;009E3A24&quot;/&gt;&lt;wsp:rsid wsp:val=&quot;009E4374&quot;/&gt;&lt;wsp:rsid wsp:val=&quot;009E4CF3&quot;/&gt;&lt;wsp:rsid wsp:val=&quot;009E5D59&quot;/&gt;&lt;wsp:rsid wsp:val=&quot;009E7FF4&quot;/&gt;&lt;wsp:rsid wsp:val=&quot;009F02F1&quot;/&gt;&lt;wsp:rsid wsp:val=&quot;009F1BA8&quot;/&gt;&lt;wsp:rsid wsp:val=&quot;009F21EA&quot;/&gt;&lt;wsp:rsid wsp:val=&quot;009F2534&quot;/&gt;&lt;wsp:rsid wsp:val=&quot;009F25BA&quot;/&gt;&lt;wsp:rsid wsp:val=&quot;009F4FAF&quot;/&gt;&lt;wsp:rsid wsp:val=&quot;009F6FB8&quot;/&gt;&lt;wsp:rsid wsp:val=&quot;009F7316&quot;/&gt;&lt;wsp:rsid wsp:val=&quot;00A00110&quot;/&gt;&lt;wsp:rsid wsp:val=&quot;00A00143&quot;/&gt;&lt;wsp:rsid wsp:val=&quot;00A02030&quot;/&gt;&lt;wsp:rsid wsp:val=&quot;00A0385E&quot;/&gt;&lt;wsp:rsid wsp:val=&quot;00A03DC7&quot;/&gt;&lt;wsp:rsid wsp:val=&quot;00A040A5&quot;/&gt;&lt;wsp:rsid wsp:val=&quot;00A056D8&quot;/&gt;&lt;wsp:rsid wsp:val=&quot;00A0749D&quot;/&gt;&lt;wsp:rsid wsp:val=&quot;00A10260&quot;/&gt;&lt;wsp:rsid wsp:val=&quot;00A10662&quot;/&gt;&lt;wsp:rsid wsp:val=&quot;00A11244&quot;/&gt;&lt;wsp:rsid wsp:val=&quot;00A11A46&quot;/&gt;&lt;wsp:rsid wsp:val=&quot;00A14B4D&quot;/&gt;&lt;wsp:rsid wsp:val=&quot;00A15A06&quot;/&gt;&lt;wsp:rsid wsp:val=&quot;00A15DB0&quot;/&gt;&lt;wsp:rsid wsp:val=&quot;00A1682D&quot;/&gt;&lt;wsp:rsid wsp:val=&quot;00A17768&quot;/&gt;&lt;wsp:rsid wsp:val=&quot;00A17CC2&quot;/&gt;&lt;wsp:rsid wsp:val=&quot;00A17EA9&quot;/&gt;&lt;wsp:rsid wsp:val=&quot;00A20034&quot;/&gt;&lt;wsp:rsid wsp:val=&quot;00A21C8D&quot;/&gt;&lt;wsp:rsid wsp:val=&quot;00A21C9B&quot;/&gt;&lt;wsp:rsid wsp:val=&quot;00A23167&quot;/&gt;&lt;wsp:rsid wsp:val=&quot;00A23AB9&quot;/&gt;&lt;wsp:rsid wsp:val=&quot;00A23BBF&quot;/&gt;&lt;wsp:rsid wsp:val=&quot;00A258F1&quot;/&gt;&lt;wsp:rsid wsp:val=&quot;00A30EBB&quot;/&gt;&lt;wsp:rsid wsp:val=&quot;00A3171A&quot;/&gt;&lt;wsp:rsid wsp:val=&quot;00A325EB&quot;/&gt;&lt;wsp:rsid wsp:val=&quot;00A354EC&quot;/&gt;&lt;wsp:rsid wsp:val=&quot;00A40347&quot;/&gt;&lt;wsp:rsid wsp:val=&quot;00A40B95&quot;/&gt;&lt;wsp:rsid wsp:val=&quot;00A41100&quot;/&gt;&lt;wsp:rsid wsp:val=&quot;00A41705&quot;/&gt;&lt;wsp:rsid wsp:val=&quot;00A42ADC&quot;/&gt;&lt;wsp:rsid wsp:val=&quot;00A435D6&quot;/&gt;&lt;wsp:rsid wsp:val=&quot;00A442C7&quot;/&gt;&lt;wsp:rsid wsp:val=&quot;00A4561F&quot;/&gt;&lt;wsp:rsid wsp:val=&quot;00A45A58&quot;/&gt;&lt;wsp:rsid wsp:val=&quot;00A4615E&quot;/&gt;&lt;wsp:rsid wsp:val=&quot;00A46B58&quot;/&gt;&lt;wsp:rsid wsp:val=&quot;00A473B3&quot;/&gt;&lt;wsp:rsid wsp:val=&quot;00A47D0E&quot;/&gt;&lt;wsp:rsid wsp:val=&quot;00A47DE3&quot;/&gt;&lt;wsp:rsid wsp:val=&quot;00A50650&quot;/&gt;&lt;wsp:rsid wsp:val=&quot;00A51206&quot;/&gt;&lt;wsp:rsid wsp:val=&quot;00A516DC&quot;/&gt;&lt;wsp:rsid wsp:val=&quot;00A51D19&quot;/&gt;&lt;wsp:rsid wsp:val=&quot;00A52327&quot;/&gt;&lt;wsp:rsid wsp:val=&quot;00A53739&quot;/&gt;&lt;wsp:rsid wsp:val=&quot;00A5445C&quot;/&gt;&lt;wsp:rsid wsp:val=&quot;00A547A3&quot;/&gt;&lt;wsp:rsid wsp:val=&quot;00A54E29&quot;/&gt;&lt;wsp:rsid wsp:val=&quot;00A55488&quot;/&gt;&lt;wsp:rsid wsp:val=&quot;00A555BB&quot;/&gt;&lt;wsp:rsid wsp:val=&quot;00A5568D&quot;/&gt;&lt;wsp:rsid wsp:val=&quot;00A567C2&quot;/&gt;&lt;wsp:rsid wsp:val=&quot;00A57176&quot;/&gt;&lt;wsp:rsid wsp:val=&quot;00A57647&quot;/&gt;&lt;wsp:rsid wsp:val=&quot;00A613A2&quot;/&gt;&lt;wsp:rsid wsp:val=&quot;00A62480&quot;/&gt;&lt;wsp:rsid wsp:val=&quot;00A628BE&quot;/&gt;&lt;wsp:rsid wsp:val=&quot;00A629ED&quot;/&gt;&lt;wsp:rsid wsp:val=&quot;00A62EA4&quot;/&gt;&lt;wsp:rsid wsp:val=&quot;00A62FAF&quot;/&gt;&lt;wsp:rsid wsp:val=&quot;00A639FD&quot;/&gt;&lt;wsp:rsid wsp:val=&quot;00A6497A&quot;/&gt;&lt;wsp:rsid wsp:val=&quot;00A64A2F&quot;/&gt;&lt;wsp:rsid wsp:val=&quot;00A66AE3&quot;/&gt;&lt;wsp:rsid wsp:val=&quot;00A66CC5&quot;/&gt;&lt;wsp:rsid wsp:val=&quot;00A6705D&quot;/&gt;&lt;wsp:rsid wsp:val=&quot;00A72765&quot;/&gt;&lt;wsp:rsid wsp:val=&quot;00A73A0B&quot;/&gt;&lt;wsp:rsid wsp:val=&quot;00A7471D&quot;/&gt;&lt;wsp:rsid wsp:val=&quot;00A7494E&quot;/&gt;&lt;wsp:rsid wsp:val=&quot;00A75228&quot;/&gt;&lt;wsp:rsid wsp:val=&quot;00A7526D&quot;/&gt;&lt;wsp:rsid wsp:val=&quot;00A76A6B&quot;/&gt;&lt;wsp:rsid wsp:val=&quot;00A76D36&quot;/&gt;&lt;wsp:rsid wsp:val=&quot;00A775AC&quot;/&gt;&lt;wsp:rsid wsp:val=&quot;00A8020A&quot;/&gt;&lt;wsp:rsid wsp:val=&quot;00A818A2&quot;/&gt;&lt;wsp:rsid wsp:val=&quot;00A81CCC&quot;/&gt;&lt;wsp:rsid wsp:val=&quot;00A82D94&quot;/&gt;&lt;wsp:rsid wsp:val=&quot;00A82ECB&quot;/&gt;&lt;wsp:rsid wsp:val=&quot;00A82F62&quot;/&gt;&lt;wsp:rsid wsp:val=&quot;00A83028&quot;/&gt;&lt;wsp:rsid wsp:val=&quot;00A84387&quot;/&gt;&lt;wsp:rsid wsp:val=&quot;00A84834&quot;/&gt;&lt;wsp:rsid wsp:val=&quot;00A84C55&quot;/&gt;&lt;wsp:rsid wsp:val=&quot;00A85742&quot;/&gt;&lt;wsp:rsid wsp:val=&quot;00A85E89&quot;/&gt;&lt;wsp:rsid wsp:val=&quot;00A90E46&quot;/&gt;&lt;wsp:rsid wsp:val=&quot;00A9181C&quot;/&gt;&lt;wsp:rsid wsp:val=&quot;00A91B8A&quot;/&gt;&lt;wsp:rsid wsp:val=&quot;00A92482&quot;/&gt;&lt;wsp:rsid wsp:val=&quot;00A92BFD&quot;/&gt;&lt;wsp:rsid wsp:val=&quot;00A9369D&quot;/&gt;&lt;wsp:rsid wsp:val=&quot;00A93980&quot;/&gt;&lt;wsp:rsid wsp:val=&quot;00A96527&quot;/&gt;&lt;wsp:rsid wsp:val=&quot;00A97C4A&quot;/&gt;&lt;wsp:rsid wsp:val=&quot;00AA230C&quot;/&gt;&lt;wsp:rsid wsp:val=&quot;00AA3C85&quot;/&gt;&lt;wsp:rsid wsp:val=&quot;00AA49B4&quot;/&gt;&lt;wsp:rsid wsp:val=&quot;00AA4E0E&quot;/&gt;&lt;wsp:rsid wsp:val=&quot;00AA572F&quot;/&gt;&lt;wsp:rsid wsp:val=&quot;00AA5B4B&quot;/&gt;&lt;wsp:rsid wsp:val=&quot;00AA658C&quot;/&gt;&lt;wsp:rsid wsp:val=&quot;00AA6C6A&quot;/&gt;&lt;wsp:rsid wsp:val=&quot;00AA6D5D&quot;/&gt;&lt;wsp:rsid wsp:val=&quot;00AA6E5E&quot;/&gt;&lt;wsp:rsid wsp:val=&quot;00AA6F21&quot;/&gt;&lt;wsp:rsid wsp:val=&quot;00AA7402&quot;/&gt;&lt;wsp:rsid wsp:val=&quot;00AB0B87&quot;/&gt;&lt;wsp:rsid wsp:val=&quot;00AB0D2B&quot;/&gt;&lt;wsp:rsid wsp:val=&quot;00AB0E97&quot;/&gt;&lt;wsp:rsid wsp:val=&quot;00AB4135&quot;/&gt;&lt;wsp:rsid wsp:val=&quot;00AB467F&quot;/&gt;&lt;wsp:rsid wsp:val=&quot;00AB62CB&quot;/&gt;&lt;wsp:rsid wsp:val=&quot;00AB7D32&quot;/&gt;&lt;wsp:rsid wsp:val=&quot;00AB7F3D&quot;/&gt;&lt;wsp:rsid wsp:val=&quot;00AC085C&quot;/&gt;&lt;wsp:rsid wsp:val=&quot;00AC132D&quot;/&gt;&lt;wsp:rsid wsp:val=&quot;00AC14FD&quot;/&gt;&lt;wsp:rsid wsp:val=&quot;00AC248F&quot;/&gt;&lt;wsp:rsid wsp:val=&quot;00AC343F&quot;/&gt;&lt;wsp:rsid wsp:val=&quot;00AC4F38&quot;/&gt;&lt;wsp:rsid wsp:val=&quot;00AC64B0&quot;/&gt;&lt;wsp:rsid wsp:val=&quot;00AC697A&quot;/&gt;&lt;wsp:rsid wsp:val=&quot;00AC7220&quot;/&gt;&lt;wsp:rsid wsp:val=&quot;00AC7773&quot;/&gt;&lt;wsp:rsid wsp:val=&quot;00AC7804&quot;/&gt;&lt;wsp:rsid wsp:val=&quot;00AD0BF0&quot;/&gt;&lt;wsp:rsid wsp:val=&quot;00AD1CFE&quot;/&gt;&lt;wsp:rsid wsp:val=&quot;00AD2B0D&quot;/&gt;&lt;wsp:rsid wsp:val=&quot;00AD34A9&quot;/&gt;&lt;wsp:rsid wsp:val=&quot;00AD3CE1&quot;/&gt;&lt;wsp:rsid wsp:val=&quot;00AD4139&quot;/&gt;&lt;wsp:rsid wsp:val=&quot;00AD4AD6&quot;/&gt;&lt;wsp:rsid wsp:val=&quot;00AD4C59&quot;/&gt;&lt;wsp:rsid wsp:val=&quot;00AD5397&quot;/&gt;&lt;wsp:rsid wsp:val=&quot;00AE051D&quot;/&gt;&lt;wsp:rsid wsp:val=&quot;00AE0962&quot;/&gt;&lt;wsp:rsid wsp:val=&quot;00AE0AE4&quot;/&gt;&lt;wsp:rsid wsp:val=&quot;00AE2BC5&quot;/&gt;&lt;wsp:rsid wsp:val=&quot;00AE3217&quot;/&gt;&lt;wsp:rsid wsp:val=&quot;00AE6DB2&quot;/&gt;&lt;wsp:rsid wsp:val=&quot;00AF0C46&quot;/&gt;&lt;wsp:rsid wsp:val=&quot;00AF0D8B&quot;/&gt;&lt;wsp:rsid wsp:val=&quot;00AF16B6&quot;/&gt;&lt;wsp:rsid wsp:val=&quot;00AF2C83&quot;/&gt;&lt;wsp:rsid wsp:val=&quot;00AF34C3&quot;/&gt;&lt;wsp:rsid wsp:val=&quot;00AF419C&quot;/&gt;&lt;wsp:rsid wsp:val=&quot;00AF4293&quot;/&gt;&lt;wsp:rsid wsp:val=&quot;00AF4B10&quot;/&gt;&lt;wsp:rsid wsp:val=&quot;00AF5979&quot;/&gt;&lt;wsp:rsid wsp:val=&quot;00AF5C0A&quot;/&gt;&lt;wsp:rsid wsp:val=&quot;00AF6477&quot;/&gt;&lt;wsp:rsid wsp:val=&quot;00AF66C1&quot;/&gt;&lt;wsp:rsid wsp:val=&quot;00B01BBB&quot;/&gt;&lt;wsp:rsid wsp:val=&quot;00B02355&quot;/&gt;&lt;wsp:rsid wsp:val=&quot;00B03151&quot;/&gt;&lt;wsp:rsid wsp:val=&quot;00B0492D&quot;/&gt;&lt;wsp:rsid wsp:val=&quot;00B05666&quot;/&gt;&lt;wsp:rsid wsp:val=&quot;00B05872&quot;/&gt;&lt;wsp:rsid wsp:val=&quot;00B0667C&quot;/&gt;&lt;wsp:rsid wsp:val=&quot;00B0776E&quot;/&gt;&lt;wsp:rsid wsp:val=&quot;00B10423&quot;/&gt;&lt;wsp:rsid wsp:val=&quot;00B11147&quot;/&gt;&lt;wsp:rsid wsp:val=&quot;00B1261C&quot;/&gt;&lt;wsp:rsid wsp:val=&quot;00B14CC5&quot;/&gt;&lt;wsp:rsid wsp:val=&quot;00B14F56&quot;/&gt;&lt;wsp:rsid wsp:val=&quot;00B152F6&quot;/&gt;&lt;wsp:rsid wsp:val=&quot;00B176A7&quot;/&gt;&lt;wsp:rsid wsp:val=&quot;00B235A2&quot;/&gt;&lt;wsp:rsid wsp:val=&quot;00B2435A&quot;/&gt;&lt;wsp:rsid wsp:val=&quot;00B24579&quot;/&gt;&lt;wsp:rsid wsp:val=&quot;00B245B9&quot;/&gt;&lt;wsp:rsid wsp:val=&quot;00B246C5&quot;/&gt;&lt;wsp:rsid wsp:val=&quot;00B249A1&quot;/&gt;&lt;wsp:rsid wsp:val=&quot;00B25721&quot;/&gt;&lt;wsp:rsid wsp:val=&quot;00B27150&quot;/&gt;&lt;wsp:rsid wsp:val=&quot;00B27E82&quot;/&gt;&lt;wsp:rsid wsp:val=&quot;00B27FFC&quot;/&gt;&lt;wsp:rsid wsp:val=&quot;00B308B6&quot;/&gt;&lt;wsp:rsid wsp:val=&quot;00B314E8&quot;/&gt;&lt;wsp:rsid wsp:val=&quot;00B31C47&quot;/&gt;&lt;wsp:rsid wsp:val=&quot;00B3266B&quot;/&gt;&lt;wsp:rsid wsp:val=&quot;00B326C7&quot;/&gt;&lt;wsp:rsid wsp:val=&quot;00B3443E&quot;/&gt;&lt;wsp:rsid wsp:val=&quot;00B3464B&quot;/&gt;&lt;wsp:rsid wsp:val=&quot;00B3651A&quot;/&gt;&lt;wsp:rsid wsp:val=&quot;00B3657B&quot;/&gt;&lt;wsp:rsid wsp:val=&quot;00B41E9B&quot;/&gt;&lt;wsp:rsid wsp:val=&quot;00B426B6&quot;/&gt;&lt;wsp:rsid wsp:val=&quot;00B427D4&quot;/&gt;&lt;wsp:rsid wsp:val=&quot;00B42ADC&quot;/&gt;&lt;wsp:rsid wsp:val=&quot;00B43ACE&quot;/&gt;&lt;wsp:rsid wsp:val=&quot;00B44FA5&quot;/&gt;&lt;wsp:rsid wsp:val=&quot;00B4510A&quot;/&gt;&lt;wsp:rsid wsp:val=&quot;00B476D1&quot;/&gt;&lt;wsp:rsid wsp:val=&quot;00B4793B&quot;/&gt;&lt;wsp:rsid wsp:val=&quot;00B47D5D&quot;/&gt;&lt;wsp:rsid wsp:val=&quot;00B47D6D&quot;/&gt;&lt;wsp:rsid wsp:val=&quot;00B501D1&quot;/&gt;&lt;wsp:rsid wsp:val=&quot;00B509C8&quot;/&gt;&lt;wsp:rsid wsp:val=&quot;00B50C2C&quot;/&gt;&lt;wsp:rsid wsp:val=&quot;00B50D71&quot;/&gt;&lt;wsp:rsid wsp:val=&quot;00B51A2D&quot;/&gt;&lt;wsp:rsid wsp:val=&quot;00B51E34&quot;/&gt;&lt;wsp:rsid wsp:val=&quot;00B53FCF&quot;/&gt;&lt;wsp:rsid wsp:val=&quot;00B547F5&quot;/&gt;&lt;wsp:rsid wsp:val=&quot;00B5483E&quot;/&gt;&lt;wsp:rsid wsp:val=&quot;00B54887&quot;/&gt;&lt;wsp:rsid wsp:val=&quot;00B549C6&quot;/&gt;&lt;wsp:rsid wsp:val=&quot;00B55059&quot;/&gt;&lt;wsp:rsid wsp:val=&quot;00B55B8C&quot;/&gt;&lt;wsp:rsid wsp:val=&quot;00B563EC&quot;/&gt;&lt;wsp:rsid wsp:val=&quot;00B56BCC&quot;/&gt;&lt;wsp:rsid wsp:val=&quot;00B56F46&quot;/&gt;&lt;wsp:rsid wsp:val=&quot;00B57ABF&quot;/&gt;&lt;wsp:rsid wsp:val=&quot;00B605B8&quot;/&gt;&lt;wsp:rsid wsp:val=&quot;00B609CF&quot;/&gt;&lt;wsp:rsid wsp:val=&quot;00B6119C&quot;/&gt;&lt;wsp:rsid wsp:val=&quot;00B61810&quot;/&gt;&lt;wsp:rsid wsp:val=&quot;00B620E5&quot;/&gt;&lt;wsp:rsid wsp:val=&quot;00B62116&quot;/&gt;&lt;wsp:rsid wsp:val=&quot;00B62AA7&quot;/&gt;&lt;wsp:rsid wsp:val=&quot;00B62B35&quot;/&gt;&lt;wsp:rsid wsp:val=&quot;00B63249&quot;/&gt;&lt;wsp:rsid wsp:val=&quot;00B632B3&quot;/&gt;&lt;wsp:rsid wsp:val=&quot;00B63B33&quot;/&gt;&lt;wsp:rsid wsp:val=&quot;00B657DF&quot;/&gt;&lt;wsp:rsid wsp:val=&quot;00B6598F&quot;/&gt;&lt;wsp:rsid wsp:val=&quot;00B66838&quot;/&gt;&lt;wsp:rsid wsp:val=&quot;00B66FD5&quot;/&gt;&lt;wsp:rsid wsp:val=&quot;00B6715D&quot;/&gt;&lt;wsp:rsid wsp:val=&quot;00B675B2&quot;/&gt;&lt;wsp:rsid wsp:val=&quot;00B678E5&quot;/&gt;&lt;wsp:rsid wsp:val=&quot;00B70FE5&quot;/&gt;&lt;wsp:rsid wsp:val=&quot;00B71648&quot;/&gt;&lt;wsp:rsid wsp:val=&quot;00B7251A&quot;/&gt;&lt;wsp:rsid wsp:val=&quot;00B728CC&quot;/&gt;&lt;wsp:rsid wsp:val=&quot;00B7346B&quot;/&gt;&lt;wsp:rsid wsp:val=&quot;00B74170&quot;/&gt;&lt;wsp:rsid wsp:val=&quot;00B74BB5&quot;/&gt;&lt;wsp:rsid wsp:val=&quot;00B75E8B&quot;/&gt;&lt;wsp:rsid wsp:val=&quot;00B81590&quot;/&gt;&lt;wsp:rsid wsp:val=&quot;00B81C27&quot;/&gt;&lt;wsp:rsid wsp:val=&quot;00B82581&quot;/&gt;&lt;wsp:rsid wsp:val=&quot;00B829DB&quot;/&gt;&lt;wsp:rsid wsp:val=&quot;00B842C0&quot;/&gt;&lt;wsp:rsid wsp:val=&quot;00B84774&quot;/&gt;&lt;wsp:rsid wsp:val=&quot;00B8534D&quot;/&gt;&lt;wsp:rsid wsp:val=&quot;00B857E3&quot;/&gt;&lt;wsp:rsid wsp:val=&quot;00B86617&quot;/&gt;&lt;wsp:rsid wsp:val=&quot;00B87107&quot;/&gt;&lt;wsp:rsid wsp:val=&quot;00B87A80&quot;/&gt;&lt;wsp:rsid wsp:val=&quot;00B87D23&quot;/&gt;&lt;wsp:rsid wsp:val=&quot;00B9046E&quot;/&gt;&lt;wsp:rsid wsp:val=&quot;00B90F79&quot;/&gt;&lt;wsp:rsid wsp:val=&quot;00B91268&quot;/&gt;&lt;wsp:rsid wsp:val=&quot;00B93497&quot;/&gt;&lt;wsp:rsid wsp:val=&quot;00B9366A&quot;/&gt;&lt;wsp:rsid wsp:val=&quot;00B94BC4&quot;/&gt;&lt;wsp:rsid wsp:val=&quot;00B953E9&quot;/&gt;&lt;wsp:rsid wsp:val=&quot;00B95738&quot;/&gt;&lt;wsp:rsid wsp:val=&quot;00B95770&quot;/&gt;&lt;wsp:rsid wsp:val=&quot;00B95C95&quot;/&gt;&lt;wsp:rsid wsp:val=&quot;00B96EFB&quot;/&gt;&lt;wsp:rsid wsp:val=&quot;00B9741B&quot;/&gt;&lt;wsp:rsid wsp:val=&quot;00BA0683&quot;/&gt;&lt;wsp:rsid wsp:val=&quot;00BA0890&quot;/&gt;&lt;wsp:rsid wsp:val=&quot;00BA18DB&quot;/&gt;&lt;wsp:rsid wsp:val=&quot;00BA23C9&quot;/&gt;&lt;wsp:rsid wsp:val=&quot;00BA2F51&quot;/&gt;&lt;wsp:rsid wsp:val=&quot;00BA360D&quot;/&gt;&lt;wsp:rsid wsp:val=&quot;00BA4730&quot;/&gt;&lt;wsp:rsid wsp:val=&quot;00BA5852&quot;/&gt;&lt;wsp:rsid wsp:val=&quot;00BA5859&quot;/&gt;&lt;wsp:rsid wsp:val=&quot;00BA5C09&quot;/&gt;&lt;wsp:rsid wsp:val=&quot;00BA5F48&quot;/&gt;&lt;wsp:rsid wsp:val=&quot;00BA7D48&quot;/&gt;&lt;wsp:rsid wsp:val=&quot;00BB1607&quot;/&gt;&lt;wsp:rsid wsp:val=&quot;00BB1EBF&quot;/&gt;&lt;wsp:rsid wsp:val=&quot;00BB3750&quot;/&gt;&lt;wsp:rsid wsp:val=&quot;00BB44B3&quot;/&gt;&lt;wsp:rsid wsp:val=&quot;00BB5CEE&quot;/&gt;&lt;wsp:rsid wsp:val=&quot;00BB7A2F&quot;/&gt;&lt;wsp:rsid wsp:val=&quot;00BB7D6A&quot;/&gt;&lt;wsp:rsid wsp:val=&quot;00BC0367&quot;/&gt;&lt;wsp:rsid wsp:val=&quot;00BC04D4&quot;/&gt;&lt;wsp:rsid wsp:val=&quot;00BC17F6&quot;/&gt;&lt;wsp:rsid wsp:val=&quot;00BC349B&quot;/&gt;&lt;wsp:rsid wsp:val=&quot;00BC3F22&quot;/&gt;&lt;wsp:rsid wsp:val=&quot;00BC4D0B&quot;/&gt;&lt;wsp:rsid wsp:val=&quot;00BC51BE&quot;/&gt;&lt;wsp:rsid wsp:val=&quot;00BC5448&quot;/&gt;&lt;wsp:rsid wsp:val=&quot;00BC5E8C&quot;/&gt;&lt;wsp:rsid wsp:val=&quot;00BC78A3&quot;/&gt;&lt;wsp:rsid wsp:val=&quot;00BC78DD&quot;/&gt;&lt;wsp:rsid wsp:val=&quot;00BD02BF&quot;/&gt;&lt;wsp:rsid wsp:val=&quot;00BD1D7B&quot;/&gt;&lt;wsp:rsid wsp:val=&quot;00BD2ECE&quot;/&gt;&lt;wsp:rsid wsp:val=&quot;00BD40EA&quot;/&gt;&lt;wsp:rsid wsp:val=&quot;00BD49CF&quot;/&gt;&lt;wsp:rsid wsp:val=&quot;00BD5104&quot;/&gt;&lt;wsp:rsid wsp:val=&quot;00BD581B&quot;/&gt;&lt;wsp:rsid wsp:val=&quot;00BD7A42&quot;/&gt;&lt;wsp:rsid wsp:val=&quot;00BD7B2E&quot;/&gt;&lt;wsp:rsid wsp:val=&quot;00BE2D5F&quot;/&gt;&lt;wsp:rsid wsp:val=&quot;00BE323A&quot;/&gt;&lt;wsp:rsid wsp:val=&quot;00BE35E9&quot;/&gt;&lt;wsp:rsid wsp:val=&quot;00BE4119&quot;/&gt;&lt;wsp:rsid wsp:val=&quot;00BE4B83&quot;/&gt;&lt;wsp:rsid wsp:val=&quot;00BE4CBE&quot;/&gt;&lt;wsp:rsid wsp:val=&quot;00BE7DA1&quot;/&gt;&lt;wsp:rsid wsp:val=&quot;00BF0BA9&quot;/&gt;&lt;wsp:rsid wsp:val=&quot;00BF15C4&quot;/&gt;&lt;wsp:rsid wsp:val=&quot;00BF1723&quot;/&gt;&lt;wsp:rsid wsp:val=&quot;00BF1AB5&quot;/&gt;&lt;wsp:rsid wsp:val=&quot;00BF209F&quot;/&gt;&lt;wsp:rsid wsp:val=&quot;00BF294A&quot;/&gt;&lt;wsp:rsid wsp:val=&quot;00BF32B8&quot;/&gt;&lt;wsp:rsid wsp:val=&quot;00BF3AA9&quot;/&gt;&lt;wsp:rsid wsp:val=&quot;00BF4387&quot;/&gt;&lt;wsp:rsid wsp:val=&quot;00BF443C&quot;/&gt;&lt;wsp:rsid wsp:val=&quot;00BF4F55&quot;/&gt;&lt;wsp:rsid wsp:val=&quot;00BF60F4&quot;/&gt;&lt;wsp:rsid wsp:val=&quot;00BF6A69&quot;/&gt;&lt;wsp:rsid wsp:val=&quot;00BF7027&quot;/&gt;&lt;wsp:rsid wsp:val=&quot;00BF7448&quot;/&gt;&lt;wsp:rsid wsp:val=&quot;00BF7AB4&quot;/&gt;&lt;wsp:rsid wsp:val=&quot;00C00B75&quot;/&gt;&lt;wsp:rsid wsp:val=&quot;00C010E2&quot;/&gt;&lt;wsp:rsid wsp:val=&quot;00C02FD9&quot;/&gt;&lt;wsp:rsid wsp:val=&quot;00C03174&quot;/&gt;&lt;wsp:rsid wsp:val=&quot;00C03488&quot;/&gt;&lt;wsp:rsid wsp:val=&quot;00C0471C&quot;/&gt;&lt;wsp:rsid wsp:val=&quot;00C0689B&quot;/&gt;&lt;wsp:rsid wsp:val=&quot;00C06CED&quot;/&gt;&lt;wsp:rsid wsp:val=&quot;00C07B04&quot;/&gt;&lt;wsp:rsid wsp:val=&quot;00C135CC&quot;/&gt;&lt;wsp:rsid wsp:val=&quot;00C15330&quot;/&gt;&lt;wsp:rsid wsp:val=&quot;00C156B0&quot;/&gt;&lt;wsp:rsid wsp:val=&quot;00C16AAD&quot;/&gt;&lt;wsp:rsid wsp:val=&quot;00C172BB&quot;/&gt;&lt;wsp:rsid wsp:val=&quot;00C17423&quot;/&gt;&lt;wsp:rsid wsp:val=&quot;00C20D00&quot;/&gt;&lt;wsp:rsid wsp:val=&quot;00C2284D&quot;/&gt;&lt;wsp:rsid wsp:val=&quot;00C242D7&quot;/&gt;&lt;wsp:rsid wsp:val=&quot;00C24BC0&quot;/&gt;&lt;wsp:rsid wsp:val=&quot;00C25080&quot;/&gt;&lt;wsp:rsid wsp:val=&quot;00C256D5&quot;/&gt;&lt;wsp:rsid wsp:val=&quot;00C268D4&quot;/&gt;&lt;wsp:rsid wsp:val=&quot;00C2795A&quot;/&gt;&lt;wsp:rsid wsp:val=&quot;00C27AB9&quot;/&gt;&lt;wsp:rsid wsp:val=&quot;00C3047B&quot;/&gt;&lt;wsp:rsid wsp:val=&quot;00C31739&quot;/&gt;&lt;wsp:rsid wsp:val=&quot;00C32701&quot;/&gt;&lt;wsp:rsid wsp:val=&quot;00C32E6E&quot;/&gt;&lt;wsp:rsid wsp:val=&quot;00C34E2B&quot;/&gt;&lt;wsp:rsid wsp:val=&quot;00C358C6&quot;/&gt;&lt;wsp:rsid wsp:val=&quot;00C364B7&quot;/&gt;&lt;wsp:rsid wsp:val=&quot;00C366A2&quot;/&gt;&lt;wsp:rsid wsp:val=&quot;00C366A7&quot;/&gt;&lt;wsp:rsid wsp:val=&quot;00C37FC7&quot;/&gt;&lt;wsp:rsid wsp:val=&quot;00C4142F&quot;/&gt;&lt;wsp:rsid wsp:val=&quot;00C43CD0&quot;/&gt;&lt;wsp:rsid wsp:val=&quot;00C448CA&quot;/&gt;&lt;wsp:rsid wsp:val=&quot;00C44D4B&quot;/&gt;&lt;wsp:rsid wsp:val=&quot;00C45A37&quot;/&gt;&lt;wsp:rsid wsp:val=&quot;00C475A8&quot;/&gt;&lt;wsp:rsid wsp:val=&quot;00C47875&quot;/&gt;&lt;wsp:rsid wsp:val=&quot;00C47AD2&quot;/&gt;&lt;wsp:rsid wsp:val=&quot;00C47B1B&quot;/&gt;&lt;wsp:rsid wsp:val=&quot;00C50738&quot;/&gt;&lt;wsp:rsid wsp:val=&quot;00C50EB1&quot;/&gt;&lt;wsp:rsid wsp:val=&quot;00C52B13&quot;/&gt;&lt;wsp:rsid wsp:val=&quot;00C534B8&quot;/&gt;&lt;wsp:rsid wsp:val=&quot;00C538BF&quot;/&gt;&lt;wsp:rsid wsp:val=&quot;00C546FA&quot;/&gt;&lt;wsp:rsid wsp:val=&quot;00C54B6A&quot;/&gt;&lt;wsp:rsid wsp:val=&quot;00C54F99&quot;/&gt;&lt;wsp:rsid wsp:val=&quot;00C5523E&quot;/&gt;&lt;wsp:rsid wsp:val=&quot;00C55AA7&quot;/&gt;&lt;wsp:rsid wsp:val=&quot;00C55B55&quot;/&gt;&lt;wsp:rsid wsp:val=&quot;00C57C2F&quot;/&gt;&lt;wsp:rsid wsp:val=&quot;00C57FAF&quot;/&gt;&lt;wsp:rsid wsp:val=&quot;00C604FE&quot;/&gt;&lt;wsp:rsid wsp:val=&quot;00C60BD5&quot;/&gt;&lt;wsp:rsid wsp:val=&quot;00C61011&quot;/&gt;&lt;wsp:rsid wsp:val=&quot;00C6273D&quot;/&gt;&lt;wsp:rsid wsp:val=&quot;00C639B2&quot;/&gt;&lt;wsp:rsid wsp:val=&quot;00C63EB5&quot;/&gt;&lt;wsp:rsid wsp:val=&quot;00C65294&quot;/&gt;&lt;wsp:rsid wsp:val=&quot;00C6598D&quot;/&gt;&lt;wsp:rsid wsp:val=&quot;00C65A8A&quot;/&gt;&lt;wsp:rsid wsp:val=&quot;00C65DE1&quot;/&gt;&lt;wsp:rsid wsp:val=&quot;00C65FAC&quot;/&gt;&lt;wsp:rsid wsp:val=&quot;00C66169&quot;/&gt;&lt;wsp:rsid wsp:val=&quot;00C6664E&quot;/&gt;&lt;wsp:rsid wsp:val=&quot;00C67368&quot;/&gt;&lt;wsp:rsid wsp:val=&quot;00C6772E&quot;/&gt;&lt;wsp:rsid wsp:val=&quot;00C70975&quot;/&gt;&lt;wsp:rsid wsp:val=&quot;00C70986&quot;/&gt;&lt;wsp:rsid wsp:val=&quot;00C71150&quot;/&gt;&lt;wsp:rsid wsp:val=&quot;00C715DB&quot;/&gt;&lt;wsp:rsid wsp:val=&quot;00C71A02&quot;/&gt;&lt;wsp:rsid wsp:val=&quot;00C72898&quot;/&gt;&lt;wsp:rsid wsp:val=&quot;00C73DA1&quot;/&gt;&lt;wsp:rsid wsp:val=&quot;00C75082&quot;/&gt;&lt;wsp:rsid wsp:val=&quot;00C75E05&quot;/&gt;&lt;wsp:rsid wsp:val=&quot;00C77F89&quot;/&gt;&lt;wsp:rsid wsp:val=&quot;00C802B1&quot;/&gt;&lt;wsp:rsid wsp:val=&quot;00C80CA8&quot;/&gt;&lt;wsp:rsid wsp:val=&quot;00C83131&quot;/&gt;&lt;wsp:rsid wsp:val=&quot;00C83AE9&quot;/&gt;&lt;wsp:rsid wsp:val=&quot;00C842D8&quot;/&gt;&lt;wsp:rsid wsp:val=&quot;00C8512D&quot;/&gt;&lt;wsp:rsid wsp:val=&quot;00C86137&quot;/&gt;&lt;wsp:rsid wsp:val=&quot;00C86146&quot;/&gt;&lt;wsp:rsid wsp:val=&quot;00C86A94&quot;/&gt;&lt;wsp:rsid wsp:val=&quot;00C86D1B&quot;/&gt;&lt;wsp:rsid wsp:val=&quot;00C9187F&quot;/&gt;&lt;wsp:rsid wsp:val=&quot;00C921C6&quot;/&gt;&lt;wsp:rsid wsp:val=&quot;00C92383&quot;/&gt;&lt;wsp:rsid wsp:val=&quot;00C9393A&quot;/&gt;&lt;wsp:rsid wsp:val=&quot;00C97D21&quot;/&gt;&lt;wsp:rsid wsp:val=&quot;00C97DA0&quot;/&gt;&lt;wsp:rsid wsp:val=&quot;00CA022C&quot;/&gt;&lt;wsp:rsid wsp:val=&quot;00CA0569&quot;/&gt;&lt;wsp:rsid wsp:val=&quot;00CA2655&quot;/&gt;&lt;wsp:rsid wsp:val=&quot;00CA3655&quot;/&gt;&lt;wsp:rsid wsp:val=&quot;00CA409E&quot;/&gt;&lt;wsp:rsid wsp:val=&quot;00CA47E1&quot;/&gt;&lt;wsp:rsid wsp:val=&quot;00CA5403&quot;/&gt;&lt;wsp:rsid wsp:val=&quot;00CA5541&quot;/&gt;&lt;wsp:rsid wsp:val=&quot;00CA5A40&quot;/&gt;&lt;wsp:rsid wsp:val=&quot;00CA67F2&quot;/&gt;&lt;wsp:rsid wsp:val=&quot;00CA7992&quot;/&gt;&lt;wsp:rsid wsp:val=&quot;00CA7C85&quot;/&gt;&lt;wsp:rsid wsp:val=&quot;00CA7DAD&quot;/&gt;&lt;wsp:rsid wsp:val=&quot;00CB014B&quot;/&gt;&lt;wsp:rsid wsp:val=&quot;00CB090F&quot;/&gt;&lt;wsp:rsid wsp:val=&quot;00CB36A8&quot;/&gt;&lt;wsp:rsid wsp:val=&quot;00CB3F10&quot;/&gt;&lt;wsp:rsid wsp:val=&quot;00CB5DD2&quot;/&gt;&lt;wsp:rsid wsp:val=&quot;00CC043A&quot;/&gt;&lt;wsp:rsid wsp:val=&quot;00CC05BD&quot;/&gt;&lt;wsp:rsid wsp:val=&quot;00CC246D&quot;/&gt;&lt;wsp:rsid wsp:val=&quot;00CC332A&quot;/&gt;&lt;wsp:rsid wsp:val=&quot;00CC390D&quot;/&gt;&lt;wsp:rsid wsp:val=&quot;00CC4959&quot;/&gt;&lt;wsp:rsid wsp:val=&quot;00CC5071&quot;/&gt;&lt;wsp:rsid wsp:val=&quot;00CC69F9&quot;/&gt;&lt;wsp:rsid wsp:val=&quot;00CC6C0E&quot;/&gt;&lt;wsp:rsid wsp:val=&quot;00CD056F&quot;/&gt;&lt;wsp:rsid wsp:val=&quot;00CD0E66&quot;/&gt;&lt;wsp:rsid wsp:val=&quot;00CD2491&quot;/&gt;&lt;wsp:rsid wsp:val=&quot;00CD368A&quot;/&gt;&lt;wsp:rsid wsp:val=&quot;00CD47B1&quot;/&gt;&lt;wsp:rsid wsp:val=&quot;00CD4F34&quot;/&gt;&lt;wsp:rsid wsp:val=&quot;00CD5467&quot;/&gt;&lt;wsp:rsid wsp:val=&quot;00CD5786&quot;/&gt;&lt;wsp:rsid wsp:val=&quot;00CD6EAE&quot;/&gt;&lt;wsp:rsid wsp:val=&quot;00CD7637&quot;/&gt;&lt;wsp:rsid wsp:val=&quot;00CE04CD&quot;/&gt;&lt;wsp:rsid wsp:val=&quot;00CE1256&quot;/&gt;&lt;wsp:rsid wsp:val=&quot;00CE12A8&quot;/&gt;&lt;wsp:rsid wsp:val=&quot;00CE1F6D&quot;/&gt;&lt;wsp:rsid wsp:val=&quot;00CE29EF&quot;/&gt;&lt;wsp:rsid wsp:val=&quot;00CE3A40&quot;/&gt;&lt;wsp:rsid wsp:val=&quot;00CE5207&quot;/&gt;&lt;wsp:rsid wsp:val=&quot;00CE680D&quot;/&gt;&lt;wsp:rsid wsp:val=&quot;00CE7CB9&quot;/&gt;&lt;wsp:rsid wsp:val=&quot;00CF0D57&quot;/&gt;&lt;wsp:rsid wsp:val=&quot;00CF0EDD&quot;/&gt;&lt;wsp:rsid wsp:val=&quot;00CF0FCC&quot;/&gt;&lt;wsp:rsid wsp:val=&quot;00CF222E&quot;/&gt;&lt;wsp:rsid wsp:val=&quot;00CF286A&quot;/&gt;&lt;wsp:rsid wsp:val=&quot;00CF397D&quot;/&gt;&lt;wsp:rsid wsp:val=&quot;00CF3CA9&quot;/&gt;&lt;wsp:rsid wsp:val=&quot;00CF419A&quot;/&gt;&lt;wsp:rsid wsp:val=&quot;00CF46E8&quot;/&gt;&lt;wsp:rsid wsp:val=&quot;00CF710C&quot;/&gt;&lt;wsp:rsid wsp:val=&quot;00CF793B&quot;/&gt;&lt;wsp:rsid wsp:val=&quot;00CF7B4F&quot;/&gt;&lt;wsp:rsid wsp:val=&quot;00D00624&quot;/&gt;&lt;wsp:rsid wsp:val=&quot;00D007BD&quot;/&gt;&lt;wsp:rsid wsp:val=&quot;00D00E24&quot;/&gt;&lt;wsp:rsid wsp:val=&quot;00D017D7&quot;/&gt;&lt;wsp:rsid wsp:val=&quot;00D01DC3&quot;/&gt;&lt;wsp:rsid wsp:val=&quot;00D0223B&quot;/&gt;&lt;wsp:rsid wsp:val=&quot;00D03E53&quot;/&gt;&lt;wsp:rsid wsp:val=&quot;00D03FFA&quot;/&gt;&lt;wsp:rsid wsp:val=&quot;00D0425B&quot;/&gt;&lt;wsp:rsid wsp:val=&quot;00D047C1&quot;/&gt;&lt;wsp:rsid wsp:val=&quot;00D04FAE&quot;/&gt;&lt;wsp:rsid wsp:val=&quot;00D05383&quot;/&gt;&lt;wsp:rsid wsp:val=&quot;00D06B21&quot;/&gt;&lt;wsp:rsid wsp:val=&quot;00D06EAE&quot;/&gt;&lt;wsp:rsid wsp:val=&quot;00D0792C&quot;/&gt;&lt;wsp:rsid wsp:val=&quot;00D079E0&quot;/&gt;&lt;wsp:rsid wsp:val=&quot;00D07DFF&quot;/&gt;&lt;wsp:rsid wsp:val=&quot;00D10D86&quot;/&gt;&lt;wsp:rsid wsp:val=&quot;00D1198F&quot;/&gt;&lt;wsp:rsid wsp:val=&quot;00D12EFE&quot;/&gt;&lt;wsp:rsid wsp:val=&quot;00D13841&quot;/&gt;&lt;wsp:rsid wsp:val=&quot;00D138E4&quot;/&gt;&lt;wsp:rsid wsp:val=&quot;00D17BCA&quot;/&gt;&lt;wsp:rsid wsp:val=&quot;00D17CE9&quot;/&gt;&lt;wsp:rsid wsp:val=&quot;00D17D55&quot;/&gt;&lt;wsp:rsid wsp:val=&quot;00D20506&quot;/&gt;&lt;wsp:rsid wsp:val=&quot;00D2079F&quot;/&gt;&lt;wsp:rsid wsp:val=&quot;00D20D1F&quot;/&gt;&lt;wsp:rsid wsp:val=&quot;00D2108F&quot;/&gt;&lt;wsp:rsid wsp:val=&quot;00D21AC1&quot;/&gt;&lt;wsp:rsid wsp:val=&quot;00D2330D&quot;/&gt;&lt;wsp:rsid wsp:val=&quot;00D2437A&quot;/&gt;&lt;wsp:rsid wsp:val=&quot;00D2444D&quot;/&gt;&lt;wsp:rsid wsp:val=&quot;00D2570C&quot;/&gt;&lt;wsp:rsid wsp:val=&quot;00D25A06&quot;/&gt;&lt;wsp:rsid wsp:val=&quot;00D25B6B&quot;/&gt;&lt;wsp:rsid wsp:val=&quot;00D25B7F&quot;/&gt;&lt;wsp:rsid wsp:val=&quot;00D25D67&quot;/&gt;&lt;wsp:rsid wsp:val=&quot;00D264D1&quot;/&gt;&lt;wsp:rsid wsp:val=&quot;00D26B1E&quot;/&gt;&lt;wsp:rsid wsp:val=&quot;00D27229&quot;/&gt;&lt;wsp:rsid wsp:val=&quot;00D279D4&quot;/&gt;&lt;wsp:rsid wsp:val=&quot;00D32E29&quot;/&gt;&lt;wsp:rsid wsp:val=&quot;00D335B8&quot;/&gt;&lt;wsp:rsid wsp:val=&quot;00D335D7&quot;/&gt;&lt;wsp:rsid wsp:val=&quot;00D33D30&quot;/&gt;&lt;wsp:rsid wsp:val=&quot;00D342FE&quot;/&gt;&lt;wsp:rsid wsp:val=&quot;00D36143&quot;/&gt;&lt;wsp:rsid wsp:val=&quot;00D3635A&quot;/&gt;&lt;wsp:rsid wsp:val=&quot;00D37B4B&quot;/&gt;&lt;wsp:rsid wsp:val=&quot;00D41F79&quot;/&gt;&lt;wsp:rsid wsp:val=&quot;00D467F8&quot;/&gt;&lt;wsp:rsid wsp:val=&quot;00D50853&quot;/&gt;&lt;wsp:rsid wsp:val=&quot;00D50FD1&quot;/&gt;&lt;wsp:rsid wsp:val=&quot;00D53A52&quot;/&gt;&lt;wsp:rsid wsp:val=&quot;00D53C0C&quot;/&gt;&lt;wsp:rsid wsp:val=&quot;00D53F26&quot;/&gt;&lt;wsp:rsid wsp:val=&quot;00D5427E&quot;/&gt;&lt;wsp:rsid wsp:val=&quot;00D54AD2&quot;/&gt;&lt;wsp:rsid wsp:val=&quot;00D562CE&quot;/&gt;&lt;wsp:rsid wsp:val=&quot;00D56EEB&quot;/&gt;&lt;wsp:rsid wsp:val=&quot;00D61E8D&quot;/&gt;&lt;wsp:rsid wsp:val=&quot;00D62BAE&quot;/&gt;&lt;wsp:rsid wsp:val=&quot;00D63B63&quot;/&gt;&lt;wsp:rsid wsp:val=&quot;00D63BE8&quot;/&gt;&lt;wsp:rsid wsp:val=&quot;00D63C1B&quot;/&gt;&lt;wsp:rsid wsp:val=&quot;00D63D03&quot;/&gt;&lt;wsp:rsid wsp:val=&quot;00D64B65&quot;/&gt;&lt;wsp:rsid wsp:val=&quot;00D64D7F&quot;/&gt;&lt;wsp:rsid wsp:val=&quot;00D6625D&quot;/&gt;&lt;wsp:rsid wsp:val=&quot;00D66CE6&quot;/&gt;&lt;wsp:rsid wsp:val=&quot;00D70443&quot;/&gt;&lt;wsp:rsid wsp:val=&quot;00D70819&quot;/&gt;&lt;wsp:rsid wsp:val=&quot;00D70C00&quot;/&gt;&lt;wsp:rsid wsp:val=&quot;00D723DC&quot;/&gt;&lt;wsp:rsid wsp:val=&quot;00D73B32&quot;/&gt;&lt;wsp:rsid wsp:val=&quot;00D74A7C&quot;/&gt;&lt;wsp:rsid wsp:val=&quot;00D756EE&quot;/&gt;&lt;wsp:rsid wsp:val=&quot;00D774FD&quot;/&gt;&lt;wsp:rsid wsp:val=&quot;00D77682&quot;/&gt;&lt;wsp:rsid wsp:val=&quot;00D80C5B&quot;/&gt;&lt;wsp:rsid wsp:val=&quot;00D81B15&quot;/&gt;&lt;wsp:rsid wsp:val=&quot;00D85AE6&quot;/&gt;&lt;wsp:rsid wsp:val=&quot;00D85B61&quot;/&gt;&lt;wsp:rsid wsp:val=&quot;00D86610&quot;/&gt;&lt;wsp:rsid wsp:val=&quot;00D86AA6&quot;/&gt;&lt;wsp:rsid wsp:val=&quot;00D921B9&quot;/&gt;&lt;wsp:rsid wsp:val=&quot;00D92B8B&quot;/&gt;&lt;wsp:rsid wsp:val=&quot;00D9319B&quot;/&gt;&lt;wsp:rsid wsp:val=&quot;00D93F12&quot;/&gt;&lt;wsp:rsid wsp:val=&quot;00D95C75&quot;/&gt;&lt;wsp:rsid wsp:val=&quot;00D9616C&quot;/&gt;&lt;wsp:rsid wsp:val=&quot;00D97047&quot;/&gt;&lt;wsp:rsid wsp:val=&quot;00DA00E4&quot;/&gt;&lt;wsp:rsid wsp:val=&quot;00DA0380&quot;/&gt;&lt;wsp:rsid wsp:val=&quot;00DA043B&quot;/&gt;&lt;wsp:rsid wsp:val=&quot;00DA0478&quot;/&gt;&lt;wsp:rsid wsp:val=&quot;00DA0E41&quot;/&gt;&lt;wsp:rsid wsp:val=&quot;00DA0ED2&quot;/&gt;&lt;wsp:rsid wsp:val=&quot;00DA1761&quot;/&gt;&lt;wsp:rsid wsp:val=&quot;00DA1D15&quot;/&gt;&lt;wsp:rsid wsp:val=&quot;00DA2365&quot;/&gt;&lt;wsp:rsid wsp:val=&quot;00DA27FD&quot;/&gt;&lt;wsp:rsid wsp:val=&quot;00DA2A2F&quot;/&gt;&lt;wsp:rsid wsp:val=&quot;00DA35B1&quot;/&gt;&lt;wsp:rsid wsp:val=&quot;00DA4489&quot;/&gt;&lt;wsp:rsid wsp:val=&quot;00DA473D&quot;/&gt;&lt;wsp:rsid wsp:val=&quot;00DA4781&quot;/&gt;&lt;wsp:rsid wsp:val=&quot;00DA4ED6&quot;/&gt;&lt;wsp:rsid wsp:val=&quot;00DA5D66&quot;/&gt;&lt;wsp:rsid wsp:val=&quot;00DA6053&quot;/&gt;&lt;wsp:rsid wsp:val=&quot;00DA63EE&quot;/&gt;&lt;wsp:rsid wsp:val=&quot;00DA6C33&quot;/&gt;&lt;wsp:rsid wsp:val=&quot;00DA7C58&quot;/&gt;&lt;wsp:rsid wsp:val=&quot;00DB0253&quot;/&gt;&lt;wsp:rsid wsp:val=&quot;00DB0472&quot;/&gt;&lt;wsp:rsid wsp:val=&quot;00DB1722&quot;/&gt;&lt;wsp:rsid wsp:val=&quot;00DB2066&quot;/&gt;&lt;wsp:rsid wsp:val=&quot;00DB3963&quot;/&gt;&lt;wsp:rsid wsp:val=&quot;00DB3CAA&quot;/&gt;&lt;wsp:rsid wsp:val=&quot;00DB4A01&quot;/&gt;&lt;wsp:rsid wsp:val=&quot;00DB5E28&quot;/&gt;&lt;wsp:rsid wsp:val=&quot;00DB5F2E&quot;/&gt;&lt;wsp:rsid wsp:val=&quot;00DB6FFC&quot;/&gt;&lt;wsp:rsid wsp:val=&quot;00DB72B7&quot;/&gt;&lt;wsp:rsid wsp:val=&quot;00DC07B1&quot;/&gt;&lt;wsp:rsid wsp:val=&quot;00DC0B1E&quot;/&gt;&lt;wsp:rsid wsp:val=&quot;00DC115D&quot;/&gt;&lt;wsp:rsid wsp:val=&quot;00DC14DE&quot;/&gt;&lt;wsp:rsid wsp:val=&quot;00DC26E6&quot;/&gt;&lt;wsp:rsid wsp:val=&quot;00DC2A26&quot;/&gt;&lt;wsp:rsid wsp:val=&quot;00DC35E9&quot;/&gt;&lt;wsp:rsid wsp:val=&quot;00DC3CF9&quot;/&gt;&lt;wsp:rsid wsp:val=&quot;00DC4BE6&quot;/&gt;&lt;wsp:rsid wsp:val=&quot;00DC60FF&quot;/&gt;&lt;wsp:rsid wsp:val=&quot;00DC742D&quot;/&gt;&lt;wsp:rsid wsp:val=&quot;00DD1F83&quot;/&gt;&lt;wsp:rsid wsp:val=&quot;00DD2579&quot;/&gt;&lt;wsp:rsid wsp:val=&quot;00DD29B8&quot;/&gt;&lt;wsp:rsid wsp:val=&quot;00DD3B2F&quot;/&gt;&lt;wsp:rsid wsp:val=&quot;00DD3F4A&quot;/&gt;&lt;wsp:rsid wsp:val=&quot;00DD5CF9&quot;/&gt;&lt;wsp:rsid wsp:val=&quot;00DE05F3&quot;/&gt;&lt;wsp:rsid wsp:val=&quot;00DE109A&quot;/&gt;&lt;wsp:rsid wsp:val=&quot;00DE10A1&quot;/&gt;&lt;wsp:rsid wsp:val=&quot;00DE3469&quot;/&gt;&lt;wsp:rsid wsp:val=&quot;00DE3EF7&quot;/&gt;&lt;wsp:rsid wsp:val=&quot;00DE45D7&quot;/&gt;&lt;wsp:rsid wsp:val=&quot;00DE4E1A&quot;/&gt;&lt;wsp:rsid wsp:val=&quot;00DE63D1&quot;/&gt;&lt;wsp:rsid wsp:val=&quot;00DE6965&quot;/&gt;&lt;wsp:rsid wsp:val=&quot;00DF0DC5&quot;/&gt;&lt;wsp:rsid wsp:val=&quot;00DF0F29&quot;/&gt;&lt;wsp:rsid wsp:val=&quot;00DF1154&quot;/&gt;&lt;wsp:rsid wsp:val=&quot;00DF238C&quot;/&gt;&lt;wsp:rsid wsp:val=&quot;00DF2E67&quot;/&gt;&lt;wsp:rsid wsp:val=&quot;00DF2EE0&quot;/&gt;&lt;wsp:rsid wsp:val=&quot;00DF3404&quot;/&gt;&lt;wsp:rsid wsp:val=&quot;00DF37FF&quot;/&gt;&lt;wsp:rsid wsp:val=&quot;00DF53B0&quot;/&gt;&lt;wsp:rsid wsp:val=&quot;00DF58CD&quot;/&gt;&lt;wsp:rsid wsp:val=&quot;00DF691A&quot;/&gt;&lt;wsp:rsid wsp:val=&quot;00DF6BBC&quot;/&gt;&lt;wsp:rsid wsp:val=&quot;00DF6D37&quot;/&gt;&lt;wsp:rsid wsp:val=&quot;00DF7CE1&quot;/&gt;&lt;wsp:rsid wsp:val=&quot;00DF7E5A&quot;/&gt;&lt;wsp:rsid wsp:val=&quot;00E01EAB&quot;/&gt;&lt;wsp:rsid wsp:val=&quot;00E02600&quot;/&gt;&lt;wsp:rsid wsp:val=&quot;00E02BCF&quot;/&gt;&lt;wsp:rsid wsp:val=&quot;00E05E84&quot;/&gt;&lt;wsp:rsid wsp:val=&quot;00E05F75&quot;/&gt;&lt;wsp:rsid wsp:val=&quot;00E10523&quot;/&gt;&lt;wsp:rsid wsp:val=&quot;00E10613&quot;/&gt;&lt;wsp:rsid wsp:val=&quot;00E13150&quot;/&gt;&lt;wsp:rsid wsp:val=&quot;00E145E2&quot;/&gt;&lt;wsp:rsid wsp:val=&quot;00E147E3&quot;/&gt;&lt;wsp:rsid wsp:val=&quot;00E148FC&quot;/&gt;&lt;wsp:rsid wsp:val=&quot;00E14B6F&quot;/&gt;&lt;wsp:rsid wsp:val=&quot;00E14C8B&quot;/&gt;&lt;wsp:rsid wsp:val=&quot;00E15618&quot;/&gt;&lt;wsp:rsid wsp:val=&quot;00E158A6&quot;/&gt;&lt;wsp:rsid wsp:val=&quot;00E15C1E&quot;/&gt;&lt;wsp:rsid wsp:val=&quot;00E15E1D&quot;/&gt;&lt;wsp:rsid wsp:val=&quot;00E1747A&quot;/&gt;&lt;wsp:rsid wsp:val=&quot;00E176A1&quot;/&gt;&lt;wsp:rsid wsp:val=&quot;00E17841&quot;/&gt;&lt;wsp:rsid wsp:val=&quot;00E204A6&quot;/&gt;&lt;wsp:rsid wsp:val=&quot;00E20510&quot;/&gt;&lt;wsp:rsid wsp:val=&quot;00E20971&quot;/&gt;&lt;wsp:rsid wsp:val=&quot;00E21B14&quot;/&gt;&lt;wsp:rsid wsp:val=&quot;00E231D6&quot;/&gt;&lt;wsp:rsid wsp:val=&quot;00E24289&quot;/&gt;&lt;wsp:rsid wsp:val=&quot;00E2657D&quot;/&gt;&lt;wsp:rsid wsp:val=&quot;00E269F8&quot;/&gt;&lt;wsp:rsid wsp:val=&quot;00E27D2A&quot;/&gt;&lt;wsp:rsid wsp:val=&quot;00E27F4D&quot;/&gt;&lt;wsp:rsid wsp:val=&quot;00E30789&quot;/&gt;&lt;wsp:rsid wsp:val=&quot;00E316A3&quot;/&gt;&lt;wsp:rsid wsp:val=&quot;00E326D0&quot;/&gt;&lt;wsp:rsid wsp:val=&quot;00E332DF&quot;/&gt;&lt;wsp:rsid wsp:val=&quot;00E33F77&quot;/&gt;&lt;wsp:rsid wsp:val=&quot;00E36649&quot;/&gt;&lt;wsp:rsid wsp:val=&quot;00E3699B&quot;/&gt;&lt;wsp:rsid wsp:val=&quot;00E36FE7&quot;/&gt;&lt;wsp:rsid wsp:val=&quot;00E37535&quot;/&gt;&lt;wsp:rsid wsp:val=&quot;00E4015E&quot;/&gt;&lt;wsp:rsid wsp:val=&quot;00E4232C&quot;/&gt;&lt;wsp:rsid wsp:val=&quot;00E44FCA&quot;/&gt;&lt;wsp:rsid wsp:val=&quot;00E45DC7&quot;/&gt;&lt;wsp:rsid wsp:val=&quot;00E466BB&quot;/&gt;&lt;wsp:rsid wsp:val=&quot;00E46A16&quot;/&gt;&lt;wsp:rsid wsp:val=&quot;00E47098&quot;/&gt;&lt;wsp:rsid wsp:val=&quot;00E47691&quot;/&gt;&lt;wsp:rsid wsp:val=&quot;00E5050C&quot;/&gt;&lt;wsp:rsid wsp:val=&quot;00E51D95&quot;/&gt;&lt;wsp:rsid wsp:val=&quot;00E55213&quot;/&gt;&lt;wsp:rsid wsp:val=&quot;00E55F55&quot;/&gt;&lt;wsp:rsid wsp:val=&quot;00E563FE&quot;/&gt;&lt;wsp:rsid wsp:val=&quot;00E56A68&quot;/&gt;&lt;wsp:rsid wsp:val=&quot;00E56D5C&quot;/&gt;&lt;wsp:rsid wsp:val=&quot;00E56F0D&quot;/&gt;&lt;wsp:rsid wsp:val=&quot;00E60B50&quot;/&gt;&lt;wsp:rsid wsp:val=&quot;00E61347&quot;/&gt;&lt;wsp:rsid wsp:val=&quot;00E634EE&quot;/&gt;&lt;wsp:rsid wsp:val=&quot;00E7037D&quot;/&gt;&lt;wsp:rsid wsp:val=&quot;00E704AD&quot;/&gt;&lt;wsp:rsid wsp:val=&quot;00E70988&quot;/&gt;&lt;wsp:rsid wsp:val=&quot;00E70BD7&quot;/&gt;&lt;wsp:rsid wsp:val=&quot;00E71627&quot;/&gt;&lt;wsp:rsid wsp:val=&quot;00E727E1&quot;/&gt;&lt;wsp:rsid wsp:val=&quot;00E730B5&quot;/&gt;&lt;wsp:rsid wsp:val=&quot;00E7390F&quot;/&gt;&lt;wsp:rsid wsp:val=&quot;00E7542B&quot;/&gt;&lt;wsp:rsid wsp:val=&quot;00E76743&quot;/&gt;&lt;wsp:rsid wsp:val=&quot;00E76B40&quot;/&gt;&lt;wsp:rsid wsp:val=&quot;00E77A03&quot;/&gt;&lt;wsp:rsid wsp:val=&quot;00E81700&quot;/&gt;&lt;wsp:rsid wsp:val=&quot;00E83730&quot;/&gt;&lt;wsp:rsid wsp:val=&quot;00E8598C&quot;/&gt;&lt;wsp:rsid wsp:val=&quot;00E9216F&quot;/&gt;&lt;wsp:rsid wsp:val=&quot;00E92595&quot;/&gt;&lt;wsp:rsid wsp:val=&quot;00E92A87&quot;/&gt;&lt;wsp:rsid wsp:val=&quot;00E92D78&quot;/&gt;&lt;wsp:rsid wsp:val=&quot;00E93614&quot;/&gt;&lt;wsp:rsid wsp:val=&quot;00E93BCB&quot;/&gt;&lt;wsp:rsid wsp:val=&quot;00E94B27&quot;/&gt;&lt;wsp:rsid wsp:val=&quot;00E94EFF&quot;/&gt;&lt;wsp:rsid wsp:val=&quot;00E95B20&quot;/&gt;&lt;wsp:rsid wsp:val=&quot;00E95D8B&quot;/&gt;&lt;wsp:rsid wsp:val=&quot;00E96A9E&quot;/&gt;&lt;wsp:rsid wsp:val=&quot;00E96EE4&quot;/&gt;&lt;wsp:rsid wsp:val=&quot;00E97E74&quot;/&gt;&lt;wsp:rsid wsp:val=&quot;00EA053E&quot;/&gt;&lt;wsp:rsid wsp:val=&quot;00EA0C24&quot;/&gt;&lt;wsp:rsid wsp:val=&quot;00EA1780&quot;/&gt;&lt;wsp:rsid wsp:val=&quot;00EA31BB&quot;/&gt;&lt;wsp:rsid wsp:val=&quot;00EA3A0E&quot;/&gt;&lt;wsp:rsid wsp:val=&quot;00EA50F6&quot;/&gt;&lt;wsp:rsid wsp:val=&quot;00EA58D4&quot;/&gt;&lt;wsp:rsid wsp:val=&quot;00EA77EB&quot;/&gt;&lt;wsp:rsid wsp:val=&quot;00EA7AD1&quot;/&gt;&lt;wsp:rsid wsp:val=&quot;00EB0F6B&quot;/&gt;&lt;wsp:rsid wsp:val=&quot;00EB13E8&quot;/&gt;&lt;wsp:rsid wsp:val=&quot;00EB2463&quot;/&gt;&lt;wsp:rsid wsp:val=&quot;00EB259C&quot;/&gt;&lt;wsp:rsid wsp:val=&quot;00EB262E&quot;/&gt;&lt;wsp:rsid wsp:val=&quot;00EB2AF9&quot;/&gt;&lt;wsp:rsid wsp:val=&quot;00EB2EFD&quot;/&gt;&lt;wsp:rsid wsp:val=&quot;00EB3466&quot;/&gt;&lt;wsp:rsid wsp:val=&quot;00EB395D&quot;/&gt;&lt;wsp:rsid wsp:val=&quot;00EB5585&quot;/&gt;&lt;wsp:rsid wsp:val=&quot;00EB5896&quot;/&gt;&lt;wsp:rsid wsp:val=&quot;00EB63FD&quot;/&gt;&lt;wsp:rsid wsp:val=&quot;00EB74AF&quot;/&gt;&lt;wsp:rsid wsp:val=&quot;00EB7B55&quot;/&gt;&lt;wsp:rsid wsp:val=&quot;00EC044D&quot;/&gt;&lt;wsp:rsid wsp:val=&quot;00EC14EE&quot;/&gt;&lt;wsp:rsid wsp:val=&quot;00EC171E&quot;/&gt;&lt;wsp:rsid wsp:val=&quot;00EC1D70&quot;/&gt;&lt;wsp:rsid wsp:val=&quot;00EC253F&quot;/&gt;&lt;wsp:rsid wsp:val=&quot;00EC29AB&quot;/&gt;&lt;wsp:rsid wsp:val=&quot;00EC3727&quot;/&gt;&lt;wsp:rsid wsp:val=&quot;00EC37D6&quot;/&gt;&lt;wsp:rsid wsp:val=&quot;00EC41D3&quot;/&gt;&lt;wsp:rsid wsp:val=&quot;00EC43FA&quot;/&gt;&lt;wsp:rsid wsp:val=&quot;00EC4ADB&quot;/&gt;&lt;wsp:rsid wsp:val=&quot;00EC530F&quot;/&gt;&lt;wsp:rsid wsp:val=&quot;00EC57F3&quot;/&gt;&lt;wsp:rsid wsp:val=&quot;00EC6788&quot;/&gt;&lt;wsp:rsid wsp:val=&quot;00EC7C51&quot;/&gt;&lt;wsp:rsid wsp:val=&quot;00EC7D3D&quot;/&gt;&lt;wsp:rsid wsp:val=&quot;00ED0857&quot;/&gt;&lt;wsp:rsid wsp:val=&quot;00ED15EE&quot;/&gt;&lt;wsp:rsid wsp:val=&quot;00ED2A35&quot;/&gt;&lt;wsp:rsid wsp:val=&quot;00ED3E2D&quot;/&gt;&lt;wsp:rsid wsp:val=&quot;00ED52B4&quot;/&gt;&lt;wsp:rsid wsp:val=&quot;00ED52F5&quot;/&gt;&lt;wsp:rsid wsp:val=&quot;00ED5A6C&quot;/&gt;&lt;wsp:rsid wsp:val=&quot;00ED5AD7&quot;/&gt;&lt;wsp:rsid wsp:val=&quot;00ED687E&quot;/&gt;&lt;wsp:rsid wsp:val=&quot;00ED6CA3&quot;/&gt;&lt;wsp:rsid wsp:val=&quot;00ED7528&quot;/&gt;&lt;wsp:rsid wsp:val=&quot;00ED7D00&quot;/&gt;&lt;wsp:rsid wsp:val=&quot;00EE0297&quot;/&gt;&lt;wsp:rsid wsp:val=&quot;00EE029E&quot;/&gt;&lt;wsp:rsid wsp:val=&quot;00EE073C&quot;/&gt;&lt;wsp:rsid wsp:val=&quot;00EE0B4B&quot;/&gt;&lt;wsp:rsid wsp:val=&quot;00EE3621&quot;/&gt;&lt;wsp:rsid wsp:val=&quot;00EE3E30&quot;/&gt;&lt;wsp:rsid wsp:val=&quot;00EE42D1&quot;/&gt;&lt;wsp:rsid wsp:val=&quot;00EE48B2&quot;/&gt;&lt;wsp:rsid wsp:val=&quot;00EE54C9&quot;/&gt;&lt;wsp:rsid wsp:val=&quot;00EE5503&quot;/&gt;&lt;wsp:rsid wsp:val=&quot;00EE6CAB&quot;/&gt;&lt;wsp:rsid wsp:val=&quot;00EF0A5E&quot;/&gt;&lt;wsp:rsid wsp:val=&quot;00EF1221&quot;/&gt;&lt;wsp:rsid wsp:val=&quot;00EF2DBA&quot;/&gt;&lt;wsp:rsid wsp:val=&quot;00EF3774&quot;/&gt;&lt;wsp:rsid wsp:val=&quot;00EF3A6C&quot;/&gt;&lt;wsp:rsid wsp:val=&quot;00EF585A&quot;/&gt;&lt;wsp:rsid wsp:val=&quot;00EF61D4&quot;/&gt;&lt;wsp:rsid wsp:val=&quot;00EF6B38&quot;/&gt;&lt;wsp:rsid wsp:val=&quot;00EF78F7&quot;/&gt;&lt;wsp:rsid wsp:val=&quot;00F027FE&quot;/&gt;&lt;wsp:rsid wsp:val=&quot;00F04138&quot;/&gt;&lt;wsp:rsid wsp:val=&quot;00F05D7D&quot;/&gt;&lt;wsp:rsid wsp:val=&quot;00F0699F&quot;/&gt;&lt;wsp:rsid wsp:val=&quot;00F06C66&quot;/&gt;&lt;wsp:rsid wsp:val=&quot;00F10D2C&quot;/&gt;&lt;wsp:rsid wsp:val=&quot;00F1378F&quot;/&gt;&lt;wsp:rsid wsp:val=&quot;00F13A5C&quot;/&gt;&lt;wsp:rsid wsp:val=&quot;00F147BC&quot;/&gt;&lt;wsp:rsid wsp:val=&quot;00F14872&quot;/&gt;&lt;wsp:rsid wsp:val=&quot;00F150E8&quot;/&gt;&lt;wsp:rsid wsp:val=&quot;00F15DCA&quot;/&gt;&lt;wsp:rsid wsp:val=&quot;00F16859&quot;/&gt;&lt;wsp:rsid wsp:val=&quot;00F16860&quot;/&gt;&lt;wsp:rsid wsp:val=&quot;00F16CDE&quot;/&gt;&lt;wsp:rsid wsp:val=&quot;00F17C07&quot;/&gt;&lt;wsp:rsid wsp:val=&quot;00F17F97&quot;/&gt;&lt;wsp:rsid wsp:val=&quot;00F200AB&quot;/&gt;&lt;wsp:rsid wsp:val=&quot;00F20A6F&quot;/&gt;&lt;wsp:rsid wsp:val=&quot;00F20D44&quot;/&gt;&lt;wsp:rsid wsp:val=&quot;00F21BE7&quot;/&gt;&lt;wsp:rsid wsp:val=&quot;00F21FE0&quot;/&gt;&lt;wsp:rsid wsp:val=&quot;00F22084&quot;/&gt;&lt;wsp:rsid wsp:val=&quot;00F2251A&quot;/&gt;&lt;wsp:rsid wsp:val=&quot;00F2398E&quot;/&gt;&lt;wsp:rsid wsp:val=&quot;00F24D73&quot;/&gt;&lt;wsp:rsid wsp:val=&quot;00F26CAD&quot;/&gt;&lt;wsp:rsid wsp:val=&quot;00F2737D&quot;/&gt;&lt;wsp:rsid wsp:val=&quot;00F277E7&quot;/&gt;&lt;wsp:rsid wsp:val=&quot;00F27D25&quot;/&gt;&lt;wsp:rsid wsp:val=&quot;00F30052&quot;/&gt;&lt;wsp:rsid wsp:val=&quot;00F304B3&quot;/&gt;&lt;wsp:rsid wsp:val=&quot;00F30D89&quot;/&gt;&lt;wsp:rsid wsp:val=&quot;00F30DCC&quot;/&gt;&lt;wsp:rsid wsp:val=&quot;00F3108B&quot;/&gt;&lt;wsp:rsid wsp:val=&quot;00F31197&quot;/&gt;&lt;wsp:rsid wsp:val=&quot;00F31576&quot;/&gt;&lt;wsp:rsid wsp:val=&quot;00F31F35&quot;/&gt;&lt;wsp:rsid wsp:val=&quot;00F3226D&quot;/&gt;&lt;wsp:rsid wsp:val=&quot;00F32770&quot;/&gt;&lt;wsp:rsid wsp:val=&quot;00F33330&quot;/&gt;&lt;wsp:rsid wsp:val=&quot;00F33CB0&quot;/&gt;&lt;wsp:rsid wsp:val=&quot;00F33E28&quot;/&gt;&lt;wsp:rsid wsp:val=&quot;00F3424F&quot;/&gt;&lt;wsp:rsid wsp:val=&quot;00F343C7&quot;/&gt;&lt;wsp:rsid wsp:val=&quot;00F34BDF&quot;/&gt;&lt;wsp:rsid wsp:val=&quot;00F35551&quot;/&gt;&lt;wsp:rsid wsp:val=&quot;00F35D38&quot;/&gt;&lt;wsp:rsid wsp:val=&quot;00F3666B&quot;/&gt;&lt;wsp:rsid wsp:val=&quot;00F377CD&quot;/&gt;&lt;wsp:rsid wsp:val=&quot;00F37AF1&quot;/&gt;&lt;wsp:rsid wsp:val=&quot;00F37CF4&quot;/&gt;&lt;wsp:rsid wsp:val=&quot;00F40484&quot;/&gt;&lt;wsp:rsid wsp:val=&quot;00F4550E&quot;/&gt;&lt;wsp:rsid wsp:val=&quot;00F458AB&quot;/&gt;&lt;wsp:rsid wsp:val=&quot;00F47214&quot;/&gt;&lt;wsp:rsid wsp:val=&quot;00F50499&quot;/&gt;&lt;wsp:rsid wsp:val=&quot;00F514FF&quot;/&gt;&lt;wsp:rsid wsp:val=&quot;00F52189&quot;/&gt;&lt;wsp:rsid wsp:val=&quot;00F521F2&quot;/&gt;&lt;wsp:rsid wsp:val=&quot;00F529F8&quot;/&gt;&lt;wsp:rsid wsp:val=&quot;00F53524&quot;/&gt;&lt;wsp:rsid wsp:val=&quot;00F536E3&quot;/&gt;&lt;wsp:rsid wsp:val=&quot;00F5398C&quot;/&gt;&lt;wsp:rsid wsp:val=&quot;00F5612E&quot;/&gt;&lt;wsp:rsid wsp:val=&quot;00F56535&quot;/&gt;&lt;wsp:rsid wsp:val=&quot;00F57D6E&quot;/&gt;&lt;wsp:rsid wsp:val=&quot;00F6017C&quot;/&gt;&lt;wsp:rsid wsp:val=&quot;00F620EB&quot;/&gt;&lt;wsp:rsid wsp:val=&quot;00F62A18&quot;/&gt;&lt;wsp:rsid wsp:val=&quot;00F62F0B&quot;/&gt;&lt;wsp:rsid wsp:val=&quot;00F63311&quot;/&gt;&lt;wsp:rsid wsp:val=&quot;00F63427&quot;/&gt;&lt;wsp:rsid wsp:val=&quot;00F64C71&quot;/&gt;&lt;wsp:rsid wsp:val=&quot;00F64DD2&quot;/&gt;&lt;wsp:rsid wsp:val=&quot;00F6543A&quot;/&gt;&lt;wsp:rsid wsp:val=&quot;00F65494&quot;/&gt;&lt;wsp:rsid wsp:val=&quot;00F66094&quot;/&gt;&lt;wsp:rsid wsp:val=&quot;00F66DD8&quot;/&gt;&lt;wsp:rsid wsp:val=&quot;00F67884&quot;/&gt;&lt;wsp:rsid wsp:val=&quot;00F67B31&quot;/&gt;&lt;wsp:rsid wsp:val=&quot;00F70B41&quot;/&gt;&lt;wsp:rsid wsp:val=&quot;00F71D22&quot;/&gt;&lt;wsp:rsid wsp:val=&quot;00F72B2C&quot;/&gt;&lt;wsp:rsid wsp:val=&quot;00F72F3B&quot;/&gt;&lt;wsp:rsid wsp:val=&quot;00F7319E&quot;/&gt;&lt;wsp:rsid wsp:val=&quot;00F73BE1&quot;/&gt;&lt;wsp:rsid wsp:val=&quot;00F748BE&quot;/&gt;&lt;wsp:rsid wsp:val=&quot;00F74A71&quot;/&gt;&lt;wsp:rsid wsp:val=&quot;00F754AD&quot;/&gt;&lt;wsp:rsid wsp:val=&quot;00F7618E&quot;/&gt;&lt;wsp:rsid wsp:val=&quot;00F77360&quot;/&gt;&lt;wsp:rsid wsp:val=&quot;00F802CF&quot;/&gt;&lt;wsp:rsid wsp:val=&quot;00F8155E&quot;/&gt;&lt;wsp:rsid wsp:val=&quot;00F81887&quot;/&gt;&lt;wsp:rsid wsp:val=&quot;00F81F48&quot;/&gt;&lt;wsp:rsid wsp:val=&quot;00F820EB&quot;/&gt;&lt;wsp:rsid wsp:val=&quot;00F82725&quot;/&gt;&lt;wsp:rsid wsp:val=&quot;00F827AB&quot;/&gt;&lt;wsp:rsid wsp:val=&quot;00F82BDD&quot;/&gt;&lt;wsp:rsid wsp:val=&quot;00F82E4D&quot;/&gt;&lt;wsp:rsid wsp:val=&quot;00F8460C&quot;/&gt;&lt;wsp:rsid wsp:val=&quot;00F85205&quot;/&gt;&lt;wsp:rsid wsp:val=&quot;00F879C3&quot;/&gt;&lt;wsp:rsid wsp:val=&quot;00F91003&quot;/&gt;&lt;wsp:rsid wsp:val=&quot;00F91138&quot;/&gt;&lt;wsp:rsid wsp:val=&quot;00F91982&quot;/&gt;&lt;wsp:rsid wsp:val=&quot;00F91B26&quot;/&gt;&lt;wsp:rsid wsp:val=&quot;00F92A68&quot;/&gt;&lt;wsp:rsid wsp:val=&quot;00F92E89&quot;/&gt;&lt;wsp:rsid wsp:val=&quot;00F9360D&quot;/&gt;&lt;wsp:rsid wsp:val=&quot;00F94917&quot;/&gt;&lt;wsp:rsid wsp:val=&quot;00F94C32&quot;/&gt;&lt;wsp:rsid wsp:val=&quot;00F95C8A&quot;/&gt;&lt;wsp:rsid wsp:val=&quot;00F97345&quot;/&gt;&lt;wsp:rsid wsp:val=&quot;00FA0DE0&quot;/&gt;&lt;wsp:rsid wsp:val=&quot;00FA0F78&quot;/&gt;&lt;wsp:rsid wsp:val=&quot;00FA134B&quot;/&gt;&lt;wsp:rsid wsp:val=&quot;00FA1E06&quot;/&gt;&lt;wsp:rsid wsp:val=&quot;00FA25B8&quot;/&gt;&lt;wsp:rsid wsp:val=&quot;00FA5FFB&quot;/&gt;&lt;wsp:rsid wsp:val=&quot;00FA66F6&quot;/&gt;&lt;wsp:rsid wsp:val=&quot;00FA7629&quot;/&gt;&lt;wsp:rsid wsp:val=&quot;00FA78A6&quot;/&gt;&lt;wsp:rsid wsp:val=&quot;00FA7ADF&quot;/&gt;&lt;wsp:rsid wsp:val=&quot;00FB0E4C&quot;/&gt;&lt;wsp:rsid wsp:val=&quot;00FB1E41&quot;/&gt;&lt;wsp:rsid wsp:val=&quot;00FB25AD&quot;/&gt;&lt;wsp:rsid wsp:val=&quot;00FB2BE5&quot;/&gt;&lt;wsp:rsid wsp:val=&quot;00FB2FEC&quot;/&gt;&lt;wsp:rsid wsp:val=&quot;00FB3FAB&quot;/&gt;&lt;wsp:rsid wsp:val=&quot;00FB46A3&quot;/&gt;&lt;wsp:rsid wsp:val=&quot;00FB57B6&quot;/&gt;&lt;wsp:rsid wsp:val=&quot;00FB70C4&quot;/&gt;&lt;wsp:rsid wsp:val=&quot;00FB73A3&quot;/&gt;&lt;wsp:rsid wsp:val=&quot;00FB762A&quot;/&gt;&lt;wsp:rsid wsp:val=&quot;00FB7748&quot;/&gt;&lt;wsp:rsid wsp:val=&quot;00FB7CF2&quot;/&gt;&lt;wsp:rsid wsp:val=&quot;00FC2E7A&quot;/&gt;&lt;wsp:rsid wsp:val=&quot;00FC304B&quot;/&gt;&lt;wsp:rsid wsp:val=&quot;00FC32CE&quot;/&gt;&lt;wsp:rsid wsp:val=&quot;00FC3530&quot;/&gt;&lt;wsp:rsid wsp:val=&quot;00FC3B14&quot;/&gt;&lt;wsp:rsid wsp:val=&quot;00FC4281&quot;/&gt;&lt;wsp:rsid wsp:val=&quot;00FC5E09&quot;/&gt;&lt;wsp:rsid wsp:val=&quot;00FC6637&quot;/&gt;&lt;wsp:rsid wsp:val=&quot;00FD1CCE&quot;/&gt;&lt;wsp:rsid wsp:val=&quot;00FD28D4&quot;/&gt;&lt;wsp:rsid wsp:val=&quot;00FD29B9&quot;/&gt;&lt;wsp:rsid wsp:val=&quot;00FD30DE&quot;/&gt;&lt;wsp:rsid wsp:val=&quot;00FD385E&quot;/&gt;&lt;wsp:rsid wsp:val=&quot;00FD3ED8&quot;/&gt;&lt;wsp:rsid wsp:val=&quot;00FD406A&quot;/&gt;&lt;wsp:rsid wsp:val=&quot;00FD42A6&quot;/&gt;&lt;wsp:rsid wsp:val=&quot;00FD5E46&quot;/&gt;&lt;wsp:rsid wsp:val=&quot;00FD6532&quot;/&gt;&lt;wsp:rsid wsp:val=&quot;00FD68ED&quot;/&gt;&lt;wsp:rsid wsp:val=&quot;00FE0271&quot;/&gt;&lt;wsp:rsid wsp:val=&quot;00FE09FE&quot;/&gt;&lt;wsp:rsid wsp:val=&quot;00FE1297&quot;/&gt;&lt;wsp:rsid wsp:val=&quot;00FE18E6&quot;/&gt;&lt;wsp:rsid wsp:val=&quot;00FE2C21&quot;/&gt;&lt;wsp:rsid wsp:val=&quot;00FE2E5A&quot;/&gt;&lt;wsp:rsid wsp:val=&quot;00FE5542&quot;/&gt;&lt;wsp:rsid wsp:val=&quot;00FE71B6&quot;/&gt;&lt;wsp:rsid wsp:val=&quot;00FF05E9&quot;/&gt;&lt;wsp:rsid wsp:val=&quot;00FF15AA&quot;/&gt;&lt;wsp:rsid wsp:val=&quot;00FF294C&quot;/&gt;&lt;wsp:rsid wsp:val=&quot;00FF3072&quot;/&gt;&lt;wsp:rsid wsp:val=&quot;00FF329B&quot;/&gt;&lt;wsp:rsid wsp:val=&quot;00FF35CE&quot;/&gt;&lt;wsp:rsid wsp:val=&quot;00FF474A&quot;/&gt;&lt;wsp:rsid wsp:val=&quot;00FF48CB&quot;/&gt;&lt;wsp:rsid wsp:val=&quot;00FF5205&quot;/&gt;&lt;wsp:rsid wsp:val=&quot;00FF5304&quot;/&gt;&lt;wsp:rsid wsp:val=&quot;00FF567D&quot;/&gt;&lt;wsp:rsid wsp:val=&quot;00FF570D&quot;/&gt;&lt;wsp:rsid wsp:val=&quot;00FF629F&quot;/&gt;&lt;wsp:rsid wsp:val=&quot;00FF6CB8&quot;/&gt;&lt;wsp:rsid wsp:val=&quot;00FF7EC8&quot;/&gt;&lt;/wsp:rsids&gt;&lt;/w:docPr&gt;&lt;w:body&gt;&lt;w:p wsp:rsidR=&quot;00000000&quot; wsp:rsidRDefault=&quot;004F3539&quot;&gt;&lt;m:oMathPara&gt;&lt;m:oMath&gt;&lt;m:f&gt;&lt;m:fPr&gt;&lt;m:ctrlPr&gt;&lt;w:rPr&gt;&lt;w:rFonts w:ascii=&quot;Cambria Math&quot; w:fareast=&quot;方正黑体简体&quot; w:h-ansi=&quot;Cambria Math&quot;/&gt;&lt;wx:font wx:val=&quot;Cambria Math&quot;/&gt;&lt;w:sz w:val=&quot;24&quot;/&gt;&lt;/w:rPr&gt;&lt;/m:ctrlPr&gt;&lt;/m:fPr&gt;&lt;m:num&gt;&lt;m:r&gt;&lt;m:rPr&gt;&lt;m:sty m:val=&quot;p&quot;/&gt;&lt;/m:rPr&gt;&lt;w:rPr&gt;&lt;w:rFonts w:ascii=&quot;Cambria Math&quot; w:fareast=&quot;方正黑体简体&quot; w:h-ansi=&quot;Cambria Math&quot; w:hint=&quot;fareast&quot;/&gt;&lt;wx:font wx:val=&quot;Cambria Math&quot;/&gt;&lt;w:sz w:val=&quot;24&quot;/&gt;&lt;/w:rPr&gt;&lt;m:t&gt;1&lt;/m:t&gt;&lt;/m:r&gt;&lt;/m:num&gt;&lt;m:den&gt;&lt;m:r&gt;&lt;m:rPr&gt;&lt;m:sty m:val=&quot;p&quot;/&gt;&lt;/m:rPr&gt;&lt;w:rPr&gt;&lt;w:rFonts w:ascii=&quot;Cambria Math&quot; w:fareast=&quot;方正黑体简体&quot; w:h-ansi=&quot;Cambria Math&quot;/&gt;&lt;wx:font wx:val=&quot;Cambria Math&quot;/&gt;&lt;w:sz w:val=&quot;24&quot;/&gt;&lt;/w:rPr&gt;&lt;m:t&gt;n&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14" chromakey="#FFFFFF" o:title=""/>
            <o:lock v:ext="edit" aspectratio="t"/>
            <w10:wrap type="none"/>
            <w10:anchorlock/>
          </v:shape>
        </w:pict>
      </w:r>
      <w:r>
        <w:rPr>
          <w:rFonts w:ascii="仿宋_GB2312" w:hAnsi="宋体" w:eastAsia="仿宋_GB2312"/>
          <w:sz w:val="32"/>
          <w:szCs w:val="32"/>
        </w:rPr>
        <w:fldChar w:fldCharType="end"/>
      </w:r>
      <w:r>
        <w:rPr>
          <w:rFonts w:hint="eastAsia" w:ascii="仿宋_GB2312" w:hAnsi="宋体" w:eastAsia="仿宋_GB2312"/>
          <w:sz w:val="32"/>
          <w:szCs w:val="32"/>
        </w:rPr>
        <w:t>R2/3 I1/2</w:t>
      </w:r>
    </w:p>
    <w:p w14:paraId="0A5D0248">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·R——水力半径（m）；</w:t>
      </w:r>
    </w:p>
    <w:p w14:paraId="2A76AE8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·I——水力坡降；</w:t>
      </w:r>
    </w:p>
    <w:p w14:paraId="444540F6">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·n——粗糙系数。</w:t>
      </w:r>
    </w:p>
    <w:p w14:paraId="1E43554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污水管道敷设尽量遵循道路竖向高程顺坡埋设，采用低边式布置。本片区污水管管径为D400～D1000，沿规划道路布置于机动车道下，40米以上道路宜两侧敷设管道。污水管道管材选用参照雨水管材选择执行。污水管</w:t>
      </w:r>
      <w:r>
        <w:rPr>
          <w:rFonts w:ascii="仿宋_GB2312" w:hAnsi="宋体" w:eastAsia="仿宋_GB2312"/>
          <w:sz w:val="32"/>
          <w:szCs w:val="32"/>
        </w:rPr>
        <w:t>最小覆土0.7米，管道最大埋深控制在5米左右。</w:t>
      </w:r>
    </w:p>
    <w:p w14:paraId="18151477">
      <w:pPr>
        <w:pStyle w:val="3"/>
        <w:adjustRightInd w:val="0"/>
        <w:spacing w:before="252" w:beforeLines="50" w:after="252" w:afterLines="50" w:line="720" w:lineRule="exact"/>
        <w:rPr>
          <w:rFonts w:ascii="方正黑体简体" w:hAnsi="Calibri" w:eastAsia="方正黑体简体"/>
          <w:bCs w:val="0"/>
        </w:rPr>
      </w:pPr>
      <w:bookmarkStart w:id="298" w:name="_Toc358296679"/>
      <w:r>
        <w:rPr>
          <w:rFonts w:hint="eastAsia" w:ascii="方正黑体简体" w:hAnsi="Calibri" w:eastAsia="方正黑体简体"/>
          <w:bCs w:val="0"/>
        </w:rPr>
        <w:t>三、电力工程规划</w:t>
      </w:r>
      <w:bookmarkEnd w:id="286"/>
      <w:bookmarkEnd w:id="287"/>
      <w:bookmarkEnd w:id="298"/>
    </w:p>
    <w:p w14:paraId="2E88194C">
      <w:pPr>
        <w:spacing w:before="252" w:beforeLines="50" w:after="252" w:afterLines="50" w:line="720" w:lineRule="exact"/>
        <w:ind w:firstLine="598" w:firstLineChars="200"/>
        <w:rPr>
          <w:rFonts w:ascii="仿宋_GB2312" w:hAnsi="宋体" w:eastAsia="仿宋_GB2312"/>
          <w:b/>
          <w:sz w:val="32"/>
          <w:szCs w:val="32"/>
        </w:rPr>
      </w:pPr>
      <w:bookmarkStart w:id="299" w:name="_Toc358296680"/>
      <w:r>
        <w:rPr>
          <w:rFonts w:hint="eastAsia" w:ascii="仿宋_GB2312" w:hAnsi="宋体" w:eastAsia="仿宋_GB2312"/>
          <w:b/>
          <w:sz w:val="32"/>
          <w:szCs w:val="32"/>
        </w:rPr>
        <w:t>（一）现状概况</w:t>
      </w:r>
      <w:bookmarkEnd w:id="299"/>
    </w:p>
    <w:p w14:paraId="401928E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肖坝现状有110KV变电站1座，为斑竹湾变电站。</w:t>
      </w:r>
    </w:p>
    <w:p w14:paraId="69F26786">
      <w:pPr>
        <w:spacing w:before="252" w:beforeLines="50" w:after="252" w:afterLines="50" w:line="720" w:lineRule="exact"/>
        <w:ind w:firstLine="598" w:firstLineChars="200"/>
        <w:rPr>
          <w:rFonts w:ascii="仿宋_GB2312" w:hAnsi="宋体" w:eastAsia="仿宋_GB2312"/>
          <w:b/>
          <w:sz w:val="32"/>
          <w:szCs w:val="32"/>
        </w:rPr>
      </w:pPr>
      <w:bookmarkStart w:id="300" w:name="_Toc358296681"/>
      <w:r>
        <w:rPr>
          <w:rFonts w:hint="eastAsia" w:ascii="仿宋_GB2312" w:hAnsi="宋体" w:eastAsia="仿宋_GB2312"/>
          <w:b/>
          <w:sz w:val="32"/>
          <w:szCs w:val="32"/>
        </w:rPr>
        <w:t>（二）用地负荷预测</w:t>
      </w:r>
      <w:bookmarkEnd w:id="300"/>
    </w:p>
    <w:p w14:paraId="13617C68">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供电负荷计算按照不同性质用地供电负荷指标进行估算，不同性质用地的负荷指标按照《城市电力规划规范》确定的数据规划区的供电负荷为8.71万</w:t>
      </w:r>
      <w:r>
        <w:rPr>
          <w:rFonts w:ascii="仿宋_GB2312" w:hAnsi="宋体" w:eastAsia="仿宋_GB2312"/>
          <w:sz w:val="32"/>
          <w:szCs w:val="32"/>
        </w:rPr>
        <w:t>kw</w:t>
      </w:r>
      <w:r>
        <w:rPr>
          <w:rFonts w:hint="eastAsia" w:ascii="仿宋_GB2312" w:hAnsi="宋体" w:eastAsia="仿宋_GB2312"/>
          <w:sz w:val="32"/>
          <w:szCs w:val="32"/>
        </w:rPr>
        <w:t>/日。</w:t>
      </w:r>
    </w:p>
    <w:p w14:paraId="43155D8E">
      <w:pPr>
        <w:spacing w:before="252" w:beforeLines="50" w:after="252" w:afterLines="50" w:line="720" w:lineRule="exact"/>
        <w:ind w:firstLine="598" w:firstLineChars="200"/>
        <w:rPr>
          <w:rFonts w:ascii="仿宋_GB2312" w:hAnsi="宋体" w:eastAsia="仿宋_GB2312"/>
          <w:b/>
          <w:sz w:val="32"/>
          <w:szCs w:val="32"/>
        </w:rPr>
      </w:pPr>
      <w:bookmarkStart w:id="301" w:name="_Toc358296682"/>
      <w:r>
        <w:rPr>
          <w:rFonts w:hint="eastAsia" w:ascii="仿宋_GB2312" w:hAnsi="宋体" w:eastAsia="仿宋_GB2312"/>
          <w:b/>
          <w:sz w:val="32"/>
          <w:szCs w:val="32"/>
        </w:rPr>
        <w:t>（三）电源规划</w:t>
      </w:r>
      <w:bookmarkEnd w:id="301"/>
    </w:p>
    <w:p w14:paraId="46C0B4C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规划在乐雅高速公路连接线南侧新增110KV肖坝变电站一处，片区共有110KV变电站两座，另在片区西部和中部各设施10KV开闭所一处。</w:t>
      </w:r>
    </w:p>
    <w:p w14:paraId="5AEAE43E">
      <w:pPr>
        <w:spacing w:before="252" w:beforeLines="50" w:after="252" w:afterLines="50" w:line="720" w:lineRule="exact"/>
        <w:ind w:firstLine="598" w:firstLineChars="200"/>
        <w:rPr>
          <w:rFonts w:ascii="仿宋_GB2312" w:hAnsi="宋体" w:eastAsia="仿宋_GB2312"/>
          <w:b/>
          <w:sz w:val="32"/>
          <w:szCs w:val="32"/>
        </w:rPr>
      </w:pPr>
      <w:bookmarkStart w:id="302" w:name="_Toc358296683"/>
      <w:r>
        <w:rPr>
          <w:rFonts w:hint="eastAsia" w:ascii="仿宋_GB2312" w:hAnsi="宋体" w:eastAsia="仿宋_GB2312"/>
          <w:b/>
          <w:sz w:val="32"/>
          <w:szCs w:val="32"/>
        </w:rPr>
        <w:t>（四）电网规划</w:t>
      </w:r>
      <w:bookmarkEnd w:id="302"/>
    </w:p>
    <w:p w14:paraId="1AAFE81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规划区电力线路分为三个等级：220KV、</w:t>
      </w:r>
      <w:r>
        <w:rPr>
          <w:rFonts w:ascii="仿宋_GB2312" w:hAnsi="宋体" w:eastAsia="仿宋_GB2312"/>
          <w:sz w:val="32"/>
          <w:szCs w:val="32"/>
        </w:rPr>
        <w:t>110KV</w:t>
      </w:r>
      <w:r>
        <w:rPr>
          <w:rFonts w:hint="eastAsia" w:ascii="仿宋_GB2312" w:hAnsi="宋体" w:eastAsia="仿宋_GB2312"/>
          <w:sz w:val="32"/>
          <w:szCs w:val="32"/>
        </w:rPr>
        <w:t>和</w:t>
      </w:r>
      <w:r>
        <w:rPr>
          <w:rFonts w:ascii="仿宋_GB2312" w:hAnsi="宋体" w:eastAsia="仿宋_GB2312"/>
          <w:sz w:val="32"/>
          <w:szCs w:val="32"/>
        </w:rPr>
        <w:t>10KV</w:t>
      </w:r>
      <w:r>
        <w:rPr>
          <w:rFonts w:hint="eastAsia" w:ascii="仿宋_GB2312" w:hAnsi="宋体" w:eastAsia="仿宋_GB2312"/>
          <w:sz w:val="32"/>
          <w:szCs w:val="32"/>
        </w:rPr>
        <w:t>，其中220KV和110KV线路采用架空方式和地埋两种敷设，其中高压走廊尽量沿道路敷设，两侧按规划预留15米防护绿带。地埋电力浅沟尺寸主要有1000×700，1000×1000，1000×1200。</w:t>
      </w:r>
    </w:p>
    <w:p w14:paraId="733B96F5">
      <w:pPr>
        <w:pStyle w:val="3"/>
        <w:adjustRightInd w:val="0"/>
        <w:spacing w:before="252" w:beforeLines="50" w:after="252" w:afterLines="50" w:line="720" w:lineRule="exact"/>
        <w:rPr>
          <w:rFonts w:ascii="方正黑体简体" w:hAnsi="Calibri" w:eastAsia="方正黑体简体"/>
          <w:bCs w:val="0"/>
        </w:rPr>
      </w:pPr>
      <w:bookmarkStart w:id="303" w:name="_Toc414632174"/>
      <w:bookmarkStart w:id="304" w:name="_Toc358296684"/>
      <w:bookmarkStart w:id="305" w:name="_Toc420499457"/>
      <w:r>
        <w:rPr>
          <w:rFonts w:hint="eastAsia" w:ascii="方正黑体简体" w:hAnsi="Calibri" w:eastAsia="方正黑体简体"/>
          <w:bCs w:val="0"/>
        </w:rPr>
        <w:t>四、</w:t>
      </w:r>
      <w:bookmarkEnd w:id="303"/>
      <w:bookmarkEnd w:id="304"/>
      <w:bookmarkEnd w:id="305"/>
      <w:r>
        <w:rPr>
          <w:rFonts w:hint="eastAsia" w:ascii="方正黑体简体" w:hAnsi="Calibri" w:eastAsia="方正黑体简体"/>
          <w:bCs w:val="0"/>
        </w:rPr>
        <w:t>电信、邮政及广播电视工程规划</w:t>
      </w:r>
    </w:p>
    <w:p w14:paraId="434FF03B">
      <w:pPr>
        <w:spacing w:before="252" w:beforeLines="50" w:after="252" w:afterLines="50" w:line="720" w:lineRule="exact"/>
        <w:ind w:firstLine="598" w:firstLineChars="200"/>
        <w:rPr>
          <w:rFonts w:ascii="仿宋_GB2312" w:hAnsi="宋体" w:eastAsia="仿宋_GB2312"/>
          <w:b/>
          <w:sz w:val="32"/>
          <w:szCs w:val="32"/>
        </w:rPr>
      </w:pPr>
      <w:bookmarkStart w:id="306" w:name="_Toc358296685"/>
      <w:bookmarkStart w:id="307" w:name="_Toc378340321"/>
      <w:bookmarkStart w:id="308" w:name="_Toc378340081"/>
      <w:r>
        <w:rPr>
          <w:rFonts w:hint="eastAsia" w:ascii="仿宋_GB2312" w:hAnsi="宋体" w:eastAsia="仿宋_GB2312"/>
          <w:b/>
          <w:sz w:val="32"/>
          <w:szCs w:val="32"/>
        </w:rPr>
        <w:t>（一）电信工程规划</w:t>
      </w:r>
      <w:bookmarkEnd w:id="306"/>
      <w:bookmarkEnd w:id="307"/>
      <w:bookmarkEnd w:id="308"/>
    </w:p>
    <w:p w14:paraId="6054A4AD">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、市话需求量预测</w:t>
      </w:r>
    </w:p>
    <w:p w14:paraId="3E36122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规划区内电话普及率按</w:t>
      </w:r>
      <w:r>
        <w:rPr>
          <w:rFonts w:ascii="仿宋_GB2312" w:hAnsi="宋体" w:eastAsia="仿宋_GB2312"/>
          <w:sz w:val="32"/>
          <w:szCs w:val="32"/>
        </w:rPr>
        <w:t>80</w:t>
      </w:r>
      <w:r>
        <w:rPr>
          <w:rFonts w:hint="eastAsia" w:ascii="仿宋_GB2312" w:hAnsi="宋体" w:eastAsia="仿宋_GB2312"/>
          <w:sz w:val="32"/>
          <w:szCs w:val="32"/>
        </w:rPr>
        <w:t>部</w:t>
      </w:r>
      <w:r>
        <w:rPr>
          <w:rFonts w:ascii="仿宋_GB2312" w:hAnsi="宋体" w:eastAsia="仿宋_GB2312"/>
          <w:sz w:val="32"/>
          <w:szCs w:val="32"/>
        </w:rPr>
        <w:t>/</w:t>
      </w:r>
      <w:r>
        <w:rPr>
          <w:rFonts w:hint="eastAsia" w:ascii="仿宋_GB2312" w:hAnsi="宋体" w:eastAsia="仿宋_GB2312"/>
          <w:sz w:val="32"/>
          <w:szCs w:val="32"/>
        </w:rPr>
        <w:t>百人计，则规划区电话装机数</w:t>
      </w:r>
      <w:r>
        <w:rPr>
          <w:rFonts w:hint="eastAsia" w:ascii="仿宋_GB2312" w:hAnsi="宋体" w:eastAsia="仿宋_GB2312"/>
          <w:sz w:val="32"/>
          <w:szCs w:val="32"/>
          <w:lang w:val="en-US" w:eastAsia="zh-CN"/>
        </w:rPr>
        <w:t>3.5</w:t>
      </w:r>
      <w:r>
        <w:rPr>
          <w:rFonts w:hint="eastAsia" w:ascii="仿宋_GB2312" w:hAnsi="宋体" w:eastAsia="仿宋_GB2312"/>
          <w:sz w:val="32"/>
          <w:szCs w:val="32"/>
        </w:rPr>
        <w:t>万×</w:t>
      </w:r>
      <w:r>
        <w:rPr>
          <w:rFonts w:ascii="仿宋_GB2312" w:hAnsi="宋体" w:eastAsia="仿宋_GB2312"/>
          <w:sz w:val="32"/>
          <w:szCs w:val="32"/>
        </w:rPr>
        <w:t>80%</w:t>
      </w:r>
      <w:r>
        <w:rPr>
          <w:rFonts w:hint="eastAsia" w:ascii="仿宋_GB2312" w:hAnsi="宋体" w:eastAsia="仿宋_GB2312"/>
          <w:sz w:val="32"/>
          <w:szCs w:val="32"/>
        </w:rPr>
        <w:t>＝</w:t>
      </w:r>
      <w:r>
        <w:rPr>
          <w:rFonts w:hint="eastAsia" w:ascii="仿宋_GB2312" w:hAnsi="宋体" w:eastAsia="仿宋_GB2312"/>
          <w:sz w:val="32"/>
          <w:szCs w:val="32"/>
          <w:lang w:val="en-US" w:eastAsia="zh-CN"/>
        </w:rPr>
        <w:t>2.80</w:t>
      </w:r>
      <w:r>
        <w:rPr>
          <w:rFonts w:hint="eastAsia" w:ascii="仿宋_GB2312" w:hAnsi="宋体" w:eastAsia="仿宋_GB2312"/>
          <w:sz w:val="32"/>
          <w:szCs w:val="32"/>
        </w:rPr>
        <w:t>万部。</w:t>
      </w:r>
    </w:p>
    <w:p w14:paraId="324167E0">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2、电信网管规划</w:t>
      </w:r>
    </w:p>
    <w:p w14:paraId="727C37B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为美化规划区环境，净化规划区空间，保证电信线路的安全，规划电信线路主要采用管道电缆方式，全部下地敷设。线路中应考虑长、市及非话业务，备用、专用等需求。电信主干线路沿城市主干道布置，其电信管孔数不少于</w:t>
      </w:r>
      <w:r>
        <w:rPr>
          <w:rFonts w:ascii="仿宋_GB2312" w:hAnsi="宋体" w:eastAsia="仿宋_GB2312"/>
          <w:sz w:val="32"/>
          <w:szCs w:val="32"/>
        </w:rPr>
        <w:t>24</w:t>
      </w:r>
      <w:r>
        <w:rPr>
          <w:rFonts w:hint="eastAsia" w:ascii="仿宋_GB2312" w:hAnsi="宋体" w:eastAsia="仿宋_GB2312"/>
          <w:sz w:val="32"/>
          <w:szCs w:val="32"/>
        </w:rPr>
        <w:t>孔；其余主干道、次干道，其管道孔数一般按</w:t>
      </w:r>
      <w:r>
        <w:rPr>
          <w:rFonts w:ascii="仿宋_GB2312" w:hAnsi="宋体" w:eastAsia="仿宋_GB2312"/>
          <w:sz w:val="32"/>
          <w:szCs w:val="32"/>
        </w:rPr>
        <w:t>12</w:t>
      </w:r>
      <w:r>
        <w:rPr>
          <w:rFonts w:hint="eastAsia" w:ascii="仿宋_GB2312" w:hAnsi="宋体" w:eastAsia="仿宋_GB2312"/>
          <w:sz w:val="32"/>
          <w:szCs w:val="32"/>
        </w:rPr>
        <w:t>～</w:t>
      </w:r>
      <w:r>
        <w:rPr>
          <w:rFonts w:ascii="仿宋_GB2312" w:hAnsi="宋体" w:eastAsia="仿宋_GB2312"/>
          <w:sz w:val="32"/>
          <w:szCs w:val="32"/>
        </w:rPr>
        <w:t>18</w:t>
      </w:r>
      <w:r>
        <w:rPr>
          <w:rFonts w:hint="eastAsia" w:ascii="仿宋_GB2312" w:hAnsi="宋体" w:eastAsia="仿宋_GB2312"/>
          <w:sz w:val="32"/>
          <w:szCs w:val="32"/>
        </w:rPr>
        <w:t>孔考虑，支路按</w:t>
      </w:r>
      <w:r>
        <w:rPr>
          <w:rFonts w:ascii="仿宋_GB2312" w:hAnsi="宋体" w:eastAsia="仿宋_GB2312"/>
          <w:sz w:val="32"/>
          <w:szCs w:val="32"/>
        </w:rPr>
        <w:t>4</w:t>
      </w:r>
      <w:r>
        <w:rPr>
          <w:rFonts w:hint="eastAsia" w:ascii="仿宋_GB2312" w:hAnsi="宋体" w:eastAsia="仿宋_GB2312"/>
          <w:sz w:val="32"/>
          <w:szCs w:val="32"/>
        </w:rPr>
        <w:t>～</w:t>
      </w:r>
      <w:r>
        <w:rPr>
          <w:rFonts w:ascii="仿宋_GB2312" w:hAnsi="宋体" w:eastAsia="仿宋_GB2312"/>
          <w:sz w:val="32"/>
          <w:szCs w:val="32"/>
        </w:rPr>
        <w:t>8</w:t>
      </w:r>
      <w:r>
        <w:rPr>
          <w:rFonts w:hint="eastAsia" w:ascii="仿宋_GB2312" w:hAnsi="宋体" w:eastAsia="仿宋_GB2312"/>
          <w:sz w:val="32"/>
          <w:szCs w:val="32"/>
        </w:rPr>
        <w:t>孔考虑。</w:t>
      </w:r>
    </w:p>
    <w:p w14:paraId="457957FF">
      <w:pPr>
        <w:spacing w:before="252" w:beforeLines="50" w:after="252" w:afterLines="50" w:line="720" w:lineRule="exact"/>
        <w:ind w:firstLine="598" w:firstLineChars="200"/>
        <w:rPr>
          <w:rFonts w:ascii="仿宋_GB2312" w:hAnsi="宋体" w:eastAsia="仿宋_GB2312"/>
          <w:b/>
          <w:sz w:val="32"/>
          <w:szCs w:val="32"/>
        </w:rPr>
      </w:pPr>
      <w:r>
        <w:rPr>
          <w:rFonts w:hint="eastAsia" w:ascii="仿宋_GB2312" w:hAnsi="宋体" w:eastAsia="仿宋_GB2312"/>
          <w:b/>
          <w:sz w:val="32"/>
          <w:szCs w:val="32"/>
        </w:rPr>
        <w:t>（二）</w:t>
      </w:r>
      <w:r>
        <w:rPr>
          <w:rFonts w:ascii="仿宋_GB2312" w:hAnsi="宋体" w:eastAsia="仿宋_GB2312"/>
          <w:b/>
          <w:sz w:val="32"/>
          <w:szCs w:val="32"/>
        </w:rPr>
        <w:t xml:space="preserve"> </w:t>
      </w:r>
      <w:bookmarkStart w:id="309" w:name="_Toc378340082"/>
      <w:bookmarkStart w:id="310" w:name="_Toc378340322"/>
      <w:bookmarkStart w:id="311" w:name="_Toc358296686"/>
      <w:r>
        <w:rPr>
          <w:rFonts w:hint="eastAsia" w:ascii="仿宋_GB2312" w:hAnsi="宋体" w:eastAsia="仿宋_GB2312"/>
          <w:b/>
          <w:sz w:val="32"/>
          <w:szCs w:val="32"/>
        </w:rPr>
        <w:t>邮政设施规划</w:t>
      </w:r>
      <w:bookmarkEnd w:id="309"/>
      <w:bookmarkEnd w:id="310"/>
      <w:bookmarkEnd w:id="311"/>
    </w:p>
    <w:p w14:paraId="4BB118E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各居住小区根据实际需求设邮政服务代办点，以满足肖坝片区居民邮政服务需求。</w:t>
      </w:r>
    </w:p>
    <w:p w14:paraId="10A611E0">
      <w:pPr>
        <w:spacing w:before="252" w:beforeLines="50" w:after="252" w:afterLines="50" w:line="720" w:lineRule="exact"/>
        <w:ind w:firstLine="598" w:firstLineChars="200"/>
        <w:rPr>
          <w:rFonts w:ascii="仿宋_GB2312" w:hAnsi="宋体" w:eastAsia="仿宋_GB2312"/>
          <w:b/>
          <w:sz w:val="32"/>
          <w:szCs w:val="32"/>
        </w:rPr>
      </w:pPr>
      <w:bookmarkStart w:id="312" w:name="_Toc378340083"/>
      <w:bookmarkStart w:id="313" w:name="_Toc358296687"/>
      <w:bookmarkStart w:id="314" w:name="_Toc378340323"/>
      <w:r>
        <w:rPr>
          <w:rFonts w:hint="eastAsia" w:ascii="仿宋_GB2312" w:hAnsi="宋体" w:eastAsia="仿宋_GB2312"/>
          <w:b/>
          <w:sz w:val="32"/>
          <w:szCs w:val="32"/>
        </w:rPr>
        <w:t>（三）广播电视工程规划</w:t>
      </w:r>
      <w:bookmarkEnd w:id="312"/>
      <w:bookmarkEnd w:id="313"/>
      <w:bookmarkEnd w:id="314"/>
    </w:p>
    <w:p w14:paraId="3B25528A">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、有线电视用户预测</w:t>
      </w:r>
    </w:p>
    <w:p w14:paraId="32CA8508">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规划区有</w:t>
      </w:r>
      <w:r>
        <w:rPr>
          <w:rFonts w:hint="eastAsia" w:ascii="仿宋_GB2312" w:hAnsi="宋体" w:eastAsia="仿宋_GB2312"/>
          <w:sz w:val="32"/>
          <w:szCs w:val="32"/>
          <w:lang w:val="en-US" w:eastAsia="zh-CN"/>
        </w:rPr>
        <w:t>线</w:t>
      </w:r>
      <w:r>
        <w:rPr>
          <w:rFonts w:hint="eastAsia" w:ascii="仿宋_GB2312" w:hAnsi="宋体" w:eastAsia="仿宋_GB2312"/>
          <w:sz w:val="32"/>
          <w:szCs w:val="32"/>
        </w:rPr>
        <w:t>电视用户按每户</w:t>
      </w:r>
      <w:r>
        <w:rPr>
          <w:rFonts w:ascii="仿宋_GB2312" w:hAnsi="宋体" w:eastAsia="仿宋_GB2312"/>
          <w:sz w:val="32"/>
          <w:szCs w:val="32"/>
        </w:rPr>
        <w:t>1</w:t>
      </w:r>
      <w:r>
        <w:rPr>
          <w:rFonts w:hint="eastAsia" w:ascii="仿宋_GB2312" w:hAnsi="宋体" w:eastAsia="仿宋_GB2312"/>
          <w:sz w:val="32"/>
          <w:szCs w:val="32"/>
        </w:rPr>
        <w:t>对线计，办公、公建按居住户数的</w:t>
      </w:r>
      <w:r>
        <w:rPr>
          <w:rFonts w:ascii="仿宋_GB2312" w:hAnsi="宋体" w:eastAsia="仿宋_GB2312"/>
          <w:sz w:val="32"/>
          <w:szCs w:val="32"/>
        </w:rPr>
        <w:t>20%</w:t>
      </w:r>
      <w:r>
        <w:rPr>
          <w:rFonts w:hint="eastAsia" w:ascii="仿宋_GB2312" w:hAnsi="宋体" w:eastAsia="仿宋_GB2312"/>
          <w:sz w:val="32"/>
          <w:szCs w:val="32"/>
        </w:rPr>
        <w:t>计，则规划区共需约1.4万对接线。</w:t>
      </w:r>
    </w:p>
    <w:p w14:paraId="515D0666">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、广播电视系统规划</w:t>
      </w:r>
    </w:p>
    <w:p w14:paraId="5B577C8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广播电视主干线路采用光缆埋地敷设，电信线路同程敷设</w:t>
      </w:r>
      <w:r>
        <w:rPr>
          <w:rFonts w:ascii="仿宋_GB2312" w:hAnsi="宋体" w:eastAsia="仿宋_GB2312"/>
          <w:sz w:val="32"/>
          <w:szCs w:val="32"/>
        </w:rPr>
        <w:t>(</w:t>
      </w:r>
      <w:r>
        <w:rPr>
          <w:rFonts w:hint="eastAsia" w:ascii="仿宋_GB2312" w:hAnsi="宋体" w:eastAsia="仿宋_GB2312"/>
          <w:sz w:val="32"/>
          <w:szCs w:val="32"/>
        </w:rPr>
        <w:t>单独留</w:t>
      </w:r>
      <w:r>
        <w:rPr>
          <w:rFonts w:ascii="仿宋_GB2312" w:hAnsi="宋体" w:eastAsia="仿宋_GB2312"/>
          <w:sz w:val="32"/>
          <w:szCs w:val="32"/>
        </w:rPr>
        <w:t>1</w:t>
      </w:r>
      <w:r>
        <w:rPr>
          <w:rFonts w:hint="eastAsia" w:ascii="仿宋_GB2312" w:hAnsi="宋体" w:eastAsia="仿宋_GB2312"/>
          <w:sz w:val="32"/>
          <w:szCs w:val="32"/>
        </w:rPr>
        <w:t>孔</w:t>
      </w:r>
      <w:r>
        <w:rPr>
          <w:rFonts w:ascii="仿宋_GB2312" w:hAnsi="宋体" w:eastAsia="仿宋_GB2312"/>
          <w:sz w:val="32"/>
          <w:szCs w:val="32"/>
        </w:rPr>
        <w:t>)</w:t>
      </w:r>
      <w:r>
        <w:rPr>
          <w:rFonts w:hint="eastAsia" w:ascii="仿宋_GB2312" w:hAnsi="宋体" w:eastAsia="仿宋_GB2312"/>
          <w:sz w:val="32"/>
          <w:szCs w:val="32"/>
        </w:rPr>
        <w:t>。广播电视线路、电话、计算机三网一体</w:t>
      </w:r>
      <w:r>
        <w:rPr>
          <w:rFonts w:ascii="仿宋_GB2312" w:hAnsi="宋体" w:eastAsia="仿宋_GB2312"/>
          <w:sz w:val="32"/>
          <w:szCs w:val="32"/>
        </w:rPr>
        <w:t>,</w:t>
      </w:r>
      <w:r>
        <w:rPr>
          <w:rFonts w:hint="eastAsia" w:ascii="仿宋_GB2312" w:hAnsi="宋体" w:eastAsia="仿宋_GB2312"/>
          <w:sz w:val="32"/>
          <w:szCs w:val="32"/>
        </w:rPr>
        <w:t>为片区信息网络建设提供坚实基础。</w:t>
      </w:r>
    </w:p>
    <w:p w14:paraId="65C04B95">
      <w:pPr>
        <w:pStyle w:val="3"/>
        <w:adjustRightInd w:val="0"/>
        <w:spacing w:before="252" w:beforeLines="50" w:after="252" w:afterLines="50" w:line="720" w:lineRule="exact"/>
        <w:rPr>
          <w:rFonts w:ascii="方正黑体简体" w:hAnsi="Calibri" w:eastAsia="方正黑体简体"/>
          <w:bCs w:val="0"/>
        </w:rPr>
      </w:pPr>
      <w:bookmarkStart w:id="315" w:name="_Toc414632175"/>
      <w:bookmarkStart w:id="316" w:name="_Toc358296688"/>
      <w:bookmarkStart w:id="317" w:name="_Toc420499458"/>
      <w:r>
        <w:rPr>
          <w:rFonts w:hint="eastAsia" w:ascii="方正黑体简体" w:hAnsi="Calibri" w:eastAsia="方正黑体简体"/>
          <w:bCs w:val="0"/>
        </w:rPr>
        <w:t>五、燃气工程规划</w:t>
      </w:r>
      <w:bookmarkEnd w:id="315"/>
      <w:bookmarkEnd w:id="316"/>
      <w:bookmarkEnd w:id="317"/>
    </w:p>
    <w:p w14:paraId="040F7EEC">
      <w:pPr>
        <w:spacing w:before="252" w:beforeLines="50" w:after="252" w:afterLines="50" w:line="720" w:lineRule="exact"/>
        <w:ind w:firstLine="598" w:firstLineChars="200"/>
        <w:rPr>
          <w:rFonts w:ascii="仿宋_GB2312" w:hAnsi="宋体" w:eastAsia="仿宋_GB2312"/>
          <w:b/>
          <w:sz w:val="32"/>
          <w:szCs w:val="32"/>
        </w:rPr>
      </w:pPr>
      <w:bookmarkStart w:id="318" w:name="_Toc358296690"/>
      <w:r>
        <w:rPr>
          <w:rFonts w:hint="eastAsia" w:ascii="仿宋_GB2312" w:hAnsi="宋体" w:eastAsia="仿宋_GB2312"/>
          <w:b/>
          <w:sz w:val="32"/>
          <w:szCs w:val="32"/>
        </w:rPr>
        <w:t>（一）用气量预测</w:t>
      </w:r>
      <w:bookmarkEnd w:id="318"/>
    </w:p>
    <w:p w14:paraId="7B03370C">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取平均生活用气指标为0.45m</w:t>
      </w:r>
      <w:r>
        <w:rPr>
          <w:rFonts w:hint="eastAsia" w:ascii="仿宋_GB2312" w:hAnsi="宋体" w:eastAsia="仿宋_GB2312"/>
          <w:sz w:val="32"/>
          <w:szCs w:val="32"/>
          <w:vertAlign w:val="superscript"/>
        </w:rPr>
        <w:t>3</w:t>
      </w:r>
      <w:r>
        <w:rPr>
          <w:rFonts w:hint="eastAsia" w:ascii="仿宋_GB2312" w:hAnsi="宋体" w:eastAsia="仿宋_GB2312"/>
          <w:sz w:val="32"/>
          <w:szCs w:val="32"/>
        </w:rPr>
        <w:t>/人•日，其它用气为生活用气的10%计，则规划区生活用气量为</w:t>
      </w:r>
      <w:r>
        <w:rPr>
          <w:rFonts w:hint="eastAsia" w:ascii="仿宋_GB2312" w:hAnsi="宋体" w:eastAsia="仿宋_GB2312"/>
          <w:sz w:val="32"/>
          <w:szCs w:val="32"/>
          <w:lang w:val="en-US" w:eastAsia="zh-CN"/>
        </w:rPr>
        <w:t>3.5</w:t>
      </w:r>
      <w:r>
        <w:rPr>
          <w:rFonts w:hint="eastAsia" w:ascii="仿宋_GB2312" w:hAnsi="宋体" w:eastAsia="仿宋_GB2312"/>
          <w:sz w:val="32"/>
          <w:szCs w:val="32"/>
        </w:rPr>
        <w:t>×0.45＝1.</w:t>
      </w:r>
      <w:r>
        <w:rPr>
          <w:rFonts w:hint="eastAsia" w:ascii="仿宋_GB2312" w:hAnsi="宋体" w:eastAsia="仿宋_GB2312"/>
          <w:sz w:val="32"/>
          <w:szCs w:val="32"/>
          <w:lang w:val="en-US" w:eastAsia="zh-CN"/>
        </w:rPr>
        <w:t>58</w:t>
      </w:r>
      <w:r>
        <w:rPr>
          <w:rFonts w:hint="eastAsia" w:ascii="仿宋_GB2312" w:hAnsi="宋体" w:eastAsia="仿宋_GB2312"/>
          <w:sz w:val="32"/>
          <w:szCs w:val="32"/>
        </w:rPr>
        <w:t>万m</w:t>
      </w:r>
      <w:r>
        <w:rPr>
          <w:rFonts w:hint="eastAsia" w:ascii="仿宋_GB2312" w:hAnsi="宋体" w:eastAsia="仿宋_GB2312"/>
          <w:sz w:val="32"/>
          <w:szCs w:val="32"/>
          <w:vertAlign w:val="superscript"/>
        </w:rPr>
        <w:t>3</w:t>
      </w:r>
      <w:r>
        <w:rPr>
          <w:rFonts w:hint="eastAsia" w:ascii="仿宋_GB2312" w:hAnsi="宋体" w:eastAsia="仿宋_GB2312"/>
          <w:sz w:val="32"/>
          <w:szCs w:val="32"/>
        </w:rPr>
        <w:t>/日。</w:t>
      </w:r>
    </w:p>
    <w:p w14:paraId="48FAAD0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总用气量为1.</w:t>
      </w:r>
      <w:r>
        <w:rPr>
          <w:rFonts w:hint="eastAsia" w:ascii="仿宋_GB2312" w:hAnsi="宋体" w:eastAsia="仿宋_GB2312"/>
          <w:sz w:val="32"/>
          <w:szCs w:val="32"/>
          <w:lang w:val="en-US" w:eastAsia="zh-CN"/>
        </w:rPr>
        <w:t>58</w:t>
      </w:r>
      <w:r>
        <w:rPr>
          <w:rFonts w:hint="eastAsia" w:ascii="仿宋_GB2312" w:hAnsi="宋体" w:eastAsia="仿宋_GB2312"/>
          <w:sz w:val="32"/>
          <w:szCs w:val="32"/>
        </w:rPr>
        <w:t>×1.1=</w:t>
      </w:r>
      <w:r>
        <w:rPr>
          <w:rFonts w:hint="eastAsia" w:ascii="仿宋_GB2312" w:hAnsi="宋体" w:eastAsia="仿宋_GB2312"/>
          <w:sz w:val="32"/>
          <w:szCs w:val="32"/>
          <w:lang w:val="en-US" w:eastAsia="zh-CN"/>
        </w:rPr>
        <w:t>1.74</w:t>
      </w:r>
      <w:r>
        <w:rPr>
          <w:rFonts w:hint="eastAsia" w:ascii="仿宋_GB2312" w:hAnsi="宋体" w:eastAsia="仿宋_GB2312"/>
          <w:sz w:val="32"/>
          <w:szCs w:val="32"/>
        </w:rPr>
        <w:t>万m</w:t>
      </w:r>
      <w:r>
        <w:rPr>
          <w:rFonts w:hint="eastAsia" w:ascii="仿宋_GB2312" w:hAnsi="宋体" w:eastAsia="仿宋_GB2312"/>
          <w:sz w:val="32"/>
          <w:szCs w:val="32"/>
          <w:vertAlign w:val="superscript"/>
        </w:rPr>
        <w:t>3</w:t>
      </w:r>
      <w:r>
        <w:rPr>
          <w:rFonts w:hint="eastAsia" w:ascii="仿宋_GB2312" w:hAnsi="宋体" w:eastAsia="仿宋_GB2312"/>
          <w:sz w:val="32"/>
          <w:szCs w:val="32"/>
        </w:rPr>
        <w:t>/日。</w:t>
      </w:r>
    </w:p>
    <w:p w14:paraId="18323DF5">
      <w:pPr>
        <w:spacing w:before="252" w:beforeLines="50" w:after="252" w:afterLines="50" w:line="720" w:lineRule="exact"/>
        <w:ind w:firstLine="598" w:firstLineChars="200"/>
        <w:rPr>
          <w:rFonts w:ascii="仿宋_GB2312" w:hAnsi="宋体" w:eastAsia="仿宋_GB2312"/>
          <w:b/>
          <w:sz w:val="32"/>
          <w:szCs w:val="32"/>
        </w:rPr>
      </w:pPr>
      <w:bookmarkStart w:id="319" w:name="_Toc358296691"/>
      <w:r>
        <w:rPr>
          <w:rFonts w:hint="eastAsia" w:ascii="仿宋_GB2312" w:hAnsi="宋体" w:eastAsia="仿宋_GB2312"/>
          <w:b/>
          <w:sz w:val="32"/>
          <w:szCs w:val="32"/>
        </w:rPr>
        <w:t>（二）管网布置</w:t>
      </w:r>
      <w:bookmarkEnd w:id="319"/>
    </w:p>
    <w:p w14:paraId="47E1A60F">
      <w:pPr>
        <w:spacing w:line="760" w:lineRule="exact"/>
        <w:ind w:firstLine="598" w:firstLineChars="200"/>
        <w:rPr>
          <w:rFonts w:ascii="仿宋_GB2312" w:hAnsi="宋体" w:eastAsia="仿宋_GB2312"/>
          <w:sz w:val="32"/>
          <w:szCs w:val="32"/>
        </w:rPr>
      </w:pPr>
      <w:bookmarkStart w:id="320" w:name="_Toc414632176"/>
      <w:bookmarkStart w:id="321" w:name="_Toc420499459"/>
      <w:r>
        <w:rPr>
          <w:rFonts w:hint="eastAsia" w:ascii="仿宋_GB2312" w:hAnsi="宋体" w:eastAsia="仿宋_GB2312"/>
          <w:sz w:val="32"/>
          <w:szCs w:val="32"/>
        </w:rPr>
        <w:t>燃气管网实行分级配置，沿大件路布置燃气干管，管径219，采用中压输送；沿其他城市支路布置燃气支管，管径</w:t>
      </w:r>
      <w:r>
        <w:rPr>
          <w:rFonts w:ascii="仿宋_GB2312" w:hAnsi="宋体" w:eastAsia="仿宋_GB2312"/>
          <w:sz w:val="32"/>
          <w:szCs w:val="32"/>
        </w:rPr>
        <w:t>108</w:t>
      </w:r>
      <w:r>
        <w:rPr>
          <w:rFonts w:hint="eastAsia" w:ascii="仿宋_GB2312" w:hAnsi="宋体" w:eastAsia="仿宋_GB2312"/>
          <w:sz w:val="32"/>
          <w:szCs w:val="32"/>
        </w:rPr>
        <w:t>，采用中压输送，形成主次分明、布局合理的环状供气管网系统，提高供气安全性和可靠性。其他小区配气管根据实际用气情况配置低压配气管网。</w:t>
      </w:r>
    </w:p>
    <w:p w14:paraId="4DD17B0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规划地下管径小于Dg200的中压管选用聚乙烯管，地上中压管道选用无缝钢管。燃气管道沿路敷设于人行道下。</w:t>
      </w:r>
    </w:p>
    <w:p w14:paraId="1C725AF4">
      <w:pPr>
        <w:pStyle w:val="3"/>
        <w:adjustRightInd w:val="0"/>
        <w:spacing w:before="252" w:beforeLines="50" w:after="252" w:afterLines="50" w:line="720" w:lineRule="exact"/>
        <w:rPr>
          <w:rFonts w:ascii="方正黑体简体" w:hAnsi="Calibri" w:eastAsia="方正黑体简体"/>
          <w:bCs w:val="0"/>
        </w:rPr>
      </w:pPr>
      <w:bookmarkStart w:id="322" w:name="_Toc358296692"/>
      <w:r>
        <w:rPr>
          <w:rFonts w:hint="eastAsia" w:ascii="方正黑体简体" w:hAnsi="Calibri" w:eastAsia="方正黑体简体"/>
          <w:bCs w:val="0"/>
        </w:rPr>
        <w:t>六、管线综合</w:t>
      </w:r>
      <w:bookmarkEnd w:id="320"/>
      <w:bookmarkEnd w:id="321"/>
      <w:bookmarkEnd w:id="322"/>
    </w:p>
    <w:p w14:paraId="688BA49B">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该区规划管线较多，既要考虑管线综合对城市景观和环境的影响，又要考虑选择合适的管材，并采取适当的技术措施，保证各种管线系统的技术先进，安全可靠，经济合理。</w:t>
      </w:r>
    </w:p>
    <w:p w14:paraId="500ED093">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原则：规划区内所有工程管线均走地下；工程管线在道路下面的规划位置宜相对固定，从道路红线向道路中心线方向平行布置次序宜为：电力电缆、电信电缆、燃气配气、给水配水、热力干线、燃气输气、给水输水、雨水排水、污水排水；当工程管线交叉敷设时，自地表面向下的排列顺序宜为：电力管线、热力管线、给水管线、雨水排水管线、污水排水管线；管道交叉处本着压力管道让无压力管道，管径小的让管径大的、易弯曲的让不易弯曲的、临时性的让永久性的、工程量小的让工程量大的、新建的让现状的、检修次数少的、方便的让检修次数多的、不方便的原则；各种交叉管道的间距根据《城市工程管线综合规划规范》有关要求进行规划，特殊情况采用相应的技术措施予以保证。</w:t>
      </w:r>
    </w:p>
    <w:p w14:paraId="3D31F165">
      <w:pPr>
        <w:pStyle w:val="2"/>
        <w:adjustRightInd w:val="0"/>
        <w:spacing w:before="252" w:beforeLines="50" w:after="252" w:afterLines="50" w:line="720" w:lineRule="exact"/>
        <w:rPr>
          <w:rFonts w:ascii="方正黑体简体" w:eastAsia="方正黑体简体"/>
          <w:kern w:val="2"/>
          <w:sz w:val="44"/>
        </w:rPr>
      </w:pPr>
      <w:bookmarkStart w:id="323" w:name="_Toc420499460"/>
      <w:bookmarkStart w:id="324" w:name="_Toc414632177"/>
      <w:bookmarkStart w:id="325" w:name="_Toc358296693"/>
      <w:r>
        <w:rPr>
          <w:rFonts w:hint="eastAsia" w:ascii="方正黑体简体" w:eastAsia="方正黑体简体"/>
          <w:kern w:val="2"/>
          <w:sz w:val="44"/>
        </w:rPr>
        <w:t>第十一章</w:t>
      </w:r>
      <w:r>
        <w:rPr>
          <w:rFonts w:ascii="方正黑体简体" w:eastAsia="方正黑体简体"/>
          <w:kern w:val="2"/>
          <w:sz w:val="44"/>
        </w:rPr>
        <w:t xml:space="preserve">  </w:t>
      </w:r>
      <w:r>
        <w:rPr>
          <w:rFonts w:hint="eastAsia" w:ascii="方正黑体简体" w:eastAsia="方正黑体简体"/>
          <w:kern w:val="2"/>
          <w:sz w:val="44"/>
        </w:rPr>
        <w:t>环境保护规划</w:t>
      </w:r>
      <w:bookmarkEnd w:id="323"/>
      <w:bookmarkEnd w:id="324"/>
      <w:bookmarkEnd w:id="325"/>
    </w:p>
    <w:p w14:paraId="2F73086A">
      <w:pPr>
        <w:pStyle w:val="3"/>
        <w:adjustRightInd w:val="0"/>
        <w:spacing w:before="252" w:beforeLines="50" w:after="252" w:afterLines="50" w:line="720" w:lineRule="exact"/>
        <w:rPr>
          <w:rFonts w:ascii="方正黑体简体" w:hAnsi="Calibri" w:eastAsia="方正黑体简体"/>
          <w:bCs w:val="0"/>
        </w:rPr>
      </w:pPr>
      <w:bookmarkStart w:id="326" w:name="_Toc358296694"/>
      <w:bookmarkStart w:id="327" w:name="_Toc414632178"/>
      <w:bookmarkStart w:id="328" w:name="_Toc420499461"/>
      <w:r>
        <w:rPr>
          <w:rFonts w:hint="eastAsia" w:ascii="方正黑体简体" w:hAnsi="Calibri" w:eastAsia="方正黑体简体"/>
          <w:bCs w:val="0"/>
        </w:rPr>
        <w:t>一、环境保护目标</w:t>
      </w:r>
      <w:bookmarkEnd w:id="326"/>
      <w:bookmarkEnd w:id="327"/>
      <w:bookmarkEnd w:id="328"/>
    </w:p>
    <w:p w14:paraId="04783B79">
      <w:pPr>
        <w:spacing w:before="252" w:beforeLines="50" w:after="252" w:afterLines="50" w:line="720" w:lineRule="exact"/>
        <w:ind w:firstLine="598" w:firstLineChars="200"/>
        <w:rPr>
          <w:rFonts w:ascii="仿宋_GB2312" w:hAnsi="宋体" w:eastAsia="仿宋_GB2312"/>
          <w:b/>
          <w:sz w:val="32"/>
          <w:szCs w:val="32"/>
        </w:rPr>
      </w:pPr>
      <w:bookmarkStart w:id="329" w:name="_Toc358296695"/>
      <w:r>
        <w:rPr>
          <w:rFonts w:hint="eastAsia" w:ascii="仿宋_GB2312" w:hAnsi="宋体" w:eastAsia="仿宋_GB2312"/>
          <w:b/>
          <w:sz w:val="32"/>
          <w:szCs w:val="32"/>
        </w:rPr>
        <w:t>（一）大气环境保护目标</w:t>
      </w:r>
      <w:bookmarkEnd w:id="329"/>
    </w:p>
    <w:p w14:paraId="495DC5DC">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建设烟尘控制区，新城区大气环境质量达到《环境空气质量标准》（</w:t>
      </w:r>
      <w:r>
        <w:rPr>
          <w:rFonts w:ascii="仿宋_GB2312" w:hAnsi="宋体" w:eastAsia="仿宋_GB2312"/>
          <w:sz w:val="32"/>
          <w:szCs w:val="32"/>
        </w:rPr>
        <w:t>GB3095-2012</w:t>
      </w:r>
      <w:r>
        <w:rPr>
          <w:rFonts w:hint="eastAsia" w:ascii="仿宋_GB2312" w:hAnsi="宋体" w:eastAsia="仿宋_GB2312"/>
          <w:sz w:val="32"/>
          <w:szCs w:val="32"/>
        </w:rPr>
        <w:t>）中的二级标准。</w:t>
      </w:r>
    </w:p>
    <w:p w14:paraId="77FC6E92">
      <w:pPr>
        <w:spacing w:before="252" w:beforeLines="50" w:after="252" w:afterLines="50" w:line="720" w:lineRule="exact"/>
        <w:ind w:firstLine="598" w:firstLineChars="200"/>
        <w:rPr>
          <w:rFonts w:ascii="仿宋_GB2312" w:hAnsi="宋体" w:eastAsia="仿宋_GB2312"/>
          <w:b/>
          <w:sz w:val="32"/>
          <w:szCs w:val="32"/>
        </w:rPr>
      </w:pPr>
      <w:bookmarkStart w:id="330" w:name="_Toc358296696"/>
      <w:r>
        <w:rPr>
          <w:rFonts w:hint="eastAsia" w:ascii="仿宋_GB2312" w:hAnsi="宋体" w:eastAsia="仿宋_GB2312"/>
          <w:b/>
          <w:sz w:val="32"/>
          <w:szCs w:val="32"/>
        </w:rPr>
        <w:t>（二）水环境保护目标</w:t>
      </w:r>
      <w:bookmarkEnd w:id="330"/>
    </w:p>
    <w:p w14:paraId="08A6B741">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地表水水质逐步达到水环境功能区划的要求，根据国家《地表水环境质量标准》（</w:t>
      </w:r>
      <w:r>
        <w:rPr>
          <w:rFonts w:ascii="仿宋_GB2312" w:hAnsi="宋体" w:eastAsia="仿宋_GB2312"/>
          <w:sz w:val="32"/>
          <w:szCs w:val="32"/>
        </w:rPr>
        <w:t>GB3838-2002</w:t>
      </w:r>
      <w:r>
        <w:rPr>
          <w:rFonts w:hint="eastAsia" w:ascii="仿宋_GB2312" w:hAnsi="宋体" w:eastAsia="仿宋_GB2312"/>
          <w:sz w:val="32"/>
          <w:szCs w:val="32"/>
        </w:rPr>
        <w:t>），青衣江、大渡河水质执行Ⅲ类标准。</w:t>
      </w:r>
    </w:p>
    <w:p w14:paraId="7FEF7E75">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污水进行二级处理，达到国家《城镇污水处理厂污染物排放标准》</w:t>
      </w:r>
      <w:r>
        <w:rPr>
          <w:rFonts w:ascii="仿宋_GB2312" w:hAnsi="宋体" w:eastAsia="仿宋_GB2312"/>
          <w:sz w:val="32"/>
          <w:szCs w:val="32"/>
        </w:rPr>
        <w:t>(GB18918—2002 )</w:t>
      </w:r>
      <w:r>
        <w:rPr>
          <w:rFonts w:hint="eastAsia" w:ascii="仿宋_GB2312" w:hAnsi="宋体" w:eastAsia="仿宋_GB2312"/>
          <w:sz w:val="32"/>
          <w:szCs w:val="32"/>
        </w:rPr>
        <w:t>一级</w:t>
      </w:r>
      <w:r>
        <w:rPr>
          <w:rFonts w:ascii="仿宋_GB2312" w:hAnsi="宋体" w:eastAsia="仿宋_GB2312"/>
          <w:sz w:val="32"/>
          <w:szCs w:val="32"/>
        </w:rPr>
        <w:t>A</w:t>
      </w:r>
      <w:r>
        <w:rPr>
          <w:rFonts w:hint="eastAsia" w:ascii="仿宋_GB2312" w:hAnsi="宋体" w:eastAsia="仿宋_GB2312"/>
          <w:sz w:val="32"/>
          <w:szCs w:val="32"/>
        </w:rPr>
        <w:t>标准。工业废水、生活污水处理率达到</w:t>
      </w:r>
      <w:r>
        <w:rPr>
          <w:rFonts w:ascii="仿宋_GB2312" w:hAnsi="宋体" w:eastAsia="仿宋_GB2312"/>
          <w:sz w:val="32"/>
          <w:szCs w:val="32"/>
        </w:rPr>
        <w:t>100%</w:t>
      </w:r>
      <w:r>
        <w:rPr>
          <w:rFonts w:hint="eastAsia" w:ascii="仿宋_GB2312" w:hAnsi="宋体" w:eastAsia="仿宋_GB2312"/>
          <w:sz w:val="32"/>
          <w:szCs w:val="32"/>
        </w:rPr>
        <w:t>。</w:t>
      </w:r>
    </w:p>
    <w:p w14:paraId="2986E220">
      <w:pPr>
        <w:spacing w:before="252" w:beforeLines="50" w:after="252" w:afterLines="50" w:line="720" w:lineRule="exact"/>
        <w:ind w:firstLine="598" w:firstLineChars="200"/>
        <w:rPr>
          <w:rFonts w:ascii="仿宋_GB2312" w:hAnsi="宋体" w:eastAsia="仿宋_GB2312"/>
          <w:b/>
          <w:sz w:val="32"/>
          <w:szCs w:val="32"/>
        </w:rPr>
      </w:pPr>
      <w:bookmarkStart w:id="331" w:name="_Toc358296697"/>
      <w:r>
        <w:rPr>
          <w:rFonts w:hint="eastAsia" w:ascii="仿宋_GB2312" w:hAnsi="宋体" w:eastAsia="仿宋_GB2312"/>
          <w:b/>
          <w:sz w:val="32"/>
          <w:szCs w:val="32"/>
        </w:rPr>
        <w:t>（三）声环境保护目标</w:t>
      </w:r>
      <w:bookmarkEnd w:id="331"/>
    </w:p>
    <w:p w14:paraId="1CAB9C41">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按照国家《城市区域环境噪声标准》（</w:t>
      </w:r>
      <w:r>
        <w:rPr>
          <w:rFonts w:ascii="仿宋_GB2312" w:hAnsi="宋体" w:eastAsia="仿宋_GB2312"/>
          <w:sz w:val="32"/>
          <w:szCs w:val="32"/>
        </w:rPr>
        <w:t>GB3096-2008</w:t>
      </w:r>
      <w:r>
        <w:rPr>
          <w:rFonts w:hint="eastAsia" w:ascii="仿宋_GB2312" w:hAnsi="宋体" w:eastAsia="仿宋_GB2312"/>
          <w:sz w:val="32"/>
          <w:szCs w:val="32"/>
        </w:rPr>
        <w:t>）的规定标准，将新城区环境噪声标准划分为五类：</w:t>
      </w:r>
    </w:p>
    <w:p w14:paraId="2772DC7F">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0</w:t>
      </w:r>
      <w:r>
        <w:rPr>
          <w:rFonts w:hint="eastAsia" w:ascii="仿宋_GB2312" w:hAnsi="宋体" w:eastAsia="仿宋_GB2312"/>
          <w:sz w:val="32"/>
          <w:szCs w:val="32"/>
        </w:rPr>
        <w:t>类标准区：指康复疗养区等特别需要安静的区域。</w:t>
      </w:r>
    </w:p>
    <w:p w14:paraId="343E804C">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类标准区：其等效声级</w:t>
      </w:r>
      <w:r>
        <w:rPr>
          <w:rFonts w:ascii="仿宋_GB2312" w:hAnsi="宋体" w:eastAsia="仿宋_GB2312"/>
          <w:sz w:val="32"/>
          <w:szCs w:val="32"/>
        </w:rPr>
        <w:t>LAeq</w:t>
      </w:r>
      <w:r>
        <w:rPr>
          <w:rFonts w:hint="eastAsia" w:ascii="仿宋_GB2312" w:hAnsi="宋体" w:eastAsia="仿宋_GB2312"/>
          <w:sz w:val="32"/>
          <w:szCs w:val="32"/>
        </w:rPr>
        <w:t>昼间为</w:t>
      </w:r>
      <w:r>
        <w:rPr>
          <w:rFonts w:ascii="仿宋_GB2312" w:hAnsi="宋体" w:eastAsia="仿宋_GB2312"/>
          <w:sz w:val="32"/>
          <w:szCs w:val="32"/>
        </w:rPr>
        <w:t>55dB</w:t>
      </w:r>
      <w:r>
        <w:rPr>
          <w:rFonts w:hint="eastAsia" w:ascii="仿宋_GB2312" w:hAnsi="宋体" w:eastAsia="仿宋_GB2312"/>
          <w:sz w:val="32"/>
          <w:szCs w:val="32"/>
        </w:rPr>
        <w:t>，夜间为</w:t>
      </w:r>
      <w:r>
        <w:rPr>
          <w:rFonts w:ascii="仿宋_GB2312" w:hAnsi="宋体" w:eastAsia="仿宋_GB2312"/>
          <w:sz w:val="32"/>
          <w:szCs w:val="32"/>
        </w:rPr>
        <w:t>45dB</w:t>
      </w:r>
      <w:r>
        <w:rPr>
          <w:rFonts w:hint="eastAsia" w:ascii="仿宋_GB2312" w:hAnsi="宋体" w:eastAsia="仿宋_GB2312"/>
          <w:sz w:val="32"/>
          <w:szCs w:val="32"/>
        </w:rPr>
        <w:t>。适用于居住、文教、机关为主的区域。</w:t>
      </w:r>
    </w:p>
    <w:p w14:paraId="4241D7F2">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类标准区：其等效声级</w:t>
      </w:r>
      <w:r>
        <w:rPr>
          <w:rFonts w:ascii="仿宋_GB2312" w:hAnsi="宋体" w:eastAsia="仿宋_GB2312"/>
          <w:sz w:val="32"/>
          <w:szCs w:val="32"/>
        </w:rPr>
        <w:t>LAep</w:t>
      </w:r>
      <w:r>
        <w:rPr>
          <w:rFonts w:hint="eastAsia" w:ascii="仿宋_GB2312" w:hAnsi="宋体" w:eastAsia="仿宋_GB2312"/>
          <w:sz w:val="32"/>
          <w:szCs w:val="32"/>
        </w:rPr>
        <w:t>昼间为</w:t>
      </w:r>
      <w:r>
        <w:rPr>
          <w:rFonts w:ascii="仿宋_GB2312" w:hAnsi="宋体" w:eastAsia="仿宋_GB2312"/>
          <w:sz w:val="32"/>
          <w:szCs w:val="32"/>
        </w:rPr>
        <w:t>60dB</w:t>
      </w:r>
      <w:r>
        <w:rPr>
          <w:rFonts w:hint="eastAsia" w:ascii="仿宋_GB2312" w:hAnsi="宋体" w:eastAsia="仿宋_GB2312"/>
          <w:sz w:val="32"/>
          <w:szCs w:val="32"/>
        </w:rPr>
        <w:t>，夜间为</w:t>
      </w:r>
      <w:r>
        <w:rPr>
          <w:rFonts w:ascii="仿宋_GB2312" w:hAnsi="宋体" w:eastAsia="仿宋_GB2312"/>
          <w:sz w:val="32"/>
          <w:szCs w:val="32"/>
        </w:rPr>
        <w:t>50dB</w:t>
      </w:r>
      <w:r>
        <w:rPr>
          <w:rFonts w:hint="eastAsia" w:ascii="仿宋_GB2312" w:hAnsi="宋体" w:eastAsia="仿宋_GB2312"/>
          <w:sz w:val="32"/>
          <w:szCs w:val="32"/>
        </w:rPr>
        <w:t>。适用于居住、商业混合区域。</w:t>
      </w:r>
    </w:p>
    <w:p w14:paraId="130EEFB2">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类标准区：其等效声级</w:t>
      </w:r>
      <w:r>
        <w:rPr>
          <w:rFonts w:ascii="仿宋_GB2312" w:hAnsi="宋体" w:eastAsia="仿宋_GB2312"/>
          <w:sz w:val="32"/>
          <w:szCs w:val="32"/>
        </w:rPr>
        <w:t>LAeq</w:t>
      </w:r>
      <w:r>
        <w:rPr>
          <w:rFonts w:hint="eastAsia" w:ascii="仿宋_GB2312" w:hAnsi="宋体" w:eastAsia="仿宋_GB2312"/>
          <w:sz w:val="32"/>
          <w:szCs w:val="32"/>
        </w:rPr>
        <w:t>昼间为</w:t>
      </w:r>
      <w:r>
        <w:rPr>
          <w:rFonts w:ascii="仿宋_GB2312" w:hAnsi="宋体" w:eastAsia="仿宋_GB2312"/>
          <w:sz w:val="32"/>
          <w:szCs w:val="32"/>
        </w:rPr>
        <w:t>65dB</w:t>
      </w:r>
      <w:r>
        <w:rPr>
          <w:rFonts w:hint="eastAsia" w:ascii="仿宋_GB2312" w:hAnsi="宋体" w:eastAsia="仿宋_GB2312"/>
          <w:sz w:val="32"/>
          <w:szCs w:val="32"/>
        </w:rPr>
        <w:t>，夜间为</w:t>
      </w:r>
      <w:r>
        <w:rPr>
          <w:rFonts w:ascii="仿宋_GB2312" w:hAnsi="宋体" w:eastAsia="仿宋_GB2312"/>
          <w:sz w:val="32"/>
          <w:szCs w:val="32"/>
        </w:rPr>
        <w:t>55dB</w:t>
      </w:r>
      <w:r>
        <w:rPr>
          <w:rFonts w:hint="eastAsia" w:ascii="仿宋_GB2312" w:hAnsi="宋体" w:eastAsia="仿宋_GB2312"/>
          <w:sz w:val="32"/>
          <w:szCs w:val="32"/>
        </w:rPr>
        <w:t>。适用于工业区。</w:t>
      </w:r>
    </w:p>
    <w:p w14:paraId="7665B416">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4类标准区：指交通干线两侧一定距离之内，需要防止交通噪声对周围环境产生严重影响的区域，包括</w:t>
      </w:r>
      <w:r>
        <w:rPr>
          <w:rFonts w:ascii="仿宋_GB2312" w:hAnsi="宋体" w:eastAsia="仿宋_GB2312"/>
          <w:sz w:val="32"/>
          <w:szCs w:val="32"/>
        </w:rPr>
        <w:t>4a</w:t>
      </w:r>
      <w:r>
        <w:rPr>
          <w:rFonts w:hint="eastAsia" w:ascii="仿宋_GB2312" w:hAnsi="宋体" w:eastAsia="仿宋_GB2312"/>
          <w:sz w:val="32"/>
          <w:szCs w:val="32"/>
        </w:rPr>
        <w:t>类和</w:t>
      </w:r>
      <w:r>
        <w:rPr>
          <w:rFonts w:ascii="仿宋_GB2312" w:hAnsi="宋体" w:eastAsia="仿宋_GB2312"/>
          <w:sz w:val="32"/>
          <w:szCs w:val="32"/>
        </w:rPr>
        <w:t> 4b</w:t>
      </w:r>
      <w:r>
        <w:rPr>
          <w:rFonts w:hint="eastAsia" w:ascii="仿宋_GB2312" w:hAnsi="宋体" w:eastAsia="仿宋_GB2312"/>
          <w:sz w:val="32"/>
          <w:szCs w:val="32"/>
        </w:rPr>
        <w:t>类两种类型。其中：</w:t>
      </w:r>
    </w:p>
    <w:p w14:paraId="5A894F84">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4a</w:t>
      </w:r>
      <w:r>
        <w:rPr>
          <w:rFonts w:hint="eastAsia" w:ascii="仿宋_GB2312" w:hAnsi="宋体" w:eastAsia="仿宋_GB2312"/>
          <w:sz w:val="32"/>
          <w:szCs w:val="32"/>
        </w:rPr>
        <w:t>类为高速公路、一级公路、二级公路、城市快速路、城市主干路、城市次干路、城市轨道交通（地面段）、内河航道两侧区域。其等效声级</w:t>
      </w:r>
      <w:r>
        <w:rPr>
          <w:rFonts w:ascii="仿宋_GB2312" w:hAnsi="宋体" w:eastAsia="仿宋_GB2312"/>
          <w:sz w:val="32"/>
          <w:szCs w:val="32"/>
        </w:rPr>
        <w:t>LAeq</w:t>
      </w:r>
      <w:r>
        <w:rPr>
          <w:rFonts w:hint="eastAsia" w:ascii="仿宋_GB2312" w:hAnsi="宋体" w:eastAsia="仿宋_GB2312"/>
          <w:sz w:val="32"/>
          <w:szCs w:val="32"/>
        </w:rPr>
        <w:t>昼间为</w:t>
      </w:r>
      <w:r>
        <w:rPr>
          <w:rFonts w:ascii="仿宋_GB2312" w:hAnsi="宋体" w:eastAsia="仿宋_GB2312"/>
          <w:sz w:val="32"/>
          <w:szCs w:val="32"/>
        </w:rPr>
        <w:t>70dB</w:t>
      </w:r>
      <w:r>
        <w:rPr>
          <w:rFonts w:hint="eastAsia" w:ascii="仿宋_GB2312" w:hAnsi="宋体" w:eastAsia="仿宋_GB2312"/>
          <w:sz w:val="32"/>
          <w:szCs w:val="32"/>
        </w:rPr>
        <w:t>，夜间为</w:t>
      </w:r>
      <w:r>
        <w:rPr>
          <w:rFonts w:ascii="仿宋_GB2312" w:hAnsi="宋体" w:eastAsia="仿宋_GB2312"/>
          <w:sz w:val="32"/>
          <w:szCs w:val="32"/>
        </w:rPr>
        <w:t>55dB</w:t>
      </w:r>
      <w:r>
        <w:rPr>
          <w:rFonts w:hint="eastAsia" w:ascii="仿宋_GB2312" w:hAnsi="宋体" w:eastAsia="仿宋_GB2312"/>
          <w:sz w:val="32"/>
          <w:szCs w:val="32"/>
        </w:rPr>
        <w:t>。</w:t>
      </w:r>
    </w:p>
    <w:p w14:paraId="00154107">
      <w:pPr>
        <w:spacing w:line="760" w:lineRule="exact"/>
        <w:ind w:firstLine="598" w:firstLineChars="200"/>
        <w:rPr>
          <w:rFonts w:ascii="仿宋_GB2312" w:hAnsi="宋体" w:eastAsia="仿宋_GB2312"/>
          <w:sz w:val="32"/>
          <w:szCs w:val="32"/>
        </w:rPr>
      </w:pPr>
      <w:r>
        <w:rPr>
          <w:rFonts w:ascii="仿宋_GB2312" w:hAnsi="宋体" w:eastAsia="仿宋_GB2312"/>
          <w:sz w:val="32"/>
          <w:szCs w:val="32"/>
        </w:rPr>
        <w:t>4b</w:t>
      </w:r>
      <w:r>
        <w:rPr>
          <w:rFonts w:hint="eastAsia" w:ascii="仿宋_GB2312" w:hAnsi="宋体" w:eastAsia="仿宋_GB2312"/>
          <w:sz w:val="32"/>
          <w:szCs w:val="32"/>
        </w:rPr>
        <w:t>类为铁路干线两侧区域。其等效声级</w:t>
      </w:r>
      <w:r>
        <w:rPr>
          <w:rFonts w:ascii="仿宋_GB2312" w:hAnsi="宋体" w:eastAsia="仿宋_GB2312"/>
          <w:sz w:val="32"/>
          <w:szCs w:val="32"/>
        </w:rPr>
        <w:t>LAeq</w:t>
      </w:r>
      <w:r>
        <w:rPr>
          <w:rFonts w:hint="eastAsia" w:ascii="仿宋_GB2312" w:hAnsi="宋体" w:eastAsia="仿宋_GB2312"/>
          <w:sz w:val="32"/>
          <w:szCs w:val="32"/>
        </w:rPr>
        <w:t>昼间为</w:t>
      </w:r>
      <w:r>
        <w:rPr>
          <w:rFonts w:ascii="仿宋_GB2312" w:hAnsi="宋体" w:eastAsia="仿宋_GB2312"/>
          <w:sz w:val="32"/>
          <w:szCs w:val="32"/>
        </w:rPr>
        <w:t>70dB</w:t>
      </w:r>
      <w:r>
        <w:rPr>
          <w:rFonts w:hint="eastAsia" w:ascii="仿宋_GB2312" w:hAnsi="宋体" w:eastAsia="仿宋_GB2312"/>
          <w:sz w:val="32"/>
          <w:szCs w:val="32"/>
        </w:rPr>
        <w:t>，夜间为</w:t>
      </w:r>
      <w:r>
        <w:rPr>
          <w:rFonts w:ascii="仿宋_GB2312" w:hAnsi="宋体" w:eastAsia="仿宋_GB2312"/>
          <w:sz w:val="32"/>
          <w:szCs w:val="32"/>
        </w:rPr>
        <w:t>60dB</w:t>
      </w:r>
      <w:r>
        <w:rPr>
          <w:rFonts w:hint="eastAsia" w:ascii="仿宋_GB2312" w:hAnsi="宋体" w:eastAsia="仿宋_GB2312"/>
          <w:sz w:val="32"/>
          <w:szCs w:val="32"/>
        </w:rPr>
        <w:t>。</w:t>
      </w:r>
    </w:p>
    <w:p w14:paraId="37729951">
      <w:pPr>
        <w:spacing w:before="252" w:beforeLines="50" w:after="252" w:afterLines="50" w:line="720" w:lineRule="exact"/>
        <w:ind w:firstLine="598" w:firstLineChars="200"/>
        <w:rPr>
          <w:rFonts w:ascii="仿宋_GB2312" w:hAnsi="宋体" w:eastAsia="仿宋_GB2312"/>
          <w:b/>
          <w:sz w:val="32"/>
          <w:szCs w:val="32"/>
        </w:rPr>
      </w:pPr>
      <w:bookmarkStart w:id="332" w:name="_Toc358296698"/>
      <w:r>
        <w:rPr>
          <w:rFonts w:hint="eastAsia" w:ascii="仿宋_GB2312" w:hAnsi="宋体" w:eastAsia="仿宋_GB2312"/>
          <w:b/>
          <w:sz w:val="32"/>
          <w:szCs w:val="32"/>
        </w:rPr>
        <w:t>（三）固体废弃物综合整治目标</w:t>
      </w:r>
      <w:bookmarkEnd w:id="332"/>
    </w:p>
    <w:p w14:paraId="415609A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危险废物和医疗废物无害化处理处置率达到</w:t>
      </w:r>
      <w:r>
        <w:rPr>
          <w:rFonts w:ascii="仿宋_GB2312" w:hAnsi="宋体" w:eastAsia="仿宋_GB2312"/>
          <w:sz w:val="32"/>
          <w:szCs w:val="32"/>
        </w:rPr>
        <w:t>100%</w:t>
      </w:r>
      <w:r>
        <w:rPr>
          <w:rFonts w:hint="eastAsia" w:ascii="仿宋_GB2312" w:hAnsi="宋体" w:eastAsia="仿宋_GB2312"/>
          <w:sz w:val="32"/>
          <w:szCs w:val="32"/>
        </w:rPr>
        <w:t>；生活垃圾无害化处理率达到</w:t>
      </w:r>
      <w:r>
        <w:rPr>
          <w:rFonts w:ascii="仿宋_GB2312" w:hAnsi="宋体" w:eastAsia="仿宋_GB2312"/>
          <w:sz w:val="32"/>
          <w:szCs w:val="32"/>
        </w:rPr>
        <w:t>100%</w:t>
      </w:r>
      <w:r>
        <w:rPr>
          <w:rFonts w:hint="eastAsia" w:ascii="仿宋_GB2312" w:hAnsi="宋体" w:eastAsia="仿宋_GB2312"/>
          <w:sz w:val="32"/>
          <w:szCs w:val="32"/>
        </w:rPr>
        <w:t>。</w:t>
      </w:r>
    </w:p>
    <w:p w14:paraId="3512E5E3">
      <w:pPr>
        <w:pStyle w:val="3"/>
        <w:adjustRightInd w:val="0"/>
        <w:spacing w:before="252" w:beforeLines="50" w:after="252" w:afterLines="50" w:line="620" w:lineRule="exact"/>
        <w:rPr>
          <w:rFonts w:ascii="方正黑体简体" w:hAnsi="Calibri" w:eastAsia="方正黑体简体"/>
          <w:bCs w:val="0"/>
        </w:rPr>
      </w:pPr>
      <w:bookmarkStart w:id="333" w:name="_Toc420499462"/>
      <w:bookmarkStart w:id="334" w:name="_Toc358296699"/>
      <w:bookmarkStart w:id="335" w:name="_Toc414632179"/>
      <w:r>
        <w:rPr>
          <w:rFonts w:hint="eastAsia" w:ascii="方正黑体简体" w:hAnsi="Calibri" w:eastAsia="方正黑体简体"/>
          <w:bCs w:val="0"/>
        </w:rPr>
        <w:t>二、环境保护对策与措施</w:t>
      </w:r>
      <w:bookmarkEnd w:id="333"/>
      <w:bookmarkEnd w:id="334"/>
      <w:bookmarkEnd w:id="335"/>
    </w:p>
    <w:p w14:paraId="3206DDB1">
      <w:pPr>
        <w:spacing w:before="252" w:beforeLines="50" w:after="252" w:afterLines="50" w:line="720" w:lineRule="exact"/>
        <w:ind w:firstLine="598" w:firstLineChars="200"/>
        <w:rPr>
          <w:rFonts w:ascii="仿宋_GB2312" w:hAnsi="宋体" w:eastAsia="仿宋_GB2312"/>
          <w:b/>
          <w:sz w:val="32"/>
          <w:szCs w:val="32"/>
        </w:rPr>
      </w:pPr>
      <w:bookmarkStart w:id="336" w:name="_Toc358296700"/>
      <w:r>
        <w:rPr>
          <w:rFonts w:hint="eastAsia" w:ascii="仿宋_GB2312" w:hAnsi="宋体" w:eastAsia="仿宋_GB2312"/>
          <w:b/>
          <w:sz w:val="32"/>
          <w:szCs w:val="32"/>
        </w:rPr>
        <w:t>（一）大气环境保护</w:t>
      </w:r>
      <w:bookmarkEnd w:id="336"/>
    </w:p>
    <w:p w14:paraId="3A20554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加强除尘设施管理，减轻烟尘污染；改善道路和交通状况，减少汽车尾气污染；加强管理和监督，通过限时施工等措施减少建筑工地扬尘污染，搞好区域绿化，减轻大气环境污染。</w:t>
      </w:r>
    </w:p>
    <w:p w14:paraId="2CED97BD">
      <w:pPr>
        <w:spacing w:before="252" w:beforeLines="50" w:after="252" w:afterLines="50" w:line="720" w:lineRule="exact"/>
        <w:ind w:firstLine="598" w:firstLineChars="200"/>
        <w:rPr>
          <w:rFonts w:ascii="仿宋_GB2312" w:hAnsi="宋体" w:eastAsia="仿宋_GB2312"/>
          <w:b/>
          <w:sz w:val="32"/>
          <w:szCs w:val="32"/>
        </w:rPr>
      </w:pPr>
      <w:bookmarkStart w:id="337" w:name="_Toc358296701"/>
      <w:r>
        <w:rPr>
          <w:rFonts w:hint="eastAsia" w:ascii="仿宋_GB2312" w:hAnsi="宋体" w:eastAsia="仿宋_GB2312"/>
          <w:b/>
          <w:sz w:val="32"/>
          <w:szCs w:val="32"/>
        </w:rPr>
        <w:t>（二）水环境保护</w:t>
      </w:r>
      <w:bookmarkEnd w:id="337"/>
    </w:p>
    <w:p w14:paraId="3153003E">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污水集中收集到污水处理厂进行二级处理，排放标准必须达到《四川省岷江、沱江流域水污染物排放标准》DB51/2311规定的相关标准后方可排放。</w:t>
      </w:r>
    </w:p>
    <w:p w14:paraId="63CD3BD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对部分污染物排放较多的工业企业根据所产生的废物性质不同，要求自行建造处理装置。同时结合污水再利用，充分节约用水和提高工业废水的重复利用率，使废水的排放量降至最低。</w:t>
      </w:r>
    </w:p>
    <w:p w14:paraId="572754C1">
      <w:pPr>
        <w:spacing w:line="7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结合驳岸修建、城市改造、沿岸绿化工程等措施，严禁生活垃圾和固体废弃物倒入河渠，整治污染源。</w:t>
      </w:r>
    </w:p>
    <w:p w14:paraId="6A71BF64">
      <w:pPr>
        <w:spacing w:line="7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按照《大渡河流域水污染防治规划（2018—2020年）规划》、《岷江流域（乐山段）水污染防治总体实施方案》的要求，落实整治措施，改善大渡河水质，保障规划区水生态环境安全。</w:t>
      </w:r>
    </w:p>
    <w:p w14:paraId="0BA0ADB3">
      <w:pPr>
        <w:spacing w:line="7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保护地下水，参照《环境影响评价导则-地下水环境》的相关要求，开展分区防渗措施。</w:t>
      </w:r>
    </w:p>
    <w:p w14:paraId="187D9694">
      <w:pPr>
        <w:spacing w:before="252" w:beforeLines="50" w:after="252" w:afterLines="50" w:line="720" w:lineRule="exact"/>
        <w:ind w:firstLine="598" w:firstLineChars="200"/>
        <w:rPr>
          <w:rFonts w:ascii="仿宋_GB2312" w:hAnsi="宋体" w:eastAsia="仿宋_GB2312"/>
          <w:b/>
          <w:sz w:val="32"/>
          <w:szCs w:val="32"/>
        </w:rPr>
      </w:pPr>
      <w:bookmarkStart w:id="338" w:name="_Toc358296702"/>
      <w:r>
        <w:rPr>
          <w:rFonts w:hint="eastAsia" w:ascii="仿宋_GB2312" w:hAnsi="宋体" w:eastAsia="仿宋_GB2312"/>
          <w:b/>
          <w:sz w:val="32"/>
          <w:szCs w:val="32"/>
        </w:rPr>
        <w:t>（三）噪声控制</w:t>
      </w:r>
      <w:bookmarkEnd w:id="338"/>
    </w:p>
    <w:p w14:paraId="171AAFF2">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工业噪声应根据功能区划分，将噪声污染严重的企业按规划搬离居民区和商业区。短时间内不能搬迁的厂区要尽可能减少高噪声设备的使用，并采取消吸隔离等防护措施。</w:t>
      </w:r>
    </w:p>
    <w:p w14:paraId="04616B5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对于施工噪声，应限制施工作业时间，尽可能避免在居民正常休息时间施工，还要采取有效的减噪和防噪措施。</w:t>
      </w:r>
    </w:p>
    <w:p w14:paraId="7433467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限制车速，限制车流量，完善交通管理系统，加强机动车噪声检测。</w:t>
      </w:r>
    </w:p>
    <w:p w14:paraId="3899BBF7">
      <w:pPr>
        <w:spacing w:before="252" w:beforeLines="50" w:after="252" w:afterLines="50" w:line="720" w:lineRule="exact"/>
        <w:ind w:firstLine="598" w:firstLineChars="200"/>
        <w:rPr>
          <w:rFonts w:ascii="仿宋_GB2312" w:hAnsi="宋体" w:eastAsia="仿宋_GB2312"/>
          <w:b/>
          <w:sz w:val="32"/>
          <w:szCs w:val="32"/>
        </w:rPr>
      </w:pPr>
      <w:bookmarkStart w:id="339" w:name="_Toc358296703"/>
      <w:r>
        <w:rPr>
          <w:rFonts w:hint="eastAsia" w:ascii="仿宋_GB2312" w:hAnsi="宋体" w:eastAsia="仿宋_GB2312"/>
          <w:b/>
          <w:sz w:val="32"/>
          <w:szCs w:val="32"/>
        </w:rPr>
        <w:t>（四）固体废弃物控制</w:t>
      </w:r>
      <w:bookmarkEnd w:id="339"/>
    </w:p>
    <w:p w14:paraId="15D68D24">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完善处理网络，生活垃圾和一般工业固体废弃物经综合利用处理后，运往城市垃圾处理场进行焚烧和卫生填埋。工业固体废弃物在指定地点堆放，防止有害物质二次污染。</w:t>
      </w:r>
    </w:p>
    <w:p w14:paraId="2155BF00">
      <w:pPr>
        <w:pStyle w:val="3"/>
        <w:adjustRightInd w:val="0"/>
        <w:spacing w:before="252" w:beforeLines="50" w:after="252" w:afterLines="50" w:line="620" w:lineRule="exact"/>
        <w:rPr>
          <w:rFonts w:ascii="方正黑体简体" w:hAnsi="Calibri" w:eastAsia="方正黑体简体"/>
          <w:bCs w:val="0"/>
        </w:rPr>
      </w:pPr>
      <w:bookmarkStart w:id="340" w:name="_Toc414632180"/>
      <w:bookmarkStart w:id="341" w:name="_Toc420499463"/>
      <w:bookmarkStart w:id="342" w:name="_Toc358296704"/>
      <w:r>
        <w:rPr>
          <w:rFonts w:hint="eastAsia" w:ascii="方正黑体简体" w:hAnsi="Calibri" w:eastAsia="方正黑体简体"/>
          <w:bCs w:val="0"/>
        </w:rPr>
        <w:t>三、环卫设施规划</w:t>
      </w:r>
      <w:bookmarkEnd w:id="340"/>
      <w:bookmarkEnd w:id="341"/>
      <w:bookmarkEnd w:id="342"/>
    </w:p>
    <w:p w14:paraId="40121B46">
      <w:pPr>
        <w:spacing w:before="252" w:beforeLines="50" w:after="252" w:afterLines="50" w:line="720" w:lineRule="exact"/>
        <w:ind w:firstLine="598" w:firstLineChars="200"/>
        <w:rPr>
          <w:rFonts w:ascii="仿宋_GB2312" w:hAnsi="宋体" w:eastAsia="仿宋_GB2312"/>
          <w:b/>
          <w:sz w:val="32"/>
          <w:szCs w:val="32"/>
        </w:rPr>
      </w:pPr>
      <w:bookmarkStart w:id="343" w:name="_Toc358296705"/>
      <w:r>
        <w:rPr>
          <w:rFonts w:hint="eastAsia" w:ascii="仿宋_GB2312" w:hAnsi="宋体" w:eastAsia="仿宋_GB2312"/>
          <w:b/>
          <w:sz w:val="32"/>
          <w:szCs w:val="32"/>
        </w:rPr>
        <w:t>（一）环境卫生公共设施规划</w:t>
      </w:r>
      <w:bookmarkEnd w:id="343"/>
    </w:p>
    <w:p w14:paraId="5FA615E2">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1、垃圾收集点</w:t>
      </w:r>
    </w:p>
    <w:p w14:paraId="62538151">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垃圾收集点的服务半径不宜超过</w:t>
      </w:r>
      <w:r>
        <w:rPr>
          <w:rFonts w:ascii="仿宋_GB2312" w:hAnsi="宋体" w:eastAsia="仿宋_GB2312"/>
          <w:sz w:val="32"/>
          <w:szCs w:val="32"/>
        </w:rPr>
        <w:t>70</w:t>
      </w:r>
      <w:r>
        <w:rPr>
          <w:rFonts w:hint="eastAsia" w:ascii="仿宋_GB2312" w:hAnsi="宋体" w:eastAsia="仿宋_GB2312"/>
          <w:sz w:val="32"/>
          <w:szCs w:val="32"/>
        </w:rPr>
        <w:t>米，在规划建造新住宅区时未设垃圾收集站的多层住宅每</w:t>
      </w:r>
      <w:r>
        <w:rPr>
          <w:rFonts w:ascii="仿宋_GB2312" w:hAnsi="宋体" w:eastAsia="仿宋_GB2312"/>
          <w:sz w:val="32"/>
          <w:szCs w:val="32"/>
        </w:rPr>
        <w:t>4</w:t>
      </w:r>
      <w:r>
        <w:rPr>
          <w:rFonts w:hint="eastAsia" w:ascii="仿宋_GB2312" w:hAnsi="宋体" w:eastAsia="仿宋_GB2312"/>
          <w:sz w:val="32"/>
          <w:szCs w:val="32"/>
        </w:rPr>
        <w:t>幢应设置一个垃圾收集点，并建造垃圾容器间，安置活动垃圾箱（桶），容器间内应设给排水和通风设施。</w:t>
      </w:r>
    </w:p>
    <w:p w14:paraId="5D2D649B">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有害垃圾必须单独收集、单独运输、单独处理，其垃圾容器应封闭并应具有便于识别的标志。</w:t>
      </w:r>
    </w:p>
    <w:p w14:paraId="4930EF9B">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2、公厕</w:t>
      </w:r>
    </w:p>
    <w:p w14:paraId="35579504">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根据《城市环境卫生设施规划规范》（</w:t>
      </w:r>
      <w:r>
        <w:rPr>
          <w:rFonts w:ascii="仿宋_GB2312" w:hAnsi="宋体" w:eastAsia="仿宋_GB2312"/>
          <w:sz w:val="32"/>
          <w:szCs w:val="32"/>
        </w:rPr>
        <w:t>GB 50337-2003</w:t>
      </w:r>
      <w:r>
        <w:rPr>
          <w:rFonts w:hint="eastAsia" w:ascii="仿宋_GB2312" w:hAnsi="宋体" w:eastAsia="仿宋_GB2312"/>
          <w:sz w:val="32"/>
          <w:szCs w:val="32"/>
        </w:rPr>
        <w:t>），城市居住用地公厕设置密度为</w:t>
      </w:r>
      <w:r>
        <w:rPr>
          <w:rFonts w:ascii="仿宋_GB2312" w:hAnsi="宋体" w:eastAsia="仿宋_GB2312"/>
          <w:sz w:val="32"/>
          <w:szCs w:val="32"/>
        </w:rPr>
        <w:t xml:space="preserve">3-5 </w:t>
      </w:r>
      <w:r>
        <w:rPr>
          <w:rFonts w:hint="eastAsia" w:ascii="仿宋_GB2312" w:hAnsi="宋体" w:eastAsia="仿宋_GB2312"/>
          <w:sz w:val="32"/>
          <w:szCs w:val="32"/>
        </w:rPr>
        <w:t>座</w:t>
      </w:r>
      <w:r>
        <w:rPr>
          <w:rFonts w:ascii="仿宋_GB2312" w:hAnsi="宋体" w:eastAsia="仿宋_GB2312"/>
          <w:sz w:val="32"/>
          <w:szCs w:val="32"/>
        </w:rPr>
        <w:t>/</w:t>
      </w:r>
      <w:r>
        <w:rPr>
          <w:rFonts w:hint="eastAsia" w:ascii="仿宋_GB2312" w:hAnsi="宋体" w:eastAsia="仿宋_GB2312"/>
          <w:sz w:val="32"/>
          <w:szCs w:val="32"/>
        </w:rPr>
        <w:t>平方公里，设置间距</w:t>
      </w:r>
      <w:r>
        <w:rPr>
          <w:rFonts w:ascii="仿宋_GB2312" w:hAnsi="宋体" w:eastAsia="仿宋_GB2312"/>
          <w:sz w:val="32"/>
          <w:szCs w:val="32"/>
        </w:rPr>
        <w:t xml:space="preserve">500-800 </w:t>
      </w:r>
      <w:r>
        <w:rPr>
          <w:rFonts w:hint="eastAsia" w:ascii="仿宋_GB2312" w:hAnsi="宋体" w:eastAsia="仿宋_GB2312"/>
          <w:sz w:val="32"/>
          <w:szCs w:val="32"/>
        </w:rPr>
        <w:t>米；公共设施用地公厕设置密度为</w:t>
      </w:r>
      <w:r>
        <w:rPr>
          <w:rFonts w:ascii="仿宋_GB2312" w:hAnsi="宋体" w:eastAsia="仿宋_GB2312"/>
          <w:sz w:val="32"/>
          <w:szCs w:val="32"/>
        </w:rPr>
        <w:t>4-11</w:t>
      </w:r>
      <w:r>
        <w:rPr>
          <w:rFonts w:hint="eastAsia" w:ascii="仿宋_GB2312" w:hAnsi="宋体" w:eastAsia="仿宋_GB2312"/>
          <w:sz w:val="32"/>
          <w:szCs w:val="32"/>
        </w:rPr>
        <w:t>座</w:t>
      </w:r>
      <w:r>
        <w:rPr>
          <w:rFonts w:ascii="仿宋_GB2312" w:hAnsi="宋体" w:eastAsia="仿宋_GB2312"/>
          <w:sz w:val="32"/>
          <w:szCs w:val="32"/>
        </w:rPr>
        <w:t>/</w:t>
      </w:r>
      <w:r>
        <w:rPr>
          <w:rFonts w:hint="eastAsia" w:ascii="仿宋_GB2312" w:hAnsi="宋体" w:eastAsia="仿宋_GB2312"/>
          <w:sz w:val="32"/>
          <w:szCs w:val="32"/>
        </w:rPr>
        <w:t>平方公里，设置间距</w:t>
      </w:r>
      <w:r>
        <w:rPr>
          <w:rFonts w:ascii="仿宋_GB2312" w:hAnsi="宋体" w:eastAsia="仿宋_GB2312"/>
          <w:sz w:val="32"/>
          <w:szCs w:val="32"/>
        </w:rPr>
        <w:t xml:space="preserve">300-500 </w:t>
      </w:r>
      <w:r>
        <w:rPr>
          <w:rFonts w:hint="eastAsia" w:ascii="仿宋_GB2312" w:hAnsi="宋体" w:eastAsia="仿宋_GB2312"/>
          <w:sz w:val="32"/>
          <w:szCs w:val="32"/>
        </w:rPr>
        <w:t>米。规划共设公厕10座，全部为水冲式，达到一、二类公厕标准。</w:t>
      </w:r>
    </w:p>
    <w:p w14:paraId="7360450C">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公厕可根据需要设置为独立式或附建式，肖坝片区规划独立式公厕1座，附建式公厕9座。附建式较为经济且便于管理，独立式公共厕所外墙与相临建筑物的间距不应小于</w:t>
      </w:r>
      <w:r>
        <w:rPr>
          <w:rFonts w:ascii="仿宋_GB2312" w:hAnsi="宋体" w:eastAsia="仿宋_GB2312"/>
          <w:sz w:val="32"/>
          <w:szCs w:val="32"/>
        </w:rPr>
        <w:t xml:space="preserve">5.0 </w:t>
      </w:r>
      <w:r>
        <w:rPr>
          <w:rFonts w:hint="eastAsia" w:ascii="仿宋_GB2312" w:hAnsi="宋体" w:eastAsia="仿宋_GB2312"/>
          <w:sz w:val="32"/>
          <w:szCs w:val="32"/>
        </w:rPr>
        <w:t>米，周围宜设置不小于</w:t>
      </w:r>
      <w:r>
        <w:rPr>
          <w:rFonts w:ascii="仿宋_GB2312" w:hAnsi="宋体" w:eastAsia="仿宋_GB2312"/>
          <w:sz w:val="32"/>
          <w:szCs w:val="32"/>
        </w:rPr>
        <w:t xml:space="preserve">3.0 </w:t>
      </w:r>
      <w:r>
        <w:rPr>
          <w:rFonts w:hint="eastAsia" w:ascii="仿宋_GB2312" w:hAnsi="宋体" w:eastAsia="仿宋_GB2312"/>
          <w:sz w:val="32"/>
          <w:szCs w:val="32"/>
        </w:rPr>
        <w:t>米的绿化带。</w:t>
      </w:r>
    </w:p>
    <w:p w14:paraId="09F1F7D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附建式公厕的等级应不低于其所附建筑物本身的标准，要求结合主体建筑一并设计和建造，应有单独出入口及管理室，以便专职管理。公厕建筑面积取</w:t>
      </w:r>
      <w:r>
        <w:rPr>
          <w:rFonts w:ascii="仿宋_GB2312" w:hAnsi="宋体" w:eastAsia="仿宋_GB2312"/>
          <w:sz w:val="32"/>
          <w:szCs w:val="32"/>
        </w:rPr>
        <w:t xml:space="preserve">50-100 </w:t>
      </w:r>
      <w:r>
        <w:rPr>
          <w:rFonts w:hint="eastAsia" w:ascii="仿宋_GB2312" w:hAnsi="宋体" w:eastAsia="仿宋_GB2312"/>
          <w:sz w:val="32"/>
          <w:szCs w:val="32"/>
        </w:rPr>
        <w:t>平方米。</w:t>
      </w:r>
    </w:p>
    <w:p w14:paraId="699C9042">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3、废物箱</w:t>
      </w:r>
    </w:p>
    <w:p w14:paraId="547B2FB1">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道路两侧或路口以及公共场所应设置废物箱。设置间隔满足：商业、金融业街道</w:t>
      </w:r>
      <w:r>
        <w:rPr>
          <w:rFonts w:ascii="仿宋_GB2312" w:hAnsi="宋体" w:eastAsia="仿宋_GB2312"/>
          <w:sz w:val="32"/>
          <w:szCs w:val="32"/>
        </w:rPr>
        <w:t xml:space="preserve">50-100 </w:t>
      </w:r>
      <w:r>
        <w:rPr>
          <w:rFonts w:hint="eastAsia" w:ascii="仿宋_GB2312" w:hAnsi="宋体" w:eastAsia="仿宋_GB2312"/>
          <w:sz w:val="32"/>
          <w:szCs w:val="32"/>
        </w:rPr>
        <w:t>米，主干路</w:t>
      </w:r>
      <w:r>
        <w:rPr>
          <w:rFonts w:ascii="仿宋_GB2312" w:hAnsi="宋体" w:eastAsia="仿宋_GB2312"/>
          <w:sz w:val="32"/>
          <w:szCs w:val="32"/>
        </w:rPr>
        <w:t xml:space="preserve">200 </w:t>
      </w:r>
      <w:r>
        <w:rPr>
          <w:rFonts w:hint="eastAsia" w:ascii="仿宋_GB2312" w:hAnsi="宋体" w:eastAsia="仿宋_GB2312"/>
          <w:sz w:val="32"/>
          <w:szCs w:val="32"/>
        </w:rPr>
        <w:t>米，一般道路300米。</w:t>
      </w:r>
    </w:p>
    <w:p w14:paraId="00363320">
      <w:pPr>
        <w:spacing w:before="252" w:beforeLines="50" w:after="252" w:afterLines="50" w:line="720" w:lineRule="exact"/>
        <w:ind w:firstLine="598" w:firstLineChars="200"/>
        <w:rPr>
          <w:rFonts w:ascii="仿宋_GB2312" w:hAnsi="宋体" w:eastAsia="仿宋_GB2312"/>
          <w:b/>
          <w:sz w:val="32"/>
          <w:szCs w:val="32"/>
        </w:rPr>
      </w:pPr>
      <w:bookmarkStart w:id="344" w:name="_Toc358296706"/>
      <w:r>
        <w:rPr>
          <w:rFonts w:hint="eastAsia" w:ascii="仿宋_GB2312" w:hAnsi="宋体" w:eastAsia="仿宋_GB2312"/>
          <w:b/>
          <w:sz w:val="32"/>
          <w:szCs w:val="32"/>
        </w:rPr>
        <w:t>（二）环境卫生工程设施规划</w:t>
      </w:r>
      <w:bookmarkEnd w:id="344"/>
    </w:p>
    <w:p w14:paraId="236B7EB4">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1、垃圾收集站</w:t>
      </w:r>
    </w:p>
    <w:p w14:paraId="34A5DF8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在新建、扩建的居住区或旧城改建的居住区应设置垃圾收集站，并应与居住区同步规划、同步建设和同时投入使用。</w:t>
      </w:r>
    </w:p>
    <w:p w14:paraId="32DDFCE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收集站的服务半径不宜超过</w:t>
      </w:r>
      <w:r>
        <w:rPr>
          <w:rFonts w:ascii="仿宋_GB2312" w:hAnsi="宋体" w:eastAsia="仿宋_GB2312"/>
          <w:sz w:val="32"/>
          <w:szCs w:val="32"/>
        </w:rPr>
        <w:t>0.8</w:t>
      </w:r>
      <w:r>
        <w:rPr>
          <w:rFonts w:hint="eastAsia" w:ascii="仿宋_GB2312" w:hAnsi="宋体" w:eastAsia="仿宋_GB2312"/>
          <w:sz w:val="32"/>
          <w:szCs w:val="32"/>
        </w:rPr>
        <w:t>千米，收集站的规模应根据服务区域内规划人口数量产生的垃圾最大月平均日产生量确定，宜达到</w:t>
      </w:r>
      <w:r>
        <w:rPr>
          <w:rFonts w:ascii="仿宋_GB2312" w:hAnsi="宋体" w:eastAsia="仿宋_GB2312"/>
          <w:sz w:val="32"/>
          <w:szCs w:val="32"/>
        </w:rPr>
        <w:t>4</w:t>
      </w:r>
      <w:r>
        <w:rPr>
          <w:rFonts w:hint="eastAsia" w:ascii="仿宋_GB2312" w:hAnsi="宋体" w:eastAsia="仿宋_GB2312"/>
          <w:sz w:val="32"/>
          <w:szCs w:val="32"/>
        </w:rPr>
        <w:t>吨</w:t>
      </w:r>
      <w:r>
        <w:rPr>
          <w:rFonts w:ascii="仿宋_GB2312" w:hAnsi="宋体" w:eastAsia="仿宋_GB2312"/>
          <w:sz w:val="32"/>
          <w:szCs w:val="32"/>
        </w:rPr>
        <w:t>/</w:t>
      </w:r>
      <w:r>
        <w:rPr>
          <w:rFonts w:hint="eastAsia" w:ascii="仿宋_GB2312" w:hAnsi="宋体" w:eastAsia="仿宋_GB2312"/>
          <w:sz w:val="32"/>
          <w:szCs w:val="32"/>
        </w:rPr>
        <w:t>日以上，建筑面积不应小于</w:t>
      </w:r>
      <w:r>
        <w:rPr>
          <w:rFonts w:ascii="仿宋_GB2312" w:hAnsi="宋体" w:eastAsia="仿宋_GB2312"/>
          <w:sz w:val="32"/>
          <w:szCs w:val="32"/>
        </w:rPr>
        <w:t>80</w:t>
      </w:r>
      <w:r>
        <w:rPr>
          <w:rFonts w:hint="eastAsia" w:ascii="仿宋_GB2312" w:hAnsi="宋体" w:eastAsia="仿宋_GB2312"/>
          <w:sz w:val="32"/>
          <w:szCs w:val="32"/>
        </w:rPr>
        <w:t>平方米。</w:t>
      </w:r>
    </w:p>
    <w:p w14:paraId="236745D7">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规划区居住用地每个地块内设</w:t>
      </w:r>
      <w:r>
        <w:rPr>
          <w:rFonts w:ascii="仿宋_GB2312" w:hAnsi="宋体" w:eastAsia="仿宋_GB2312"/>
          <w:sz w:val="32"/>
          <w:szCs w:val="32"/>
        </w:rPr>
        <w:t>1</w:t>
      </w:r>
      <w:r>
        <w:rPr>
          <w:rFonts w:hint="eastAsia" w:ascii="仿宋_GB2312" w:hAnsi="宋体" w:eastAsia="仿宋_GB2312"/>
          <w:sz w:val="32"/>
          <w:szCs w:val="32"/>
        </w:rPr>
        <w:t>处垃圾收集站。</w:t>
      </w:r>
    </w:p>
    <w:p w14:paraId="67D6180F">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2、垃圾转运站</w:t>
      </w:r>
    </w:p>
    <w:p w14:paraId="4B86B75B">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按人均生活垃圾日产量</w:t>
      </w:r>
      <w:r>
        <w:rPr>
          <w:rFonts w:ascii="仿宋_GB2312" w:hAnsi="宋体" w:eastAsia="仿宋_GB2312"/>
          <w:sz w:val="32"/>
          <w:szCs w:val="32"/>
        </w:rPr>
        <w:t>1.2</w:t>
      </w:r>
      <w:r>
        <w:rPr>
          <w:rFonts w:hint="eastAsia" w:ascii="仿宋_GB2312" w:hAnsi="宋体" w:eastAsia="仿宋_GB2312"/>
          <w:sz w:val="32"/>
          <w:szCs w:val="32"/>
        </w:rPr>
        <w:t>千克计算，规划区日产生活垃圾量将达到5.04吨</w:t>
      </w:r>
      <w:r>
        <w:rPr>
          <w:rFonts w:ascii="仿宋_GB2312" w:hAnsi="宋体" w:eastAsia="仿宋_GB2312"/>
          <w:sz w:val="32"/>
          <w:szCs w:val="32"/>
        </w:rPr>
        <w:t>/</w:t>
      </w:r>
      <w:r>
        <w:rPr>
          <w:rFonts w:hint="eastAsia" w:ascii="仿宋_GB2312" w:hAnsi="宋体" w:eastAsia="仿宋_GB2312"/>
          <w:sz w:val="32"/>
          <w:szCs w:val="32"/>
        </w:rPr>
        <w:t>日。</w:t>
      </w:r>
    </w:p>
    <w:p w14:paraId="74FC778D">
      <w:pPr>
        <w:spacing w:line="76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肖坝片区</w:t>
      </w:r>
      <w:r>
        <w:rPr>
          <w:rFonts w:hint="eastAsia" w:ascii="仿宋_GB2312" w:hAnsi="宋体" w:eastAsia="仿宋_GB2312"/>
          <w:sz w:val="32"/>
          <w:szCs w:val="32"/>
          <w:lang w:eastAsia="zh-CN"/>
        </w:rPr>
        <w:t>规划</w:t>
      </w:r>
      <w:r>
        <w:rPr>
          <w:rFonts w:hint="eastAsia" w:ascii="仿宋_GB2312" w:hAnsi="宋体" w:eastAsia="仿宋_GB2312"/>
          <w:sz w:val="32"/>
          <w:szCs w:val="32"/>
          <w:lang w:val="en-US" w:eastAsia="zh-CN"/>
        </w:rPr>
        <w:t>1</w:t>
      </w:r>
      <w:r>
        <w:rPr>
          <w:rFonts w:hint="eastAsia" w:ascii="仿宋_GB2312" w:hAnsi="宋体" w:eastAsia="仿宋_GB2312"/>
          <w:sz w:val="32"/>
          <w:szCs w:val="32"/>
        </w:rPr>
        <w:t>座垃圾转运站。</w:t>
      </w:r>
    </w:p>
    <w:p w14:paraId="79D7E6AE">
      <w:pPr>
        <w:spacing w:line="760" w:lineRule="exact"/>
        <w:ind w:firstLine="598" w:firstLineChars="200"/>
        <w:rPr>
          <w:rFonts w:ascii="仿宋_GB2312" w:hAnsi="宋体" w:eastAsia="仿宋_GB2312"/>
          <w:sz w:val="32"/>
          <w:szCs w:val="32"/>
        </w:rPr>
      </w:pPr>
    </w:p>
    <w:p w14:paraId="53DB5830">
      <w:pPr>
        <w:pStyle w:val="2"/>
        <w:adjustRightInd w:val="0"/>
        <w:spacing w:before="252" w:beforeLines="50" w:after="252" w:afterLines="50" w:line="720" w:lineRule="exact"/>
        <w:rPr>
          <w:rFonts w:ascii="方正黑体简体" w:eastAsia="方正黑体简体"/>
          <w:kern w:val="2"/>
          <w:sz w:val="44"/>
        </w:rPr>
      </w:pPr>
      <w:bookmarkStart w:id="345" w:name="_Toc358296707"/>
      <w:bookmarkStart w:id="346" w:name="_Toc414632181"/>
      <w:bookmarkStart w:id="347" w:name="_Toc420499464"/>
      <w:r>
        <w:rPr>
          <w:rFonts w:hint="eastAsia" w:ascii="方正黑体简体" w:eastAsia="方正黑体简体"/>
          <w:kern w:val="2"/>
          <w:sz w:val="44"/>
        </w:rPr>
        <w:t>第十二章</w:t>
      </w:r>
      <w:r>
        <w:rPr>
          <w:rFonts w:ascii="方正黑体简体" w:eastAsia="方正黑体简体"/>
          <w:kern w:val="2"/>
          <w:sz w:val="44"/>
        </w:rPr>
        <w:t xml:space="preserve">  </w:t>
      </w:r>
      <w:r>
        <w:rPr>
          <w:rFonts w:hint="eastAsia" w:ascii="方正黑体简体" w:eastAsia="方正黑体简体"/>
          <w:kern w:val="2"/>
          <w:sz w:val="44"/>
        </w:rPr>
        <w:t>综合防灾规划</w:t>
      </w:r>
      <w:bookmarkEnd w:id="345"/>
      <w:bookmarkEnd w:id="346"/>
      <w:bookmarkEnd w:id="347"/>
    </w:p>
    <w:p w14:paraId="7AA8D98B">
      <w:pPr>
        <w:pStyle w:val="3"/>
        <w:adjustRightInd w:val="0"/>
        <w:spacing w:before="252" w:beforeLines="50" w:after="252" w:afterLines="50" w:line="620" w:lineRule="exact"/>
        <w:rPr>
          <w:rFonts w:ascii="方正黑体简体" w:hAnsi="Calibri" w:eastAsia="方正黑体简体"/>
          <w:bCs w:val="0"/>
        </w:rPr>
      </w:pPr>
      <w:bookmarkStart w:id="348" w:name="_Toc358296708"/>
      <w:bookmarkStart w:id="349" w:name="_Toc420499465"/>
      <w:bookmarkStart w:id="350" w:name="_Toc414632182"/>
      <w:r>
        <w:rPr>
          <w:rFonts w:hint="eastAsia" w:ascii="方正黑体简体" w:hAnsi="Calibri" w:eastAsia="方正黑体简体"/>
          <w:bCs w:val="0"/>
        </w:rPr>
        <w:t>一、消防工程规划</w:t>
      </w:r>
      <w:bookmarkEnd w:id="348"/>
      <w:bookmarkEnd w:id="349"/>
      <w:bookmarkEnd w:id="350"/>
    </w:p>
    <w:p w14:paraId="7E51B29D">
      <w:pPr>
        <w:spacing w:before="252" w:beforeLines="50" w:after="252" w:afterLines="50" w:line="720" w:lineRule="exact"/>
        <w:ind w:firstLine="598" w:firstLineChars="200"/>
        <w:rPr>
          <w:rFonts w:ascii="仿宋_GB2312" w:hAnsi="宋体" w:eastAsia="仿宋_GB2312"/>
          <w:b/>
          <w:sz w:val="32"/>
          <w:szCs w:val="32"/>
        </w:rPr>
      </w:pPr>
      <w:bookmarkStart w:id="351" w:name="_Toc358296709"/>
      <w:r>
        <w:rPr>
          <w:rFonts w:hint="eastAsia" w:ascii="仿宋_GB2312" w:hAnsi="宋体" w:eastAsia="仿宋_GB2312"/>
          <w:b/>
          <w:sz w:val="32"/>
          <w:szCs w:val="32"/>
        </w:rPr>
        <w:t>（一）消防站规划</w:t>
      </w:r>
      <w:bookmarkEnd w:id="351"/>
    </w:p>
    <w:p w14:paraId="6560F58D">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依据《城市消防站建设标准》：一级普通消防站责任区面积不大于</w:t>
      </w:r>
      <w:r>
        <w:rPr>
          <w:rFonts w:ascii="仿宋_GB2312" w:hAnsi="宋体" w:eastAsia="仿宋_GB2312"/>
          <w:sz w:val="32"/>
          <w:szCs w:val="32"/>
        </w:rPr>
        <w:t xml:space="preserve">7 </w:t>
      </w:r>
      <w:r>
        <w:rPr>
          <w:rFonts w:hint="eastAsia" w:ascii="仿宋_GB2312" w:hAnsi="宋体" w:eastAsia="仿宋_GB2312"/>
          <w:sz w:val="32"/>
          <w:szCs w:val="32"/>
        </w:rPr>
        <w:t>平方公里，二级普通消防站责任区面积不大于</w:t>
      </w:r>
      <w:r>
        <w:rPr>
          <w:rFonts w:ascii="仿宋_GB2312" w:hAnsi="宋体" w:eastAsia="仿宋_GB2312"/>
          <w:sz w:val="32"/>
          <w:szCs w:val="32"/>
        </w:rPr>
        <w:t xml:space="preserve">4 </w:t>
      </w:r>
      <w:r>
        <w:rPr>
          <w:rFonts w:hint="eastAsia" w:ascii="仿宋_GB2312" w:hAnsi="宋体" w:eastAsia="仿宋_GB2312"/>
          <w:sz w:val="32"/>
          <w:szCs w:val="32"/>
        </w:rPr>
        <w:t>平方公里，接报警后消防车能在</w:t>
      </w:r>
      <w:r>
        <w:rPr>
          <w:rFonts w:ascii="仿宋_GB2312" w:hAnsi="宋体" w:eastAsia="仿宋_GB2312"/>
          <w:sz w:val="32"/>
          <w:szCs w:val="32"/>
        </w:rPr>
        <w:t xml:space="preserve">5 </w:t>
      </w:r>
      <w:r>
        <w:rPr>
          <w:rFonts w:hint="eastAsia" w:ascii="仿宋_GB2312" w:hAnsi="宋体" w:eastAsia="仿宋_GB2312"/>
          <w:sz w:val="32"/>
          <w:szCs w:val="32"/>
        </w:rPr>
        <w:t>分钟内到达责任区边缘的标准。</w:t>
      </w:r>
    </w:p>
    <w:p w14:paraId="6C911CEA">
      <w:pPr>
        <w:spacing w:line="76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肖坝片区设置有1座消防指挥中心，占地面积约1.12公顷。</w:t>
      </w:r>
    </w:p>
    <w:p w14:paraId="6362FF1D">
      <w:pPr>
        <w:spacing w:before="252" w:beforeLines="50" w:after="252" w:afterLines="50" w:line="720" w:lineRule="exact"/>
        <w:ind w:firstLine="598" w:firstLineChars="200"/>
        <w:rPr>
          <w:rFonts w:ascii="仿宋_GB2312" w:hAnsi="宋体" w:eastAsia="仿宋_GB2312"/>
          <w:b/>
          <w:sz w:val="32"/>
          <w:szCs w:val="32"/>
        </w:rPr>
      </w:pPr>
      <w:bookmarkStart w:id="352" w:name="_Toc358296710"/>
      <w:r>
        <w:rPr>
          <w:rFonts w:hint="eastAsia" w:ascii="仿宋_GB2312" w:hAnsi="宋体" w:eastAsia="仿宋_GB2312"/>
          <w:b/>
          <w:sz w:val="32"/>
          <w:szCs w:val="32"/>
        </w:rPr>
        <w:t>（二）消防通道</w:t>
      </w:r>
      <w:bookmarkEnd w:id="352"/>
    </w:p>
    <w:p w14:paraId="41A1FE71">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依托城市主、次干道及其支路，特别应加强作为消防车主要通道的主次干道规划及其建设，以保证消防车通道的畅通。消防车道应符合《建筑设计防火规范》等有关消防技术规范的规定，消防道路宽度单车道不小于</w:t>
      </w:r>
      <w:r>
        <w:rPr>
          <w:rFonts w:ascii="仿宋_GB2312" w:hAnsi="宋体" w:eastAsia="仿宋_GB2312"/>
          <w:sz w:val="32"/>
          <w:szCs w:val="32"/>
        </w:rPr>
        <w:t xml:space="preserve">3.5 </w:t>
      </w:r>
      <w:r>
        <w:rPr>
          <w:rFonts w:hint="eastAsia" w:ascii="仿宋_GB2312" w:hAnsi="宋体" w:eastAsia="仿宋_GB2312"/>
          <w:sz w:val="32"/>
          <w:szCs w:val="32"/>
        </w:rPr>
        <w:t>米，双车道不小于</w:t>
      </w:r>
      <w:r>
        <w:rPr>
          <w:rFonts w:ascii="仿宋_GB2312" w:hAnsi="宋体" w:eastAsia="仿宋_GB2312"/>
          <w:sz w:val="32"/>
          <w:szCs w:val="32"/>
        </w:rPr>
        <w:t xml:space="preserve">7 </w:t>
      </w:r>
      <w:r>
        <w:rPr>
          <w:rFonts w:hint="eastAsia" w:ascii="仿宋_GB2312" w:hAnsi="宋体" w:eastAsia="仿宋_GB2312"/>
          <w:sz w:val="32"/>
          <w:szCs w:val="32"/>
        </w:rPr>
        <w:t>米，转弯半径不小于</w:t>
      </w:r>
      <w:r>
        <w:rPr>
          <w:rFonts w:ascii="仿宋_GB2312" w:hAnsi="宋体" w:eastAsia="仿宋_GB2312"/>
          <w:sz w:val="32"/>
          <w:szCs w:val="32"/>
        </w:rPr>
        <w:t xml:space="preserve">9 </w:t>
      </w:r>
      <w:r>
        <w:rPr>
          <w:rFonts w:hint="eastAsia" w:ascii="仿宋_GB2312" w:hAnsi="宋体" w:eastAsia="仿宋_GB2312"/>
          <w:sz w:val="32"/>
          <w:szCs w:val="32"/>
        </w:rPr>
        <w:t>米，道路上空管架等构筑物，净高不小于</w:t>
      </w:r>
      <w:r>
        <w:rPr>
          <w:rFonts w:ascii="仿宋_GB2312" w:hAnsi="宋体" w:eastAsia="仿宋_GB2312"/>
          <w:sz w:val="32"/>
          <w:szCs w:val="32"/>
        </w:rPr>
        <w:t xml:space="preserve">4.5 </w:t>
      </w:r>
      <w:r>
        <w:rPr>
          <w:rFonts w:hint="eastAsia" w:ascii="仿宋_GB2312" w:hAnsi="宋体" w:eastAsia="仿宋_GB2312"/>
          <w:sz w:val="32"/>
          <w:szCs w:val="32"/>
        </w:rPr>
        <w:t>米。大型建筑应设环型消防车道，居住小区道路设计必须满足各种消防车辆通行要求。</w:t>
      </w:r>
    </w:p>
    <w:p w14:paraId="4A72E780">
      <w:pPr>
        <w:spacing w:before="252" w:beforeLines="50" w:after="252" w:afterLines="50" w:line="720" w:lineRule="exact"/>
        <w:ind w:firstLine="598" w:firstLineChars="200"/>
        <w:rPr>
          <w:rFonts w:ascii="仿宋_GB2312" w:hAnsi="宋体" w:eastAsia="仿宋_GB2312"/>
          <w:b/>
          <w:sz w:val="32"/>
          <w:szCs w:val="32"/>
        </w:rPr>
      </w:pPr>
      <w:bookmarkStart w:id="353" w:name="_Toc358296711"/>
      <w:r>
        <w:rPr>
          <w:rFonts w:hint="eastAsia" w:ascii="仿宋_GB2312" w:hAnsi="宋体" w:eastAsia="仿宋_GB2312"/>
          <w:b/>
          <w:sz w:val="32"/>
          <w:szCs w:val="32"/>
        </w:rPr>
        <w:t>（三）消防供水、通讯、供电</w:t>
      </w:r>
      <w:bookmarkEnd w:id="353"/>
    </w:p>
    <w:p w14:paraId="2D20AB9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规划区内灭火用水量以同一时间内的火灾次数为</w:t>
      </w:r>
      <w:r>
        <w:rPr>
          <w:rFonts w:ascii="仿宋_GB2312" w:hAnsi="宋体" w:eastAsia="仿宋_GB2312"/>
          <w:sz w:val="32"/>
          <w:szCs w:val="32"/>
        </w:rPr>
        <w:t xml:space="preserve">2 </w:t>
      </w:r>
      <w:r>
        <w:rPr>
          <w:rFonts w:hint="eastAsia" w:ascii="仿宋_GB2312" w:hAnsi="宋体" w:eastAsia="仿宋_GB2312"/>
          <w:sz w:val="32"/>
          <w:szCs w:val="32"/>
        </w:rPr>
        <w:t>次，一次灭火用水量为</w:t>
      </w:r>
      <w:r>
        <w:rPr>
          <w:rFonts w:ascii="仿宋_GB2312" w:hAnsi="宋体" w:eastAsia="仿宋_GB2312"/>
          <w:sz w:val="32"/>
          <w:szCs w:val="32"/>
        </w:rPr>
        <w:t xml:space="preserve">45 </w:t>
      </w:r>
      <w:r>
        <w:rPr>
          <w:rFonts w:hint="eastAsia" w:ascii="仿宋_GB2312" w:hAnsi="宋体" w:eastAsia="仿宋_GB2312"/>
          <w:sz w:val="32"/>
          <w:szCs w:val="32"/>
        </w:rPr>
        <w:t>升</w:t>
      </w:r>
      <w:r>
        <w:rPr>
          <w:rFonts w:ascii="仿宋_GB2312" w:hAnsi="宋体" w:eastAsia="仿宋_GB2312"/>
          <w:sz w:val="32"/>
          <w:szCs w:val="32"/>
        </w:rPr>
        <w:t>/</w:t>
      </w:r>
      <w:r>
        <w:rPr>
          <w:rFonts w:hint="eastAsia" w:ascii="仿宋_GB2312" w:hAnsi="宋体" w:eastAsia="仿宋_GB2312"/>
          <w:sz w:val="32"/>
          <w:szCs w:val="32"/>
        </w:rPr>
        <w:t>秒为标准。消防用水取自市政给水管网，消防给水管径不应小于</w:t>
      </w:r>
      <w:r>
        <w:rPr>
          <w:rFonts w:ascii="仿宋_GB2312" w:hAnsi="宋体" w:eastAsia="仿宋_GB2312"/>
          <w:sz w:val="32"/>
          <w:szCs w:val="32"/>
        </w:rPr>
        <w:t xml:space="preserve">150 </w:t>
      </w:r>
      <w:r>
        <w:rPr>
          <w:rFonts w:hint="eastAsia" w:ascii="仿宋_GB2312" w:hAnsi="宋体" w:eastAsia="仿宋_GB2312"/>
          <w:sz w:val="32"/>
          <w:szCs w:val="32"/>
        </w:rPr>
        <w:t>毫米，布置于城市主要道路上的消火栓间距不应超过</w:t>
      </w:r>
      <w:r>
        <w:rPr>
          <w:rFonts w:ascii="仿宋_GB2312" w:hAnsi="宋体" w:eastAsia="仿宋_GB2312"/>
          <w:sz w:val="32"/>
          <w:szCs w:val="32"/>
        </w:rPr>
        <w:t xml:space="preserve">120 </w:t>
      </w:r>
      <w:r>
        <w:rPr>
          <w:rFonts w:hint="eastAsia" w:ascii="仿宋_GB2312" w:hAnsi="宋体" w:eastAsia="仿宋_GB2312"/>
          <w:sz w:val="32"/>
          <w:szCs w:val="32"/>
        </w:rPr>
        <w:t>米。</w:t>
      </w:r>
    </w:p>
    <w:p w14:paraId="0DAB7EB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建设较为先进的有线、无线火灾报警和消防通信指挥系统。有线通信装备应能同时受理两起火灾信号，指挥中心和消防站应建立通信专线，有线、无线通信网络应覆盖全区，建立重点单位（市政、供电、供水、救护等）调度专线。</w:t>
      </w:r>
    </w:p>
    <w:p w14:paraId="3B605018">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对现状和规划高压线走廊严格按照规范保护控制。消防站的供电负荷等级不宜低于二级。</w:t>
      </w:r>
    </w:p>
    <w:p w14:paraId="05FD122E">
      <w:pPr>
        <w:pStyle w:val="3"/>
        <w:adjustRightInd w:val="0"/>
        <w:spacing w:before="252" w:beforeLines="50" w:after="252" w:afterLines="50" w:line="620" w:lineRule="exact"/>
        <w:rPr>
          <w:rFonts w:ascii="方正黑体简体" w:hAnsi="Calibri" w:eastAsia="方正黑体简体"/>
          <w:bCs w:val="0"/>
        </w:rPr>
      </w:pPr>
      <w:bookmarkStart w:id="354" w:name="_Toc358296712"/>
      <w:bookmarkStart w:id="355" w:name="_Toc420499466"/>
      <w:bookmarkStart w:id="356" w:name="_Toc414632183"/>
      <w:r>
        <w:rPr>
          <w:rFonts w:hint="eastAsia" w:ascii="方正黑体简体" w:hAnsi="Calibri" w:eastAsia="方正黑体简体"/>
          <w:bCs w:val="0"/>
        </w:rPr>
        <w:t>二、防洪防涝规划</w:t>
      </w:r>
      <w:bookmarkEnd w:id="354"/>
      <w:bookmarkEnd w:id="355"/>
      <w:bookmarkEnd w:id="356"/>
    </w:p>
    <w:p w14:paraId="2FCC9F2F">
      <w:pPr>
        <w:spacing w:before="252" w:beforeLines="50" w:after="252" w:afterLines="50" w:line="720" w:lineRule="exact"/>
        <w:ind w:firstLine="598" w:firstLineChars="200"/>
        <w:rPr>
          <w:rFonts w:ascii="仿宋_GB2312" w:hAnsi="宋体" w:eastAsia="仿宋_GB2312"/>
          <w:b/>
          <w:sz w:val="32"/>
          <w:szCs w:val="32"/>
        </w:rPr>
      </w:pPr>
      <w:bookmarkStart w:id="357" w:name="_Toc358296713"/>
      <w:r>
        <w:rPr>
          <w:rFonts w:hint="eastAsia" w:ascii="仿宋_GB2312" w:hAnsi="宋体" w:eastAsia="仿宋_GB2312"/>
          <w:b/>
          <w:sz w:val="32"/>
          <w:szCs w:val="32"/>
        </w:rPr>
        <w:t>（一）防洪排涝标准</w:t>
      </w:r>
      <w:bookmarkEnd w:id="357"/>
    </w:p>
    <w:p w14:paraId="4B84055E">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根据乐山市城市总体规划的要求，肖坝防洪标准为青衣江、大渡河</w:t>
      </w:r>
      <w:r>
        <w:rPr>
          <w:rFonts w:ascii="仿宋_GB2312" w:hAnsi="宋体" w:eastAsia="仿宋_GB2312"/>
          <w:sz w:val="32"/>
          <w:szCs w:val="32"/>
        </w:rPr>
        <w:t>50</w:t>
      </w:r>
      <w:r>
        <w:rPr>
          <w:rFonts w:hint="eastAsia" w:ascii="仿宋_GB2312" w:hAnsi="宋体" w:eastAsia="仿宋_GB2312"/>
          <w:sz w:val="32"/>
          <w:szCs w:val="32"/>
        </w:rPr>
        <w:t>年一遇重现期</w:t>
      </w:r>
      <w:r>
        <w:rPr>
          <w:rFonts w:hint="eastAsia" w:ascii="仿宋_GB2312" w:hAnsi="宋体" w:eastAsia="仿宋_GB2312"/>
          <w:sz w:val="32"/>
          <w:szCs w:val="32"/>
          <w:lang w:val="en-US" w:eastAsia="zh-CN"/>
        </w:rPr>
        <w:t>,</w:t>
      </w:r>
      <w:r>
        <w:rPr>
          <w:rFonts w:hint="eastAsia" w:ascii="仿宋_GB2312" w:hAnsi="宋体" w:eastAsia="仿宋_GB2312"/>
          <w:sz w:val="32"/>
          <w:szCs w:val="32"/>
        </w:rPr>
        <w:t>内涝防治标准应按不小于30年一遇暴雨进行设防。肖坝片区所有涉及防洪要求的工程建设项目均以水务部门出具的意见为准。</w:t>
      </w:r>
    </w:p>
    <w:p w14:paraId="7211798D">
      <w:pPr>
        <w:spacing w:before="252" w:beforeLines="50" w:after="252" w:afterLines="50" w:line="720" w:lineRule="exact"/>
        <w:ind w:firstLine="598" w:firstLineChars="200"/>
        <w:rPr>
          <w:rFonts w:ascii="仿宋_GB2312" w:hAnsi="宋体" w:eastAsia="仿宋_GB2312"/>
          <w:b/>
          <w:sz w:val="32"/>
          <w:szCs w:val="32"/>
        </w:rPr>
      </w:pPr>
      <w:bookmarkStart w:id="358" w:name="_Toc358296714"/>
      <w:r>
        <w:rPr>
          <w:rFonts w:hint="eastAsia" w:ascii="仿宋_GB2312" w:hAnsi="宋体" w:eastAsia="仿宋_GB2312"/>
          <w:b/>
          <w:sz w:val="32"/>
          <w:szCs w:val="32"/>
        </w:rPr>
        <w:t>（二）工程措施</w:t>
      </w:r>
      <w:bookmarkEnd w:id="358"/>
    </w:p>
    <w:p w14:paraId="62BFF812">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肖坝片区的排水最终方向是青衣江、大渡河，区内雨水经雨水管收集后排入青衣江、大渡河。</w:t>
      </w:r>
    </w:p>
    <w:p w14:paraId="46322B0F">
      <w:pPr>
        <w:pStyle w:val="3"/>
        <w:adjustRightInd w:val="0"/>
        <w:spacing w:before="252" w:beforeLines="50" w:after="252" w:afterLines="50" w:line="620" w:lineRule="exact"/>
        <w:rPr>
          <w:rFonts w:ascii="方正黑体简体" w:hAnsi="Calibri" w:eastAsia="方正黑体简体"/>
          <w:bCs w:val="0"/>
        </w:rPr>
      </w:pPr>
      <w:bookmarkStart w:id="359" w:name="_Toc358296715"/>
      <w:bookmarkStart w:id="360" w:name="_Toc414632184"/>
      <w:bookmarkStart w:id="361" w:name="_Toc420499467"/>
      <w:r>
        <w:rPr>
          <w:rFonts w:hint="eastAsia" w:ascii="方正黑体简体" w:hAnsi="Calibri" w:eastAsia="方正黑体简体"/>
          <w:bCs w:val="0"/>
        </w:rPr>
        <w:t>三、抗震工程规划</w:t>
      </w:r>
      <w:bookmarkEnd w:id="359"/>
      <w:bookmarkEnd w:id="360"/>
      <w:bookmarkEnd w:id="361"/>
    </w:p>
    <w:p w14:paraId="1892EE61">
      <w:pPr>
        <w:spacing w:before="252" w:beforeLines="50" w:after="252" w:afterLines="50" w:line="720" w:lineRule="exact"/>
        <w:ind w:firstLine="598" w:firstLineChars="200"/>
        <w:rPr>
          <w:rFonts w:ascii="仿宋_GB2312" w:hAnsi="宋体" w:eastAsia="仿宋_GB2312"/>
          <w:b/>
          <w:sz w:val="32"/>
          <w:szCs w:val="32"/>
        </w:rPr>
      </w:pPr>
      <w:bookmarkStart w:id="362" w:name="_Toc358296716"/>
      <w:r>
        <w:rPr>
          <w:rFonts w:hint="eastAsia" w:ascii="仿宋_GB2312" w:hAnsi="宋体" w:eastAsia="仿宋_GB2312"/>
          <w:b/>
          <w:sz w:val="32"/>
          <w:szCs w:val="32"/>
        </w:rPr>
        <w:t>（一）抗震设防标准</w:t>
      </w:r>
      <w:bookmarkEnd w:id="362"/>
    </w:p>
    <w:p w14:paraId="3926DB7D">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一般建筑抗震措施按《建筑抗震设计规范》</w:t>
      </w:r>
      <w:r>
        <w:rPr>
          <w:rFonts w:ascii="仿宋_GB2312" w:hAnsi="宋体" w:eastAsia="仿宋_GB2312"/>
          <w:sz w:val="32"/>
          <w:szCs w:val="32"/>
        </w:rPr>
        <w:t>7</w:t>
      </w:r>
      <w:r>
        <w:rPr>
          <w:rFonts w:hint="eastAsia" w:ascii="仿宋_GB2312" w:hAnsi="宋体" w:eastAsia="仿宋_GB2312"/>
          <w:sz w:val="32"/>
          <w:szCs w:val="32"/>
        </w:rPr>
        <w:t>度标准设防，城市生命线系统和重要基础设施提高一度标准设防。</w:t>
      </w:r>
    </w:p>
    <w:p w14:paraId="098A13EB">
      <w:pPr>
        <w:spacing w:before="252" w:beforeLines="50" w:after="252" w:afterLines="50" w:line="720" w:lineRule="exact"/>
        <w:ind w:firstLine="598" w:firstLineChars="200"/>
        <w:rPr>
          <w:rFonts w:ascii="仿宋_GB2312" w:hAnsi="宋体" w:eastAsia="仿宋_GB2312"/>
          <w:b/>
          <w:sz w:val="32"/>
          <w:szCs w:val="32"/>
        </w:rPr>
      </w:pPr>
      <w:bookmarkStart w:id="363" w:name="_Toc358296717"/>
      <w:r>
        <w:rPr>
          <w:rFonts w:hint="eastAsia" w:ascii="仿宋_GB2312" w:hAnsi="宋体" w:eastAsia="仿宋_GB2312"/>
          <w:b/>
          <w:sz w:val="32"/>
          <w:szCs w:val="32"/>
        </w:rPr>
        <w:t>（二）避震疏散</w:t>
      </w:r>
      <w:bookmarkEnd w:id="363"/>
    </w:p>
    <w:p w14:paraId="41BB3AF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避震场地本着就近、安全、方便的原则。紧急避震疏散场所的服务半径为</w:t>
      </w:r>
      <w:r>
        <w:rPr>
          <w:rFonts w:ascii="仿宋_GB2312" w:hAnsi="宋体" w:eastAsia="仿宋_GB2312"/>
          <w:sz w:val="32"/>
          <w:szCs w:val="32"/>
        </w:rPr>
        <w:t xml:space="preserve">500 </w:t>
      </w:r>
      <w:r>
        <w:rPr>
          <w:rFonts w:hint="eastAsia" w:ascii="仿宋_GB2312" w:hAnsi="宋体" w:eastAsia="仿宋_GB2312"/>
          <w:sz w:val="32"/>
          <w:szCs w:val="32"/>
        </w:rPr>
        <w:t>米，以居住区中心绿地、小型广场、小学等空旷场地为主；固定避震疏散场所的服务半径为</w:t>
      </w:r>
      <w:r>
        <w:rPr>
          <w:rFonts w:ascii="仿宋_GB2312" w:hAnsi="宋体" w:eastAsia="仿宋_GB2312"/>
          <w:sz w:val="32"/>
          <w:szCs w:val="32"/>
        </w:rPr>
        <w:t>2-3km</w:t>
      </w:r>
      <w:r>
        <w:rPr>
          <w:rFonts w:hint="eastAsia" w:ascii="仿宋_GB2312" w:hAnsi="宋体" w:eastAsia="仿宋_GB2312"/>
          <w:sz w:val="32"/>
          <w:szCs w:val="32"/>
        </w:rPr>
        <w:t>，以城市公园、广场、中学、大专院校等空旷场地为主。</w:t>
      </w:r>
    </w:p>
    <w:p w14:paraId="2DB78F05">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规划区的主要干道规划为疏散通道，疏散通道宽度不应小于</w:t>
      </w:r>
      <w:r>
        <w:rPr>
          <w:rFonts w:ascii="仿宋_GB2312" w:hAnsi="宋体" w:eastAsia="仿宋_GB2312"/>
          <w:sz w:val="32"/>
          <w:szCs w:val="32"/>
        </w:rPr>
        <w:t xml:space="preserve">15 </w:t>
      </w:r>
      <w:r>
        <w:rPr>
          <w:rFonts w:hint="eastAsia" w:ascii="仿宋_GB2312" w:hAnsi="宋体" w:eastAsia="仿宋_GB2312"/>
          <w:sz w:val="32"/>
          <w:szCs w:val="32"/>
        </w:rPr>
        <w:t>米；沿道路两侧的建筑物应考虑震毁坍落距离，退后红线足够距离，防止地震时阻断道路。</w:t>
      </w:r>
    </w:p>
    <w:p w14:paraId="5AB168DE">
      <w:pPr>
        <w:pStyle w:val="3"/>
        <w:adjustRightInd w:val="0"/>
        <w:spacing w:before="252" w:beforeLines="50" w:after="252" w:afterLines="50" w:line="620" w:lineRule="exact"/>
        <w:rPr>
          <w:rFonts w:ascii="方正黑体简体" w:hAnsi="Calibri" w:eastAsia="方正黑体简体"/>
          <w:bCs w:val="0"/>
        </w:rPr>
      </w:pPr>
      <w:bookmarkStart w:id="364" w:name="_Toc414632185"/>
      <w:bookmarkStart w:id="365" w:name="_Toc420499468"/>
      <w:bookmarkStart w:id="366" w:name="_Toc358296718"/>
      <w:r>
        <w:rPr>
          <w:rFonts w:hint="eastAsia" w:ascii="方正黑体简体" w:hAnsi="Calibri" w:eastAsia="方正黑体简体"/>
          <w:bCs w:val="0"/>
        </w:rPr>
        <w:t>四、人防工程规划</w:t>
      </w:r>
      <w:bookmarkEnd w:id="364"/>
      <w:bookmarkEnd w:id="365"/>
      <w:bookmarkEnd w:id="366"/>
    </w:p>
    <w:p w14:paraId="51073914">
      <w:pPr>
        <w:spacing w:before="252" w:beforeLines="50" w:after="252" w:afterLines="50" w:line="720" w:lineRule="exact"/>
        <w:ind w:firstLine="598" w:firstLineChars="200"/>
        <w:rPr>
          <w:rFonts w:ascii="仿宋_GB2312" w:hAnsi="宋体" w:eastAsia="仿宋_GB2312"/>
          <w:b/>
          <w:sz w:val="32"/>
          <w:szCs w:val="32"/>
        </w:rPr>
      </w:pPr>
      <w:bookmarkStart w:id="367" w:name="_Toc358296719"/>
      <w:r>
        <w:rPr>
          <w:rFonts w:hint="eastAsia" w:ascii="仿宋_GB2312" w:hAnsi="宋体" w:eastAsia="仿宋_GB2312"/>
          <w:b/>
          <w:sz w:val="32"/>
          <w:szCs w:val="32"/>
        </w:rPr>
        <w:t>（一）人防工程建设规模</w:t>
      </w:r>
      <w:bookmarkEnd w:id="367"/>
    </w:p>
    <w:p w14:paraId="68AEA97A">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按照国家对战时城市人口疏散的要求，确定乐山战时留城人口的比例为</w:t>
      </w:r>
      <w:r>
        <w:rPr>
          <w:rFonts w:ascii="仿宋_GB2312" w:hAnsi="宋体" w:eastAsia="仿宋_GB2312"/>
          <w:sz w:val="32"/>
          <w:szCs w:val="32"/>
        </w:rPr>
        <w:t>30%</w:t>
      </w:r>
      <w:r>
        <w:rPr>
          <w:rFonts w:hint="eastAsia" w:ascii="仿宋_GB2312" w:hAnsi="宋体" w:eastAsia="仿宋_GB2312"/>
          <w:sz w:val="32"/>
          <w:szCs w:val="32"/>
        </w:rPr>
        <w:t>，人均占有人防工程</w:t>
      </w:r>
      <w:r>
        <w:rPr>
          <w:rFonts w:ascii="仿宋_GB2312" w:hAnsi="宋体" w:eastAsia="仿宋_GB2312"/>
          <w:sz w:val="32"/>
          <w:szCs w:val="32"/>
        </w:rPr>
        <w:t xml:space="preserve">1.5 </w:t>
      </w:r>
      <w:r>
        <w:rPr>
          <w:rFonts w:hint="eastAsia" w:ascii="仿宋_GB2312" w:hAnsi="宋体" w:eastAsia="仿宋_GB2312"/>
          <w:sz w:val="32"/>
          <w:szCs w:val="32"/>
        </w:rPr>
        <w:t>平方米，则肖坝片区人防工程面积应达到1.89万平方米。</w:t>
      </w:r>
    </w:p>
    <w:p w14:paraId="60B47A83">
      <w:pPr>
        <w:spacing w:before="252" w:beforeLines="50" w:after="252" w:afterLines="50" w:line="720" w:lineRule="exact"/>
        <w:ind w:firstLine="598" w:firstLineChars="200"/>
        <w:rPr>
          <w:rFonts w:ascii="仿宋_GB2312" w:hAnsi="宋体" w:eastAsia="仿宋_GB2312"/>
          <w:b/>
          <w:sz w:val="32"/>
          <w:szCs w:val="32"/>
        </w:rPr>
      </w:pPr>
      <w:bookmarkStart w:id="368" w:name="_Toc358296720"/>
      <w:r>
        <w:rPr>
          <w:rFonts w:hint="eastAsia" w:ascii="仿宋_GB2312" w:hAnsi="宋体" w:eastAsia="仿宋_GB2312"/>
          <w:b/>
          <w:sz w:val="32"/>
          <w:szCs w:val="32"/>
        </w:rPr>
        <w:t>（二）总体布局</w:t>
      </w:r>
      <w:bookmarkEnd w:id="368"/>
    </w:p>
    <w:p w14:paraId="2728A35F">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结合民用建筑修建附建式防空地下室进行人防掩蔽工事建设，成片居住区可按居住面积的</w:t>
      </w:r>
      <w:r>
        <w:rPr>
          <w:rFonts w:ascii="仿宋_GB2312" w:hAnsi="宋体" w:eastAsia="仿宋_GB2312"/>
          <w:sz w:val="32"/>
          <w:szCs w:val="32"/>
        </w:rPr>
        <w:t>2%</w:t>
      </w:r>
      <w:r>
        <w:rPr>
          <w:rFonts w:hint="eastAsia" w:ascii="仿宋_GB2312" w:hAnsi="宋体" w:eastAsia="仿宋_GB2312"/>
          <w:sz w:val="32"/>
          <w:szCs w:val="32"/>
        </w:rPr>
        <w:t>设置人防工事；重点防护单位与人防专业工程所在地，均应按要求建造人防地下室。</w:t>
      </w:r>
    </w:p>
    <w:p w14:paraId="204EBFE4">
      <w:pPr>
        <w:spacing w:line="720" w:lineRule="exact"/>
        <w:ind w:firstLine="598" w:firstLineChars="200"/>
        <w:rPr>
          <w:rFonts w:ascii="仿宋_GB2312" w:hAnsi="宋体" w:eastAsia="仿宋_GB2312"/>
          <w:sz w:val="32"/>
          <w:szCs w:val="32"/>
        </w:rPr>
      </w:pPr>
      <w:r>
        <w:rPr>
          <w:rFonts w:hint="eastAsia" w:ascii="仿宋_GB2312" w:hAnsi="宋体" w:eastAsia="仿宋_GB2312"/>
          <w:sz w:val="32"/>
          <w:szCs w:val="32"/>
        </w:rPr>
        <w:t>医疗救护中心结合规划区内的医院和医疗机构设置，负责本片区战时的医疗救护工作。医疗救护中心应建立自备电源和水源系统，按规定进行一定的药品储备，并备有足够的自建人防掩蔽工程。</w:t>
      </w:r>
    </w:p>
    <w:p w14:paraId="56D459CF">
      <w:pPr>
        <w:pStyle w:val="2"/>
        <w:adjustRightInd w:val="0"/>
        <w:spacing w:before="252" w:beforeLines="50" w:after="252" w:afterLines="50" w:line="720" w:lineRule="exact"/>
        <w:rPr>
          <w:rFonts w:ascii="方正黑体简体" w:eastAsia="方正黑体简体"/>
          <w:kern w:val="2"/>
          <w:sz w:val="44"/>
        </w:rPr>
      </w:pPr>
      <w:bookmarkStart w:id="369" w:name="_Toc358296721"/>
      <w:bookmarkStart w:id="370" w:name="_Toc414632186"/>
      <w:bookmarkStart w:id="371" w:name="_Toc420499469"/>
      <w:r>
        <w:rPr>
          <w:rFonts w:hint="eastAsia" w:ascii="方正黑体简体" w:eastAsia="方正黑体简体"/>
          <w:kern w:val="2"/>
          <w:sz w:val="44"/>
        </w:rPr>
        <w:t>第十三章</w:t>
      </w:r>
      <w:r>
        <w:rPr>
          <w:rFonts w:ascii="方正黑体简体" w:eastAsia="方正黑体简体"/>
          <w:kern w:val="2"/>
          <w:sz w:val="44"/>
        </w:rPr>
        <w:t xml:space="preserve">  </w:t>
      </w:r>
      <w:r>
        <w:rPr>
          <w:rFonts w:hint="eastAsia" w:ascii="方正黑体简体" w:eastAsia="方正黑体简体"/>
          <w:kern w:val="2"/>
          <w:sz w:val="44"/>
        </w:rPr>
        <w:t>规划实施建议</w:t>
      </w:r>
      <w:bookmarkEnd w:id="369"/>
      <w:bookmarkEnd w:id="370"/>
      <w:bookmarkEnd w:id="371"/>
    </w:p>
    <w:p w14:paraId="0B7AF36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1、尽快开展控制性详细规划中重点地段的城市设计工作，合理优化城市风貌、建筑体量等方面的控制，进一步指导肖坝片区开发建设。 </w:t>
      </w:r>
    </w:p>
    <w:p w14:paraId="23DA567E">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2、近远期结合，统筹考虑建设时序，确保城市建设的有序进行。 </w:t>
      </w:r>
    </w:p>
    <w:p w14:paraId="7EE1400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3、基础设施建设先行，加快城市道路建设、河道整治，确保水、电、气等基础供应的畅通。 </w:t>
      </w:r>
    </w:p>
    <w:p w14:paraId="75F93BD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4、以公共服务设施建设为重点，以中央发展廊道为打造亮点，以点带面，推动肖坝片区的建设全面展开。 </w:t>
      </w:r>
    </w:p>
    <w:p w14:paraId="1BD0EA36">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6、对与规划意图不符的已征地，应作好工作进行置换，以实现规划所期望的城市风貌与布局结构形态。 </w:t>
      </w:r>
    </w:p>
    <w:p w14:paraId="0E0DDC1E">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7、规划区非城市建设用地内的农房建设应严格按照村庄规划以及新农村建设规划等相关规划要求进行建设和规划管理。</w:t>
      </w:r>
    </w:p>
    <w:p w14:paraId="4AD3E0F3">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 xml:space="preserve">8、对于已经规划但目前尚无条件开发的重要建设用地要严格加以控制，不得乱作它用，可根据实际情况暂建绿地或其它与环境协调的临时服务设施作为过渡，待条件成熟时再按照规划实施。 </w:t>
      </w:r>
    </w:p>
    <w:p w14:paraId="78F3B931">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9、高度重视文化在片区可持续发展中的重要作用，避免片区物质性建设中的文化缺失，建设有特色的文化片区。</w:t>
      </w:r>
    </w:p>
    <w:p w14:paraId="0754E28D">
      <w:pPr>
        <w:spacing w:line="720" w:lineRule="exact"/>
        <w:ind w:firstLine="598" w:firstLineChars="200"/>
        <w:rPr>
          <w:rFonts w:hint="eastAsia" w:ascii="仿宋_GB2312" w:hAnsi="宋体" w:eastAsia="仿宋_GB2312"/>
          <w:sz w:val="32"/>
          <w:szCs w:val="32"/>
        </w:rPr>
      </w:pPr>
      <w:r>
        <w:rPr>
          <w:rFonts w:hint="eastAsia" w:ascii="仿宋_GB2312" w:hAnsi="宋体" w:eastAsia="仿宋_GB2312"/>
          <w:sz w:val="32"/>
          <w:szCs w:val="32"/>
        </w:rPr>
        <w:t>10、公共服务设施及基础设施建设先行，引导片区建设。</w:t>
      </w:r>
    </w:p>
    <w:sectPr>
      <w:type w:val="continuous"/>
      <w:pgSz w:w="23814" w:h="16840" w:orient="landscape"/>
      <w:pgMar w:top="1440" w:right="1080" w:bottom="1440" w:left="1080" w:header="851" w:footer="992" w:gutter="0"/>
      <w:pgNumType w:start="1"/>
      <w:cols w:space="1134" w:num="2"/>
      <w:docGrid w:type="linesAndChars" w:linePitch="505"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D97691D7">
    <w:panose1 w:val="020B07030202040202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D7C1B938">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89506">
    <w:pPr>
      <w:pStyle w:val="21"/>
      <w:framePr w:wrap="around" w:vAnchor="text" w:hAnchor="margin" w:xAlign="center" w:y="1"/>
      <w:rPr>
        <w:rStyle w:val="39"/>
      </w:rPr>
    </w:pPr>
    <w:r>
      <w:fldChar w:fldCharType="begin"/>
    </w:r>
    <w:r>
      <w:rPr>
        <w:rStyle w:val="39"/>
      </w:rPr>
      <w:instrText xml:space="preserve">PAGE  </w:instrText>
    </w:r>
    <w:r>
      <w:fldChar w:fldCharType="separate"/>
    </w:r>
    <w:r>
      <w:rPr>
        <w:rStyle w:val="39"/>
      </w:rPr>
      <w:t>13</w:t>
    </w:r>
    <w:r>
      <w:fldChar w:fldCharType="end"/>
    </w:r>
  </w:p>
  <w:p w14:paraId="315C1C21">
    <w:pPr>
      <w:pStyle w:val="22"/>
      <w:pBdr>
        <w:bottom w:val="single" w:color="auto" w:sz="6" w:space="4"/>
      </w:pBdr>
      <w:wordWrap w:val="0"/>
      <w:jc w:val="right"/>
      <w:rPr>
        <w:rFonts w:ascii="宋体" w:hAnsi="宋体"/>
        <w:color w:val="000000"/>
      </w:rPr>
    </w:pPr>
    <w:r>
      <w:rPr>
        <w:rFonts w:hint="eastAsia" w:ascii="宋体" w:hAnsi="宋体"/>
        <w:color w:val="000000"/>
      </w:rPr>
      <w:t>乐山市城乡规划设计院</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CE78E">
    <w:pPr>
      <w:pStyle w:val="21"/>
      <w:framePr w:wrap="around" w:vAnchor="text" w:hAnchor="margin" w:xAlign="center" w:y="1"/>
      <w:rPr>
        <w:rStyle w:val="39"/>
      </w:rPr>
    </w:pPr>
    <w:r>
      <w:fldChar w:fldCharType="begin"/>
    </w:r>
    <w:r>
      <w:rPr>
        <w:rStyle w:val="39"/>
      </w:rPr>
      <w:instrText xml:space="preserve">PAGE  </w:instrText>
    </w:r>
    <w:r>
      <w:fldChar w:fldCharType="end"/>
    </w:r>
  </w:p>
  <w:p w14:paraId="36B092AF">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5B942">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E53E">
    <w:pPr>
      <w:pStyle w:val="22"/>
      <w:ind w:right="360"/>
      <w:rPr>
        <w:rFonts w:ascii="宋体" w:hAnsi="宋体"/>
        <w:color w:val="000000"/>
      </w:rPr>
    </w:pPr>
    <w:r>
      <w:rPr>
        <w:rFonts w:hint="eastAsia" w:ascii="宋体" w:hAnsi="宋体"/>
        <w:color w:val="000000"/>
      </w:rPr>
      <w:t>乐山市中心城区肖坝片区控制性详细规划  说明书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B7412">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0AA5B">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A2912"/>
    <w:multiLevelType w:val="multilevel"/>
    <w:tmpl w:val="263A2912"/>
    <w:lvl w:ilvl="0" w:tentative="0">
      <w:start w:val="1"/>
      <w:numFmt w:val="decimal"/>
      <w:lvlText w:val="%1"/>
      <w:lvlJc w:val="left"/>
      <w:pPr>
        <w:ind w:left="425" w:hanging="425"/>
      </w:pPr>
      <w:rPr>
        <w:rFonts w:hint="eastAsia"/>
      </w:rPr>
    </w:lvl>
    <w:lvl w:ilvl="1" w:tentative="0">
      <w:start w:val="1"/>
      <w:numFmt w:val="chineseCountingThousand"/>
      <w:lvlText w:val="(%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4057C65"/>
    <w:multiLevelType w:val="multilevel"/>
    <w:tmpl w:val="54057C65"/>
    <w:lvl w:ilvl="0" w:tentative="0">
      <w:start w:val="1"/>
      <w:numFmt w:val="chineseCountingThousand"/>
      <w:lvlText w:val="%1、"/>
      <w:lvlJc w:val="left"/>
      <w:pPr>
        <w:ind w:left="567"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590D21C8"/>
    <w:multiLevelType w:val="multilevel"/>
    <w:tmpl w:val="590D21C8"/>
    <w:lvl w:ilvl="0" w:tentative="0">
      <w:start w:val="1"/>
      <w:numFmt w:val="decimal"/>
      <w:pStyle w:val="70"/>
      <w:isLgl/>
      <w:lvlText w:val="表%1."/>
      <w:lvlJc w:val="left"/>
      <w:pPr>
        <w:tabs>
          <w:tab w:val="left" w:pos="680"/>
        </w:tabs>
        <w:ind w:left="425" w:hanging="425"/>
      </w:pPr>
      <w:rPr>
        <w:rFonts w:hint="default" w:ascii="Arial" w:hAnsi="Arial" w:cs="Times New Roman"/>
      </w:rPr>
    </w:lvl>
    <w:lvl w:ilvl="1" w:tentative="0">
      <w:start w:val="1"/>
      <w:numFmt w:val="decimal"/>
      <w:lvlText w:val="%1.%2."/>
      <w:lvlJc w:val="left"/>
      <w:pPr>
        <w:tabs>
          <w:tab w:val="left" w:pos="567"/>
        </w:tabs>
        <w:ind w:left="567" w:hanging="567"/>
      </w:pPr>
      <w:rPr>
        <w:rFonts w:hint="eastAsia" w:cs="Times New Roman"/>
      </w:rPr>
    </w:lvl>
    <w:lvl w:ilvl="2" w:tentative="0">
      <w:start w:val="1"/>
      <w:numFmt w:val="decimal"/>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5D055429"/>
    <w:multiLevelType w:val="multilevel"/>
    <w:tmpl w:val="5D055429"/>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89"/>
  <w:drawingGridVerticalSpacing w:val="505"/>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6E"/>
    <w:rsid w:val="000007F3"/>
    <w:rsid w:val="00001383"/>
    <w:rsid w:val="00001DB2"/>
    <w:rsid w:val="000022B8"/>
    <w:rsid w:val="00002438"/>
    <w:rsid w:val="00002FC5"/>
    <w:rsid w:val="00003AB5"/>
    <w:rsid w:val="00003B7C"/>
    <w:rsid w:val="000046E4"/>
    <w:rsid w:val="0000480E"/>
    <w:rsid w:val="000049C6"/>
    <w:rsid w:val="0000504C"/>
    <w:rsid w:val="000052E4"/>
    <w:rsid w:val="00005EC1"/>
    <w:rsid w:val="00006469"/>
    <w:rsid w:val="00006957"/>
    <w:rsid w:val="00006C6A"/>
    <w:rsid w:val="00006E1C"/>
    <w:rsid w:val="00007706"/>
    <w:rsid w:val="00010287"/>
    <w:rsid w:val="0001073F"/>
    <w:rsid w:val="000115A1"/>
    <w:rsid w:val="000115C8"/>
    <w:rsid w:val="00011F01"/>
    <w:rsid w:val="0001227D"/>
    <w:rsid w:val="00014861"/>
    <w:rsid w:val="00017C1A"/>
    <w:rsid w:val="000204DE"/>
    <w:rsid w:val="000213CF"/>
    <w:rsid w:val="00021ADF"/>
    <w:rsid w:val="00022CC4"/>
    <w:rsid w:val="0002621A"/>
    <w:rsid w:val="000278B7"/>
    <w:rsid w:val="000300BC"/>
    <w:rsid w:val="0003088E"/>
    <w:rsid w:val="00032282"/>
    <w:rsid w:val="000331A6"/>
    <w:rsid w:val="00033B84"/>
    <w:rsid w:val="000355F9"/>
    <w:rsid w:val="000369F0"/>
    <w:rsid w:val="00036DA9"/>
    <w:rsid w:val="0003712A"/>
    <w:rsid w:val="000371B6"/>
    <w:rsid w:val="00037862"/>
    <w:rsid w:val="000416CF"/>
    <w:rsid w:val="000418BA"/>
    <w:rsid w:val="000423DF"/>
    <w:rsid w:val="000429AF"/>
    <w:rsid w:val="00042B23"/>
    <w:rsid w:val="00042F86"/>
    <w:rsid w:val="00043186"/>
    <w:rsid w:val="000442E8"/>
    <w:rsid w:val="00044DA6"/>
    <w:rsid w:val="000451C7"/>
    <w:rsid w:val="0004706E"/>
    <w:rsid w:val="00051002"/>
    <w:rsid w:val="0005214E"/>
    <w:rsid w:val="00053235"/>
    <w:rsid w:val="0005339B"/>
    <w:rsid w:val="00053733"/>
    <w:rsid w:val="00053CB1"/>
    <w:rsid w:val="00053FED"/>
    <w:rsid w:val="00054276"/>
    <w:rsid w:val="00054E28"/>
    <w:rsid w:val="0005503C"/>
    <w:rsid w:val="0005711A"/>
    <w:rsid w:val="00057173"/>
    <w:rsid w:val="0005729C"/>
    <w:rsid w:val="00057C98"/>
    <w:rsid w:val="000602CE"/>
    <w:rsid w:val="00060A92"/>
    <w:rsid w:val="00061173"/>
    <w:rsid w:val="00061A93"/>
    <w:rsid w:val="00061D77"/>
    <w:rsid w:val="000624C5"/>
    <w:rsid w:val="000629EB"/>
    <w:rsid w:val="0006581E"/>
    <w:rsid w:val="00066D36"/>
    <w:rsid w:val="00066E8E"/>
    <w:rsid w:val="00066FCB"/>
    <w:rsid w:val="0006704C"/>
    <w:rsid w:val="0006712D"/>
    <w:rsid w:val="0006799C"/>
    <w:rsid w:val="00067EB5"/>
    <w:rsid w:val="00070442"/>
    <w:rsid w:val="000716B1"/>
    <w:rsid w:val="0007402A"/>
    <w:rsid w:val="00074042"/>
    <w:rsid w:val="000742F6"/>
    <w:rsid w:val="00074569"/>
    <w:rsid w:val="000752D9"/>
    <w:rsid w:val="00076202"/>
    <w:rsid w:val="00076615"/>
    <w:rsid w:val="00076AA1"/>
    <w:rsid w:val="00076E39"/>
    <w:rsid w:val="000773EE"/>
    <w:rsid w:val="000774C4"/>
    <w:rsid w:val="00077A2F"/>
    <w:rsid w:val="00080183"/>
    <w:rsid w:val="00080A28"/>
    <w:rsid w:val="0008231B"/>
    <w:rsid w:val="00082EF7"/>
    <w:rsid w:val="000847CF"/>
    <w:rsid w:val="00084962"/>
    <w:rsid w:val="00085370"/>
    <w:rsid w:val="000865E5"/>
    <w:rsid w:val="00086A01"/>
    <w:rsid w:val="00086E56"/>
    <w:rsid w:val="000871DB"/>
    <w:rsid w:val="00087473"/>
    <w:rsid w:val="0009089B"/>
    <w:rsid w:val="000915B8"/>
    <w:rsid w:val="000956EC"/>
    <w:rsid w:val="00095DBA"/>
    <w:rsid w:val="0009674C"/>
    <w:rsid w:val="00096A9E"/>
    <w:rsid w:val="00096F16"/>
    <w:rsid w:val="000973C3"/>
    <w:rsid w:val="0009771D"/>
    <w:rsid w:val="00097A10"/>
    <w:rsid w:val="000A0A35"/>
    <w:rsid w:val="000A0D47"/>
    <w:rsid w:val="000A26A2"/>
    <w:rsid w:val="000A3243"/>
    <w:rsid w:val="000A46D2"/>
    <w:rsid w:val="000A53B6"/>
    <w:rsid w:val="000A6781"/>
    <w:rsid w:val="000A6A83"/>
    <w:rsid w:val="000A6B79"/>
    <w:rsid w:val="000B1365"/>
    <w:rsid w:val="000B1B4E"/>
    <w:rsid w:val="000B2520"/>
    <w:rsid w:val="000B2EE4"/>
    <w:rsid w:val="000B34EF"/>
    <w:rsid w:val="000B36A4"/>
    <w:rsid w:val="000B3741"/>
    <w:rsid w:val="000B3EE7"/>
    <w:rsid w:val="000B74B3"/>
    <w:rsid w:val="000B798A"/>
    <w:rsid w:val="000C131E"/>
    <w:rsid w:val="000C1ABF"/>
    <w:rsid w:val="000C227D"/>
    <w:rsid w:val="000C2FFD"/>
    <w:rsid w:val="000C3601"/>
    <w:rsid w:val="000C36CC"/>
    <w:rsid w:val="000C456E"/>
    <w:rsid w:val="000C4C95"/>
    <w:rsid w:val="000C5D89"/>
    <w:rsid w:val="000C5EF1"/>
    <w:rsid w:val="000C5F57"/>
    <w:rsid w:val="000C7A88"/>
    <w:rsid w:val="000C7FE5"/>
    <w:rsid w:val="000D1404"/>
    <w:rsid w:val="000D1AC8"/>
    <w:rsid w:val="000D1B22"/>
    <w:rsid w:val="000D1D53"/>
    <w:rsid w:val="000D20EB"/>
    <w:rsid w:val="000D27C9"/>
    <w:rsid w:val="000D2BFD"/>
    <w:rsid w:val="000D32ED"/>
    <w:rsid w:val="000D384C"/>
    <w:rsid w:val="000D3891"/>
    <w:rsid w:val="000D3D9F"/>
    <w:rsid w:val="000D42BE"/>
    <w:rsid w:val="000D48A6"/>
    <w:rsid w:val="000D5AFE"/>
    <w:rsid w:val="000D648A"/>
    <w:rsid w:val="000D6544"/>
    <w:rsid w:val="000D7D80"/>
    <w:rsid w:val="000E0C8E"/>
    <w:rsid w:val="000E0E0F"/>
    <w:rsid w:val="000E1A80"/>
    <w:rsid w:val="000E2AB4"/>
    <w:rsid w:val="000E2C11"/>
    <w:rsid w:val="000E31D1"/>
    <w:rsid w:val="000E3420"/>
    <w:rsid w:val="000E44EF"/>
    <w:rsid w:val="000E4AA2"/>
    <w:rsid w:val="000E5EBC"/>
    <w:rsid w:val="000E6136"/>
    <w:rsid w:val="000E6A21"/>
    <w:rsid w:val="000E796D"/>
    <w:rsid w:val="000F0F29"/>
    <w:rsid w:val="000F12BE"/>
    <w:rsid w:val="000F17B0"/>
    <w:rsid w:val="000F1FB9"/>
    <w:rsid w:val="000F21D1"/>
    <w:rsid w:val="000F24BA"/>
    <w:rsid w:val="000F273F"/>
    <w:rsid w:val="000F2922"/>
    <w:rsid w:val="000F2A74"/>
    <w:rsid w:val="000F361E"/>
    <w:rsid w:val="000F3B55"/>
    <w:rsid w:val="000F3D4A"/>
    <w:rsid w:val="000F5BA6"/>
    <w:rsid w:val="000F7F9C"/>
    <w:rsid w:val="00101E44"/>
    <w:rsid w:val="001032E1"/>
    <w:rsid w:val="00104E71"/>
    <w:rsid w:val="0010670C"/>
    <w:rsid w:val="001073C6"/>
    <w:rsid w:val="00107E8A"/>
    <w:rsid w:val="00110E63"/>
    <w:rsid w:val="00112B2E"/>
    <w:rsid w:val="00113194"/>
    <w:rsid w:val="001132EA"/>
    <w:rsid w:val="00113F49"/>
    <w:rsid w:val="00114432"/>
    <w:rsid w:val="00115176"/>
    <w:rsid w:val="00115274"/>
    <w:rsid w:val="00115864"/>
    <w:rsid w:val="00115958"/>
    <w:rsid w:val="00116FA4"/>
    <w:rsid w:val="00117296"/>
    <w:rsid w:val="0012011C"/>
    <w:rsid w:val="00120675"/>
    <w:rsid w:val="001207D9"/>
    <w:rsid w:val="001241C5"/>
    <w:rsid w:val="00124298"/>
    <w:rsid w:val="001244DA"/>
    <w:rsid w:val="00125063"/>
    <w:rsid w:val="00125120"/>
    <w:rsid w:val="00125182"/>
    <w:rsid w:val="00125A8C"/>
    <w:rsid w:val="001265B9"/>
    <w:rsid w:val="00126BC0"/>
    <w:rsid w:val="00126DF9"/>
    <w:rsid w:val="0012725D"/>
    <w:rsid w:val="001273E1"/>
    <w:rsid w:val="001274DF"/>
    <w:rsid w:val="001307FA"/>
    <w:rsid w:val="001312DD"/>
    <w:rsid w:val="00131F6F"/>
    <w:rsid w:val="0013272D"/>
    <w:rsid w:val="00133676"/>
    <w:rsid w:val="001368D7"/>
    <w:rsid w:val="00136DAF"/>
    <w:rsid w:val="001376E7"/>
    <w:rsid w:val="00137C85"/>
    <w:rsid w:val="001412E2"/>
    <w:rsid w:val="00141E8B"/>
    <w:rsid w:val="00143651"/>
    <w:rsid w:val="00143936"/>
    <w:rsid w:val="0014487D"/>
    <w:rsid w:val="00144BE8"/>
    <w:rsid w:val="001458D1"/>
    <w:rsid w:val="00146730"/>
    <w:rsid w:val="00146B01"/>
    <w:rsid w:val="00146B61"/>
    <w:rsid w:val="00146B85"/>
    <w:rsid w:val="00147B99"/>
    <w:rsid w:val="00147EDE"/>
    <w:rsid w:val="00150999"/>
    <w:rsid w:val="00150DF6"/>
    <w:rsid w:val="00151A4C"/>
    <w:rsid w:val="00151DDF"/>
    <w:rsid w:val="001529F8"/>
    <w:rsid w:val="00152F6F"/>
    <w:rsid w:val="00153826"/>
    <w:rsid w:val="001545D5"/>
    <w:rsid w:val="00154780"/>
    <w:rsid w:val="00154898"/>
    <w:rsid w:val="001556CB"/>
    <w:rsid w:val="00155E86"/>
    <w:rsid w:val="00160EF8"/>
    <w:rsid w:val="001624C0"/>
    <w:rsid w:val="00162774"/>
    <w:rsid w:val="001633B2"/>
    <w:rsid w:val="00163F17"/>
    <w:rsid w:val="00164CC7"/>
    <w:rsid w:val="00165EE8"/>
    <w:rsid w:val="001672BE"/>
    <w:rsid w:val="00167575"/>
    <w:rsid w:val="00167650"/>
    <w:rsid w:val="0017091D"/>
    <w:rsid w:val="00170EF6"/>
    <w:rsid w:val="00171E89"/>
    <w:rsid w:val="001732BA"/>
    <w:rsid w:val="00173501"/>
    <w:rsid w:val="001735D9"/>
    <w:rsid w:val="00173A58"/>
    <w:rsid w:val="00174375"/>
    <w:rsid w:val="00174441"/>
    <w:rsid w:val="00174F4D"/>
    <w:rsid w:val="001756F2"/>
    <w:rsid w:val="001768EF"/>
    <w:rsid w:val="00176C65"/>
    <w:rsid w:val="00177483"/>
    <w:rsid w:val="00180BDD"/>
    <w:rsid w:val="00180D62"/>
    <w:rsid w:val="00181982"/>
    <w:rsid w:val="001861AD"/>
    <w:rsid w:val="001876D1"/>
    <w:rsid w:val="00187BAF"/>
    <w:rsid w:val="0019034F"/>
    <w:rsid w:val="001903E7"/>
    <w:rsid w:val="001905BD"/>
    <w:rsid w:val="00191C03"/>
    <w:rsid w:val="00194940"/>
    <w:rsid w:val="00195FF6"/>
    <w:rsid w:val="001A018E"/>
    <w:rsid w:val="001A021D"/>
    <w:rsid w:val="001A0285"/>
    <w:rsid w:val="001A086A"/>
    <w:rsid w:val="001A0B22"/>
    <w:rsid w:val="001A4026"/>
    <w:rsid w:val="001A4906"/>
    <w:rsid w:val="001A4CAC"/>
    <w:rsid w:val="001A53C4"/>
    <w:rsid w:val="001A5678"/>
    <w:rsid w:val="001A5CF0"/>
    <w:rsid w:val="001A6921"/>
    <w:rsid w:val="001A6DF8"/>
    <w:rsid w:val="001A6EE0"/>
    <w:rsid w:val="001A7030"/>
    <w:rsid w:val="001A7540"/>
    <w:rsid w:val="001B09C9"/>
    <w:rsid w:val="001B0B86"/>
    <w:rsid w:val="001B1691"/>
    <w:rsid w:val="001B1BED"/>
    <w:rsid w:val="001B1DFF"/>
    <w:rsid w:val="001B3A66"/>
    <w:rsid w:val="001B3CBD"/>
    <w:rsid w:val="001B5A24"/>
    <w:rsid w:val="001B60EC"/>
    <w:rsid w:val="001B61EA"/>
    <w:rsid w:val="001B651E"/>
    <w:rsid w:val="001B6A91"/>
    <w:rsid w:val="001B7142"/>
    <w:rsid w:val="001B71A8"/>
    <w:rsid w:val="001B75A7"/>
    <w:rsid w:val="001B76FE"/>
    <w:rsid w:val="001C0529"/>
    <w:rsid w:val="001C09A8"/>
    <w:rsid w:val="001C0B3D"/>
    <w:rsid w:val="001C1190"/>
    <w:rsid w:val="001C1EFA"/>
    <w:rsid w:val="001C2A0C"/>
    <w:rsid w:val="001C33FD"/>
    <w:rsid w:val="001C3D09"/>
    <w:rsid w:val="001C4CF3"/>
    <w:rsid w:val="001C55AA"/>
    <w:rsid w:val="001C5FDE"/>
    <w:rsid w:val="001C6171"/>
    <w:rsid w:val="001C6572"/>
    <w:rsid w:val="001C6BB2"/>
    <w:rsid w:val="001C7068"/>
    <w:rsid w:val="001C7DEE"/>
    <w:rsid w:val="001D04FE"/>
    <w:rsid w:val="001D176C"/>
    <w:rsid w:val="001D17B3"/>
    <w:rsid w:val="001D224E"/>
    <w:rsid w:val="001D24F2"/>
    <w:rsid w:val="001D3C00"/>
    <w:rsid w:val="001D3DB4"/>
    <w:rsid w:val="001D42E0"/>
    <w:rsid w:val="001D4853"/>
    <w:rsid w:val="001D5269"/>
    <w:rsid w:val="001D5607"/>
    <w:rsid w:val="001D59D7"/>
    <w:rsid w:val="001D6A15"/>
    <w:rsid w:val="001D749F"/>
    <w:rsid w:val="001E05D0"/>
    <w:rsid w:val="001E1002"/>
    <w:rsid w:val="001E10C9"/>
    <w:rsid w:val="001E1161"/>
    <w:rsid w:val="001E11B6"/>
    <w:rsid w:val="001E148C"/>
    <w:rsid w:val="001E1FCA"/>
    <w:rsid w:val="001E3F67"/>
    <w:rsid w:val="001E42F2"/>
    <w:rsid w:val="001E4300"/>
    <w:rsid w:val="001E4892"/>
    <w:rsid w:val="001E6A6F"/>
    <w:rsid w:val="001E799B"/>
    <w:rsid w:val="001E7BFE"/>
    <w:rsid w:val="001F0B42"/>
    <w:rsid w:val="001F207B"/>
    <w:rsid w:val="001F266B"/>
    <w:rsid w:val="001F2697"/>
    <w:rsid w:val="001F3548"/>
    <w:rsid w:val="001F4023"/>
    <w:rsid w:val="001F4370"/>
    <w:rsid w:val="001F49B6"/>
    <w:rsid w:val="001F4B67"/>
    <w:rsid w:val="001F4BD4"/>
    <w:rsid w:val="001F5533"/>
    <w:rsid w:val="001F5B16"/>
    <w:rsid w:val="001F5FFA"/>
    <w:rsid w:val="001F600C"/>
    <w:rsid w:val="001F6B43"/>
    <w:rsid w:val="001F6C4A"/>
    <w:rsid w:val="001F6DF3"/>
    <w:rsid w:val="00200201"/>
    <w:rsid w:val="00200366"/>
    <w:rsid w:val="002007E7"/>
    <w:rsid w:val="00204DAB"/>
    <w:rsid w:val="00205220"/>
    <w:rsid w:val="002059AA"/>
    <w:rsid w:val="00206F9F"/>
    <w:rsid w:val="002072D6"/>
    <w:rsid w:val="00210C62"/>
    <w:rsid w:val="00212459"/>
    <w:rsid w:val="00213222"/>
    <w:rsid w:val="002152E9"/>
    <w:rsid w:val="0021570F"/>
    <w:rsid w:val="002202A0"/>
    <w:rsid w:val="002203B9"/>
    <w:rsid w:val="00223A0E"/>
    <w:rsid w:val="00223EB2"/>
    <w:rsid w:val="002254FE"/>
    <w:rsid w:val="00225685"/>
    <w:rsid w:val="00225968"/>
    <w:rsid w:val="00225B58"/>
    <w:rsid w:val="002265DA"/>
    <w:rsid w:val="0022660B"/>
    <w:rsid w:val="0022779C"/>
    <w:rsid w:val="00230826"/>
    <w:rsid w:val="002309FF"/>
    <w:rsid w:val="00230FDA"/>
    <w:rsid w:val="00232FEC"/>
    <w:rsid w:val="00233681"/>
    <w:rsid w:val="00233F85"/>
    <w:rsid w:val="00234AFB"/>
    <w:rsid w:val="00235332"/>
    <w:rsid w:val="00235699"/>
    <w:rsid w:val="00236B8E"/>
    <w:rsid w:val="002375C9"/>
    <w:rsid w:val="0023774D"/>
    <w:rsid w:val="00240CF6"/>
    <w:rsid w:val="002414B2"/>
    <w:rsid w:val="00241A2A"/>
    <w:rsid w:val="002428BC"/>
    <w:rsid w:val="00242B81"/>
    <w:rsid w:val="002433AB"/>
    <w:rsid w:val="0024575D"/>
    <w:rsid w:val="00246C3B"/>
    <w:rsid w:val="002501B8"/>
    <w:rsid w:val="00251429"/>
    <w:rsid w:val="00251D1A"/>
    <w:rsid w:val="00251F56"/>
    <w:rsid w:val="002534C0"/>
    <w:rsid w:val="00253E25"/>
    <w:rsid w:val="00253F9C"/>
    <w:rsid w:val="00254F32"/>
    <w:rsid w:val="002557DC"/>
    <w:rsid w:val="00255840"/>
    <w:rsid w:val="002570CC"/>
    <w:rsid w:val="00257A0A"/>
    <w:rsid w:val="00257AC6"/>
    <w:rsid w:val="002604E0"/>
    <w:rsid w:val="002608F5"/>
    <w:rsid w:val="002620A9"/>
    <w:rsid w:val="002630A7"/>
    <w:rsid w:val="00265AF6"/>
    <w:rsid w:val="002674A5"/>
    <w:rsid w:val="0026787D"/>
    <w:rsid w:val="00270E97"/>
    <w:rsid w:val="0027171C"/>
    <w:rsid w:val="00273F35"/>
    <w:rsid w:val="002742CD"/>
    <w:rsid w:val="00274617"/>
    <w:rsid w:val="002757D2"/>
    <w:rsid w:val="00276043"/>
    <w:rsid w:val="0027667D"/>
    <w:rsid w:val="00276D97"/>
    <w:rsid w:val="00276DDD"/>
    <w:rsid w:val="00277B4D"/>
    <w:rsid w:val="002805E8"/>
    <w:rsid w:val="0028137A"/>
    <w:rsid w:val="00282C16"/>
    <w:rsid w:val="002833EB"/>
    <w:rsid w:val="002835EC"/>
    <w:rsid w:val="002835F9"/>
    <w:rsid w:val="002859BF"/>
    <w:rsid w:val="00285BC4"/>
    <w:rsid w:val="00285E2C"/>
    <w:rsid w:val="00286DD7"/>
    <w:rsid w:val="00287074"/>
    <w:rsid w:val="002877A6"/>
    <w:rsid w:val="00287938"/>
    <w:rsid w:val="00291E78"/>
    <w:rsid w:val="002922C1"/>
    <w:rsid w:val="00292C7F"/>
    <w:rsid w:val="00294685"/>
    <w:rsid w:val="00294903"/>
    <w:rsid w:val="00295625"/>
    <w:rsid w:val="00297343"/>
    <w:rsid w:val="002A0802"/>
    <w:rsid w:val="002A0B65"/>
    <w:rsid w:val="002A0BCC"/>
    <w:rsid w:val="002A148F"/>
    <w:rsid w:val="002A1AB3"/>
    <w:rsid w:val="002A1DE1"/>
    <w:rsid w:val="002A1E7F"/>
    <w:rsid w:val="002A1EA3"/>
    <w:rsid w:val="002A1FD0"/>
    <w:rsid w:val="002A21CF"/>
    <w:rsid w:val="002A3505"/>
    <w:rsid w:val="002A383F"/>
    <w:rsid w:val="002A48BD"/>
    <w:rsid w:val="002A4E04"/>
    <w:rsid w:val="002A59AD"/>
    <w:rsid w:val="002A5FBB"/>
    <w:rsid w:val="002A6051"/>
    <w:rsid w:val="002A6122"/>
    <w:rsid w:val="002A72C2"/>
    <w:rsid w:val="002A7940"/>
    <w:rsid w:val="002A7A26"/>
    <w:rsid w:val="002A7DAA"/>
    <w:rsid w:val="002B0B3D"/>
    <w:rsid w:val="002B1958"/>
    <w:rsid w:val="002B1B1B"/>
    <w:rsid w:val="002B1B1F"/>
    <w:rsid w:val="002B1C20"/>
    <w:rsid w:val="002B1F2D"/>
    <w:rsid w:val="002B37DD"/>
    <w:rsid w:val="002B3EE9"/>
    <w:rsid w:val="002B472E"/>
    <w:rsid w:val="002B5A6E"/>
    <w:rsid w:val="002B60C1"/>
    <w:rsid w:val="002B6332"/>
    <w:rsid w:val="002B707E"/>
    <w:rsid w:val="002B7502"/>
    <w:rsid w:val="002B7B55"/>
    <w:rsid w:val="002C1021"/>
    <w:rsid w:val="002C1A18"/>
    <w:rsid w:val="002C2675"/>
    <w:rsid w:val="002C3935"/>
    <w:rsid w:val="002C3DF3"/>
    <w:rsid w:val="002C4601"/>
    <w:rsid w:val="002C7355"/>
    <w:rsid w:val="002C7ED2"/>
    <w:rsid w:val="002C7F13"/>
    <w:rsid w:val="002D1366"/>
    <w:rsid w:val="002D3ABE"/>
    <w:rsid w:val="002D40D3"/>
    <w:rsid w:val="002D42CF"/>
    <w:rsid w:val="002D4546"/>
    <w:rsid w:val="002D49E9"/>
    <w:rsid w:val="002D4EBF"/>
    <w:rsid w:val="002D60A1"/>
    <w:rsid w:val="002D671A"/>
    <w:rsid w:val="002D6D07"/>
    <w:rsid w:val="002D6D5F"/>
    <w:rsid w:val="002D7506"/>
    <w:rsid w:val="002E0694"/>
    <w:rsid w:val="002E1F83"/>
    <w:rsid w:val="002E329B"/>
    <w:rsid w:val="002E34C6"/>
    <w:rsid w:val="002E3C9C"/>
    <w:rsid w:val="002E41A0"/>
    <w:rsid w:val="002E4D69"/>
    <w:rsid w:val="002E628E"/>
    <w:rsid w:val="002E67D2"/>
    <w:rsid w:val="002E7E2F"/>
    <w:rsid w:val="002F0AE1"/>
    <w:rsid w:val="002F1A1D"/>
    <w:rsid w:val="002F1C53"/>
    <w:rsid w:val="002F2063"/>
    <w:rsid w:val="002F2929"/>
    <w:rsid w:val="002F3AEA"/>
    <w:rsid w:val="002F4EE6"/>
    <w:rsid w:val="002F56E1"/>
    <w:rsid w:val="002F6CC6"/>
    <w:rsid w:val="002F6E23"/>
    <w:rsid w:val="002F783A"/>
    <w:rsid w:val="00300BFD"/>
    <w:rsid w:val="00300E33"/>
    <w:rsid w:val="00300F1F"/>
    <w:rsid w:val="00301846"/>
    <w:rsid w:val="00301D9A"/>
    <w:rsid w:val="00301F48"/>
    <w:rsid w:val="00302401"/>
    <w:rsid w:val="00303081"/>
    <w:rsid w:val="00303562"/>
    <w:rsid w:val="00304933"/>
    <w:rsid w:val="00304C80"/>
    <w:rsid w:val="0030589B"/>
    <w:rsid w:val="0030611B"/>
    <w:rsid w:val="00306240"/>
    <w:rsid w:val="003065C8"/>
    <w:rsid w:val="0030677C"/>
    <w:rsid w:val="00306EDB"/>
    <w:rsid w:val="00310578"/>
    <w:rsid w:val="00310E77"/>
    <w:rsid w:val="003125FB"/>
    <w:rsid w:val="00312CFC"/>
    <w:rsid w:val="003135E0"/>
    <w:rsid w:val="003157C3"/>
    <w:rsid w:val="00316E35"/>
    <w:rsid w:val="00316F39"/>
    <w:rsid w:val="003172DE"/>
    <w:rsid w:val="0031735B"/>
    <w:rsid w:val="003178C0"/>
    <w:rsid w:val="00317B03"/>
    <w:rsid w:val="00320282"/>
    <w:rsid w:val="003210D2"/>
    <w:rsid w:val="00321D07"/>
    <w:rsid w:val="0032353F"/>
    <w:rsid w:val="00324BD8"/>
    <w:rsid w:val="00324C11"/>
    <w:rsid w:val="00324CB9"/>
    <w:rsid w:val="00324D1F"/>
    <w:rsid w:val="00325F2D"/>
    <w:rsid w:val="00326043"/>
    <w:rsid w:val="003268D3"/>
    <w:rsid w:val="00326A41"/>
    <w:rsid w:val="003270FF"/>
    <w:rsid w:val="00327127"/>
    <w:rsid w:val="00327365"/>
    <w:rsid w:val="00330871"/>
    <w:rsid w:val="00331387"/>
    <w:rsid w:val="003325EF"/>
    <w:rsid w:val="0033310E"/>
    <w:rsid w:val="003336E7"/>
    <w:rsid w:val="00333910"/>
    <w:rsid w:val="0033531C"/>
    <w:rsid w:val="003364CF"/>
    <w:rsid w:val="00336BBD"/>
    <w:rsid w:val="00336F41"/>
    <w:rsid w:val="003373B3"/>
    <w:rsid w:val="0033758F"/>
    <w:rsid w:val="003377AA"/>
    <w:rsid w:val="00340AA1"/>
    <w:rsid w:val="00340EEB"/>
    <w:rsid w:val="00341A04"/>
    <w:rsid w:val="00341C1C"/>
    <w:rsid w:val="0034219A"/>
    <w:rsid w:val="00342FC3"/>
    <w:rsid w:val="003440AC"/>
    <w:rsid w:val="0034591C"/>
    <w:rsid w:val="00345CDB"/>
    <w:rsid w:val="00345D84"/>
    <w:rsid w:val="00346295"/>
    <w:rsid w:val="00346662"/>
    <w:rsid w:val="00346841"/>
    <w:rsid w:val="003476FE"/>
    <w:rsid w:val="00350729"/>
    <w:rsid w:val="00350C34"/>
    <w:rsid w:val="003513E1"/>
    <w:rsid w:val="00351A5F"/>
    <w:rsid w:val="00351FC6"/>
    <w:rsid w:val="00352BE5"/>
    <w:rsid w:val="00352C53"/>
    <w:rsid w:val="00356F04"/>
    <w:rsid w:val="00357892"/>
    <w:rsid w:val="0036052B"/>
    <w:rsid w:val="00360C31"/>
    <w:rsid w:val="00361E15"/>
    <w:rsid w:val="003623AC"/>
    <w:rsid w:val="00362D75"/>
    <w:rsid w:val="00362ECF"/>
    <w:rsid w:val="00364029"/>
    <w:rsid w:val="003641B2"/>
    <w:rsid w:val="00364DB9"/>
    <w:rsid w:val="003650F8"/>
    <w:rsid w:val="00365320"/>
    <w:rsid w:val="003654EE"/>
    <w:rsid w:val="00366C04"/>
    <w:rsid w:val="00367373"/>
    <w:rsid w:val="0036752F"/>
    <w:rsid w:val="00367F1B"/>
    <w:rsid w:val="00371114"/>
    <w:rsid w:val="0037135B"/>
    <w:rsid w:val="00371625"/>
    <w:rsid w:val="00371F7E"/>
    <w:rsid w:val="00373DE2"/>
    <w:rsid w:val="00374D4E"/>
    <w:rsid w:val="00374D6E"/>
    <w:rsid w:val="00375229"/>
    <w:rsid w:val="00376640"/>
    <w:rsid w:val="003766F8"/>
    <w:rsid w:val="00377412"/>
    <w:rsid w:val="00377C98"/>
    <w:rsid w:val="00380170"/>
    <w:rsid w:val="003805A9"/>
    <w:rsid w:val="00380C77"/>
    <w:rsid w:val="00382141"/>
    <w:rsid w:val="00382B3E"/>
    <w:rsid w:val="003834B2"/>
    <w:rsid w:val="003838D4"/>
    <w:rsid w:val="00383E80"/>
    <w:rsid w:val="00384031"/>
    <w:rsid w:val="0038422E"/>
    <w:rsid w:val="003842A2"/>
    <w:rsid w:val="00384945"/>
    <w:rsid w:val="00384A28"/>
    <w:rsid w:val="0038555C"/>
    <w:rsid w:val="00386732"/>
    <w:rsid w:val="00386E3F"/>
    <w:rsid w:val="003870EF"/>
    <w:rsid w:val="00390891"/>
    <w:rsid w:val="00390CEA"/>
    <w:rsid w:val="00390DD9"/>
    <w:rsid w:val="00390EBD"/>
    <w:rsid w:val="00391465"/>
    <w:rsid w:val="003914C4"/>
    <w:rsid w:val="003923E0"/>
    <w:rsid w:val="003924F2"/>
    <w:rsid w:val="0039546F"/>
    <w:rsid w:val="00395922"/>
    <w:rsid w:val="00395BF5"/>
    <w:rsid w:val="00397185"/>
    <w:rsid w:val="0039764D"/>
    <w:rsid w:val="00397AAC"/>
    <w:rsid w:val="00397D0B"/>
    <w:rsid w:val="00397DE6"/>
    <w:rsid w:val="00397F5B"/>
    <w:rsid w:val="003A033B"/>
    <w:rsid w:val="003A05F5"/>
    <w:rsid w:val="003A10D6"/>
    <w:rsid w:val="003A1FF4"/>
    <w:rsid w:val="003A249C"/>
    <w:rsid w:val="003A2849"/>
    <w:rsid w:val="003A2B1B"/>
    <w:rsid w:val="003A2C72"/>
    <w:rsid w:val="003A3074"/>
    <w:rsid w:val="003A30EF"/>
    <w:rsid w:val="003A39F0"/>
    <w:rsid w:val="003A54B3"/>
    <w:rsid w:val="003A6E2F"/>
    <w:rsid w:val="003A78E7"/>
    <w:rsid w:val="003A7932"/>
    <w:rsid w:val="003B02C4"/>
    <w:rsid w:val="003B071D"/>
    <w:rsid w:val="003B1C29"/>
    <w:rsid w:val="003B315E"/>
    <w:rsid w:val="003B4589"/>
    <w:rsid w:val="003B770D"/>
    <w:rsid w:val="003C0595"/>
    <w:rsid w:val="003C1C38"/>
    <w:rsid w:val="003C1FEE"/>
    <w:rsid w:val="003C4B80"/>
    <w:rsid w:val="003C4F87"/>
    <w:rsid w:val="003C5A75"/>
    <w:rsid w:val="003C65AD"/>
    <w:rsid w:val="003C684A"/>
    <w:rsid w:val="003C754A"/>
    <w:rsid w:val="003D0404"/>
    <w:rsid w:val="003D1E3B"/>
    <w:rsid w:val="003D29A3"/>
    <w:rsid w:val="003D29F1"/>
    <w:rsid w:val="003D2EE6"/>
    <w:rsid w:val="003D3381"/>
    <w:rsid w:val="003D359C"/>
    <w:rsid w:val="003D496D"/>
    <w:rsid w:val="003D4B56"/>
    <w:rsid w:val="003D4BF0"/>
    <w:rsid w:val="003D5485"/>
    <w:rsid w:val="003D7668"/>
    <w:rsid w:val="003D7DE0"/>
    <w:rsid w:val="003D7EF9"/>
    <w:rsid w:val="003E013C"/>
    <w:rsid w:val="003E1DB0"/>
    <w:rsid w:val="003E2AD1"/>
    <w:rsid w:val="003E2EF9"/>
    <w:rsid w:val="003E2F7D"/>
    <w:rsid w:val="003E4A63"/>
    <w:rsid w:val="003E5D20"/>
    <w:rsid w:val="003E6B63"/>
    <w:rsid w:val="003E6E53"/>
    <w:rsid w:val="003E7131"/>
    <w:rsid w:val="003F170B"/>
    <w:rsid w:val="003F2810"/>
    <w:rsid w:val="003F2EA9"/>
    <w:rsid w:val="003F440E"/>
    <w:rsid w:val="003F49D4"/>
    <w:rsid w:val="003F544B"/>
    <w:rsid w:val="003F5AD1"/>
    <w:rsid w:val="003F7282"/>
    <w:rsid w:val="00400691"/>
    <w:rsid w:val="00400821"/>
    <w:rsid w:val="00400C51"/>
    <w:rsid w:val="0040154F"/>
    <w:rsid w:val="0040173C"/>
    <w:rsid w:val="00403D8C"/>
    <w:rsid w:val="00404695"/>
    <w:rsid w:val="00404D22"/>
    <w:rsid w:val="004053AA"/>
    <w:rsid w:val="00405920"/>
    <w:rsid w:val="00406236"/>
    <w:rsid w:val="004062E0"/>
    <w:rsid w:val="00407C2D"/>
    <w:rsid w:val="004130FC"/>
    <w:rsid w:val="00413777"/>
    <w:rsid w:val="00413DDF"/>
    <w:rsid w:val="0041488F"/>
    <w:rsid w:val="0041491A"/>
    <w:rsid w:val="004151E9"/>
    <w:rsid w:val="00415337"/>
    <w:rsid w:val="00415ED7"/>
    <w:rsid w:val="00416161"/>
    <w:rsid w:val="00420261"/>
    <w:rsid w:val="004209E3"/>
    <w:rsid w:val="00420CE9"/>
    <w:rsid w:val="0042138E"/>
    <w:rsid w:val="0042170C"/>
    <w:rsid w:val="00421825"/>
    <w:rsid w:val="0042299C"/>
    <w:rsid w:val="00424D64"/>
    <w:rsid w:val="00427004"/>
    <w:rsid w:val="00427386"/>
    <w:rsid w:val="004273A3"/>
    <w:rsid w:val="0042790C"/>
    <w:rsid w:val="004307D6"/>
    <w:rsid w:val="0043090D"/>
    <w:rsid w:val="00430E53"/>
    <w:rsid w:val="00431819"/>
    <w:rsid w:val="00431B40"/>
    <w:rsid w:val="0043202B"/>
    <w:rsid w:val="00432AF4"/>
    <w:rsid w:val="00432E97"/>
    <w:rsid w:val="00434012"/>
    <w:rsid w:val="00435295"/>
    <w:rsid w:val="0043569C"/>
    <w:rsid w:val="00435CF2"/>
    <w:rsid w:val="00435EB1"/>
    <w:rsid w:val="00436F0C"/>
    <w:rsid w:val="00436FC2"/>
    <w:rsid w:val="004373B8"/>
    <w:rsid w:val="004377F4"/>
    <w:rsid w:val="00437A79"/>
    <w:rsid w:val="0044129F"/>
    <w:rsid w:val="004417E1"/>
    <w:rsid w:val="0044255F"/>
    <w:rsid w:val="004435BF"/>
    <w:rsid w:val="00444CCE"/>
    <w:rsid w:val="00444D66"/>
    <w:rsid w:val="00444E09"/>
    <w:rsid w:val="0044611E"/>
    <w:rsid w:val="00446FC0"/>
    <w:rsid w:val="004476A2"/>
    <w:rsid w:val="00450A83"/>
    <w:rsid w:val="00451F38"/>
    <w:rsid w:val="0045273F"/>
    <w:rsid w:val="0045303D"/>
    <w:rsid w:val="004538EF"/>
    <w:rsid w:val="00453C3E"/>
    <w:rsid w:val="00454844"/>
    <w:rsid w:val="00454DD1"/>
    <w:rsid w:val="004550DB"/>
    <w:rsid w:val="00455E75"/>
    <w:rsid w:val="004568ED"/>
    <w:rsid w:val="00456CA2"/>
    <w:rsid w:val="004574E5"/>
    <w:rsid w:val="004574EA"/>
    <w:rsid w:val="004575D5"/>
    <w:rsid w:val="00457A31"/>
    <w:rsid w:val="00457D1F"/>
    <w:rsid w:val="004601EA"/>
    <w:rsid w:val="004602DF"/>
    <w:rsid w:val="004617EF"/>
    <w:rsid w:val="004623D6"/>
    <w:rsid w:val="004634D7"/>
    <w:rsid w:val="00463751"/>
    <w:rsid w:val="004639C7"/>
    <w:rsid w:val="00464533"/>
    <w:rsid w:val="004651FF"/>
    <w:rsid w:val="004652B1"/>
    <w:rsid w:val="0046543D"/>
    <w:rsid w:val="004658D5"/>
    <w:rsid w:val="004663E5"/>
    <w:rsid w:val="004667E0"/>
    <w:rsid w:val="00466A95"/>
    <w:rsid w:val="00470D18"/>
    <w:rsid w:val="004715C2"/>
    <w:rsid w:val="00471D06"/>
    <w:rsid w:val="0047332D"/>
    <w:rsid w:val="004749BB"/>
    <w:rsid w:val="004753A9"/>
    <w:rsid w:val="004761F2"/>
    <w:rsid w:val="0047734E"/>
    <w:rsid w:val="00477C76"/>
    <w:rsid w:val="00480CF1"/>
    <w:rsid w:val="00481D77"/>
    <w:rsid w:val="004830C5"/>
    <w:rsid w:val="0048576C"/>
    <w:rsid w:val="004857C2"/>
    <w:rsid w:val="00485B53"/>
    <w:rsid w:val="00486154"/>
    <w:rsid w:val="00486CDF"/>
    <w:rsid w:val="0049021E"/>
    <w:rsid w:val="00490C91"/>
    <w:rsid w:val="00492407"/>
    <w:rsid w:val="00493128"/>
    <w:rsid w:val="00493340"/>
    <w:rsid w:val="00494378"/>
    <w:rsid w:val="00494F22"/>
    <w:rsid w:val="004976B9"/>
    <w:rsid w:val="004A0569"/>
    <w:rsid w:val="004A183E"/>
    <w:rsid w:val="004A19E6"/>
    <w:rsid w:val="004A19EC"/>
    <w:rsid w:val="004A2915"/>
    <w:rsid w:val="004A4771"/>
    <w:rsid w:val="004A4C9D"/>
    <w:rsid w:val="004A52B5"/>
    <w:rsid w:val="004A6D2A"/>
    <w:rsid w:val="004A6F4A"/>
    <w:rsid w:val="004A7E78"/>
    <w:rsid w:val="004B0944"/>
    <w:rsid w:val="004B1178"/>
    <w:rsid w:val="004B149E"/>
    <w:rsid w:val="004B281B"/>
    <w:rsid w:val="004B3213"/>
    <w:rsid w:val="004B331A"/>
    <w:rsid w:val="004B496F"/>
    <w:rsid w:val="004B571D"/>
    <w:rsid w:val="004B606A"/>
    <w:rsid w:val="004B6FF7"/>
    <w:rsid w:val="004B7298"/>
    <w:rsid w:val="004B7C80"/>
    <w:rsid w:val="004C18FB"/>
    <w:rsid w:val="004C1E87"/>
    <w:rsid w:val="004C27FA"/>
    <w:rsid w:val="004C2BAA"/>
    <w:rsid w:val="004C309E"/>
    <w:rsid w:val="004C3133"/>
    <w:rsid w:val="004C3449"/>
    <w:rsid w:val="004C46B0"/>
    <w:rsid w:val="004C4CA9"/>
    <w:rsid w:val="004C4D82"/>
    <w:rsid w:val="004C50F5"/>
    <w:rsid w:val="004C531B"/>
    <w:rsid w:val="004C5AC0"/>
    <w:rsid w:val="004C6A7C"/>
    <w:rsid w:val="004C7B4A"/>
    <w:rsid w:val="004C7DA6"/>
    <w:rsid w:val="004D0719"/>
    <w:rsid w:val="004D3EC0"/>
    <w:rsid w:val="004D40DF"/>
    <w:rsid w:val="004D4B59"/>
    <w:rsid w:val="004D711A"/>
    <w:rsid w:val="004D746C"/>
    <w:rsid w:val="004D75DD"/>
    <w:rsid w:val="004D767D"/>
    <w:rsid w:val="004D7BE2"/>
    <w:rsid w:val="004E09B3"/>
    <w:rsid w:val="004E1081"/>
    <w:rsid w:val="004E12BC"/>
    <w:rsid w:val="004E13D9"/>
    <w:rsid w:val="004E35DE"/>
    <w:rsid w:val="004E5BD5"/>
    <w:rsid w:val="004E6166"/>
    <w:rsid w:val="004E6889"/>
    <w:rsid w:val="004E6F1E"/>
    <w:rsid w:val="004E7023"/>
    <w:rsid w:val="004F06AD"/>
    <w:rsid w:val="004F0969"/>
    <w:rsid w:val="004F1789"/>
    <w:rsid w:val="004F1B63"/>
    <w:rsid w:val="004F2AD2"/>
    <w:rsid w:val="004F398E"/>
    <w:rsid w:val="004F3FB9"/>
    <w:rsid w:val="004F4299"/>
    <w:rsid w:val="004F45D8"/>
    <w:rsid w:val="004F47D1"/>
    <w:rsid w:val="004F5775"/>
    <w:rsid w:val="004F5FAD"/>
    <w:rsid w:val="004F610B"/>
    <w:rsid w:val="004F71C6"/>
    <w:rsid w:val="004F78AB"/>
    <w:rsid w:val="0050005B"/>
    <w:rsid w:val="005006C9"/>
    <w:rsid w:val="005017D1"/>
    <w:rsid w:val="005021AD"/>
    <w:rsid w:val="00502201"/>
    <w:rsid w:val="005023D1"/>
    <w:rsid w:val="00502782"/>
    <w:rsid w:val="00505B18"/>
    <w:rsid w:val="00506007"/>
    <w:rsid w:val="00507085"/>
    <w:rsid w:val="005104EE"/>
    <w:rsid w:val="0051146B"/>
    <w:rsid w:val="00511DBD"/>
    <w:rsid w:val="00513FD7"/>
    <w:rsid w:val="00514771"/>
    <w:rsid w:val="005149CC"/>
    <w:rsid w:val="0051562C"/>
    <w:rsid w:val="005164DC"/>
    <w:rsid w:val="005165E7"/>
    <w:rsid w:val="00516752"/>
    <w:rsid w:val="00516A2A"/>
    <w:rsid w:val="00517298"/>
    <w:rsid w:val="00517315"/>
    <w:rsid w:val="00517D84"/>
    <w:rsid w:val="005202A0"/>
    <w:rsid w:val="005216FB"/>
    <w:rsid w:val="0052187B"/>
    <w:rsid w:val="0052246F"/>
    <w:rsid w:val="00523CA5"/>
    <w:rsid w:val="00524441"/>
    <w:rsid w:val="0052472A"/>
    <w:rsid w:val="00525380"/>
    <w:rsid w:val="00525A7C"/>
    <w:rsid w:val="00526734"/>
    <w:rsid w:val="00526964"/>
    <w:rsid w:val="00526E4B"/>
    <w:rsid w:val="005278F6"/>
    <w:rsid w:val="005302FB"/>
    <w:rsid w:val="00531318"/>
    <w:rsid w:val="00531630"/>
    <w:rsid w:val="00531971"/>
    <w:rsid w:val="00532C47"/>
    <w:rsid w:val="00532E1C"/>
    <w:rsid w:val="00532F17"/>
    <w:rsid w:val="00533335"/>
    <w:rsid w:val="00534099"/>
    <w:rsid w:val="00534FDC"/>
    <w:rsid w:val="005357AC"/>
    <w:rsid w:val="00535E7B"/>
    <w:rsid w:val="0053632F"/>
    <w:rsid w:val="0053677B"/>
    <w:rsid w:val="00536F91"/>
    <w:rsid w:val="00537835"/>
    <w:rsid w:val="00537D72"/>
    <w:rsid w:val="0054025A"/>
    <w:rsid w:val="00542E87"/>
    <w:rsid w:val="00543524"/>
    <w:rsid w:val="0054355B"/>
    <w:rsid w:val="0054445F"/>
    <w:rsid w:val="005444EC"/>
    <w:rsid w:val="00545CB6"/>
    <w:rsid w:val="005460EC"/>
    <w:rsid w:val="005465D8"/>
    <w:rsid w:val="0054724A"/>
    <w:rsid w:val="0054778D"/>
    <w:rsid w:val="00547D80"/>
    <w:rsid w:val="005502A8"/>
    <w:rsid w:val="005519F3"/>
    <w:rsid w:val="00551A43"/>
    <w:rsid w:val="00552670"/>
    <w:rsid w:val="0055276B"/>
    <w:rsid w:val="00552A49"/>
    <w:rsid w:val="005545D5"/>
    <w:rsid w:val="00554741"/>
    <w:rsid w:val="00555374"/>
    <w:rsid w:val="00557866"/>
    <w:rsid w:val="00557D06"/>
    <w:rsid w:val="00562B19"/>
    <w:rsid w:val="00564199"/>
    <w:rsid w:val="00564A80"/>
    <w:rsid w:val="00564C3D"/>
    <w:rsid w:val="00565BEA"/>
    <w:rsid w:val="005663F8"/>
    <w:rsid w:val="00566DD0"/>
    <w:rsid w:val="00567802"/>
    <w:rsid w:val="00571A39"/>
    <w:rsid w:val="00571CD7"/>
    <w:rsid w:val="005720B4"/>
    <w:rsid w:val="00572280"/>
    <w:rsid w:val="0057315D"/>
    <w:rsid w:val="00573D57"/>
    <w:rsid w:val="005763C9"/>
    <w:rsid w:val="0057692A"/>
    <w:rsid w:val="00576F36"/>
    <w:rsid w:val="005775A1"/>
    <w:rsid w:val="0058238C"/>
    <w:rsid w:val="00583733"/>
    <w:rsid w:val="0058407D"/>
    <w:rsid w:val="00585624"/>
    <w:rsid w:val="00586235"/>
    <w:rsid w:val="005863CC"/>
    <w:rsid w:val="005865AE"/>
    <w:rsid w:val="00586A44"/>
    <w:rsid w:val="00586E0F"/>
    <w:rsid w:val="00586FBC"/>
    <w:rsid w:val="00587E5F"/>
    <w:rsid w:val="005900E4"/>
    <w:rsid w:val="00590BE1"/>
    <w:rsid w:val="00591D08"/>
    <w:rsid w:val="005932E7"/>
    <w:rsid w:val="005933FC"/>
    <w:rsid w:val="005953C0"/>
    <w:rsid w:val="005958CB"/>
    <w:rsid w:val="005963D7"/>
    <w:rsid w:val="005A0823"/>
    <w:rsid w:val="005A0DC6"/>
    <w:rsid w:val="005A13AB"/>
    <w:rsid w:val="005A21F6"/>
    <w:rsid w:val="005A506C"/>
    <w:rsid w:val="005A5162"/>
    <w:rsid w:val="005A5914"/>
    <w:rsid w:val="005A744E"/>
    <w:rsid w:val="005A7B85"/>
    <w:rsid w:val="005B07A7"/>
    <w:rsid w:val="005B0B88"/>
    <w:rsid w:val="005B1484"/>
    <w:rsid w:val="005B210C"/>
    <w:rsid w:val="005B3FF3"/>
    <w:rsid w:val="005B432A"/>
    <w:rsid w:val="005B49A8"/>
    <w:rsid w:val="005B5DC4"/>
    <w:rsid w:val="005B75BC"/>
    <w:rsid w:val="005B7880"/>
    <w:rsid w:val="005C02EA"/>
    <w:rsid w:val="005C0774"/>
    <w:rsid w:val="005C0E2A"/>
    <w:rsid w:val="005C0F19"/>
    <w:rsid w:val="005C1091"/>
    <w:rsid w:val="005C2793"/>
    <w:rsid w:val="005C4D9F"/>
    <w:rsid w:val="005C6014"/>
    <w:rsid w:val="005C61DB"/>
    <w:rsid w:val="005C6B9A"/>
    <w:rsid w:val="005C7086"/>
    <w:rsid w:val="005C7EBA"/>
    <w:rsid w:val="005D055B"/>
    <w:rsid w:val="005D0FA9"/>
    <w:rsid w:val="005D12CB"/>
    <w:rsid w:val="005D1780"/>
    <w:rsid w:val="005D1960"/>
    <w:rsid w:val="005D199A"/>
    <w:rsid w:val="005D1B68"/>
    <w:rsid w:val="005D1DDD"/>
    <w:rsid w:val="005D1E49"/>
    <w:rsid w:val="005D2527"/>
    <w:rsid w:val="005D2746"/>
    <w:rsid w:val="005D2F87"/>
    <w:rsid w:val="005D35BF"/>
    <w:rsid w:val="005D3A52"/>
    <w:rsid w:val="005D50B7"/>
    <w:rsid w:val="005D5200"/>
    <w:rsid w:val="005D5C64"/>
    <w:rsid w:val="005D69C7"/>
    <w:rsid w:val="005D6CEE"/>
    <w:rsid w:val="005E26AE"/>
    <w:rsid w:val="005E2AA4"/>
    <w:rsid w:val="005E32A7"/>
    <w:rsid w:val="005E397A"/>
    <w:rsid w:val="005E455A"/>
    <w:rsid w:val="005E5277"/>
    <w:rsid w:val="005E5AD6"/>
    <w:rsid w:val="005E5CD0"/>
    <w:rsid w:val="005E6A4F"/>
    <w:rsid w:val="005E73BD"/>
    <w:rsid w:val="005E75B4"/>
    <w:rsid w:val="005F0682"/>
    <w:rsid w:val="005F108E"/>
    <w:rsid w:val="005F30A6"/>
    <w:rsid w:val="005F3698"/>
    <w:rsid w:val="005F45A2"/>
    <w:rsid w:val="005F460E"/>
    <w:rsid w:val="005F4766"/>
    <w:rsid w:val="005F47DA"/>
    <w:rsid w:val="005F55D3"/>
    <w:rsid w:val="005F5662"/>
    <w:rsid w:val="005F5B3A"/>
    <w:rsid w:val="005F5B83"/>
    <w:rsid w:val="005F5ED8"/>
    <w:rsid w:val="005F605C"/>
    <w:rsid w:val="005F67F0"/>
    <w:rsid w:val="005F6A65"/>
    <w:rsid w:val="005F6EB6"/>
    <w:rsid w:val="005F77F8"/>
    <w:rsid w:val="006006CB"/>
    <w:rsid w:val="00600A58"/>
    <w:rsid w:val="00600B56"/>
    <w:rsid w:val="0060106A"/>
    <w:rsid w:val="006025E5"/>
    <w:rsid w:val="00603334"/>
    <w:rsid w:val="00603E64"/>
    <w:rsid w:val="00605DD9"/>
    <w:rsid w:val="0060601F"/>
    <w:rsid w:val="00606848"/>
    <w:rsid w:val="00606D36"/>
    <w:rsid w:val="00606D56"/>
    <w:rsid w:val="00607F98"/>
    <w:rsid w:val="00610EAA"/>
    <w:rsid w:val="00613FAB"/>
    <w:rsid w:val="00614835"/>
    <w:rsid w:val="006156DA"/>
    <w:rsid w:val="006157BD"/>
    <w:rsid w:val="00615A4B"/>
    <w:rsid w:val="00615FA0"/>
    <w:rsid w:val="00616249"/>
    <w:rsid w:val="0061681B"/>
    <w:rsid w:val="00616E80"/>
    <w:rsid w:val="00617A37"/>
    <w:rsid w:val="00617C0C"/>
    <w:rsid w:val="006200E6"/>
    <w:rsid w:val="006203F6"/>
    <w:rsid w:val="0062116D"/>
    <w:rsid w:val="00623725"/>
    <w:rsid w:val="00624803"/>
    <w:rsid w:val="0062532B"/>
    <w:rsid w:val="00625DD5"/>
    <w:rsid w:val="006315E6"/>
    <w:rsid w:val="006322C5"/>
    <w:rsid w:val="00632B1A"/>
    <w:rsid w:val="006333D3"/>
    <w:rsid w:val="00633EA6"/>
    <w:rsid w:val="0063423E"/>
    <w:rsid w:val="00634F57"/>
    <w:rsid w:val="0063612D"/>
    <w:rsid w:val="00636C19"/>
    <w:rsid w:val="006373F6"/>
    <w:rsid w:val="00640E01"/>
    <w:rsid w:val="00640F9C"/>
    <w:rsid w:val="00641DD6"/>
    <w:rsid w:val="00642764"/>
    <w:rsid w:val="00642DE6"/>
    <w:rsid w:val="00643856"/>
    <w:rsid w:val="00645043"/>
    <w:rsid w:val="006454C6"/>
    <w:rsid w:val="00645862"/>
    <w:rsid w:val="00645B67"/>
    <w:rsid w:val="006462BC"/>
    <w:rsid w:val="0065347A"/>
    <w:rsid w:val="006535CA"/>
    <w:rsid w:val="0065398C"/>
    <w:rsid w:val="006540CC"/>
    <w:rsid w:val="00654155"/>
    <w:rsid w:val="00655758"/>
    <w:rsid w:val="00656A7C"/>
    <w:rsid w:val="006578DE"/>
    <w:rsid w:val="00661007"/>
    <w:rsid w:val="0066190A"/>
    <w:rsid w:val="00661E29"/>
    <w:rsid w:val="00662172"/>
    <w:rsid w:val="00662484"/>
    <w:rsid w:val="00662A57"/>
    <w:rsid w:val="006631A7"/>
    <w:rsid w:val="006648C9"/>
    <w:rsid w:val="00664980"/>
    <w:rsid w:val="00664A5E"/>
    <w:rsid w:val="006667BD"/>
    <w:rsid w:val="00667073"/>
    <w:rsid w:val="0067057F"/>
    <w:rsid w:val="006705F2"/>
    <w:rsid w:val="00670BD4"/>
    <w:rsid w:val="0067174D"/>
    <w:rsid w:val="00671D3B"/>
    <w:rsid w:val="00672163"/>
    <w:rsid w:val="00672E72"/>
    <w:rsid w:val="006734A1"/>
    <w:rsid w:val="00674143"/>
    <w:rsid w:val="00676D84"/>
    <w:rsid w:val="00676E41"/>
    <w:rsid w:val="00677A87"/>
    <w:rsid w:val="00683976"/>
    <w:rsid w:val="006847BF"/>
    <w:rsid w:val="006853E0"/>
    <w:rsid w:val="00686DC6"/>
    <w:rsid w:val="006877CD"/>
    <w:rsid w:val="00687E1B"/>
    <w:rsid w:val="00691D64"/>
    <w:rsid w:val="006923CE"/>
    <w:rsid w:val="006940F6"/>
    <w:rsid w:val="00694268"/>
    <w:rsid w:val="006943D5"/>
    <w:rsid w:val="006949BC"/>
    <w:rsid w:val="00694AF1"/>
    <w:rsid w:val="006958FA"/>
    <w:rsid w:val="00695B51"/>
    <w:rsid w:val="00696C4B"/>
    <w:rsid w:val="006A1942"/>
    <w:rsid w:val="006A1C90"/>
    <w:rsid w:val="006A257D"/>
    <w:rsid w:val="006A2ADB"/>
    <w:rsid w:val="006A537A"/>
    <w:rsid w:val="006A58C8"/>
    <w:rsid w:val="006A76DA"/>
    <w:rsid w:val="006B1325"/>
    <w:rsid w:val="006B1DC2"/>
    <w:rsid w:val="006B33B9"/>
    <w:rsid w:val="006B423D"/>
    <w:rsid w:val="006B43AC"/>
    <w:rsid w:val="006B54E3"/>
    <w:rsid w:val="006B55CF"/>
    <w:rsid w:val="006B626D"/>
    <w:rsid w:val="006B644D"/>
    <w:rsid w:val="006B68AE"/>
    <w:rsid w:val="006B6DE9"/>
    <w:rsid w:val="006B717F"/>
    <w:rsid w:val="006B798D"/>
    <w:rsid w:val="006C03D4"/>
    <w:rsid w:val="006C07E8"/>
    <w:rsid w:val="006C2542"/>
    <w:rsid w:val="006C2A1A"/>
    <w:rsid w:val="006C3503"/>
    <w:rsid w:val="006C470E"/>
    <w:rsid w:val="006C4F53"/>
    <w:rsid w:val="006C538C"/>
    <w:rsid w:val="006C652D"/>
    <w:rsid w:val="006C6E76"/>
    <w:rsid w:val="006C7C0F"/>
    <w:rsid w:val="006C7D0A"/>
    <w:rsid w:val="006D012A"/>
    <w:rsid w:val="006D03F2"/>
    <w:rsid w:val="006D0652"/>
    <w:rsid w:val="006D0B67"/>
    <w:rsid w:val="006D0DB9"/>
    <w:rsid w:val="006D1742"/>
    <w:rsid w:val="006D37F7"/>
    <w:rsid w:val="006D3C32"/>
    <w:rsid w:val="006D4E48"/>
    <w:rsid w:val="006D558F"/>
    <w:rsid w:val="006D5EA1"/>
    <w:rsid w:val="006D6012"/>
    <w:rsid w:val="006D6C72"/>
    <w:rsid w:val="006D7053"/>
    <w:rsid w:val="006D7F0B"/>
    <w:rsid w:val="006E023D"/>
    <w:rsid w:val="006E0E89"/>
    <w:rsid w:val="006E10DC"/>
    <w:rsid w:val="006E2560"/>
    <w:rsid w:val="006E2B7E"/>
    <w:rsid w:val="006E403A"/>
    <w:rsid w:val="006E632D"/>
    <w:rsid w:val="006E6DD4"/>
    <w:rsid w:val="006E77B2"/>
    <w:rsid w:val="006F054D"/>
    <w:rsid w:val="006F1698"/>
    <w:rsid w:val="006F1702"/>
    <w:rsid w:val="006F28E1"/>
    <w:rsid w:val="006F2C78"/>
    <w:rsid w:val="006F3B44"/>
    <w:rsid w:val="006F770B"/>
    <w:rsid w:val="006F7F57"/>
    <w:rsid w:val="007028D6"/>
    <w:rsid w:val="00702BD5"/>
    <w:rsid w:val="00702CC1"/>
    <w:rsid w:val="00702E7E"/>
    <w:rsid w:val="0070387E"/>
    <w:rsid w:val="00704A2A"/>
    <w:rsid w:val="00704A69"/>
    <w:rsid w:val="00704D18"/>
    <w:rsid w:val="00705A8F"/>
    <w:rsid w:val="00705E83"/>
    <w:rsid w:val="007063F4"/>
    <w:rsid w:val="00706C8E"/>
    <w:rsid w:val="00707436"/>
    <w:rsid w:val="00707730"/>
    <w:rsid w:val="0071136E"/>
    <w:rsid w:val="00711715"/>
    <w:rsid w:val="00712075"/>
    <w:rsid w:val="0071327D"/>
    <w:rsid w:val="007137A3"/>
    <w:rsid w:val="00713B21"/>
    <w:rsid w:val="007141C4"/>
    <w:rsid w:val="00715676"/>
    <w:rsid w:val="007169E0"/>
    <w:rsid w:val="00717525"/>
    <w:rsid w:val="007177CD"/>
    <w:rsid w:val="00720CA7"/>
    <w:rsid w:val="00721B44"/>
    <w:rsid w:val="00722AD3"/>
    <w:rsid w:val="00722DF2"/>
    <w:rsid w:val="007236F1"/>
    <w:rsid w:val="00724532"/>
    <w:rsid w:val="00724666"/>
    <w:rsid w:val="0072497F"/>
    <w:rsid w:val="0072603C"/>
    <w:rsid w:val="00726E12"/>
    <w:rsid w:val="00731022"/>
    <w:rsid w:val="007312D6"/>
    <w:rsid w:val="007321E3"/>
    <w:rsid w:val="00732353"/>
    <w:rsid w:val="007326D1"/>
    <w:rsid w:val="00732837"/>
    <w:rsid w:val="00732ED6"/>
    <w:rsid w:val="00734332"/>
    <w:rsid w:val="00734A95"/>
    <w:rsid w:val="00734FA5"/>
    <w:rsid w:val="00736194"/>
    <w:rsid w:val="007378D7"/>
    <w:rsid w:val="00740708"/>
    <w:rsid w:val="0074103A"/>
    <w:rsid w:val="00741782"/>
    <w:rsid w:val="00741976"/>
    <w:rsid w:val="0074327D"/>
    <w:rsid w:val="00743570"/>
    <w:rsid w:val="0074557C"/>
    <w:rsid w:val="0074591B"/>
    <w:rsid w:val="007459E1"/>
    <w:rsid w:val="007466C6"/>
    <w:rsid w:val="00746DFB"/>
    <w:rsid w:val="00751788"/>
    <w:rsid w:val="00752954"/>
    <w:rsid w:val="00752EF1"/>
    <w:rsid w:val="00752EFA"/>
    <w:rsid w:val="007535DC"/>
    <w:rsid w:val="00753B5C"/>
    <w:rsid w:val="007545EB"/>
    <w:rsid w:val="007554C9"/>
    <w:rsid w:val="00756688"/>
    <w:rsid w:val="00756ABF"/>
    <w:rsid w:val="00756DA8"/>
    <w:rsid w:val="00757ED1"/>
    <w:rsid w:val="00757F61"/>
    <w:rsid w:val="007610BA"/>
    <w:rsid w:val="00762303"/>
    <w:rsid w:val="00762426"/>
    <w:rsid w:val="00763F1F"/>
    <w:rsid w:val="00765C8C"/>
    <w:rsid w:val="007667B2"/>
    <w:rsid w:val="00767382"/>
    <w:rsid w:val="007706FB"/>
    <w:rsid w:val="00770869"/>
    <w:rsid w:val="00771DC0"/>
    <w:rsid w:val="007724DA"/>
    <w:rsid w:val="00772A63"/>
    <w:rsid w:val="00776A21"/>
    <w:rsid w:val="00776BCE"/>
    <w:rsid w:val="00777B48"/>
    <w:rsid w:val="00777F45"/>
    <w:rsid w:val="00780E87"/>
    <w:rsid w:val="00781C77"/>
    <w:rsid w:val="00781D02"/>
    <w:rsid w:val="00782635"/>
    <w:rsid w:val="007827D5"/>
    <w:rsid w:val="00782F1C"/>
    <w:rsid w:val="007836B2"/>
    <w:rsid w:val="00783ED5"/>
    <w:rsid w:val="007842CB"/>
    <w:rsid w:val="007844DE"/>
    <w:rsid w:val="00784716"/>
    <w:rsid w:val="007850EE"/>
    <w:rsid w:val="007854A4"/>
    <w:rsid w:val="0078565B"/>
    <w:rsid w:val="00786E20"/>
    <w:rsid w:val="007903CD"/>
    <w:rsid w:val="00790616"/>
    <w:rsid w:val="00790975"/>
    <w:rsid w:val="007910CD"/>
    <w:rsid w:val="0079140A"/>
    <w:rsid w:val="0079147A"/>
    <w:rsid w:val="00792495"/>
    <w:rsid w:val="007924BC"/>
    <w:rsid w:val="00793FA7"/>
    <w:rsid w:val="007943B8"/>
    <w:rsid w:val="00794B95"/>
    <w:rsid w:val="00795894"/>
    <w:rsid w:val="007965DF"/>
    <w:rsid w:val="0079740A"/>
    <w:rsid w:val="00797704"/>
    <w:rsid w:val="00797F8B"/>
    <w:rsid w:val="007A0E72"/>
    <w:rsid w:val="007A1ECB"/>
    <w:rsid w:val="007A1FC1"/>
    <w:rsid w:val="007A2B36"/>
    <w:rsid w:val="007A4616"/>
    <w:rsid w:val="007A5649"/>
    <w:rsid w:val="007A70EA"/>
    <w:rsid w:val="007A7276"/>
    <w:rsid w:val="007A74F5"/>
    <w:rsid w:val="007B014A"/>
    <w:rsid w:val="007B01AC"/>
    <w:rsid w:val="007B068D"/>
    <w:rsid w:val="007B1FAB"/>
    <w:rsid w:val="007B2474"/>
    <w:rsid w:val="007B25BA"/>
    <w:rsid w:val="007B25E8"/>
    <w:rsid w:val="007B46EF"/>
    <w:rsid w:val="007B47E9"/>
    <w:rsid w:val="007B4C85"/>
    <w:rsid w:val="007B6E7B"/>
    <w:rsid w:val="007B7222"/>
    <w:rsid w:val="007B7771"/>
    <w:rsid w:val="007C2066"/>
    <w:rsid w:val="007C27A6"/>
    <w:rsid w:val="007C27D0"/>
    <w:rsid w:val="007C2D98"/>
    <w:rsid w:val="007C386D"/>
    <w:rsid w:val="007C43B1"/>
    <w:rsid w:val="007C5CB5"/>
    <w:rsid w:val="007C5F4A"/>
    <w:rsid w:val="007C66C7"/>
    <w:rsid w:val="007C7E6E"/>
    <w:rsid w:val="007D0075"/>
    <w:rsid w:val="007D1679"/>
    <w:rsid w:val="007D1CE1"/>
    <w:rsid w:val="007D20A5"/>
    <w:rsid w:val="007D23DE"/>
    <w:rsid w:val="007D278B"/>
    <w:rsid w:val="007D2F8F"/>
    <w:rsid w:val="007D315A"/>
    <w:rsid w:val="007D3458"/>
    <w:rsid w:val="007D36F7"/>
    <w:rsid w:val="007D37DC"/>
    <w:rsid w:val="007D3944"/>
    <w:rsid w:val="007D43E3"/>
    <w:rsid w:val="007D440C"/>
    <w:rsid w:val="007D4CC6"/>
    <w:rsid w:val="007D69F4"/>
    <w:rsid w:val="007D70D2"/>
    <w:rsid w:val="007D7728"/>
    <w:rsid w:val="007D7AF6"/>
    <w:rsid w:val="007E0E9B"/>
    <w:rsid w:val="007E1B78"/>
    <w:rsid w:val="007E1EDA"/>
    <w:rsid w:val="007E24C3"/>
    <w:rsid w:val="007E28A7"/>
    <w:rsid w:val="007E2B69"/>
    <w:rsid w:val="007E31E7"/>
    <w:rsid w:val="007E3641"/>
    <w:rsid w:val="007E3808"/>
    <w:rsid w:val="007E3D8B"/>
    <w:rsid w:val="007E3E4C"/>
    <w:rsid w:val="007E4520"/>
    <w:rsid w:val="007E4AAE"/>
    <w:rsid w:val="007E5154"/>
    <w:rsid w:val="007E52AE"/>
    <w:rsid w:val="007E56FF"/>
    <w:rsid w:val="007E5AC7"/>
    <w:rsid w:val="007F0C7B"/>
    <w:rsid w:val="007F168A"/>
    <w:rsid w:val="007F28CB"/>
    <w:rsid w:val="007F2E26"/>
    <w:rsid w:val="007F2F5D"/>
    <w:rsid w:val="007F39AE"/>
    <w:rsid w:val="007F46B5"/>
    <w:rsid w:val="007F4AA6"/>
    <w:rsid w:val="007F5AD6"/>
    <w:rsid w:val="007F60EF"/>
    <w:rsid w:val="007F6648"/>
    <w:rsid w:val="008000B9"/>
    <w:rsid w:val="00800150"/>
    <w:rsid w:val="008005BC"/>
    <w:rsid w:val="008009BE"/>
    <w:rsid w:val="00801821"/>
    <w:rsid w:val="00802307"/>
    <w:rsid w:val="00802468"/>
    <w:rsid w:val="00802D13"/>
    <w:rsid w:val="00803A70"/>
    <w:rsid w:val="00804BF4"/>
    <w:rsid w:val="008054D8"/>
    <w:rsid w:val="008062B7"/>
    <w:rsid w:val="008066BD"/>
    <w:rsid w:val="008103A2"/>
    <w:rsid w:val="00812B37"/>
    <w:rsid w:val="00812DC1"/>
    <w:rsid w:val="00813033"/>
    <w:rsid w:val="00813106"/>
    <w:rsid w:val="008137E3"/>
    <w:rsid w:val="008137F4"/>
    <w:rsid w:val="00814804"/>
    <w:rsid w:val="0081607E"/>
    <w:rsid w:val="008165F8"/>
    <w:rsid w:val="00817D20"/>
    <w:rsid w:val="008200F8"/>
    <w:rsid w:val="0082048D"/>
    <w:rsid w:val="0082086F"/>
    <w:rsid w:val="008226E9"/>
    <w:rsid w:val="00823260"/>
    <w:rsid w:val="008234BC"/>
    <w:rsid w:val="008248EE"/>
    <w:rsid w:val="00825178"/>
    <w:rsid w:val="00825707"/>
    <w:rsid w:val="0082583B"/>
    <w:rsid w:val="00825A28"/>
    <w:rsid w:val="0082657F"/>
    <w:rsid w:val="00826CF7"/>
    <w:rsid w:val="00827A48"/>
    <w:rsid w:val="00827F37"/>
    <w:rsid w:val="008306C9"/>
    <w:rsid w:val="00831E4B"/>
    <w:rsid w:val="008321A5"/>
    <w:rsid w:val="008337B5"/>
    <w:rsid w:val="008356B0"/>
    <w:rsid w:val="008366BB"/>
    <w:rsid w:val="008375C3"/>
    <w:rsid w:val="008409E3"/>
    <w:rsid w:val="00842ECF"/>
    <w:rsid w:val="0084327B"/>
    <w:rsid w:val="008432CF"/>
    <w:rsid w:val="0084389D"/>
    <w:rsid w:val="00844D2E"/>
    <w:rsid w:val="00845BA5"/>
    <w:rsid w:val="00846C91"/>
    <w:rsid w:val="00847C10"/>
    <w:rsid w:val="00847F27"/>
    <w:rsid w:val="00850CA2"/>
    <w:rsid w:val="00851A73"/>
    <w:rsid w:val="00852124"/>
    <w:rsid w:val="0085293B"/>
    <w:rsid w:val="00853749"/>
    <w:rsid w:val="00853C71"/>
    <w:rsid w:val="00854933"/>
    <w:rsid w:val="00856804"/>
    <w:rsid w:val="00857DB8"/>
    <w:rsid w:val="00860841"/>
    <w:rsid w:val="00861CF2"/>
    <w:rsid w:val="0086215F"/>
    <w:rsid w:val="0086303E"/>
    <w:rsid w:val="00864660"/>
    <w:rsid w:val="00864ACE"/>
    <w:rsid w:val="00870382"/>
    <w:rsid w:val="008714C4"/>
    <w:rsid w:val="0087257B"/>
    <w:rsid w:val="008729DA"/>
    <w:rsid w:val="00874204"/>
    <w:rsid w:val="0087421C"/>
    <w:rsid w:val="00876BD7"/>
    <w:rsid w:val="0087723B"/>
    <w:rsid w:val="00880679"/>
    <w:rsid w:val="00883A1D"/>
    <w:rsid w:val="008840D5"/>
    <w:rsid w:val="00884B0E"/>
    <w:rsid w:val="00884B9F"/>
    <w:rsid w:val="008851FE"/>
    <w:rsid w:val="00885AD5"/>
    <w:rsid w:val="008860C4"/>
    <w:rsid w:val="00886402"/>
    <w:rsid w:val="00886DDD"/>
    <w:rsid w:val="00886E33"/>
    <w:rsid w:val="008903B1"/>
    <w:rsid w:val="00890B19"/>
    <w:rsid w:val="00890E4D"/>
    <w:rsid w:val="008910BA"/>
    <w:rsid w:val="00891153"/>
    <w:rsid w:val="00891632"/>
    <w:rsid w:val="00891FD0"/>
    <w:rsid w:val="00892182"/>
    <w:rsid w:val="008926A1"/>
    <w:rsid w:val="00892B70"/>
    <w:rsid w:val="008955AA"/>
    <w:rsid w:val="00895659"/>
    <w:rsid w:val="00896CB3"/>
    <w:rsid w:val="008974AB"/>
    <w:rsid w:val="008A28BE"/>
    <w:rsid w:val="008A2EE0"/>
    <w:rsid w:val="008A3021"/>
    <w:rsid w:val="008A3312"/>
    <w:rsid w:val="008A556F"/>
    <w:rsid w:val="008A7471"/>
    <w:rsid w:val="008A761E"/>
    <w:rsid w:val="008B0185"/>
    <w:rsid w:val="008B10BB"/>
    <w:rsid w:val="008B1389"/>
    <w:rsid w:val="008B1A4D"/>
    <w:rsid w:val="008B201E"/>
    <w:rsid w:val="008B29CE"/>
    <w:rsid w:val="008B3BFF"/>
    <w:rsid w:val="008B41F0"/>
    <w:rsid w:val="008B4262"/>
    <w:rsid w:val="008B4364"/>
    <w:rsid w:val="008B57B5"/>
    <w:rsid w:val="008B57C2"/>
    <w:rsid w:val="008B60FD"/>
    <w:rsid w:val="008B62AF"/>
    <w:rsid w:val="008B65F2"/>
    <w:rsid w:val="008B7529"/>
    <w:rsid w:val="008B7A86"/>
    <w:rsid w:val="008C2536"/>
    <w:rsid w:val="008C2BD8"/>
    <w:rsid w:val="008C32DF"/>
    <w:rsid w:val="008C38B7"/>
    <w:rsid w:val="008C414B"/>
    <w:rsid w:val="008C4D57"/>
    <w:rsid w:val="008C500A"/>
    <w:rsid w:val="008C51CD"/>
    <w:rsid w:val="008C5588"/>
    <w:rsid w:val="008C7001"/>
    <w:rsid w:val="008C73B3"/>
    <w:rsid w:val="008C7448"/>
    <w:rsid w:val="008C76EA"/>
    <w:rsid w:val="008D0150"/>
    <w:rsid w:val="008D0896"/>
    <w:rsid w:val="008D0C78"/>
    <w:rsid w:val="008D2D9C"/>
    <w:rsid w:val="008D50CB"/>
    <w:rsid w:val="008D5599"/>
    <w:rsid w:val="008D7812"/>
    <w:rsid w:val="008D78D2"/>
    <w:rsid w:val="008D7D03"/>
    <w:rsid w:val="008D7D99"/>
    <w:rsid w:val="008E0585"/>
    <w:rsid w:val="008E0DD5"/>
    <w:rsid w:val="008E1F39"/>
    <w:rsid w:val="008E2621"/>
    <w:rsid w:val="008E2BEE"/>
    <w:rsid w:val="008E3965"/>
    <w:rsid w:val="008E3B31"/>
    <w:rsid w:val="008E438B"/>
    <w:rsid w:val="008E4A7D"/>
    <w:rsid w:val="008E599A"/>
    <w:rsid w:val="008E5B55"/>
    <w:rsid w:val="008F0627"/>
    <w:rsid w:val="008F0ED1"/>
    <w:rsid w:val="008F0ED3"/>
    <w:rsid w:val="008F1D68"/>
    <w:rsid w:val="008F2F3F"/>
    <w:rsid w:val="008F31F3"/>
    <w:rsid w:val="008F3AEA"/>
    <w:rsid w:val="008F3EE8"/>
    <w:rsid w:val="008F43BF"/>
    <w:rsid w:val="008F5AA8"/>
    <w:rsid w:val="008F6386"/>
    <w:rsid w:val="008F6660"/>
    <w:rsid w:val="008F6999"/>
    <w:rsid w:val="008F7AB3"/>
    <w:rsid w:val="00900153"/>
    <w:rsid w:val="00900188"/>
    <w:rsid w:val="00900542"/>
    <w:rsid w:val="009010EA"/>
    <w:rsid w:val="009018EB"/>
    <w:rsid w:val="00902376"/>
    <w:rsid w:val="00902C02"/>
    <w:rsid w:val="009034F0"/>
    <w:rsid w:val="00903E5A"/>
    <w:rsid w:val="00903EA7"/>
    <w:rsid w:val="00904E92"/>
    <w:rsid w:val="00904EFF"/>
    <w:rsid w:val="009064EE"/>
    <w:rsid w:val="00906AFF"/>
    <w:rsid w:val="009074BA"/>
    <w:rsid w:val="009106AE"/>
    <w:rsid w:val="00910AD2"/>
    <w:rsid w:val="00910DF2"/>
    <w:rsid w:val="00911D85"/>
    <w:rsid w:val="009123A0"/>
    <w:rsid w:val="009125E0"/>
    <w:rsid w:val="00913FE3"/>
    <w:rsid w:val="00914AD4"/>
    <w:rsid w:val="00914AD6"/>
    <w:rsid w:val="00914C66"/>
    <w:rsid w:val="00915530"/>
    <w:rsid w:val="0091680C"/>
    <w:rsid w:val="00916949"/>
    <w:rsid w:val="009179B4"/>
    <w:rsid w:val="00917B65"/>
    <w:rsid w:val="00920520"/>
    <w:rsid w:val="00921CF2"/>
    <w:rsid w:val="00921DA3"/>
    <w:rsid w:val="00922B76"/>
    <w:rsid w:val="00924B3D"/>
    <w:rsid w:val="0092648B"/>
    <w:rsid w:val="009267F6"/>
    <w:rsid w:val="00930144"/>
    <w:rsid w:val="0093042A"/>
    <w:rsid w:val="00930557"/>
    <w:rsid w:val="00930A0E"/>
    <w:rsid w:val="009311E9"/>
    <w:rsid w:val="009317E4"/>
    <w:rsid w:val="0093219D"/>
    <w:rsid w:val="0093234F"/>
    <w:rsid w:val="00932A1C"/>
    <w:rsid w:val="009360BF"/>
    <w:rsid w:val="00936535"/>
    <w:rsid w:val="00936CEA"/>
    <w:rsid w:val="0094004A"/>
    <w:rsid w:val="009407D7"/>
    <w:rsid w:val="009408D0"/>
    <w:rsid w:val="00941DEC"/>
    <w:rsid w:val="00942F8F"/>
    <w:rsid w:val="009432A7"/>
    <w:rsid w:val="009433DE"/>
    <w:rsid w:val="00944606"/>
    <w:rsid w:val="00944693"/>
    <w:rsid w:val="00944C8F"/>
    <w:rsid w:val="009450A5"/>
    <w:rsid w:val="00945DC0"/>
    <w:rsid w:val="00945EE5"/>
    <w:rsid w:val="00947159"/>
    <w:rsid w:val="00947450"/>
    <w:rsid w:val="009478E5"/>
    <w:rsid w:val="00951423"/>
    <w:rsid w:val="0095159C"/>
    <w:rsid w:val="0095182B"/>
    <w:rsid w:val="00952FD1"/>
    <w:rsid w:val="00953C8D"/>
    <w:rsid w:val="00954416"/>
    <w:rsid w:val="009544FD"/>
    <w:rsid w:val="00954F0B"/>
    <w:rsid w:val="009550CF"/>
    <w:rsid w:val="009558FD"/>
    <w:rsid w:val="009559AD"/>
    <w:rsid w:val="0095632F"/>
    <w:rsid w:val="00956E33"/>
    <w:rsid w:val="00957262"/>
    <w:rsid w:val="00961226"/>
    <w:rsid w:val="00961374"/>
    <w:rsid w:val="00961C34"/>
    <w:rsid w:val="00963B5D"/>
    <w:rsid w:val="0096418D"/>
    <w:rsid w:val="00965C75"/>
    <w:rsid w:val="00966038"/>
    <w:rsid w:val="00966B21"/>
    <w:rsid w:val="00967F9F"/>
    <w:rsid w:val="009702AC"/>
    <w:rsid w:val="00971B3F"/>
    <w:rsid w:val="00971E74"/>
    <w:rsid w:val="00972BD4"/>
    <w:rsid w:val="009734D7"/>
    <w:rsid w:val="00973538"/>
    <w:rsid w:val="00974BDB"/>
    <w:rsid w:val="0097567E"/>
    <w:rsid w:val="009757DF"/>
    <w:rsid w:val="00976B19"/>
    <w:rsid w:val="00977454"/>
    <w:rsid w:val="00977A62"/>
    <w:rsid w:val="00980FC6"/>
    <w:rsid w:val="0098257A"/>
    <w:rsid w:val="00982DF8"/>
    <w:rsid w:val="00983FBF"/>
    <w:rsid w:val="0098440B"/>
    <w:rsid w:val="00984C1F"/>
    <w:rsid w:val="00985381"/>
    <w:rsid w:val="009874E0"/>
    <w:rsid w:val="00990A1F"/>
    <w:rsid w:val="00990E5B"/>
    <w:rsid w:val="0099329C"/>
    <w:rsid w:val="009934AF"/>
    <w:rsid w:val="0099375E"/>
    <w:rsid w:val="00993C0B"/>
    <w:rsid w:val="00994849"/>
    <w:rsid w:val="00995E04"/>
    <w:rsid w:val="00995FFB"/>
    <w:rsid w:val="0099643D"/>
    <w:rsid w:val="00997882"/>
    <w:rsid w:val="009A0923"/>
    <w:rsid w:val="009A3BB4"/>
    <w:rsid w:val="009A5E11"/>
    <w:rsid w:val="009A6261"/>
    <w:rsid w:val="009A6738"/>
    <w:rsid w:val="009A6D58"/>
    <w:rsid w:val="009A761A"/>
    <w:rsid w:val="009B056E"/>
    <w:rsid w:val="009B1F6C"/>
    <w:rsid w:val="009B3FA3"/>
    <w:rsid w:val="009B4099"/>
    <w:rsid w:val="009B4BE8"/>
    <w:rsid w:val="009B4D62"/>
    <w:rsid w:val="009B5082"/>
    <w:rsid w:val="009B54F6"/>
    <w:rsid w:val="009B682E"/>
    <w:rsid w:val="009B6C4B"/>
    <w:rsid w:val="009B6FCF"/>
    <w:rsid w:val="009B751C"/>
    <w:rsid w:val="009B7BA7"/>
    <w:rsid w:val="009B7CE0"/>
    <w:rsid w:val="009B7F4B"/>
    <w:rsid w:val="009C036E"/>
    <w:rsid w:val="009C0B47"/>
    <w:rsid w:val="009C18E1"/>
    <w:rsid w:val="009C1AFE"/>
    <w:rsid w:val="009C2349"/>
    <w:rsid w:val="009C2E81"/>
    <w:rsid w:val="009C485F"/>
    <w:rsid w:val="009C54B6"/>
    <w:rsid w:val="009C56E8"/>
    <w:rsid w:val="009C5B66"/>
    <w:rsid w:val="009C6224"/>
    <w:rsid w:val="009C647F"/>
    <w:rsid w:val="009C677B"/>
    <w:rsid w:val="009C6944"/>
    <w:rsid w:val="009D051B"/>
    <w:rsid w:val="009D089C"/>
    <w:rsid w:val="009D0A6D"/>
    <w:rsid w:val="009D0B79"/>
    <w:rsid w:val="009D2A0C"/>
    <w:rsid w:val="009D3C41"/>
    <w:rsid w:val="009D4359"/>
    <w:rsid w:val="009D5296"/>
    <w:rsid w:val="009D5460"/>
    <w:rsid w:val="009D6111"/>
    <w:rsid w:val="009E1538"/>
    <w:rsid w:val="009E15D2"/>
    <w:rsid w:val="009E16B9"/>
    <w:rsid w:val="009E1A18"/>
    <w:rsid w:val="009E1C6E"/>
    <w:rsid w:val="009E2BF6"/>
    <w:rsid w:val="009E3A24"/>
    <w:rsid w:val="009E4374"/>
    <w:rsid w:val="009E4CF3"/>
    <w:rsid w:val="009E5D59"/>
    <w:rsid w:val="009E6391"/>
    <w:rsid w:val="009E7FF4"/>
    <w:rsid w:val="009F02F1"/>
    <w:rsid w:val="009F1BA8"/>
    <w:rsid w:val="009F21EA"/>
    <w:rsid w:val="009F2534"/>
    <w:rsid w:val="009F25BA"/>
    <w:rsid w:val="009F4FAF"/>
    <w:rsid w:val="009F6FB8"/>
    <w:rsid w:val="009F7316"/>
    <w:rsid w:val="00A00110"/>
    <w:rsid w:val="00A00143"/>
    <w:rsid w:val="00A00C9E"/>
    <w:rsid w:val="00A01323"/>
    <w:rsid w:val="00A02030"/>
    <w:rsid w:val="00A0385E"/>
    <w:rsid w:val="00A03DC7"/>
    <w:rsid w:val="00A040A5"/>
    <w:rsid w:val="00A056D8"/>
    <w:rsid w:val="00A05999"/>
    <w:rsid w:val="00A0749D"/>
    <w:rsid w:val="00A10260"/>
    <w:rsid w:val="00A10662"/>
    <w:rsid w:val="00A11244"/>
    <w:rsid w:val="00A11A46"/>
    <w:rsid w:val="00A14B4D"/>
    <w:rsid w:val="00A1562C"/>
    <w:rsid w:val="00A15A06"/>
    <w:rsid w:val="00A15DB0"/>
    <w:rsid w:val="00A1682D"/>
    <w:rsid w:val="00A17768"/>
    <w:rsid w:val="00A17CC2"/>
    <w:rsid w:val="00A17EA9"/>
    <w:rsid w:val="00A20034"/>
    <w:rsid w:val="00A21C8D"/>
    <w:rsid w:val="00A21C9B"/>
    <w:rsid w:val="00A23167"/>
    <w:rsid w:val="00A23AB9"/>
    <w:rsid w:val="00A23BBF"/>
    <w:rsid w:val="00A258F1"/>
    <w:rsid w:val="00A30EBB"/>
    <w:rsid w:val="00A3171A"/>
    <w:rsid w:val="00A325EB"/>
    <w:rsid w:val="00A354EC"/>
    <w:rsid w:val="00A36E62"/>
    <w:rsid w:val="00A40347"/>
    <w:rsid w:val="00A40B95"/>
    <w:rsid w:val="00A41100"/>
    <w:rsid w:val="00A41705"/>
    <w:rsid w:val="00A42ADC"/>
    <w:rsid w:val="00A435D6"/>
    <w:rsid w:val="00A442C7"/>
    <w:rsid w:val="00A4561F"/>
    <w:rsid w:val="00A456C7"/>
    <w:rsid w:val="00A45A58"/>
    <w:rsid w:val="00A4615E"/>
    <w:rsid w:val="00A46B58"/>
    <w:rsid w:val="00A473B3"/>
    <w:rsid w:val="00A47D0E"/>
    <w:rsid w:val="00A47DE3"/>
    <w:rsid w:val="00A50650"/>
    <w:rsid w:val="00A51206"/>
    <w:rsid w:val="00A516DC"/>
    <w:rsid w:val="00A51D19"/>
    <w:rsid w:val="00A52327"/>
    <w:rsid w:val="00A52450"/>
    <w:rsid w:val="00A53739"/>
    <w:rsid w:val="00A5445C"/>
    <w:rsid w:val="00A547A3"/>
    <w:rsid w:val="00A54E29"/>
    <w:rsid w:val="00A55488"/>
    <w:rsid w:val="00A555BB"/>
    <w:rsid w:val="00A5568D"/>
    <w:rsid w:val="00A567C2"/>
    <w:rsid w:val="00A57176"/>
    <w:rsid w:val="00A57647"/>
    <w:rsid w:val="00A613A2"/>
    <w:rsid w:val="00A62480"/>
    <w:rsid w:val="00A628BE"/>
    <w:rsid w:val="00A629ED"/>
    <w:rsid w:val="00A62EA4"/>
    <w:rsid w:val="00A62FAF"/>
    <w:rsid w:val="00A639FD"/>
    <w:rsid w:val="00A6497A"/>
    <w:rsid w:val="00A64A2F"/>
    <w:rsid w:val="00A66AE3"/>
    <w:rsid w:val="00A66CC5"/>
    <w:rsid w:val="00A6705D"/>
    <w:rsid w:val="00A71D67"/>
    <w:rsid w:val="00A72765"/>
    <w:rsid w:val="00A73A0B"/>
    <w:rsid w:val="00A7471D"/>
    <w:rsid w:val="00A7494E"/>
    <w:rsid w:val="00A75228"/>
    <w:rsid w:val="00A7526D"/>
    <w:rsid w:val="00A76A6B"/>
    <w:rsid w:val="00A76D36"/>
    <w:rsid w:val="00A775AC"/>
    <w:rsid w:val="00A8020A"/>
    <w:rsid w:val="00A818A2"/>
    <w:rsid w:val="00A81CCC"/>
    <w:rsid w:val="00A82D94"/>
    <w:rsid w:val="00A82ECB"/>
    <w:rsid w:val="00A82F62"/>
    <w:rsid w:val="00A83028"/>
    <w:rsid w:val="00A84387"/>
    <w:rsid w:val="00A84834"/>
    <w:rsid w:val="00A84C55"/>
    <w:rsid w:val="00A85742"/>
    <w:rsid w:val="00A85E89"/>
    <w:rsid w:val="00A9048F"/>
    <w:rsid w:val="00A90E46"/>
    <w:rsid w:val="00A9181C"/>
    <w:rsid w:val="00A91B8A"/>
    <w:rsid w:val="00A92222"/>
    <w:rsid w:val="00A92482"/>
    <w:rsid w:val="00A92BFD"/>
    <w:rsid w:val="00A9369D"/>
    <w:rsid w:val="00A93980"/>
    <w:rsid w:val="00A96527"/>
    <w:rsid w:val="00A97C4A"/>
    <w:rsid w:val="00AA230C"/>
    <w:rsid w:val="00AA3C85"/>
    <w:rsid w:val="00AA49B4"/>
    <w:rsid w:val="00AA4E0E"/>
    <w:rsid w:val="00AA572F"/>
    <w:rsid w:val="00AA5B4B"/>
    <w:rsid w:val="00AA658C"/>
    <w:rsid w:val="00AA6C6A"/>
    <w:rsid w:val="00AA6D5D"/>
    <w:rsid w:val="00AA6E5E"/>
    <w:rsid w:val="00AA6F21"/>
    <w:rsid w:val="00AA7402"/>
    <w:rsid w:val="00AB0B87"/>
    <w:rsid w:val="00AB0D2B"/>
    <w:rsid w:val="00AB0E97"/>
    <w:rsid w:val="00AB3B18"/>
    <w:rsid w:val="00AB4135"/>
    <w:rsid w:val="00AB467F"/>
    <w:rsid w:val="00AB62CB"/>
    <w:rsid w:val="00AB7D32"/>
    <w:rsid w:val="00AB7F3D"/>
    <w:rsid w:val="00AC085C"/>
    <w:rsid w:val="00AC132D"/>
    <w:rsid w:val="00AC14FD"/>
    <w:rsid w:val="00AC248F"/>
    <w:rsid w:val="00AC343F"/>
    <w:rsid w:val="00AC4F38"/>
    <w:rsid w:val="00AC64B0"/>
    <w:rsid w:val="00AC697A"/>
    <w:rsid w:val="00AC7220"/>
    <w:rsid w:val="00AC7773"/>
    <w:rsid w:val="00AC7804"/>
    <w:rsid w:val="00AD0BF0"/>
    <w:rsid w:val="00AD1CFE"/>
    <w:rsid w:val="00AD2B0D"/>
    <w:rsid w:val="00AD34A9"/>
    <w:rsid w:val="00AD3CE1"/>
    <w:rsid w:val="00AD4139"/>
    <w:rsid w:val="00AD4AD6"/>
    <w:rsid w:val="00AD4C59"/>
    <w:rsid w:val="00AD5397"/>
    <w:rsid w:val="00AD6CA0"/>
    <w:rsid w:val="00AE051D"/>
    <w:rsid w:val="00AE0962"/>
    <w:rsid w:val="00AE0AE4"/>
    <w:rsid w:val="00AE2BC5"/>
    <w:rsid w:val="00AE3217"/>
    <w:rsid w:val="00AE35A8"/>
    <w:rsid w:val="00AE6289"/>
    <w:rsid w:val="00AE683F"/>
    <w:rsid w:val="00AE6DB2"/>
    <w:rsid w:val="00AE7F1B"/>
    <w:rsid w:val="00AF0C46"/>
    <w:rsid w:val="00AF0D8B"/>
    <w:rsid w:val="00AF16B6"/>
    <w:rsid w:val="00AF1A8C"/>
    <w:rsid w:val="00AF2C83"/>
    <w:rsid w:val="00AF34C3"/>
    <w:rsid w:val="00AF419C"/>
    <w:rsid w:val="00AF4293"/>
    <w:rsid w:val="00AF4B10"/>
    <w:rsid w:val="00AF5979"/>
    <w:rsid w:val="00AF5C0A"/>
    <w:rsid w:val="00AF6477"/>
    <w:rsid w:val="00AF66C1"/>
    <w:rsid w:val="00B00827"/>
    <w:rsid w:val="00B01BBB"/>
    <w:rsid w:val="00B02355"/>
    <w:rsid w:val="00B03151"/>
    <w:rsid w:val="00B04508"/>
    <w:rsid w:val="00B0492D"/>
    <w:rsid w:val="00B05666"/>
    <w:rsid w:val="00B05872"/>
    <w:rsid w:val="00B0667C"/>
    <w:rsid w:val="00B0776E"/>
    <w:rsid w:val="00B10423"/>
    <w:rsid w:val="00B11147"/>
    <w:rsid w:val="00B1261C"/>
    <w:rsid w:val="00B12BE8"/>
    <w:rsid w:val="00B14CC5"/>
    <w:rsid w:val="00B14F56"/>
    <w:rsid w:val="00B152F6"/>
    <w:rsid w:val="00B176A7"/>
    <w:rsid w:val="00B235A2"/>
    <w:rsid w:val="00B2435A"/>
    <w:rsid w:val="00B24579"/>
    <w:rsid w:val="00B245B9"/>
    <w:rsid w:val="00B246C5"/>
    <w:rsid w:val="00B249A1"/>
    <w:rsid w:val="00B25721"/>
    <w:rsid w:val="00B27150"/>
    <w:rsid w:val="00B27E82"/>
    <w:rsid w:val="00B27FFC"/>
    <w:rsid w:val="00B308B6"/>
    <w:rsid w:val="00B314E8"/>
    <w:rsid w:val="00B31C47"/>
    <w:rsid w:val="00B3266B"/>
    <w:rsid w:val="00B326C7"/>
    <w:rsid w:val="00B3443E"/>
    <w:rsid w:val="00B3464B"/>
    <w:rsid w:val="00B3651A"/>
    <w:rsid w:val="00B3657B"/>
    <w:rsid w:val="00B41E9B"/>
    <w:rsid w:val="00B426B6"/>
    <w:rsid w:val="00B427D4"/>
    <w:rsid w:val="00B42ADC"/>
    <w:rsid w:val="00B43ACE"/>
    <w:rsid w:val="00B44FA5"/>
    <w:rsid w:val="00B4510A"/>
    <w:rsid w:val="00B476D1"/>
    <w:rsid w:val="00B4793B"/>
    <w:rsid w:val="00B47D5D"/>
    <w:rsid w:val="00B47D6D"/>
    <w:rsid w:val="00B501D1"/>
    <w:rsid w:val="00B509C8"/>
    <w:rsid w:val="00B50C2C"/>
    <w:rsid w:val="00B50D71"/>
    <w:rsid w:val="00B51A2D"/>
    <w:rsid w:val="00B51E34"/>
    <w:rsid w:val="00B53FCF"/>
    <w:rsid w:val="00B547F5"/>
    <w:rsid w:val="00B5483E"/>
    <w:rsid w:val="00B54887"/>
    <w:rsid w:val="00B549C6"/>
    <w:rsid w:val="00B55059"/>
    <w:rsid w:val="00B55B8C"/>
    <w:rsid w:val="00B563EC"/>
    <w:rsid w:val="00B56BCC"/>
    <w:rsid w:val="00B56F46"/>
    <w:rsid w:val="00B57747"/>
    <w:rsid w:val="00B57ABF"/>
    <w:rsid w:val="00B605B8"/>
    <w:rsid w:val="00B609CF"/>
    <w:rsid w:val="00B6119C"/>
    <w:rsid w:val="00B6140F"/>
    <w:rsid w:val="00B61810"/>
    <w:rsid w:val="00B620E5"/>
    <w:rsid w:val="00B62116"/>
    <w:rsid w:val="00B62AA7"/>
    <w:rsid w:val="00B62B35"/>
    <w:rsid w:val="00B63249"/>
    <w:rsid w:val="00B632B3"/>
    <w:rsid w:val="00B63B33"/>
    <w:rsid w:val="00B657DF"/>
    <w:rsid w:val="00B6598F"/>
    <w:rsid w:val="00B66838"/>
    <w:rsid w:val="00B66FD5"/>
    <w:rsid w:val="00B6715D"/>
    <w:rsid w:val="00B675B2"/>
    <w:rsid w:val="00B678E5"/>
    <w:rsid w:val="00B70FE5"/>
    <w:rsid w:val="00B71648"/>
    <w:rsid w:val="00B7251A"/>
    <w:rsid w:val="00B728CC"/>
    <w:rsid w:val="00B7346B"/>
    <w:rsid w:val="00B74170"/>
    <w:rsid w:val="00B74BB5"/>
    <w:rsid w:val="00B75E8B"/>
    <w:rsid w:val="00B81590"/>
    <w:rsid w:val="00B81C27"/>
    <w:rsid w:val="00B82581"/>
    <w:rsid w:val="00B829DB"/>
    <w:rsid w:val="00B842C0"/>
    <w:rsid w:val="00B84774"/>
    <w:rsid w:val="00B8534D"/>
    <w:rsid w:val="00B857E3"/>
    <w:rsid w:val="00B86617"/>
    <w:rsid w:val="00B87107"/>
    <w:rsid w:val="00B87A80"/>
    <w:rsid w:val="00B87D23"/>
    <w:rsid w:val="00B9046E"/>
    <w:rsid w:val="00B90F79"/>
    <w:rsid w:val="00B91268"/>
    <w:rsid w:val="00B93497"/>
    <w:rsid w:val="00B9366A"/>
    <w:rsid w:val="00B9373F"/>
    <w:rsid w:val="00B94BC4"/>
    <w:rsid w:val="00B950C2"/>
    <w:rsid w:val="00B953E9"/>
    <w:rsid w:val="00B95738"/>
    <w:rsid w:val="00B95770"/>
    <w:rsid w:val="00B95C95"/>
    <w:rsid w:val="00B96EFB"/>
    <w:rsid w:val="00B9741B"/>
    <w:rsid w:val="00BA0683"/>
    <w:rsid w:val="00BA0890"/>
    <w:rsid w:val="00BA18DB"/>
    <w:rsid w:val="00BA23C9"/>
    <w:rsid w:val="00BA2F51"/>
    <w:rsid w:val="00BA360D"/>
    <w:rsid w:val="00BA42C9"/>
    <w:rsid w:val="00BA4340"/>
    <w:rsid w:val="00BA4730"/>
    <w:rsid w:val="00BA5852"/>
    <w:rsid w:val="00BA5859"/>
    <w:rsid w:val="00BA5C09"/>
    <w:rsid w:val="00BA5F48"/>
    <w:rsid w:val="00BA73DF"/>
    <w:rsid w:val="00BA7D48"/>
    <w:rsid w:val="00BB1607"/>
    <w:rsid w:val="00BB1EBF"/>
    <w:rsid w:val="00BB3750"/>
    <w:rsid w:val="00BB44B3"/>
    <w:rsid w:val="00BB5CEE"/>
    <w:rsid w:val="00BB5F5F"/>
    <w:rsid w:val="00BB7A2F"/>
    <w:rsid w:val="00BB7D6A"/>
    <w:rsid w:val="00BC0367"/>
    <w:rsid w:val="00BC04D4"/>
    <w:rsid w:val="00BC17F6"/>
    <w:rsid w:val="00BC349B"/>
    <w:rsid w:val="00BC3F22"/>
    <w:rsid w:val="00BC4D0B"/>
    <w:rsid w:val="00BC51BE"/>
    <w:rsid w:val="00BC5448"/>
    <w:rsid w:val="00BC5E8C"/>
    <w:rsid w:val="00BC78A3"/>
    <w:rsid w:val="00BC78DD"/>
    <w:rsid w:val="00BD02BF"/>
    <w:rsid w:val="00BD1D7B"/>
    <w:rsid w:val="00BD2ECE"/>
    <w:rsid w:val="00BD40EA"/>
    <w:rsid w:val="00BD49CF"/>
    <w:rsid w:val="00BD5104"/>
    <w:rsid w:val="00BD581B"/>
    <w:rsid w:val="00BD7156"/>
    <w:rsid w:val="00BD7A42"/>
    <w:rsid w:val="00BD7B2E"/>
    <w:rsid w:val="00BE2D5F"/>
    <w:rsid w:val="00BE323A"/>
    <w:rsid w:val="00BE35E9"/>
    <w:rsid w:val="00BE4119"/>
    <w:rsid w:val="00BE4B83"/>
    <w:rsid w:val="00BE4CBE"/>
    <w:rsid w:val="00BE7DA1"/>
    <w:rsid w:val="00BF0BA9"/>
    <w:rsid w:val="00BF15C4"/>
    <w:rsid w:val="00BF1723"/>
    <w:rsid w:val="00BF1AB5"/>
    <w:rsid w:val="00BF209F"/>
    <w:rsid w:val="00BF294A"/>
    <w:rsid w:val="00BF32B8"/>
    <w:rsid w:val="00BF3AA9"/>
    <w:rsid w:val="00BF4387"/>
    <w:rsid w:val="00BF443C"/>
    <w:rsid w:val="00BF4F55"/>
    <w:rsid w:val="00BF5479"/>
    <w:rsid w:val="00BF60F4"/>
    <w:rsid w:val="00BF6A69"/>
    <w:rsid w:val="00BF7027"/>
    <w:rsid w:val="00BF7448"/>
    <w:rsid w:val="00BF7AB4"/>
    <w:rsid w:val="00C00B75"/>
    <w:rsid w:val="00C010E2"/>
    <w:rsid w:val="00C02A92"/>
    <w:rsid w:val="00C02FD9"/>
    <w:rsid w:val="00C03174"/>
    <w:rsid w:val="00C03488"/>
    <w:rsid w:val="00C0471C"/>
    <w:rsid w:val="00C0689B"/>
    <w:rsid w:val="00C06CED"/>
    <w:rsid w:val="00C06ECF"/>
    <w:rsid w:val="00C07B04"/>
    <w:rsid w:val="00C135CC"/>
    <w:rsid w:val="00C15330"/>
    <w:rsid w:val="00C156B0"/>
    <w:rsid w:val="00C16AAD"/>
    <w:rsid w:val="00C172BB"/>
    <w:rsid w:val="00C17423"/>
    <w:rsid w:val="00C20D00"/>
    <w:rsid w:val="00C21425"/>
    <w:rsid w:val="00C21CED"/>
    <w:rsid w:val="00C2284D"/>
    <w:rsid w:val="00C242D7"/>
    <w:rsid w:val="00C24BC0"/>
    <w:rsid w:val="00C25080"/>
    <w:rsid w:val="00C256D5"/>
    <w:rsid w:val="00C25C44"/>
    <w:rsid w:val="00C268D4"/>
    <w:rsid w:val="00C2795A"/>
    <w:rsid w:val="00C27AB9"/>
    <w:rsid w:val="00C27C33"/>
    <w:rsid w:val="00C3047B"/>
    <w:rsid w:val="00C31739"/>
    <w:rsid w:val="00C32701"/>
    <w:rsid w:val="00C32E6E"/>
    <w:rsid w:val="00C33EC8"/>
    <w:rsid w:val="00C34E2B"/>
    <w:rsid w:val="00C358C6"/>
    <w:rsid w:val="00C364B7"/>
    <w:rsid w:val="00C366A2"/>
    <w:rsid w:val="00C366A7"/>
    <w:rsid w:val="00C37FB9"/>
    <w:rsid w:val="00C37FC7"/>
    <w:rsid w:val="00C4142F"/>
    <w:rsid w:val="00C43CD0"/>
    <w:rsid w:val="00C448CA"/>
    <w:rsid w:val="00C44D4B"/>
    <w:rsid w:val="00C45A37"/>
    <w:rsid w:val="00C475A8"/>
    <w:rsid w:val="00C47875"/>
    <w:rsid w:val="00C47AD2"/>
    <w:rsid w:val="00C47B1B"/>
    <w:rsid w:val="00C50738"/>
    <w:rsid w:val="00C50EB1"/>
    <w:rsid w:val="00C51490"/>
    <w:rsid w:val="00C52B13"/>
    <w:rsid w:val="00C534B8"/>
    <w:rsid w:val="00C538BF"/>
    <w:rsid w:val="00C546C4"/>
    <w:rsid w:val="00C546FA"/>
    <w:rsid w:val="00C54B6A"/>
    <w:rsid w:val="00C54F99"/>
    <w:rsid w:val="00C5523E"/>
    <w:rsid w:val="00C55AA7"/>
    <w:rsid w:val="00C55B55"/>
    <w:rsid w:val="00C55C16"/>
    <w:rsid w:val="00C57C2F"/>
    <w:rsid w:val="00C57FAF"/>
    <w:rsid w:val="00C604FE"/>
    <w:rsid w:val="00C60BD5"/>
    <w:rsid w:val="00C61011"/>
    <w:rsid w:val="00C6273D"/>
    <w:rsid w:val="00C639B2"/>
    <w:rsid w:val="00C63EB5"/>
    <w:rsid w:val="00C65294"/>
    <w:rsid w:val="00C6598D"/>
    <w:rsid w:val="00C65A8A"/>
    <w:rsid w:val="00C65DE1"/>
    <w:rsid w:val="00C65FAC"/>
    <w:rsid w:val="00C66169"/>
    <w:rsid w:val="00C6664E"/>
    <w:rsid w:val="00C67368"/>
    <w:rsid w:val="00C6772E"/>
    <w:rsid w:val="00C70975"/>
    <w:rsid w:val="00C70986"/>
    <w:rsid w:val="00C70FB7"/>
    <w:rsid w:val="00C71150"/>
    <w:rsid w:val="00C715DB"/>
    <w:rsid w:val="00C71A02"/>
    <w:rsid w:val="00C71D90"/>
    <w:rsid w:val="00C72898"/>
    <w:rsid w:val="00C73DA1"/>
    <w:rsid w:val="00C75082"/>
    <w:rsid w:val="00C75E05"/>
    <w:rsid w:val="00C77F89"/>
    <w:rsid w:val="00C802B1"/>
    <w:rsid w:val="00C80CA8"/>
    <w:rsid w:val="00C83131"/>
    <w:rsid w:val="00C8385B"/>
    <w:rsid w:val="00C83AE9"/>
    <w:rsid w:val="00C842D8"/>
    <w:rsid w:val="00C84473"/>
    <w:rsid w:val="00C8512D"/>
    <w:rsid w:val="00C86137"/>
    <w:rsid w:val="00C86146"/>
    <w:rsid w:val="00C86A94"/>
    <w:rsid w:val="00C86D1B"/>
    <w:rsid w:val="00C9187F"/>
    <w:rsid w:val="00C921C6"/>
    <w:rsid w:val="00C92383"/>
    <w:rsid w:val="00C9393A"/>
    <w:rsid w:val="00C97D21"/>
    <w:rsid w:val="00C97DA0"/>
    <w:rsid w:val="00CA022C"/>
    <w:rsid w:val="00CA0569"/>
    <w:rsid w:val="00CA2655"/>
    <w:rsid w:val="00CA3655"/>
    <w:rsid w:val="00CA409E"/>
    <w:rsid w:val="00CA47E1"/>
    <w:rsid w:val="00CA5403"/>
    <w:rsid w:val="00CA5541"/>
    <w:rsid w:val="00CA5A40"/>
    <w:rsid w:val="00CA67F2"/>
    <w:rsid w:val="00CA7992"/>
    <w:rsid w:val="00CA7C85"/>
    <w:rsid w:val="00CA7DAD"/>
    <w:rsid w:val="00CB014B"/>
    <w:rsid w:val="00CB090F"/>
    <w:rsid w:val="00CB36A8"/>
    <w:rsid w:val="00CB3F10"/>
    <w:rsid w:val="00CB5DD2"/>
    <w:rsid w:val="00CC043A"/>
    <w:rsid w:val="00CC05BD"/>
    <w:rsid w:val="00CC246D"/>
    <w:rsid w:val="00CC332A"/>
    <w:rsid w:val="00CC390D"/>
    <w:rsid w:val="00CC4959"/>
    <w:rsid w:val="00CC5071"/>
    <w:rsid w:val="00CC69F9"/>
    <w:rsid w:val="00CC6C0E"/>
    <w:rsid w:val="00CC6F92"/>
    <w:rsid w:val="00CD056F"/>
    <w:rsid w:val="00CD0E66"/>
    <w:rsid w:val="00CD2491"/>
    <w:rsid w:val="00CD368A"/>
    <w:rsid w:val="00CD47B1"/>
    <w:rsid w:val="00CD4F34"/>
    <w:rsid w:val="00CD5467"/>
    <w:rsid w:val="00CD5786"/>
    <w:rsid w:val="00CD6EAE"/>
    <w:rsid w:val="00CD7637"/>
    <w:rsid w:val="00CE04CD"/>
    <w:rsid w:val="00CE1256"/>
    <w:rsid w:val="00CE12A8"/>
    <w:rsid w:val="00CE1F6D"/>
    <w:rsid w:val="00CE29EF"/>
    <w:rsid w:val="00CE3A40"/>
    <w:rsid w:val="00CE3F6F"/>
    <w:rsid w:val="00CE5207"/>
    <w:rsid w:val="00CE680D"/>
    <w:rsid w:val="00CE7CB9"/>
    <w:rsid w:val="00CF0D57"/>
    <w:rsid w:val="00CF0EDD"/>
    <w:rsid w:val="00CF0FCC"/>
    <w:rsid w:val="00CF222E"/>
    <w:rsid w:val="00CF286A"/>
    <w:rsid w:val="00CF397D"/>
    <w:rsid w:val="00CF3CA9"/>
    <w:rsid w:val="00CF419A"/>
    <w:rsid w:val="00CF46E8"/>
    <w:rsid w:val="00CF5B9B"/>
    <w:rsid w:val="00CF710C"/>
    <w:rsid w:val="00CF793B"/>
    <w:rsid w:val="00CF7B4F"/>
    <w:rsid w:val="00D00624"/>
    <w:rsid w:val="00D007BD"/>
    <w:rsid w:val="00D00E24"/>
    <w:rsid w:val="00D017D7"/>
    <w:rsid w:val="00D01DC3"/>
    <w:rsid w:val="00D0223B"/>
    <w:rsid w:val="00D03E53"/>
    <w:rsid w:val="00D03FFA"/>
    <w:rsid w:val="00D0425B"/>
    <w:rsid w:val="00D047C1"/>
    <w:rsid w:val="00D04FAE"/>
    <w:rsid w:val="00D05383"/>
    <w:rsid w:val="00D054CA"/>
    <w:rsid w:val="00D06B21"/>
    <w:rsid w:val="00D06EAE"/>
    <w:rsid w:val="00D0792C"/>
    <w:rsid w:val="00D079E0"/>
    <w:rsid w:val="00D07DFF"/>
    <w:rsid w:val="00D10D86"/>
    <w:rsid w:val="00D1198F"/>
    <w:rsid w:val="00D12EFE"/>
    <w:rsid w:val="00D13841"/>
    <w:rsid w:val="00D138E4"/>
    <w:rsid w:val="00D16A08"/>
    <w:rsid w:val="00D17BCA"/>
    <w:rsid w:val="00D17CE9"/>
    <w:rsid w:val="00D17D55"/>
    <w:rsid w:val="00D20506"/>
    <w:rsid w:val="00D2079F"/>
    <w:rsid w:val="00D20D1F"/>
    <w:rsid w:val="00D2108F"/>
    <w:rsid w:val="00D21AC1"/>
    <w:rsid w:val="00D2330D"/>
    <w:rsid w:val="00D2437A"/>
    <w:rsid w:val="00D2444D"/>
    <w:rsid w:val="00D2570C"/>
    <w:rsid w:val="00D25A06"/>
    <w:rsid w:val="00D25B6B"/>
    <w:rsid w:val="00D25B7F"/>
    <w:rsid w:val="00D25D67"/>
    <w:rsid w:val="00D264D1"/>
    <w:rsid w:val="00D26B1E"/>
    <w:rsid w:val="00D27229"/>
    <w:rsid w:val="00D279D4"/>
    <w:rsid w:val="00D3271E"/>
    <w:rsid w:val="00D32E29"/>
    <w:rsid w:val="00D335B8"/>
    <w:rsid w:val="00D335D7"/>
    <w:rsid w:val="00D33D30"/>
    <w:rsid w:val="00D342FE"/>
    <w:rsid w:val="00D36143"/>
    <w:rsid w:val="00D3635A"/>
    <w:rsid w:val="00D37B4B"/>
    <w:rsid w:val="00D41F79"/>
    <w:rsid w:val="00D4493A"/>
    <w:rsid w:val="00D467F8"/>
    <w:rsid w:val="00D50853"/>
    <w:rsid w:val="00D50FD1"/>
    <w:rsid w:val="00D53280"/>
    <w:rsid w:val="00D53A52"/>
    <w:rsid w:val="00D53C0C"/>
    <w:rsid w:val="00D53F26"/>
    <w:rsid w:val="00D5427E"/>
    <w:rsid w:val="00D54AD2"/>
    <w:rsid w:val="00D55FED"/>
    <w:rsid w:val="00D562CE"/>
    <w:rsid w:val="00D56EEB"/>
    <w:rsid w:val="00D57839"/>
    <w:rsid w:val="00D61E8D"/>
    <w:rsid w:val="00D62BAE"/>
    <w:rsid w:val="00D63B63"/>
    <w:rsid w:val="00D63BE8"/>
    <w:rsid w:val="00D63C1B"/>
    <w:rsid w:val="00D63D03"/>
    <w:rsid w:val="00D64B65"/>
    <w:rsid w:val="00D64D7F"/>
    <w:rsid w:val="00D6509D"/>
    <w:rsid w:val="00D6625D"/>
    <w:rsid w:val="00D66CE6"/>
    <w:rsid w:val="00D70443"/>
    <w:rsid w:val="00D70819"/>
    <w:rsid w:val="00D70C00"/>
    <w:rsid w:val="00D723DC"/>
    <w:rsid w:val="00D73B32"/>
    <w:rsid w:val="00D73F2E"/>
    <w:rsid w:val="00D74A7C"/>
    <w:rsid w:val="00D7550B"/>
    <w:rsid w:val="00D756B7"/>
    <w:rsid w:val="00D756EE"/>
    <w:rsid w:val="00D774FD"/>
    <w:rsid w:val="00D775ED"/>
    <w:rsid w:val="00D77682"/>
    <w:rsid w:val="00D8092A"/>
    <w:rsid w:val="00D80C5B"/>
    <w:rsid w:val="00D81B15"/>
    <w:rsid w:val="00D85AE6"/>
    <w:rsid w:val="00D85B61"/>
    <w:rsid w:val="00D85D23"/>
    <w:rsid w:val="00D86610"/>
    <w:rsid w:val="00D86AA6"/>
    <w:rsid w:val="00D921B9"/>
    <w:rsid w:val="00D92B8B"/>
    <w:rsid w:val="00D9319B"/>
    <w:rsid w:val="00D93F12"/>
    <w:rsid w:val="00D95C75"/>
    <w:rsid w:val="00D9616C"/>
    <w:rsid w:val="00D97047"/>
    <w:rsid w:val="00DA00E4"/>
    <w:rsid w:val="00DA0380"/>
    <w:rsid w:val="00DA043B"/>
    <w:rsid w:val="00DA0478"/>
    <w:rsid w:val="00DA0E41"/>
    <w:rsid w:val="00DA0ED2"/>
    <w:rsid w:val="00DA1761"/>
    <w:rsid w:val="00DA1D15"/>
    <w:rsid w:val="00DA2365"/>
    <w:rsid w:val="00DA27FD"/>
    <w:rsid w:val="00DA2A2F"/>
    <w:rsid w:val="00DA35B1"/>
    <w:rsid w:val="00DA4489"/>
    <w:rsid w:val="00DA473D"/>
    <w:rsid w:val="00DA4781"/>
    <w:rsid w:val="00DA4ED6"/>
    <w:rsid w:val="00DA5D66"/>
    <w:rsid w:val="00DA6053"/>
    <w:rsid w:val="00DA63EE"/>
    <w:rsid w:val="00DA6C33"/>
    <w:rsid w:val="00DA7C58"/>
    <w:rsid w:val="00DB0253"/>
    <w:rsid w:val="00DB0472"/>
    <w:rsid w:val="00DB1722"/>
    <w:rsid w:val="00DB2066"/>
    <w:rsid w:val="00DB3963"/>
    <w:rsid w:val="00DB3CAA"/>
    <w:rsid w:val="00DB4A01"/>
    <w:rsid w:val="00DB5E28"/>
    <w:rsid w:val="00DB5F2E"/>
    <w:rsid w:val="00DB6D89"/>
    <w:rsid w:val="00DB6FFC"/>
    <w:rsid w:val="00DB72B7"/>
    <w:rsid w:val="00DB7EBD"/>
    <w:rsid w:val="00DC07B1"/>
    <w:rsid w:val="00DC0B1E"/>
    <w:rsid w:val="00DC10CA"/>
    <w:rsid w:val="00DC115D"/>
    <w:rsid w:val="00DC14DE"/>
    <w:rsid w:val="00DC26E6"/>
    <w:rsid w:val="00DC2A26"/>
    <w:rsid w:val="00DC35E9"/>
    <w:rsid w:val="00DC3CF9"/>
    <w:rsid w:val="00DC4871"/>
    <w:rsid w:val="00DC4BE6"/>
    <w:rsid w:val="00DC60FF"/>
    <w:rsid w:val="00DC742D"/>
    <w:rsid w:val="00DD1CA6"/>
    <w:rsid w:val="00DD1F83"/>
    <w:rsid w:val="00DD2579"/>
    <w:rsid w:val="00DD29B8"/>
    <w:rsid w:val="00DD3B2F"/>
    <w:rsid w:val="00DD3F4A"/>
    <w:rsid w:val="00DD5CF9"/>
    <w:rsid w:val="00DE05F3"/>
    <w:rsid w:val="00DE109A"/>
    <w:rsid w:val="00DE10A1"/>
    <w:rsid w:val="00DE3469"/>
    <w:rsid w:val="00DE3EF7"/>
    <w:rsid w:val="00DE45D7"/>
    <w:rsid w:val="00DE4E1A"/>
    <w:rsid w:val="00DE63D1"/>
    <w:rsid w:val="00DE6965"/>
    <w:rsid w:val="00DF0DC5"/>
    <w:rsid w:val="00DF0F29"/>
    <w:rsid w:val="00DF1154"/>
    <w:rsid w:val="00DF15D0"/>
    <w:rsid w:val="00DF238C"/>
    <w:rsid w:val="00DF2E67"/>
    <w:rsid w:val="00DF2EE0"/>
    <w:rsid w:val="00DF3404"/>
    <w:rsid w:val="00DF3611"/>
    <w:rsid w:val="00DF37FF"/>
    <w:rsid w:val="00DF53B0"/>
    <w:rsid w:val="00DF58CD"/>
    <w:rsid w:val="00DF691A"/>
    <w:rsid w:val="00DF6BBC"/>
    <w:rsid w:val="00DF6D37"/>
    <w:rsid w:val="00DF7CE1"/>
    <w:rsid w:val="00DF7E5A"/>
    <w:rsid w:val="00E01EAB"/>
    <w:rsid w:val="00E02600"/>
    <w:rsid w:val="00E02BCF"/>
    <w:rsid w:val="00E05E84"/>
    <w:rsid w:val="00E05F75"/>
    <w:rsid w:val="00E07CB2"/>
    <w:rsid w:val="00E07E02"/>
    <w:rsid w:val="00E10523"/>
    <w:rsid w:val="00E10613"/>
    <w:rsid w:val="00E11890"/>
    <w:rsid w:val="00E13150"/>
    <w:rsid w:val="00E145E2"/>
    <w:rsid w:val="00E147E3"/>
    <w:rsid w:val="00E148FC"/>
    <w:rsid w:val="00E14B6F"/>
    <w:rsid w:val="00E14C8B"/>
    <w:rsid w:val="00E15618"/>
    <w:rsid w:val="00E158A6"/>
    <w:rsid w:val="00E15C1E"/>
    <w:rsid w:val="00E15E1D"/>
    <w:rsid w:val="00E1747A"/>
    <w:rsid w:val="00E176A1"/>
    <w:rsid w:val="00E17841"/>
    <w:rsid w:val="00E204A6"/>
    <w:rsid w:val="00E20510"/>
    <w:rsid w:val="00E20971"/>
    <w:rsid w:val="00E21B14"/>
    <w:rsid w:val="00E2214B"/>
    <w:rsid w:val="00E22E06"/>
    <w:rsid w:val="00E231D6"/>
    <w:rsid w:val="00E24289"/>
    <w:rsid w:val="00E2657D"/>
    <w:rsid w:val="00E269F8"/>
    <w:rsid w:val="00E27D2A"/>
    <w:rsid w:val="00E27F4D"/>
    <w:rsid w:val="00E30789"/>
    <w:rsid w:val="00E316A3"/>
    <w:rsid w:val="00E326D0"/>
    <w:rsid w:val="00E332DF"/>
    <w:rsid w:val="00E33F77"/>
    <w:rsid w:val="00E35B09"/>
    <w:rsid w:val="00E36649"/>
    <w:rsid w:val="00E3699B"/>
    <w:rsid w:val="00E36FE7"/>
    <w:rsid w:val="00E37535"/>
    <w:rsid w:val="00E4015E"/>
    <w:rsid w:val="00E4232C"/>
    <w:rsid w:val="00E44FCA"/>
    <w:rsid w:val="00E4527C"/>
    <w:rsid w:val="00E45DC7"/>
    <w:rsid w:val="00E466BB"/>
    <w:rsid w:val="00E46A16"/>
    <w:rsid w:val="00E47098"/>
    <w:rsid w:val="00E4732B"/>
    <w:rsid w:val="00E47691"/>
    <w:rsid w:val="00E5050C"/>
    <w:rsid w:val="00E51D95"/>
    <w:rsid w:val="00E53195"/>
    <w:rsid w:val="00E55213"/>
    <w:rsid w:val="00E55F55"/>
    <w:rsid w:val="00E563FE"/>
    <w:rsid w:val="00E56A68"/>
    <w:rsid w:val="00E56D5C"/>
    <w:rsid w:val="00E56F0D"/>
    <w:rsid w:val="00E60B50"/>
    <w:rsid w:val="00E61347"/>
    <w:rsid w:val="00E61C2A"/>
    <w:rsid w:val="00E62568"/>
    <w:rsid w:val="00E634EE"/>
    <w:rsid w:val="00E7037D"/>
    <w:rsid w:val="00E704AD"/>
    <w:rsid w:val="00E70988"/>
    <w:rsid w:val="00E70BD7"/>
    <w:rsid w:val="00E71627"/>
    <w:rsid w:val="00E727E1"/>
    <w:rsid w:val="00E730B5"/>
    <w:rsid w:val="00E73609"/>
    <w:rsid w:val="00E7390F"/>
    <w:rsid w:val="00E7542B"/>
    <w:rsid w:val="00E76743"/>
    <w:rsid w:val="00E76B40"/>
    <w:rsid w:val="00E77A03"/>
    <w:rsid w:val="00E81700"/>
    <w:rsid w:val="00E81AD0"/>
    <w:rsid w:val="00E8308A"/>
    <w:rsid w:val="00E83730"/>
    <w:rsid w:val="00E8598C"/>
    <w:rsid w:val="00E9216F"/>
    <w:rsid w:val="00E92595"/>
    <w:rsid w:val="00E92A87"/>
    <w:rsid w:val="00E92D78"/>
    <w:rsid w:val="00E93614"/>
    <w:rsid w:val="00E93BCB"/>
    <w:rsid w:val="00E94B27"/>
    <w:rsid w:val="00E94EFF"/>
    <w:rsid w:val="00E95B20"/>
    <w:rsid w:val="00E95D8B"/>
    <w:rsid w:val="00E96A9E"/>
    <w:rsid w:val="00E96EE4"/>
    <w:rsid w:val="00E97E74"/>
    <w:rsid w:val="00EA053E"/>
    <w:rsid w:val="00EA0C24"/>
    <w:rsid w:val="00EA1780"/>
    <w:rsid w:val="00EA31BB"/>
    <w:rsid w:val="00EA3A0E"/>
    <w:rsid w:val="00EA50F6"/>
    <w:rsid w:val="00EA58D4"/>
    <w:rsid w:val="00EA5E6D"/>
    <w:rsid w:val="00EA77EB"/>
    <w:rsid w:val="00EA7AD1"/>
    <w:rsid w:val="00EB0F6B"/>
    <w:rsid w:val="00EB13E8"/>
    <w:rsid w:val="00EB2463"/>
    <w:rsid w:val="00EB259C"/>
    <w:rsid w:val="00EB262E"/>
    <w:rsid w:val="00EB2AF9"/>
    <w:rsid w:val="00EB2EFD"/>
    <w:rsid w:val="00EB3466"/>
    <w:rsid w:val="00EB395D"/>
    <w:rsid w:val="00EB5585"/>
    <w:rsid w:val="00EB5896"/>
    <w:rsid w:val="00EB63FD"/>
    <w:rsid w:val="00EB74AF"/>
    <w:rsid w:val="00EB7B55"/>
    <w:rsid w:val="00EC044D"/>
    <w:rsid w:val="00EC14EE"/>
    <w:rsid w:val="00EC171E"/>
    <w:rsid w:val="00EC1D70"/>
    <w:rsid w:val="00EC253F"/>
    <w:rsid w:val="00EC26D6"/>
    <w:rsid w:val="00EC29AB"/>
    <w:rsid w:val="00EC3727"/>
    <w:rsid w:val="00EC37D6"/>
    <w:rsid w:val="00EC3F57"/>
    <w:rsid w:val="00EC41D3"/>
    <w:rsid w:val="00EC43FA"/>
    <w:rsid w:val="00EC4ADB"/>
    <w:rsid w:val="00EC530F"/>
    <w:rsid w:val="00EC57F3"/>
    <w:rsid w:val="00EC6788"/>
    <w:rsid w:val="00EC7C51"/>
    <w:rsid w:val="00EC7D3D"/>
    <w:rsid w:val="00ED0857"/>
    <w:rsid w:val="00ED15EE"/>
    <w:rsid w:val="00ED234B"/>
    <w:rsid w:val="00ED2A35"/>
    <w:rsid w:val="00ED3E2D"/>
    <w:rsid w:val="00ED52B4"/>
    <w:rsid w:val="00ED52F5"/>
    <w:rsid w:val="00ED5A6C"/>
    <w:rsid w:val="00ED5AD7"/>
    <w:rsid w:val="00ED687E"/>
    <w:rsid w:val="00ED6CA3"/>
    <w:rsid w:val="00ED7528"/>
    <w:rsid w:val="00ED7D00"/>
    <w:rsid w:val="00EE0297"/>
    <w:rsid w:val="00EE029E"/>
    <w:rsid w:val="00EE073C"/>
    <w:rsid w:val="00EE0B4B"/>
    <w:rsid w:val="00EE3621"/>
    <w:rsid w:val="00EE3E30"/>
    <w:rsid w:val="00EE42D1"/>
    <w:rsid w:val="00EE48B2"/>
    <w:rsid w:val="00EE4B6F"/>
    <w:rsid w:val="00EE54C9"/>
    <w:rsid w:val="00EE5503"/>
    <w:rsid w:val="00EE6CAB"/>
    <w:rsid w:val="00EF0A5E"/>
    <w:rsid w:val="00EF1221"/>
    <w:rsid w:val="00EF2DBA"/>
    <w:rsid w:val="00EF3774"/>
    <w:rsid w:val="00EF3A6C"/>
    <w:rsid w:val="00EF585A"/>
    <w:rsid w:val="00EF61D4"/>
    <w:rsid w:val="00EF6B38"/>
    <w:rsid w:val="00EF78F7"/>
    <w:rsid w:val="00F00849"/>
    <w:rsid w:val="00F027FE"/>
    <w:rsid w:val="00F04138"/>
    <w:rsid w:val="00F05D7D"/>
    <w:rsid w:val="00F0699F"/>
    <w:rsid w:val="00F06C66"/>
    <w:rsid w:val="00F10D2C"/>
    <w:rsid w:val="00F11944"/>
    <w:rsid w:val="00F130BE"/>
    <w:rsid w:val="00F1378F"/>
    <w:rsid w:val="00F13A5C"/>
    <w:rsid w:val="00F147BC"/>
    <w:rsid w:val="00F14872"/>
    <w:rsid w:val="00F150E8"/>
    <w:rsid w:val="00F15DCA"/>
    <w:rsid w:val="00F16859"/>
    <w:rsid w:val="00F16860"/>
    <w:rsid w:val="00F16CDE"/>
    <w:rsid w:val="00F17C07"/>
    <w:rsid w:val="00F17F97"/>
    <w:rsid w:val="00F200AB"/>
    <w:rsid w:val="00F20A6F"/>
    <w:rsid w:val="00F20D44"/>
    <w:rsid w:val="00F21BE7"/>
    <w:rsid w:val="00F21FE0"/>
    <w:rsid w:val="00F22084"/>
    <w:rsid w:val="00F2251A"/>
    <w:rsid w:val="00F2398E"/>
    <w:rsid w:val="00F24D73"/>
    <w:rsid w:val="00F26CAD"/>
    <w:rsid w:val="00F2737D"/>
    <w:rsid w:val="00F277E7"/>
    <w:rsid w:val="00F27C09"/>
    <w:rsid w:val="00F27D25"/>
    <w:rsid w:val="00F30052"/>
    <w:rsid w:val="00F304B3"/>
    <w:rsid w:val="00F30D89"/>
    <w:rsid w:val="00F30DCC"/>
    <w:rsid w:val="00F3108B"/>
    <w:rsid w:val="00F31197"/>
    <w:rsid w:val="00F31576"/>
    <w:rsid w:val="00F31F35"/>
    <w:rsid w:val="00F3212C"/>
    <w:rsid w:val="00F3226D"/>
    <w:rsid w:val="00F32770"/>
    <w:rsid w:val="00F32793"/>
    <w:rsid w:val="00F33330"/>
    <w:rsid w:val="00F33CB0"/>
    <w:rsid w:val="00F33E28"/>
    <w:rsid w:val="00F3424F"/>
    <w:rsid w:val="00F343C7"/>
    <w:rsid w:val="00F34BDF"/>
    <w:rsid w:val="00F35551"/>
    <w:rsid w:val="00F35D38"/>
    <w:rsid w:val="00F3666B"/>
    <w:rsid w:val="00F368B5"/>
    <w:rsid w:val="00F377CD"/>
    <w:rsid w:val="00F37AF1"/>
    <w:rsid w:val="00F37CF4"/>
    <w:rsid w:val="00F40484"/>
    <w:rsid w:val="00F40941"/>
    <w:rsid w:val="00F4550E"/>
    <w:rsid w:val="00F458AB"/>
    <w:rsid w:val="00F47214"/>
    <w:rsid w:val="00F476B5"/>
    <w:rsid w:val="00F50499"/>
    <w:rsid w:val="00F514FF"/>
    <w:rsid w:val="00F52189"/>
    <w:rsid w:val="00F521F2"/>
    <w:rsid w:val="00F529F8"/>
    <w:rsid w:val="00F53524"/>
    <w:rsid w:val="00F536E3"/>
    <w:rsid w:val="00F5398C"/>
    <w:rsid w:val="00F53DB1"/>
    <w:rsid w:val="00F55278"/>
    <w:rsid w:val="00F5612E"/>
    <w:rsid w:val="00F56535"/>
    <w:rsid w:val="00F57D6E"/>
    <w:rsid w:val="00F6017C"/>
    <w:rsid w:val="00F620EB"/>
    <w:rsid w:val="00F62A18"/>
    <w:rsid w:val="00F62F0B"/>
    <w:rsid w:val="00F63311"/>
    <w:rsid w:val="00F63427"/>
    <w:rsid w:val="00F64C71"/>
    <w:rsid w:val="00F64DD2"/>
    <w:rsid w:val="00F6543A"/>
    <w:rsid w:val="00F65494"/>
    <w:rsid w:val="00F66094"/>
    <w:rsid w:val="00F66DD8"/>
    <w:rsid w:val="00F67884"/>
    <w:rsid w:val="00F67B31"/>
    <w:rsid w:val="00F7045D"/>
    <w:rsid w:val="00F70B41"/>
    <w:rsid w:val="00F71D22"/>
    <w:rsid w:val="00F72B2C"/>
    <w:rsid w:val="00F72F3B"/>
    <w:rsid w:val="00F7319E"/>
    <w:rsid w:val="00F73BE1"/>
    <w:rsid w:val="00F748BE"/>
    <w:rsid w:val="00F74A71"/>
    <w:rsid w:val="00F754AD"/>
    <w:rsid w:val="00F7576D"/>
    <w:rsid w:val="00F7618E"/>
    <w:rsid w:val="00F77360"/>
    <w:rsid w:val="00F7739E"/>
    <w:rsid w:val="00F802CF"/>
    <w:rsid w:val="00F81500"/>
    <w:rsid w:val="00F8155E"/>
    <w:rsid w:val="00F81887"/>
    <w:rsid w:val="00F81F48"/>
    <w:rsid w:val="00F820C9"/>
    <w:rsid w:val="00F820EB"/>
    <w:rsid w:val="00F82725"/>
    <w:rsid w:val="00F827AB"/>
    <w:rsid w:val="00F82BDD"/>
    <w:rsid w:val="00F82E4D"/>
    <w:rsid w:val="00F8460C"/>
    <w:rsid w:val="00F84AEB"/>
    <w:rsid w:val="00F85205"/>
    <w:rsid w:val="00F879C3"/>
    <w:rsid w:val="00F91003"/>
    <w:rsid w:val="00F91138"/>
    <w:rsid w:val="00F91982"/>
    <w:rsid w:val="00F91B26"/>
    <w:rsid w:val="00F92A68"/>
    <w:rsid w:val="00F92E89"/>
    <w:rsid w:val="00F9360D"/>
    <w:rsid w:val="00F94917"/>
    <w:rsid w:val="00F94C32"/>
    <w:rsid w:val="00F95C8A"/>
    <w:rsid w:val="00F95D29"/>
    <w:rsid w:val="00F97345"/>
    <w:rsid w:val="00FA0DE0"/>
    <w:rsid w:val="00FA0F78"/>
    <w:rsid w:val="00FA134B"/>
    <w:rsid w:val="00FA1E06"/>
    <w:rsid w:val="00FA25B8"/>
    <w:rsid w:val="00FA3596"/>
    <w:rsid w:val="00FA5FFB"/>
    <w:rsid w:val="00FA66F6"/>
    <w:rsid w:val="00FA7629"/>
    <w:rsid w:val="00FA78A6"/>
    <w:rsid w:val="00FA7ADF"/>
    <w:rsid w:val="00FA7C41"/>
    <w:rsid w:val="00FB0E4C"/>
    <w:rsid w:val="00FB1E41"/>
    <w:rsid w:val="00FB25AD"/>
    <w:rsid w:val="00FB2BE5"/>
    <w:rsid w:val="00FB2FEC"/>
    <w:rsid w:val="00FB3FAB"/>
    <w:rsid w:val="00FB46A3"/>
    <w:rsid w:val="00FB5605"/>
    <w:rsid w:val="00FB5610"/>
    <w:rsid w:val="00FB57B6"/>
    <w:rsid w:val="00FB68BD"/>
    <w:rsid w:val="00FB70C4"/>
    <w:rsid w:val="00FB73A3"/>
    <w:rsid w:val="00FB762A"/>
    <w:rsid w:val="00FB7748"/>
    <w:rsid w:val="00FB7CF2"/>
    <w:rsid w:val="00FC0DDE"/>
    <w:rsid w:val="00FC19E9"/>
    <w:rsid w:val="00FC2E7A"/>
    <w:rsid w:val="00FC304B"/>
    <w:rsid w:val="00FC32CE"/>
    <w:rsid w:val="00FC3530"/>
    <w:rsid w:val="00FC3B14"/>
    <w:rsid w:val="00FC4281"/>
    <w:rsid w:val="00FC5E09"/>
    <w:rsid w:val="00FC6637"/>
    <w:rsid w:val="00FD1CCE"/>
    <w:rsid w:val="00FD28D4"/>
    <w:rsid w:val="00FD29B9"/>
    <w:rsid w:val="00FD30DE"/>
    <w:rsid w:val="00FD385E"/>
    <w:rsid w:val="00FD3ED8"/>
    <w:rsid w:val="00FD406A"/>
    <w:rsid w:val="00FD42A6"/>
    <w:rsid w:val="00FD5E46"/>
    <w:rsid w:val="00FD6532"/>
    <w:rsid w:val="00FD68ED"/>
    <w:rsid w:val="00FD6AD8"/>
    <w:rsid w:val="00FE0271"/>
    <w:rsid w:val="00FE09FE"/>
    <w:rsid w:val="00FE1297"/>
    <w:rsid w:val="00FE18E6"/>
    <w:rsid w:val="00FE2C21"/>
    <w:rsid w:val="00FE2E5A"/>
    <w:rsid w:val="00FE5542"/>
    <w:rsid w:val="00FE68D1"/>
    <w:rsid w:val="00FE71B6"/>
    <w:rsid w:val="00FF05E9"/>
    <w:rsid w:val="00FF15AA"/>
    <w:rsid w:val="00FF294C"/>
    <w:rsid w:val="00FF3072"/>
    <w:rsid w:val="00FF329B"/>
    <w:rsid w:val="00FF35CE"/>
    <w:rsid w:val="00FF474A"/>
    <w:rsid w:val="00FF48CB"/>
    <w:rsid w:val="00FF5205"/>
    <w:rsid w:val="00FF5304"/>
    <w:rsid w:val="00FF567D"/>
    <w:rsid w:val="00FF570D"/>
    <w:rsid w:val="00FF629F"/>
    <w:rsid w:val="00FF6CB8"/>
    <w:rsid w:val="00FF7EC8"/>
    <w:rsid w:val="04BD5E3E"/>
    <w:rsid w:val="085E137D"/>
    <w:rsid w:val="0F184123"/>
    <w:rsid w:val="0F7A3791"/>
    <w:rsid w:val="113601AD"/>
    <w:rsid w:val="1687088A"/>
    <w:rsid w:val="1B684D60"/>
    <w:rsid w:val="22FD3CA7"/>
    <w:rsid w:val="2A090840"/>
    <w:rsid w:val="33B1043E"/>
    <w:rsid w:val="4629180E"/>
    <w:rsid w:val="5A1673F5"/>
    <w:rsid w:val="5D7611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qFormat="1" w:unhideWhenUsed="0" w:uiPriority="99" w:semiHidden="0"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99"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qFormat="1" w:unhideWhenUsed="0" w:uiPriority="99" w:semiHidden="0"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99"/>
    <w:pPr>
      <w:keepNext/>
      <w:keepLines/>
      <w:spacing w:before="480" w:after="240"/>
      <w:jc w:val="center"/>
      <w:outlineLvl w:val="0"/>
    </w:pPr>
    <w:rPr>
      <w:rFonts w:ascii="黑体" w:hAnsi="宋体" w:eastAsia="黑体"/>
      <w:b/>
      <w:bCs/>
      <w:kern w:val="44"/>
      <w:sz w:val="34"/>
      <w:szCs w:val="44"/>
    </w:rPr>
  </w:style>
  <w:style w:type="paragraph" w:styleId="3">
    <w:name w:val="heading 2"/>
    <w:basedOn w:val="1"/>
    <w:next w:val="1"/>
    <w:link w:val="43"/>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qFormat/>
    <w:uiPriority w:val="9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45"/>
    <w:qFormat/>
    <w:uiPriority w:val="9"/>
    <w:pPr>
      <w:keepNext/>
      <w:keepLines/>
      <w:numPr>
        <w:ilvl w:val="3"/>
        <w:numId w:val="1"/>
      </w:numPr>
      <w:spacing w:before="280" w:after="290" w:line="376" w:lineRule="auto"/>
      <w:outlineLvl w:val="3"/>
    </w:pPr>
    <w:rPr>
      <w:rFonts w:ascii="Cambria" w:hAnsi="Cambria"/>
      <w:b/>
      <w:bCs/>
      <w:sz w:val="28"/>
      <w:szCs w:val="28"/>
    </w:rPr>
  </w:style>
  <w:style w:type="paragraph" w:styleId="6">
    <w:name w:val="heading 5"/>
    <w:basedOn w:val="1"/>
    <w:next w:val="1"/>
    <w:link w:val="46"/>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47"/>
    <w:qFormat/>
    <w:uiPriority w:val="9"/>
    <w:pPr>
      <w:keepNext/>
      <w:keepLines/>
      <w:numPr>
        <w:ilvl w:val="5"/>
        <w:numId w:val="1"/>
      </w:numPr>
      <w:spacing w:before="240" w:after="64" w:line="320" w:lineRule="auto"/>
      <w:outlineLvl w:val="5"/>
    </w:pPr>
    <w:rPr>
      <w:rFonts w:ascii="Cambria" w:hAnsi="Cambria"/>
      <w:b/>
      <w:bCs/>
      <w:sz w:val="24"/>
    </w:rPr>
  </w:style>
  <w:style w:type="paragraph" w:styleId="8">
    <w:name w:val="heading 7"/>
    <w:basedOn w:val="1"/>
    <w:next w:val="1"/>
    <w:link w:val="48"/>
    <w:qFormat/>
    <w:uiPriority w:val="9"/>
    <w:pPr>
      <w:keepNext/>
      <w:keepLines/>
      <w:numPr>
        <w:ilvl w:val="6"/>
        <w:numId w:val="1"/>
      </w:numPr>
      <w:spacing w:before="240" w:after="64" w:line="320" w:lineRule="auto"/>
      <w:outlineLvl w:val="6"/>
    </w:pPr>
    <w:rPr>
      <w:b/>
      <w:bCs/>
      <w:sz w:val="24"/>
    </w:rPr>
  </w:style>
  <w:style w:type="paragraph" w:styleId="9">
    <w:name w:val="heading 8"/>
    <w:basedOn w:val="1"/>
    <w:next w:val="1"/>
    <w:link w:val="49"/>
    <w:qFormat/>
    <w:uiPriority w:val="9"/>
    <w:pPr>
      <w:keepNext/>
      <w:keepLines/>
      <w:numPr>
        <w:ilvl w:val="7"/>
        <w:numId w:val="1"/>
      </w:numPr>
      <w:spacing w:before="240" w:after="64" w:line="320" w:lineRule="auto"/>
      <w:outlineLvl w:val="7"/>
    </w:pPr>
    <w:rPr>
      <w:rFonts w:ascii="Cambria" w:hAnsi="Cambria"/>
      <w:sz w:val="24"/>
    </w:rPr>
  </w:style>
  <w:style w:type="paragraph" w:styleId="10">
    <w:name w:val="heading 9"/>
    <w:basedOn w:val="1"/>
    <w:next w:val="1"/>
    <w:link w:val="50"/>
    <w:qFormat/>
    <w:uiPriority w:val="9"/>
    <w:pPr>
      <w:keepNext/>
      <w:keepLines/>
      <w:numPr>
        <w:ilvl w:val="8"/>
        <w:numId w:val="1"/>
      </w:numPr>
      <w:spacing w:before="240" w:after="64" w:line="320" w:lineRule="auto"/>
      <w:outlineLvl w:val="8"/>
    </w:pPr>
    <w:rPr>
      <w:rFonts w:ascii="Cambria" w:hAnsi="Cambria"/>
      <w:szCs w:val="21"/>
    </w:rPr>
  </w:style>
  <w:style w:type="character" w:default="1" w:styleId="37">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szCs w:val="22"/>
    </w:rPr>
  </w:style>
  <w:style w:type="paragraph" w:styleId="12">
    <w:name w:val="annotation text"/>
    <w:basedOn w:val="1"/>
    <w:link w:val="51"/>
    <w:unhideWhenUsed/>
    <w:uiPriority w:val="99"/>
    <w:pPr>
      <w:jc w:val="left"/>
    </w:pPr>
  </w:style>
  <w:style w:type="paragraph" w:styleId="13">
    <w:name w:val="Body Text Indent"/>
    <w:basedOn w:val="1"/>
    <w:link w:val="52"/>
    <w:uiPriority w:val="99"/>
    <w:pPr>
      <w:spacing w:line="720" w:lineRule="exact"/>
      <w:ind w:firstLine="558" w:firstLineChars="200"/>
    </w:pPr>
    <w:rPr>
      <w:kern w:val="0"/>
      <w:sz w:val="20"/>
    </w:rPr>
  </w:style>
  <w:style w:type="paragraph" w:styleId="14">
    <w:name w:val="toc 5"/>
    <w:basedOn w:val="1"/>
    <w:next w:val="1"/>
    <w:unhideWhenUsed/>
    <w:uiPriority w:val="39"/>
    <w:pPr>
      <w:ind w:left="1680" w:leftChars="800"/>
    </w:pPr>
    <w:rPr>
      <w:rFonts w:ascii="Calibri" w:hAnsi="Calibri"/>
      <w:szCs w:val="22"/>
    </w:rPr>
  </w:style>
  <w:style w:type="paragraph" w:styleId="15">
    <w:name w:val="toc 3"/>
    <w:basedOn w:val="1"/>
    <w:next w:val="1"/>
    <w:uiPriority w:val="39"/>
    <w:pPr>
      <w:ind w:left="840" w:leftChars="400"/>
    </w:pPr>
  </w:style>
  <w:style w:type="paragraph" w:styleId="16">
    <w:name w:val="Plain Text"/>
    <w:basedOn w:val="1"/>
    <w:link w:val="53"/>
    <w:uiPriority w:val="99"/>
    <w:rPr>
      <w:rFonts w:ascii="宋体" w:hAnsi="Courier New"/>
      <w:kern w:val="0"/>
      <w:sz w:val="20"/>
      <w:szCs w:val="21"/>
    </w:rPr>
  </w:style>
  <w:style w:type="paragraph" w:styleId="17">
    <w:name w:val="toc 8"/>
    <w:basedOn w:val="1"/>
    <w:next w:val="1"/>
    <w:unhideWhenUsed/>
    <w:qFormat/>
    <w:uiPriority w:val="39"/>
    <w:pPr>
      <w:ind w:left="2940" w:leftChars="1400"/>
    </w:pPr>
    <w:rPr>
      <w:rFonts w:ascii="Calibri" w:hAnsi="Calibri"/>
      <w:szCs w:val="22"/>
    </w:rPr>
  </w:style>
  <w:style w:type="paragraph" w:styleId="18">
    <w:name w:val="Date"/>
    <w:basedOn w:val="1"/>
    <w:next w:val="1"/>
    <w:link w:val="54"/>
    <w:qFormat/>
    <w:uiPriority w:val="99"/>
    <w:pPr>
      <w:ind w:left="100" w:leftChars="2500"/>
    </w:pPr>
    <w:rPr>
      <w:sz w:val="24"/>
    </w:rPr>
  </w:style>
  <w:style w:type="paragraph" w:styleId="19">
    <w:name w:val="Body Text Indent 2"/>
    <w:basedOn w:val="1"/>
    <w:link w:val="55"/>
    <w:qFormat/>
    <w:uiPriority w:val="99"/>
    <w:pPr>
      <w:spacing w:after="120" w:line="480" w:lineRule="auto"/>
      <w:ind w:left="420" w:leftChars="200"/>
    </w:pPr>
    <w:rPr>
      <w:kern w:val="0"/>
      <w:sz w:val="20"/>
    </w:rPr>
  </w:style>
  <w:style w:type="paragraph" w:styleId="20">
    <w:name w:val="Balloon Text"/>
    <w:basedOn w:val="1"/>
    <w:link w:val="56"/>
    <w:unhideWhenUsed/>
    <w:qFormat/>
    <w:uiPriority w:val="99"/>
    <w:rPr>
      <w:sz w:val="18"/>
      <w:szCs w:val="18"/>
    </w:rPr>
  </w:style>
  <w:style w:type="paragraph" w:styleId="21">
    <w:name w:val="footer"/>
    <w:basedOn w:val="1"/>
    <w:link w:val="57"/>
    <w:qFormat/>
    <w:uiPriority w:val="99"/>
    <w:pPr>
      <w:tabs>
        <w:tab w:val="center" w:pos="4153"/>
        <w:tab w:val="right" w:pos="8306"/>
      </w:tabs>
      <w:snapToGrid w:val="0"/>
      <w:jc w:val="left"/>
    </w:pPr>
    <w:rPr>
      <w:kern w:val="0"/>
      <w:sz w:val="18"/>
      <w:szCs w:val="18"/>
    </w:rPr>
  </w:style>
  <w:style w:type="paragraph" w:styleId="22">
    <w:name w:val="header"/>
    <w:basedOn w:val="1"/>
    <w:link w:val="58"/>
    <w:uiPriority w:val="99"/>
    <w:pPr>
      <w:pBdr>
        <w:bottom w:val="single" w:color="auto" w:sz="6" w:space="1"/>
      </w:pBdr>
      <w:tabs>
        <w:tab w:val="center" w:pos="4153"/>
        <w:tab w:val="right" w:pos="8306"/>
      </w:tabs>
      <w:snapToGrid w:val="0"/>
      <w:jc w:val="center"/>
    </w:pPr>
    <w:rPr>
      <w:kern w:val="0"/>
      <w:sz w:val="18"/>
      <w:szCs w:val="18"/>
    </w:rPr>
  </w:style>
  <w:style w:type="paragraph" w:styleId="23">
    <w:name w:val="toc 1"/>
    <w:basedOn w:val="1"/>
    <w:next w:val="1"/>
    <w:uiPriority w:val="39"/>
  </w:style>
  <w:style w:type="paragraph" w:styleId="24">
    <w:name w:val="toc 4"/>
    <w:basedOn w:val="1"/>
    <w:next w:val="1"/>
    <w:unhideWhenUsed/>
    <w:qFormat/>
    <w:uiPriority w:val="39"/>
    <w:pPr>
      <w:ind w:left="1260" w:leftChars="600"/>
    </w:pPr>
    <w:rPr>
      <w:rFonts w:ascii="Calibri" w:hAnsi="Calibri"/>
      <w:szCs w:val="22"/>
    </w:rPr>
  </w:style>
  <w:style w:type="paragraph" w:styleId="25">
    <w:name w:val="toc 6"/>
    <w:basedOn w:val="1"/>
    <w:next w:val="1"/>
    <w:unhideWhenUsed/>
    <w:qFormat/>
    <w:uiPriority w:val="39"/>
    <w:pPr>
      <w:ind w:left="2100" w:leftChars="1000"/>
    </w:pPr>
    <w:rPr>
      <w:rFonts w:ascii="Calibri" w:hAnsi="Calibri"/>
      <w:szCs w:val="22"/>
    </w:rPr>
  </w:style>
  <w:style w:type="paragraph" w:styleId="26">
    <w:name w:val="Body Text Indent 3"/>
    <w:basedOn w:val="1"/>
    <w:link w:val="59"/>
    <w:qFormat/>
    <w:uiPriority w:val="99"/>
    <w:pPr>
      <w:spacing w:line="720" w:lineRule="exact"/>
      <w:ind w:firstLine="560" w:firstLineChars="200"/>
    </w:pPr>
    <w:rPr>
      <w:kern w:val="0"/>
      <w:sz w:val="16"/>
      <w:szCs w:val="16"/>
    </w:rPr>
  </w:style>
  <w:style w:type="paragraph" w:styleId="27">
    <w:name w:val="toc 2"/>
    <w:basedOn w:val="1"/>
    <w:next w:val="1"/>
    <w:qFormat/>
    <w:uiPriority w:val="39"/>
    <w:pPr>
      <w:ind w:left="420" w:leftChars="200"/>
    </w:pPr>
  </w:style>
  <w:style w:type="paragraph" w:styleId="28">
    <w:name w:val="toc 9"/>
    <w:basedOn w:val="1"/>
    <w:next w:val="1"/>
    <w:unhideWhenUsed/>
    <w:qFormat/>
    <w:uiPriority w:val="39"/>
    <w:pPr>
      <w:ind w:left="3360" w:leftChars="1600"/>
    </w:pPr>
    <w:rPr>
      <w:rFonts w:ascii="Calibri" w:hAnsi="Calibri"/>
      <w:szCs w:val="22"/>
    </w:rPr>
  </w:style>
  <w:style w:type="paragraph" w:styleId="29">
    <w:name w:val="HTML Preformatted"/>
    <w:basedOn w:val="1"/>
    <w:link w:val="6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0">
    <w:name w:val="Normal (Web)"/>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styleId="31">
    <w:name w:val="annotation subject"/>
    <w:basedOn w:val="12"/>
    <w:next w:val="12"/>
    <w:link w:val="61"/>
    <w:unhideWhenUsed/>
    <w:qFormat/>
    <w:uiPriority w:val="99"/>
    <w:rPr>
      <w:b/>
      <w:bCs/>
    </w:rPr>
  </w:style>
  <w:style w:type="table" w:styleId="33">
    <w:name w:val="Table Grid"/>
    <w:basedOn w:val="3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2"/>
    <w:basedOn w:val="32"/>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5">
    <w:name w:val="Table Elegant"/>
    <w:basedOn w:val="32"/>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36">
    <w:name w:val="Table Web 3"/>
    <w:basedOn w:val="32"/>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character" w:styleId="38">
    <w:name w:val="Strong"/>
    <w:qFormat/>
    <w:uiPriority w:val="99"/>
    <w:rPr>
      <w:rFonts w:cs="Times New Roman"/>
      <w:b/>
      <w:bCs/>
    </w:rPr>
  </w:style>
  <w:style w:type="character" w:styleId="39">
    <w:name w:val="page number"/>
    <w:uiPriority w:val="99"/>
    <w:rPr>
      <w:rFonts w:cs="Times New Roman"/>
    </w:rPr>
  </w:style>
  <w:style w:type="character" w:styleId="40">
    <w:name w:val="Hyperlink"/>
    <w:uiPriority w:val="99"/>
    <w:rPr>
      <w:rFonts w:cs="Times New Roman"/>
      <w:color w:val="136EC2"/>
      <w:u w:val="single"/>
    </w:rPr>
  </w:style>
  <w:style w:type="character" w:styleId="41">
    <w:name w:val="annotation reference"/>
    <w:unhideWhenUsed/>
    <w:uiPriority w:val="99"/>
    <w:rPr>
      <w:sz w:val="21"/>
      <w:szCs w:val="21"/>
    </w:rPr>
  </w:style>
  <w:style w:type="character" w:customStyle="1" w:styleId="42">
    <w:name w:val="标题 1 Char"/>
    <w:link w:val="2"/>
    <w:uiPriority w:val="99"/>
    <w:rPr>
      <w:rFonts w:ascii="黑体" w:hAnsi="宋体" w:eastAsia="黑体"/>
      <w:b/>
      <w:bCs/>
      <w:kern w:val="44"/>
      <w:sz w:val="34"/>
      <w:szCs w:val="44"/>
    </w:rPr>
  </w:style>
  <w:style w:type="character" w:customStyle="1" w:styleId="43">
    <w:name w:val="标题 2 Char"/>
    <w:link w:val="3"/>
    <w:locked/>
    <w:uiPriority w:val="99"/>
    <w:rPr>
      <w:rFonts w:ascii="Arial" w:hAnsi="Arial" w:eastAsia="黑体"/>
      <w:b/>
      <w:bCs/>
      <w:kern w:val="2"/>
      <w:sz w:val="32"/>
      <w:szCs w:val="32"/>
    </w:rPr>
  </w:style>
  <w:style w:type="character" w:customStyle="1" w:styleId="44">
    <w:name w:val="标题 3 Char"/>
    <w:link w:val="4"/>
    <w:locked/>
    <w:uiPriority w:val="99"/>
    <w:rPr>
      <w:b/>
      <w:bCs/>
      <w:kern w:val="2"/>
      <w:sz w:val="32"/>
      <w:szCs w:val="32"/>
    </w:rPr>
  </w:style>
  <w:style w:type="character" w:customStyle="1" w:styleId="45">
    <w:name w:val="标题 4 Char"/>
    <w:link w:val="5"/>
    <w:uiPriority w:val="9"/>
    <w:rPr>
      <w:rFonts w:ascii="Cambria" w:hAnsi="Cambria"/>
      <w:b/>
      <w:bCs/>
      <w:kern w:val="2"/>
      <w:sz w:val="28"/>
      <w:szCs w:val="28"/>
    </w:rPr>
  </w:style>
  <w:style w:type="character" w:customStyle="1" w:styleId="46">
    <w:name w:val="标题 5 Char"/>
    <w:link w:val="6"/>
    <w:uiPriority w:val="9"/>
    <w:rPr>
      <w:b/>
      <w:bCs/>
      <w:kern w:val="2"/>
      <w:sz w:val="28"/>
      <w:szCs w:val="28"/>
    </w:rPr>
  </w:style>
  <w:style w:type="character" w:customStyle="1" w:styleId="47">
    <w:name w:val="标题 6 Char"/>
    <w:link w:val="7"/>
    <w:uiPriority w:val="9"/>
    <w:rPr>
      <w:rFonts w:ascii="Cambria" w:hAnsi="Cambria"/>
      <w:b/>
      <w:bCs/>
      <w:kern w:val="2"/>
      <w:sz w:val="24"/>
      <w:szCs w:val="24"/>
    </w:rPr>
  </w:style>
  <w:style w:type="character" w:customStyle="1" w:styleId="48">
    <w:name w:val="标题 7 Char"/>
    <w:link w:val="8"/>
    <w:uiPriority w:val="9"/>
    <w:rPr>
      <w:b/>
      <w:bCs/>
      <w:kern w:val="2"/>
      <w:sz w:val="24"/>
      <w:szCs w:val="24"/>
    </w:rPr>
  </w:style>
  <w:style w:type="character" w:customStyle="1" w:styleId="49">
    <w:name w:val="标题 8 Char"/>
    <w:link w:val="9"/>
    <w:uiPriority w:val="9"/>
    <w:rPr>
      <w:rFonts w:ascii="Cambria" w:hAnsi="Cambria"/>
      <w:kern w:val="2"/>
      <w:sz w:val="24"/>
      <w:szCs w:val="24"/>
    </w:rPr>
  </w:style>
  <w:style w:type="character" w:customStyle="1" w:styleId="50">
    <w:name w:val="标题 9 Char"/>
    <w:link w:val="10"/>
    <w:uiPriority w:val="9"/>
    <w:rPr>
      <w:rFonts w:ascii="Cambria" w:hAnsi="Cambria"/>
      <w:kern w:val="2"/>
      <w:sz w:val="21"/>
      <w:szCs w:val="21"/>
    </w:rPr>
  </w:style>
  <w:style w:type="character" w:customStyle="1" w:styleId="51">
    <w:name w:val="批注文字 Char"/>
    <w:link w:val="12"/>
    <w:semiHidden/>
    <w:uiPriority w:val="99"/>
    <w:rPr>
      <w:kern w:val="2"/>
      <w:sz w:val="21"/>
      <w:szCs w:val="24"/>
    </w:rPr>
  </w:style>
  <w:style w:type="character" w:customStyle="1" w:styleId="52">
    <w:name w:val="正文文本缩进 Char"/>
    <w:link w:val="13"/>
    <w:semiHidden/>
    <w:uiPriority w:val="99"/>
    <w:rPr>
      <w:szCs w:val="24"/>
    </w:rPr>
  </w:style>
  <w:style w:type="character" w:customStyle="1" w:styleId="53">
    <w:name w:val="纯文本 Char"/>
    <w:link w:val="16"/>
    <w:semiHidden/>
    <w:uiPriority w:val="99"/>
    <w:rPr>
      <w:rFonts w:ascii="宋体" w:hAnsi="Courier New" w:cs="Courier New"/>
      <w:szCs w:val="21"/>
    </w:rPr>
  </w:style>
  <w:style w:type="character" w:customStyle="1" w:styleId="54">
    <w:name w:val="日期 Char"/>
    <w:link w:val="18"/>
    <w:locked/>
    <w:uiPriority w:val="99"/>
    <w:rPr>
      <w:rFonts w:cs="Times New Roman"/>
      <w:kern w:val="2"/>
      <w:sz w:val="24"/>
      <w:szCs w:val="24"/>
    </w:rPr>
  </w:style>
  <w:style w:type="character" w:customStyle="1" w:styleId="55">
    <w:name w:val="正文文本缩进 2 Char"/>
    <w:link w:val="19"/>
    <w:semiHidden/>
    <w:uiPriority w:val="99"/>
    <w:rPr>
      <w:szCs w:val="24"/>
    </w:rPr>
  </w:style>
  <w:style w:type="character" w:customStyle="1" w:styleId="56">
    <w:name w:val="批注框文本 Char"/>
    <w:link w:val="20"/>
    <w:semiHidden/>
    <w:uiPriority w:val="99"/>
    <w:rPr>
      <w:kern w:val="2"/>
      <w:sz w:val="18"/>
      <w:szCs w:val="18"/>
    </w:rPr>
  </w:style>
  <w:style w:type="character" w:customStyle="1" w:styleId="57">
    <w:name w:val="页脚 Char"/>
    <w:link w:val="21"/>
    <w:semiHidden/>
    <w:uiPriority w:val="99"/>
    <w:rPr>
      <w:sz w:val="18"/>
      <w:szCs w:val="18"/>
    </w:rPr>
  </w:style>
  <w:style w:type="character" w:customStyle="1" w:styleId="58">
    <w:name w:val="页眉 Char"/>
    <w:link w:val="22"/>
    <w:semiHidden/>
    <w:uiPriority w:val="99"/>
    <w:rPr>
      <w:sz w:val="18"/>
      <w:szCs w:val="18"/>
    </w:rPr>
  </w:style>
  <w:style w:type="character" w:customStyle="1" w:styleId="59">
    <w:name w:val="正文文本缩进 3 Char"/>
    <w:link w:val="26"/>
    <w:semiHidden/>
    <w:qFormat/>
    <w:uiPriority w:val="99"/>
    <w:rPr>
      <w:sz w:val="16"/>
      <w:szCs w:val="16"/>
    </w:rPr>
  </w:style>
  <w:style w:type="character" w:customStyle="1" w:styleId="60">
    <w:name w:val="HTML 预设格式 Char"/>
    <w:link w:val="29"/>
    <w:semiHidden/>
    <w:uiPriority w:val="99"/>
    <w:rPr>
      <w:rFonts w:ascii="宋体" w:hAnsi="宋体" w:cs="宋体"/>
      <w:sz w:val="24"/>
      <w:szCs w:val="24"/>
    </w:rPr>
  </w:style>
  <w:style w:type="character" w:customStyle="1" w:styleId="61">
    <w:name w:val="批注主题 Char"/>
    <w:link w:val="31"/>
    <w:semiHidden/>
    <w:uiPriority w:val="99"/>
    <w:rPr>
      <w:b/>
      <w:bCs/>
      <w:kern w:val="2"/>
      <w:sz w:val="21"/>
      <w:szCs w:val="24"/>
    </w:rPr>
  </w:style>
  <w:style w:type="character" w:customStyle="1" w:styleId="62">
    <w:name w:val="dc正文 Char"/>
    <w:link w:val="63"/>
    <w:locked/>
    <w:uiPriority w:val="99"/>
    <w:rPr>
      <w:rFonts w:ascii="宋体" w:eastAsia="宋体" w:cs="宋体"/>
      <w:kern w:val="2"/>
      <w:sz w:val="24"/>
    </w:rPr>
  </w:style>
  <w:style w:type="paragraph" w:customStyle="1" w:styleId="63">
    <w:name w:val="dc正文"/>
    <w:basedOn w:val="1"/>
    <w:link w:val="62"/>
    <w:uiPriority w:val="99"/>
    <w:pPr>
      <w:spacing w:line="420" w:lineRule="exact"/>
      <w:ind w:firstLine="480" w:firstLineChars="200"/>
    </w:pPr>
    <w:rPr>
      <w:rFonts w:ascii="宋体"/>
      <w:sz w:val="24"/>
      <w:szCs w:val="20"/>
    </w:rPr>
  </w:style>
  <w:style w:type="character" w:customStyle="1" w:styleId="64">
    <w:name w:val="Heading 3 Char"/>
    <w:semiHidden/>
    <w:uiPriority w:val="9"/>
    <w:rPr>
      <w:b/>
      <w:bCs/>
      <w:sz w:val="32"/>
      <w:szCs w:val="32"/>
    </w:rPr>
  </w:style>
  <w:style w:type="character" w:customStyle="1" w:styleId="65">
    <w:name w:val="Heading 2 Char"/>
    <w:semiHidden/>
    <w:uiPriority w:val="9"/>
    <w:rPr>
      <w:rFonts w:ascii="Cambria" w:hAnsi="Cambria" w:eastAsia="宋体" w:cs="Times New Roman"/>
      <w:b/>
      <w:bCs/>
      <w:sz w:val="32"/>
      <w:szCs w:val="32"/>
    </w:rPr>
  </w:style>
  <w:style w:type="character" w:customStyle="1" w:styleId="66">
    <w:name w:val="Date Char"/>
    <w:semiHidden/>
    <w:uiPriority w:val="99"/>
    <w:rPr>
      <w:szCs w:val="24"/>
    </w:rPr>
  </w:style>
  <w:style w:type="paragraph" w:styleId="67">
    <w:name w:val="List Paragraph"/>
    <w:basedOn w:val="1"/>
    <w:qFormat/>
    <w:uiPriority w:val="34"/>
    <w:pPr>
      <w:ind w:firstLine="420" w:firstLineChars="200"/>
    </w:pPr>
  </w:style>
  <w:style w:type="paragraph" w:customStyle="1" w:styleId="68">
    <w:name w:val="_Style 67"/>
    <w:basedOn w:val="2"/>
    <w:next w:val="1"/>
    <w:qFormat/>
    <w:uiPriority w:val="39"/>
    <w:pPr>
      <w:widowControl/>
      <w:spacing w:after="0" w:line="276" w:lineRule="auto"/>
      <w:jc w:val="left"/>
      <w:outlineLvl w:val="9"/>
    </w:pPr>
    <w:rPr>
      <w:rFonts w:ascii="Cambria" w:hAnsi="Cambria" w:eastAsia="宋体"/>
      <w:color w:val="365F91"/>
      <w:kern w:val="0"/>
      <w:sz w:val="28"/>
      <w:szCs w:val="28"/>
    </w:rPr>
  </w:style>
  <w:style w:type="paragraph" w:customStyle="1" w:styleId="69">
    <w:name w:val="Default"/>
    <w:uiPriority w:val="99"/>
    <w:pPr>
      <w:widowControl w:val="0"/>
      <w:autoSpaceDE w:val="0"/>
      <w:autoSpaceDN w:val="0"/>
      <w:adjustRightInd w:val="0"/>
    </w:pPr>
    <w:rPr>
      <w:rFonts w:ascii="华文细黑" w:hAnsi="Times New Roman" w:eastAsia="华文细黑" w:cs="华文细黑"/>
      <w:color w:val="000000"/>
      <w:sz w:val="24"/>
      <w:szCs w:val="24"/>
      <w:lang w:val="en-US" w:eastAsia="zh-CN" w:bidi="ar-SA"/>
    </w:rPr>
  </w:style>
  <w:style w:type="paragraph" w:customStyle="1" w:styleId="70">
    <w:name w:val="样式 样式 tj-表名 + 右侧:  1 字符1 + 右侧:  1 字符"/>
    <w:basedOn w:val="1"/>
    <w:uiPriority w:val="99"/>
    <w:pPr>
      <w:numPr>
        <w:ilvl w:val="0"/>
        <w:numId w:val="2"/>
      </w:numPr>
      <w:spacing w:before="120" w:after="120"/>
      <w:ind w:right="210" w:rightChars="100"/>
      <w:jc w:val="center"/>
    </w:pPr>
    <w:rPr>
      <w:rFonts w:ascii="黑体" w:cs="宋体"/>
      <w:b/>
      <w:bCs/>
      <w:szCs w:val="20"/>
    </w:rPr>
  </w:style>
  <w:style w:type="paragraph" w:customStyle="1" w:styleId="71">
    <w:name w:val="Char"/>
    <w:basedOn w:val="1"/>
    <w:uiPriority w:val="99"/>
    <w:pPr>
      <w:widowControl/>
      <w:spacing w:after="160" w:line="240" w:lineRule="exact"/>
      <w:jc w:val="left"/>
    </w:pPr>
    <w:rPr>
      <w:rFonts w:ascii="Verdana" w:hAnsi="Verdana" w:cs="Verdana"/>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686</Words>
  <Characters>746</Characters>
  <Lines>247</Lines>
  <Paragraphs>69</Paragraphs>
  <TotalTime>4</TotalTime>
  <ScaleCrop>false</ScaleCrop>
  <LinksUpToDate>false</LinksUpToDate>
  <CharactersWithSpaces>846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2018-06-09T14:17:00Z</dcterms:created>
  <dc:creator>LJ</dc:creator>
  <cp:lastModifiedBy>沈倦</cp:lastModifiedBy>
  <cp:lastPrinted>2015-11-19T16:33:00Z</cp:lastPrinted>
  <dcterms:modified xsi:type="dcterms:W3CDTF">2026-02-09T08:55:01Z</dcterms:modified>
  <dc:title>编制单位：乐山市城乡规划设计院</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02BE9559185D463F9405D5C432EDBA26_13</vt:lpwstr>
  </property>
  <property fmtid="{D5CDD505-2E9C-101B-9397-08002B2CF9AE}" pid="4" name="KSOTemplateDocerSaveRecord">
    <vt:lpwstr>eyJoZGlkIjoiMmU5ZWY0ZDg1ZDNmMWMyZmU1ZDVmNmNhOWIwNjA1MGQiLCJ1c2VySWQiOiI2MDY3NTAwNDEifQ==</vt:lpwstr>
  </property>
</Properties>
</file>