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微软雅黑" w:hAnsi="微软雅黑" w:eastAsia="微软雅黑" w:cs="微软雅黑"/>
          <w:b/>
          <w:bCs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 w:val="0"/>
          <w:sz w:val="28"/>
          <w:szCs w:val="28"/>
        </w:rPr>
        <w:t>一、基本概况</w:t>
      </w:r>
    </w:p>
    <w:p>
      <w:pPr>
        <w:spacing w:line="360" w:lineRule="auto"/>
        <w:ind w:firstLine="560" w:firstLineChars="200"/>
        <w:rPr>
          <w:rFonts w:hint="eastAsia" w:ascii="微软雅黑" w:hAnsi="微软雅黑" w:eastAsia="微软雅黑" w:cs="微软雅黑"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  <w:lang w:eastAsia="zh-CN"/>
        </w:rPr>
        <w:t>针对老城片区大丛林巷区域现状交通拥堵、停车难及市政项目实施难度大等一系列问题，亟需对该区域进行规划调整，充分利用该区域闲置用地以解决相关公众民生问题，提升近期建设可操作性。</w:t>
      </w:r>
    </w:p>
    <w:p>
      <w:pPr>
        <w:numPr>
          <w:ilvl w:val="0"/>
          <w:numId w:val="1"/>
        </w:numPr>
        <w:spacing w:line="360" w:lineRule="auto"/>
        <w:rPr>
          <w:rFonts w:hint="eastAsia" w:ascii="微软雅黑" w:hAnsi="微软雅黑" w:eastAsia="微软雅黑" w:cs="微软雅黑"/>
          <w:b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/>
          <w:sz w:val="28"/>
          <w:szCs w:val="28"/>
          <w:lang w:eastAsia="zh-CN"/>
        </w:rPr>
        <w:t>调整范围及规模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微软雅黑" w:hAnsi="微软雅黑" w:eastAsia="微软雅黑" w:cs="微软雅黑"/>
          <w:b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调整范围为乐山市中心城区</w:t>
      </w:r>
      <w:r>
        <w:rPr>
          <w:rFonts w:hint="eastAsia" w:ascii="微软雅黑" w:hAnsi="微软雅黑" w:eastAsia="微软雅黑" w:cs="微软雅黑"/>
          <w:bCs/>
          <w:sz w:val="28"/>
          <w:szCs w:val="28"/>
          <w:lang w:eastAsia="zh-CN"/>
        </w:rPr>
        <w:t>老城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片区控制性详细规划</w:t>
      </w:r>
      <w:r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  <w:t>LC(B)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管理单元</w:t>
      </w:r>
      <w:r>
        <w:rPr>
          <w:rFonts w:hint="eastAsia" w:ascii="微软雅黑" w:hAnsi="微软雅黑" w:eastAsia="微软雅黑" w:cs="微软雅黑"/>
          <w:bCs/>
          <w:sz w:val="28"/>
          <w:szCs w:val="28"/>
          <w:lang w:eastAsia="zh-CN"/>
        </w:rPr>
        <w:t>中六个地块</w:t>
      </w:r>
      <w:r>
        <w:rPr>
          <w:rFonts w:hint="eastAsia" w:ascii="微软雅黑" w:hAnsi="微软雅黑" w:eastAsia="微软雅黑" w:cs="微软雅黑"/>
          <w:sz w:val="28"/>
          <w:szCs w:val="28"/>
        </w:rPr>
        <w:t>，规模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约为</w:t>
      </w:r>
      <w:r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  <w:t>4.8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公顷。</w:t>
      </w:r>
    </w:p>
    <w:p>
      <w:pPr>
        <w:spacing w:line="360" w:lineRule="auto"/>
        <w:rPr>
          <w:rFonts w:hint="eastAsia" w:ascii="微软雅黑" w:hAnsi="微软雅黑" w:eastAsia="微软雅黑" w:cs="微软雅黑"/>
          <w:b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sz w:val="28"/>
          <w:szCs w:val="28"/>
          <w:lang w:eastAsia="zh-CN"/>
        </w:rPr>
        <w:t>三、调整论证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概况</w:t>
      </w:r>
    </w:p>
    <w:p>
      <w:pPr>
        <w:spacing w:line="360" w:lineRule="auto"/>
        <w:ind w:firstLine="560" w:firstLineChars="200"/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（一）</w:t>
      </w:r>
      <w:r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  <w:t>论证方法</w:t>
      </w:r>
    </w:p>
    <w:p>
      <w:pPr>
        <w:spacing w:line="360" w:lineRule="auto"/>
        <w:ind w:firstLine="560" w:firstLineChars="200"/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  <w:t>从规划调整的必要性、符合性及合理性等方面展开分析论证，在不改变建设用地规模的前提下，提高闲置低效用地利用率，优化该区域规划布局。</w:t>
      </w:r>
    </w:p>
    <w:p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  <w:t>主要内容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优化支路网体系，落实相关市政工程项目；对LC(B)-01-c、02-a、02-b地块进行整合；将LC(B)-03-a地块部分居住用地调整为弹性用地；调整LC(B)-03-b地块界线，商业用地调整为弹性用地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；将LC(B)-04-a地块部分用地调整为弹性用地。</w:t>
      </w:r>
    </w:p>
    <w:p>
      <w:pPr>
        <w:spacing w:line="360" w:lineRule="auto"/>
        <w:ind w:firstLine="560" w:firstLineChars="200"/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（</w:t>
      </w:r>
      <w:r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  <w:t>三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）</w:t>
      </w:r>
      <w:r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  <w:t>论证结论</w:t>
      </w:r>
    </w:p>
    <w:p>
      <w:pPr>
        <w:spacing w:line="360" w:lineRule="auto"/>
        <w:ind w:firstLine="560" w:firstLineChars="200"/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  <w:t>调整符合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17版城市总规、老城片区控规及小丛林巷</w:t>
      </w:r>
      <w:r>
        <w:rPr>
          <w:rFonts w:hint="eastAsia" w:ascii="微软雅黑" w:hAnsi="微软雅黑" w:eastAsia="微软雅黑" w:cs="微软雅黑"/>
          <w:bCs/>
          <w:sz w:val="28"/>
          <w:szCs w:val="28"/>
          <w:lang w:eastAsia="zh-CN"/>
        </w:rPr>
        <w:t>市政项目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方案和棚改项目方案，</w:t>
      </w:r>
      <w:r>
        <w:rPr>
          <w:rFonts w:hint="eastAsia" w:ascii="微软雅黑" w:hAnsi="微软雅黑" w:eastAsia="微软雅黑" w:cs="微软雅黑"/>
          <w:bCs/>
          <w:sz w:val="28"/>
          <w:szCs w:val="28"/>
          <w:lang w:eastAsia="zh-CN"/>
        </w:rPr>
        <w:t>属正向优化，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项目调整符合国家相关法律法规和技术规范</w:t>
      </w:r>
      <w:r>
        <w:rPr>
          <w:rFonts w:hint="eastAsia" w:ascii="微软雅黑" w:hAnsi="微软雅黑" w:eastAsia="微软雅黑" w:cs="微软雅黑"/>
          <w:bCs/>
          <w:sz w:val="28"/>
          <w:szCs w:val="28"/>
          <w:lang w:eastAsia="zh-CN"/>
        </w:rPr>
        <w:t>、方案科学合理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具有可行性。</w:t>
      </w:r>
    </w:p>
    <w:p>
      <w:pPr>
        <w:spacing w:line="360" w:lineRule="auto"/>
        <w:rPr>
          <w:rFonts w:hint="eastAsia" w:ascii="微软雅黑" w:hAnsi="微软雅黑" w:eastAsia="微软雅黑" w:cs="微软雅黑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C11A23"/>
    <w:multiLevelType w:val="singleLevel"/>
    <w:tmpl w:val="9FC11A2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7272363"/>
    <w:multiLevelType w:val="singleLevel"/>
    <w:tmpl w:val="0727236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9467C8"/>
    <w:rsid w:val="389467C8"/>
    <w:rsid w:val="6E48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2022-11-03T03:20:00Z</dcterms:created>
  <dc:creator>WPS_1641604366</dc:creator>
  <cp:lastModifiedBy>WPS_1641604366</cp:lastModifiedBy>
  <dcterms:modified xsi:type="dcterms:W3CDTF">2022-11-03T06:51:31Z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