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乐山市中心城区通江片区TJ(B)-01-a-1号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乐山市自然资源和规划局《关于乐山市中心城区通江片区TJ(B)-01-a-1号</w:t>
      </w:r>
      <w:r>
        <w:rPr>
          <w:rFonts w:hint="eastAsia" w:ascii="Times New Roman" w:hAnsi="Times New Roman" w:eastAsia="楷体_GB2312" w:cs="Times New Roman"/>
          <w:sz w:val="32"/>
          <w:szCs w:val="32"/>
          <w:lang w:val="en-US" w:eastAsia="zh-CN"/>
        </w:rPr>
        <w:t>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99</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中心城区通江片区北通路北侧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东临：国有土地；南临：国有土地；西临：国有土地；北临：</w:t>
      </w:r>
      <w:r>
        <w:rPr>
          <w:rFonts w:hint="eastAsia" w:eastAsia="仿宋_GB2312"/>
          <w:sz w:val="32"/>
          <w:szCs w:val="32"/>
          <w:lang w:eastAsia="zh-CN"/>
        </w:rPr>
        <w:t>国有土地</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ascii="Times New Roman" w:hAnsi="Times New Roman" w:eastAsia="楷体_GB2312" w:cs="Times New Roman"/>
          <w:sz w:val="32"/>
          <w:szCs w:val="32"/>
          <w:lang w:eastAsia="zh-CN"/>
        </w:rPr>
        <w:t>TJ(B)-01-a-1号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67311.61</w:t>
      </w:r>
      <w:r>
        <w:rPr>
          <w:rFonts w:hint="eastAsia" w:ascii="仿宋_GB2312" w:eastAsia="仿宋_GB2312"/>
          <w:b/>
          <w:bCs/>
          <w:sz w:val="32"/>
          <w:szCs w:val="32"/>
        </w:rPr>
        <w:t>平方米（约</w:t>
      </w:r>
      <w:r>
        <w:rPr>
          <w:rFonts w:hint="eastAsia" w:ascii="仿宋_GB2312" w:eastAsia="仿宋_GB2312"/>
          <w:b/>
          <w:bCs/>
          <w:sz w:val="32"/>
          <w:szCs w:val="32"/>
          <w:lang w:val="en-US" w:eastAsia="zh-CN"/>
        </w:rPr>
        <w:t>100.97</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城镇住宅用地。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：70年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性质：二类城镇住宅用地（070102）</w:t>
      </w:r>
      <w:r>
        <w:rPr>
          <w:rFonts w:hint="eastAsia" w:eastAsia="仿宋_GB2312" w:cs="Times New Roman"/>
          <w:b/>
          <w:bCs/>
          <w:kern w:val="0"/>
          <w:sz w:val="32"/>
          <w:szCs w:val="32"/>
          <w:lang w:val="en-US" w:eastAsia="zh-CN"/>
        </w:rPr>
        <w:t>。</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rPr>
        <w:t>（2）容积</w:t>
      </w:r>
      <w:r>
        <w:rPr>
          <w:rFonts w:hint="eastAsia" w:ascii="Times New Roman" w:hAnsi="Times New Roman" w:eastAsia="仿宋_GB2312" w:cs="Times New Roman"/>
          <w:b/>
          <w:bCs/>
          <w:kern w:val="0"/>
          <w:sz w:val="32"/>
          <w:szCs w:val="32"/>
          <w:lang w:val="en-US" w:eastAsia="zh-CN"/>
        </w:rPr>
        <w:t>率：</w:t>
      </w:r>
      <w:r>
        <w:rPr>
          <w:rFonts w:hint="eastAsia" w:eastAsia="仿宋_GB2312" w:cs="Times New Roman"/>
          <w:b/>
          <w:bCs/>
          <w:kern w:val="0"/>
          <w:sz w:val="32"/>
          <w:szCs w:val="32"/>
          <w:lang w:val="en-US" w:eastAsia="zh-CN"/>
        </w:rPr>
        <w:t>大于1.0，且不大于2.0。规划方案建筑面积计算按照现行《建筑工程建筑面积计算规范》和《乐山市城市规划管理技术规定》执行。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不大于30%。</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（4）绿地率：不小于30%。</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高度：不超过40米（临江一侧，沿地块用地线进深50米范围内，限高22米）。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 xml:space="preserve">  </w:t>
      </w: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38A51F9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2）根据市住房城乡建设局等9部门联合印发的《关于印发乐山市绿色建筑创建行动实施计划的通知》(乐住建发[2021]9号)要求，该地块建设项目至少满足《绿色建筑评价标准》基本级要求;若地块内包含政府投资或政府投资为主的建筑、单体建筑面积大于2万平方米的公共建筑、新建住宅小区，应至少满足绿色建筑一星级要求，并将上述绿色建筑要求纳入项目设计环节统筹落实。由住房城乡建设部门负责审查、认定。</w:t>
      </w:r>
    </w:p>
    <w:p w14:paraId="2BA583C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（3）该宗土地需明确采用装配式建造方式，且单体装配率不低于40%，由住房城乡建设部门负责审查、认定。</w:t>
      </w:r>
    </w:p>
    <w:p w14:paraId="072E9EA5">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（4）鉴于地下文物的不可预知性，在项目建设过程中发现文物或者疑似文物，应当保护现场，立即报告文物部门，</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具体规划要求详见：乐山市自然资源和规划局《关于乐山市中心城区通江片区TJ(B)-01-a-1号地块规划条件的函》（乐市自然资规规划函〔2025〕99号）。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两年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四年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5420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27100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签订土地拍卖成交确认书</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26D1FD43"/>
    <w:p w14:paraId="5BFD9D37"/>
    <w:p w14:paraId="38734F14"/>
    <w:p w14:paraId="173E184D"/>
    <w:p w14:paraId="57079279"/>
    <w:p w14:paraId="2F5C9BB6"/>
    <w:p w14:paraId="76ACFBC2"/>
    <w:p w14:paraId="2C33675F"/>
    <w:p w14:paraId="7A177971"/>
    <w:p w14:paraId="6518BD14">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1-a-1</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5420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1-a-1</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F58784E">
      <w:pPr>
        <w:adjustRightInd w:val="0"/>
        <w:spacing w:line="520" w:lineRule="exact"/>
        <w:ind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签订土地拍卖成交确认书</w:t>
      </w:r>
      <w:r>
        <w:rPr>
          <w:rFonts w:hint="eastAsia" w:eastAsia="黑体"/>
          <w:b/>
          <w:sz w:val="32"/>
          <w:szCs w:val="32"/>
        </w:rPr>
        <w:t>之日起</w:t>
      </w:r>
      <w:r>
        <w:rPr>
          <w:rFonts w:eastAsia="黑体"/>
          <w:b/>
          <w:sz w:val="32"/>
          <w:szCs w:val="32"/>
        </w:rPr>
        <w:t>10个工作日内</w:t>
      </w:r>
      <w:r>
        <w:rPr>
          <w:rFonts w:hint="eastAsia" w:eastAsia="黑体"/>
          <w:b/>
          <w:sz w:val="32"/>
          <w:szCs w:val="32"/>
          <w:lang w:eastAsia="zh-CN"/>
        </w:rPr>
        <w:t>，</w:t>
      </w:r>
      <w:r>
        <w:rPr>
          <w:rFonts w:eastAsia="黑体"/>
          <w:b/>
          <w:sz w:val="32"/>
          <w:szCs w:val="32"/>
        </w:rPr>
        <w:t>与</w:t>
      </w:r>
      <w:r>
        <w:rPr>
          <w:rFonts w:hint="eastAsia" w:eastAsia="黑体"/>
          <w:b/>
          <w:sz w:val="32"/>
          <w:szCs w:val="32"/>
          <w:lang w:eastAsia="zh-CN"/>
        </w:rPr>
        <w:t>乐山市自</w:t>
      </w:r>
      <w:r>
        <w:rPr>
          <w:rFonts w:eastAsia="黑体"/>
          <w:b/>
          <w:sz w:val="32"/>
          <w:szCs w:val="32"/>
        </w:rPr>
        <w:t>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1-a-1</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2000EBA0">
      <w:pPr>
        <w:spacing w:line="560" w:lineRule="exact"/>
        <w:ind w:right="-42" w:rightChars="-20"/>
        <w:jc w:val="both"/>
        <w:rPr>
          <w:rFonts w:eastAsia="方正小标宋简体"/>
          <w:b/>
          <w:sz w:val="44"/>
          <w:szCs w:val="44"/>
        </w:rPr>
      </w:pPr>
      <w:bookmarkStart w:id="2" w:name="_GoBack"/>
      <w:bookmarkEnd w:id="2"/>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06473"/>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2B0B7B"/>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57B40"/>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97E9B"/>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065E4C"/>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11321</Words>
  <Characters>11805</Characters>
  <Lines>153</Lines>
  <Paragraphs>43</Paragraphs>
  <TotalTime>18</TotalTime>
  <ScaleCrop>false</ScaleCrop>
  <LinksUpToDate>false</LinksUpToDate>
  <CharactersWithSpaces>12647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2025-11-21T03:00:20Z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