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乐山市中心城区通江片区TJ(B)-01-</w:t>
      </w:r>
      <w:r>
        <w:rPr>
          <w:rFonts w:hint="eastAsia" w:eastAsia="方正小标宋简体"/>
          <w:b/>
          <w:bCs/>
          <w:sz w:val="44"/>
          <w:szCs w:val="44"/>
          <w:lang w:val="en-US" w:eastAsia="zh-CN"/>
        </w:rPr>
        <w:t>b</w:t>
      </w:r>
      <w:r>
        <w:rPr>
          <w:rFonts w:hint="eastAsia" w:eastAsia="方正小标宋简体"/>
          <w:b/>
          <w:bCs/>
          <w:sz w:val="44"/>
          <w:szCs w:val="44"/>
          <w:lang w:eastAsia="zh-CN"/>
        </w:rPr>
        <w:t>-1号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乐山市自然资源和规划局《关于乐山市中心城区通江片区TJ(B)-01-</w:t>
      </w:r>
      <w:r>
        <w:rPr>
          <w:rFonts w:hint="eastAsia" w:eastAsia="楷体_GB2312" w:cs="Times New Roman"/>
          <w:sz w:val="32"/>
          <w:szCs w:val="32"/>
          <w:lang w:val="en-US" w:eastAsia="zh-CN"/>
        </w:rPr>
        <w:t>b</w:t>
      </w:r>
      <w:r>
        <w:rPr>
          <w:rFonts w:hint="eastAsia" w:ascii="Times New Roman" w:hAnsi="Times New Roman" w:eastAsia="楷体_GB2312" w:cs="Times New Roman"/>
          <w:sz w:val="32"/>
          <w:szCs w:val="32"/>
          <w:lang w:eastAsia="zh-CN"/>
        </w:rPr>
        <w:t>-1号</w:t>
      </w:r>
      <w:r>
        <w:rPr>
          <w:rFonts w:hint="eastAsia" w:ascii="Times New Roman" w:hAnsi="Times New Roman" w:eastAsia="楷体_GB2312" w:cs="Times New Roman"/>
          <w:sz w:val="32"/>
          <w:szCs w:val="32"/>
          <w:lang w:val="en-US" w:eastAsia="zh-CN"/>
        </w:rPr>
        <w:t>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98</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中心城区通江片区省道</w:t>
      </w:r>
      <w:r>
        <w:rPr>
          <w:rFonts w:hint="eastAsia" w:ascii="仿宋_GB2312" w:hAnsi="仿宋_GB2312" w:eastAsia="仿宋_GB2312" w:cs="仿宋_GB2312"/>
          <w:sz w:val="32"/>
          <w:szCs w:val="32"/>
          <w:lang w:val="en-US" w:eastAsia="zh-CN"/>
        </w:rPr>
        <w:t>308南侧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w:t>
      </w:r>
      <w:r>
        <w:rPr>
          <w:rFonts w:hint="eastAsia" w:eastAsia="仿宋_GB2312"/>
          <w:sz w:val="32"/>
          <w:szCs w:val="32"/>
          <w:lang w:eastAsia="zh-CN"/>
        </w:rPr>
        <w:t>檀木嘴社区</w:t>
      </w:r>
      <w:r>
        <w:rPr>
          <w:rFonts w:hint="eastAsia" w:eastAsia="仿宋_GB2312"/>
          <w:sz w:val="32"/>
          <w:szCs w:val="32"/>
          <w:lang w:val="en-US" w:eastAsia="zh-CN"/>
        </w:rPr>
        <w:t>1组、国有土地</w:t>
      </w:r>
      <w:r>
        <w:rPr>
          <w:rFonts w:eastAsia="仿宋_GB2312"/>
          <w:sz w:val="32"/>
          <w:szCs w:val="32"/>
        </w:rPr>
        <w:t>；南临：国有土地；西临：国有土地；北临：</w:t>
      </w:r>
      <w:r>
        <w:rPr>
          <w:rFonts w:hint="eastAsia" w:eastAsia="仿宋_GB2312"/>
          <w:sz w:val="32"/>
          <w:szCs w:val="32"/>
          <w:lang w:eastAsia="zh-CN"/>
        </w:rPr>
        <w:t>国有土地</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ascii="Times New Roman" w:hAnsi="Times New Roman" w:eastAsia="楷体_GB2312" w:cs="Times New Roman"/>
          <w:sz w:val="32"/>
          <w:szCs w:val="32"/>
          <w:lang w:eastAsia="zh-CN"/>
        </w:rPr>
        <w:t>TJ(B)-01-</w:t>
      </w:r>
      <w:r>
        <w:rPr>
          <w:rFonts w:hint="eastAsia" w:eastAsia="楷体_GB2312" w:cs="Times New Roman"/>
          <w:sz w:val="32"/>
          <w:szCs w:val="32"/>
          <w:lang w:val="en-US" w:eastAsia="zh-CN"/>
        </w:rPr>
        <w:t>b</w:t>
      </w:r>
      <w:r>
        <w:rPr>
          <w:rFonts w:hint="eastAsia" w:ascii="Times New Roman" w:hAnsi="Times New Roman" w:eastAsia="楷体_GB2312" w:cs="Times New Roman"/>
          <w:sz w:val="32"/>
          <w:szCs w:val="32"/>
          <w:lang w:eastAsia="zh-CN"/>
        </w:rPr>
        <w:t>-1号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29958.22</w:t>
      </w:r>
      <w:r>
        <w:rPr>
          <w:rFonts w:hint="eastAsia" w:ascii="仿宋_GB2312" w:eastAsia="仿宋_GB2312"/>
          <w:b/>
          <w:bCs/>
          <w:sz w:val="32"/>
          <w:szCs w:val="32"/>
        </w:rPr>
        <w:t>平方米（约</w:t>
      </w:r>
      <w:r>
        <w:rPr>
          <w:rFonts w:hint="eastAsia" w:ascii="仿宋_GB2312" w:eastAsia="仿宋_GB2312"/>
          <w:b/>
          <w:bCs/>
          <w:sz w:val="32"/>
          <w:szCs w:val="32"/>
          <w:lang w:val="en-US" w:eastAsia="zh-CN"/>
        </w:rPr>
        <w:t>44.94</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交通场站用地。</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：50年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性质：</w:t>
      </w:r>
      <w:r>
        <w:rPr>
          <w:rFonts w:hint="eastAsia" w:eastAsia="仿宋_GB2312" w:cs="Times New Roman"/>
          <w:b/>
          <w:bCs/>
          <w:kern w:val="0"/>
          <w:sz w:val="32"/>
          <w:szCs w:val="32"/>
          <w:lang w:val="en-US" w:eastAsia="zh-CN"/>
        </w:rPr>
        <w:t>交通场站用地</w:t>
      </w:r>
      <w:r>
        <w:rPr>
          <w:rFonts w:hint="eastAsia" w:ascii="Times New Roman" w:hAnsi="Times New Roman" w:eastAsia="仿宋_GB2312" w:cs="Times New Roman"/>
          <w:b/>
          <w:bCs/>
          <w:kern w:val="0"/>
          <w:sz w:val="32"/>
          <w:szCs w:val="32"/>
          <w:lang w:val="en-US" w:eastAsia="zh-CN"/>
        </w:rPr>
        <w:t>（</w:t>
      </w:r>
      <w:r>
        <w:rPr>
          <w:rFonts w:hint="eastAsia" w:eastAsia="仿宋_GB2312" w:cs="Times New Roman"/>
          <w:b/>
          <w:bCs/>
          <w:kern w:val="0"/>
          <w:sz w:val="32"/>
          <w:szCs w:val="32"/>
          <w:lang w:val="en-US" w:eastAsia="zh-CN"/>
        </w:rPr>
        <w:t>1208</w:t>
      </w:r>
      <w:r>
        <w:rPr>
          <w:rFonts w:hint="eastAsia" w:ascii="Times New Roman" w:hAnsi="Times New Roman" w:eastAsia="仿宋_GB2312" w:cs="Times New Roman"/>
          <w:b/>
          <w:bCs/>
          <w:kern w:val="0"/>
          <w:sz w:val="32"/>
          <w:szCs w:val="32"/>
          <w:lang w:val="en-US" w:eastAsia="zh-CN"/>
        </w:rPr>
        <w:t>）</w:t>
      </w:r>
      <w:r>
        <w:rPr>
          <w:rFonts w:hint="eastAsia" w:eastAsia="仿宋_GB2312" w:cs="Times New Roman"/>
          <w:b/>
          <w:bCs/>
          <w:kern w:val="0"/>
          <w:sz w:val="32"/>
          <w:szCs w:val="32"/>
          <w:lang w:val="en-US" w:eastAsia="zh-CN"/>
        </w:rPr>
        <w:t>。</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b/>
          <w:bCs/>
          <w:kern w:val="0"/>
          <w:sz w:val="32"/>
          <w:szCs w:val="32"/>
        </w:rPr>
        <w:t>（2）容积</w:t>
      </w:r>
      <w:r>
        <w:rPr>
          <w:rFonts w:hint="eastAsia" w:ascii="Times New Roman" w:hAnsi="Times New Roman" w:eastAsia="仿宋_GB2312" w:cs="Times New Roman"/>
          <w:b/>
          <w:bCs/>
          <w:kern w:val="0"/>
          <w:sz w:val="32"/>
          <w:szCs w:val="32"/>
          <w:lang w:val="en-US" w:eastAsia="zh-CN"/>
        </w:rPr>
        <w:t>率：</w:t>
      </w:r>
      <w:r>
        <w:rPr>
          <w:rFonts w:hint="eastAsia" w:eastAsia="仿宋_GB2312" w:cs="Times New Roman"/>
          <w:b/>
          <w:bCs/>
          <w:kern w:val="0"/>
          <w:sz w:val="32"/>
          <w:szCs w:val="32"/>
          <w:lang w:val="en-US" w:eastAsia="zh-CN"/>
        </w:rPr>
        <w:t>不大于1.0。规划方案建筑面积计算按照现行《建筑工程建筑面积计算规范》和《乐山市城市规划管理技术规定》执行。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不大于25%。</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w:t>
      </w:r>
      <w:r>
        <w:rPr>
          <w:rFonts w:hint="eastAsia" w:eastAsia="仿宋_GB2312" w:cs="Times New Roman"/>
          <w:b/>
          <w:bCs/>
          <w:kern w:val="0"/>
          <w:sz w:val="32"/>
          <w:szCs w:val="32"/>
          <w:lang w:val="en-US" w:eastAsia="zh-CN"/>
        </w:rPr>
        <w:t>25</w:t>
      </w:r>
      <w:r>
        <w:rPr>
          <w:rFonts w:hint="eastAsia" w:ascii="Times New Roman" w:hAnsi="Times New Roman" w:eastAsia="仿宋_GB2312" w:cs="Times New Roman"/>
          <w:b/>
          <w:bCs/>
          <w:kern w:val="0"/>
          <w:sz w:val="32"/>
          <w:szCs w:val="32"/>
          <w:lang w:val="en-US" w:eastAsia="zh-CN"/>
        </w:rPr>
        <w:t>%。</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w:t>
      </w:r>
      <w:r>
        <w:rPr>
          <w:rFonts w:hint="eastAsia" w:eastAsia="仿宋_GB2312" w:cs="Times New Roman"/>
          <w:b/>
          <w:bCs/>
          <w:kern w:val="0"/>
          <w:sz w:val="32"/>
          <w:szCs w:val="32"/>
          <w:lang w:val="en-US" w:eastAsia="zh-CN"/>
        </w:rPr>
        <w:t>24</w:t>
      </w:r>
      <w:r>
        <w:rPr>
          <w:rFonts w:hint="eastAsia" w:ascii="Times New Roman" w:hAnsi="Times New Roman" w:eastAsia="仿宋_GB2312" w:cs="Times New Roman"/>
          <w:b/>
          <w:bCs/>
          <w:kern w:val="0"/>
          <w:sz w:val="32"/>
          <w:szCs w:val="32"/>
          <w:lang w:val="en-US" w:eastAsia="zh-CN"/>
        </w:rPr>
        <w:t>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45624986">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需符合《国务</w:t>
      </w:r>
      <w:r>
        <w:rPr>
          <w:rFonts w:hint="eastAsia" w:eastAsia="仿宋_GB2312"/>
          <w:b/>
          <w:bCs/>
          <w:kern w:val="0"/>
          <w:sz w:val="32"/>
          <w:szCs w:val="32"/>
          <w:lang w:val="en-US" w:eastAsia="zh-CN"/>
        </w:rPr>
        <w:t>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等有关要求，由住房城乡建设部门负责审查、认定。</w:t>
      </w:r>
    </w:p>
    <w:p w14:paraId="4DC06AA9">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2）根据市住房城乡建设局等9部门联合印发的《关于印发乐山市绿色建筑创建行动实施计划的通知》(乐住建发[2021]9号)要求，该地块建设项目至少满足《绿色建筑评价标准》基本级要求;若地块内包含政府投资或政府投资为主的建筑、单体建筑面积大于2万平方米的公共建筑、新建住宅小区，应至少满足绿色建筑一星级要求，并将上述绿色建筑要求纳入项目设计环节统筹落实。由住房城乡建设部门负责审查、认定。</w:t>
      </w:r>
    </w:p>
    <w:p w14:paraId="136D3BE0">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（3）鉴于地下文物的不可预知性，在项目建设过程中发现文物或者疑似文物，应当保护现场，立即报告文物部门。</w:t>
      </w:r>
    </w:p>
    <w:p w14:paraId="46B662EF">
      <w:pPr>
        <w:spacing w:line="520" w:lineRule="exact"/>
        <w:ind w:left="-2" w:leftChars="-1" w:firstLine="643" w:firstLineChars="200"/>
        <w:rPr>
          <w:rFonts w:hint="default" w:eastAsia="仿宋_GB2312"/>
          <w:b/>
          <w:bCs/>
          <w:kern w:val="0"/>
          <w:sz w:val="32"/>
          <w:szCs w:val="32"/>
          <w:lang w:val="en-US" w:eastAsia="zh-CN"/>
        </w:rPr>
      </w:pPr>
      <w:bookmarkStart w:id="2" w:name="_GoBack"/>
      <w:r>
        <w:rPr>
          <w:rFonts w:hint="eastAsia" w:eastAsia="仿宋_GB2312"/>
          <w:b/>
          <w:bCs/>
          <w:kern w:val="0"/>
          <w:sz w:val="32"/>
          <w:szCs w:val="32"/>
          <w:lang w:val="en-US" w:eastAsia="zh-CN"/>
        </w:rPr>
        <w:t>（4）该宗土地需明确采用装配式建造方式，且单体装配率不低于40%，由住房城乡建设部门负责审查、认定。</w:t>
      </w:r>
    </w:p>
    <w:bookmarkEnd w:id="2"/>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具体规划要求详见：乐山市自然资源和规划局《关于乐山市中心城区通江片区TJ(B)-01-b-1号地块规划条件的函》（乐市自然资规规划函〔2025〕98号）。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两年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四年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1500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7500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50</w:t>
      </w:r>
      <w:r>
        <w:rPr>
          <w:rFonts w:eastAsia="楷体_GB2312"/>
          <w:b/>
          <w:bCs/>
          <w:sz w:val="32"/>
          <w:szCs w:val="32"/>
        </w:rPr>
        <w:t>万元或</w:t>
      </w:r>
      <w:r>
        <w:rPr>
          <w:rFonts w:hint="eastAsia" w:eastAsia="楷体_GB2312"/>
          <w:b/>
          <w:bCs/>
          <w:sz w:val="32"/>
          <w:szCs w:val="32"/>
          <w:lang w:val="en-US" w:eastAsia="zh-CN"/>
        </w:rPr>
        <w:t>50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土地拍卖成交</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出让宗地内的建构筑物的拆迁及青苗林木的补偿、地上杆线的迁改均由政府负责实施；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38135E35">
      <w:pPr>
        <w:spacing w:line="640" w:lineRule="exact"/>
        <w:jc w:val="center"/>
        <w:rPr>
          <w:rFonts w:eastAsia="方正小标宋简体"/>
          <w:b/>
          <w:sz w:val="44"/>
          <w:szCs w:val="44"/>
        </w:rPr>
      </w:pPr>
    </w:p>
    <w:p w14:paraId="002F6423"/>
    <w:p w14:paraId="26D1FD43"/>
    <w:p w14:paraId="5BFD9D37"/>
    <w:p w14:paraId="38734F14"/>
    <w:p w14:paraId="173E184D"/>
    <w:p w14:paraId="57079279"/>
    <w:p w14:paraId="2F5C9BB6"/>
    <w:p w14:paraId="76ACFBC2"/>
    <w:p w14:paraId="2C33675F"/>
    <w:p w14:paraId="7A177971"/>
    <w:p w14:paraId="47F7E3DD"/>
    <w:p w14:paraId="7FDDF9E5"/>
    <w:p w14:paraId="4A1A296A"/>
    <w:p w14:paraId="72D28C4C"/>
    <w:p w14:paraId="490B7E15"/>
    <w:p w14:paraId="7231BA2E"/>
    <w:p w14:paraId="6518BD14">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B )-0</w:t>
      </w:r>
      <w:r>
        <w:rPr>
          <w:rFonts w:hint="eastAsia" w:eastAsia="仿宋_GB2312"/>
          <w:sz w:val="32"/>
          <w:szCs w:val="32"/>
          <w:lang w:val="en-US" w:eastAsia="zh-CN"/>
        </w:rPr>
        <w:t>1-b-1</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1500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B )-0</w:t>
      </w:r>
      <w:r>
        <w:rPr>
          <w:rFonts w:hint="eastAsia" w:eastAsia="仿宋_GB2312"/>
          <w:sz w:val="32"/>
          <w:szCs w:val="32"/>
          <w:lang w:val="en-US" w:eastAsia="zh-CN"/>
        </w:rPr>
        <w:t>1-b-1</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土地拍卖成交</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乐山市中心城区通江片区[</w:t>
      </w:r>
      <w:r>
        <w:rPr>
          <w:rFonts w:hint="eastAsia" w:eastAsia="仿宋_GB2312"/>
          <w:sz w:val="32"/>
          <w:szCs w:val="32"/>
          <w:lang w:val="en-US" w:eastAsia="zh-CN"/>
        </w:rPr>
        <w:t>TJ</w:t>
      </w:r>
      <w:r>
        <w:rPr>
          <w:rFonts w:hint="eastAsia" w:eastAsia="仿宋_GB2312"/>
          <w:sz w:val="32"/>
          <w:szCs w:val="32"/>
          <w:lang w:eastAsia="zh-CN"/>
        </w:rPr>
        <w:t xml:space="preserve"> ( B )-0</w:t>
      </w:r>
      <w:r>
        <w:rPr>
          <w:rFonts w:hint="eastAsia" w:eastAsia="仿宋_GB2312"/>
          <w:sz w:val="32"/>
          <w:szCs w:val="32"/>
          <w:lang w:val="en-US" w:eastAsia="zh-CN"/>
        </w:rPr>
        <w:t>1-b-1</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42ACF4C7">
      <w:pPr>
        <w:spacing w:line="560" w:lineRule="exact"/>
        <w:ind w:right="-42" w:rightChars="-20"/>
        <w:jc w:val="center"/>
        <w:rPr>
          <w:rFonts w:eastAsia="方正小标宋简体"/>
          <w:b/>
          <w:sz w:val="44"/>
          <w:szCs w:val="44"/>
        </w:rPr>
      </w:pPr>
    </w:p>
    <w:p w14:paraId="2CF0C02A">
      <w:pPr>
        <w:spacing w:line="560" w:lineRule="exact"/>
        <w:ind w:right="-42" w:rightChars="-20"/>
        <w:jc w:val="center"/>
        <w:rPr>
          <w:rFonts w:eastAsia="方正小标宋简体"/>
          <w:b/>
          <w:sz w:val="44"/>
          <w:szCs w:val="44"/>
        </w:rPr>
      </w:pPr>
    </w:p>
    <w:p w14:paraId="2000EBA0">
      <w:pPr>
        <w:spacing w:line="560" w:lineRule="exact"/>
        <w:ind w:right="-42" w:rightChars="-20"/>
        <w:jc w:val="center"/>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6231D"/>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0F1138"/>
    <w:rsid w:val="4E1622A9"/>
    <w:rsid w:val="4E191DB8"/>
    <w:rsid w:val="4E2A18F9"/>
    <w:rsid w:val="4E361EBD"/>
    <w:rsid w:val="4E4879E3"/>
    <w:rsid w:val="4E4F1C10"/>
    <w:rsid w:val="4E594941"/>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82D2F"/>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623BC"/>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11275</Words>
  <Characters>11751</Characters>
  <Lines>153</Lines>
  <Paragraphs>43</Paragraphs>
  <TotalTime>31</TotalTime>
  <ScaleCrop>false</ScaleCrop>
  <LinksUpToDate>false</LinksUpToDate>
  <CharactersWithSpaces>12546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2025-11-21T05:49:57Z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