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乐山高新区</w:t>
      </w:r>
      <w:r>
        <w:rPr>
          <w:rFonts w:hint="eastAsia" w:eastAsia="方正小标宋简体"/>
          <w:b/>
          <w:bCs/>
          <w:sz w:val="44"/>
          <w:szCs w:val="44"/>
          <w:lang w:val="en-US" w:eastAsia="zh-CN"/>
        </w:rPr>
        <w:t>511102-GXQ-05-0301</w:t>
      </w:r>
      <w:r>
        <w:rPr>
          <w:rFonts w:hint="eastAsia" w:eastAsia="方正小标宋简体"/>
          <w:b/>
          <w:bCs/>
          <w:sz w:val="44"/>
          <w:szCs w:val="44"/>
          <w:lang w:eastAsia="zh-CN"/>
        </w:rPr>
        <w:t>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方正小标宋简体" w:hAnsi="宋体" w:eastAsia="方正小标宋简体"/>
          <w:b/>
          <w:sz w:val="32"/>
          <w:szCs w:val="32"/>
          <w:lang w:val="en-US" w:eastAsia="zh-CN"/>
        </w:rPr>
        <w:t xml:space="preserve"> </w:t>
      </w:r>
      <w:r>
        <w:rPr>
          <w:rFonts w:hint="eastAsia" w:eastAsia="楷体_GB2312"/>
          <w:sz w:val="32"/>
          <w:szCs w:val="32"/>
          <w:lang w:eastAsia="zh-CN"/>
        </w:rPr>
        <w:t>乐山市自然资源和规划局《关于乐山高新区511102-GXQ-05-</w:t>
      </w:r>
      <w:r>
        <w:rPr>
          <w:rFonts w:hint="eastAsia" w:eastAsia="楷体_GB2312"/>
          <w:sz w:val="32"/>
          <w:szCs w:val="32"/>
          <w:lang w:val="en-US" w:eastAsia="zh-CN"/>
        </w:rPr>
        <w:t>0301</w:t>
      </w:r>
      <w:r>
        <w:rPr>
          <w:rFonts w:hint="eastAsia" w:eastAsia="楷体_GB2312"/>
          <w:sz w:val="32"/>
          <w:szCs w:val="32"/>
          <w:lang w:eastAsia="zh-CN"/>
        </w:rPr>
        <w:t>号</w:t>
      </w:r>
      <w:r>
        <w:rPr>
          <w:rFonts w:hint="eastAsia" w:eastAsia="楷体_GB2312"/>
          <w:sz w:val="32"/>
          <w:szCs w:val="32"/>
          <w:lang w:val="en-US" w:eastAsia="zh-CN"/>
        </w:rPr>
        <w:t>地块规划条件的函</w:t>
      </w:r>
      <w:r>
        <w:rPr>
          <w:rFonts w:hint="eastAsia" w:eastAsia="楷体_GB2312"/>
          <w:sz w:val="32"/>
          <w:szCs w:val="32"/>
          <w:lang w:eastAsia="zh-CN"/>
        </w:rPr>
        <w:t>（乐市自然资规规划函〔202</w:t>
      </w:r>
      <w:r>
        <w:rPr>
          <w:rFonts w:hint="eastAsia" w:eastAsia="楷体_GB2312"/>
          <w:sz w:val="32"/>
          <w:szCs w:val="32"/>
          <w:lang w:val="en-US" w:eastAsia="zh-CN"/>
        </w:rPr>
        <w:t>5</w:t>
      </w:r>
      <w:r>
        <w:rPr>
          <w:rFonts w:hint="eastAsia" w:eastAsia="楷体_GB2312"/>
          <w:sz w:val="32"/>
          <w:szCs w:val="32"/>
          <w:lang w:eastAsia="zh-CN"/>
        </w:rPr>
        <w:t>〕</w:t>
      </w:r>
      <w:r>
        <w:rPr>
          <w:rFonts w:hint="eastAsia" w:eastAsia="楷体_GB2312"/>
          <w:sz w:val="32"/>
          <w:szCs w:val="32"/>
          <w:lang w:val="en-US" w:eastAsia="zh-CN"/>
        </w:rPr>
        <w:t>61</w:t>
      </w:r>
      <w:r>
        <w:rPr>
          <w:rFonts w:hint="eastAsia" w:eastAsia="楷体_GB2312"/>
          <w:sz w:val="32"/>
          <w:szCs w:val="32"/>
          <w:lang w:eastAsia="zh-CN"/>
        </w:rPr>
        <w:t>号）</w:t>
      </w:r>
      <w:r>
        <w:rPr>
          <w:rFonts w:hint="eastAsia" w:eastAsia="楷体_GB2312"/>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（十一）位置示意图；</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hint="eastAsia" w:eastAsia="仿宋_GB2312"/>
          <w:sz w:val="32"/>
          <w:szCs w:val="32"/>
          <w:u w:val="single"/>
          <w:lang w:eastAsia="zh-CN"/>
        </w:rPr>
      </w:pPr>
      <w:r>
        <w:rPr>
          <w:rFonts w:eastAsia="仿宋_GB2312"/>
          <w:b/>
          <w:sz w:val="32"/>
          <w:szCs w:val="32"/>
        </w:rPr>
        <w:t>1．</w:t>
      </w:r>
      <w:r>
        <w:rPr>
          <w:rFonts w:eastAsia="仿宋_GB2312"/>
          <w:sz w:val="32"/>
          <w:szCs w:val="32"/>
        </w:rPr>
        <w:t>宗地坐落：</w:t>
      </w:r>
      <w:r>
        <w:rPr>
          <w:rFonts w:hint="eastAsia" w:ascii="Times New Roman" w:hAnsi="Times New Roman" w:eastAsia="仿宋_GB2312"/>
          <w:sz w:val="32"/>
          <w:szCs w:val="32"/>
        </w:rPr>
        <w:t>高新区太安路以东、天合路以南、鹰嘴崖路以北区域</w:t>
      </w:r>
      <w:r>
        <w:rPr>
          <w:rFonts w:hint="eastAsia" w:ascii="Times New Roman" w:hAnsi="Times New Roman" w:eastAsia="仿宋_GB2312"/>
          <w:sz w:val="32"/>
          <w:szCs w:val="32"/>
          <w:lang w:eastAsia="zh-CN"/>
        </w:rPr>
        <w:t>。</w:t>
      </w:r>
    </w:p>
    <w:p w14:paraId="457063E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hint="eastAsia" w:ascii="Times New Roman" w:hAnsi="Times New Roman" w:eastAsia="仿宋_GB2312"/>
          <w:sz w:val="32"/>
          <w:szCs w:val="32"/>
        </w:rPr>
        <w:t>东临规划道路，西临太安路，南临鹰嘴崖路、国有土地，北临天合路</w:t>
      </w:r>
      <w:r>
        <w:rPr>
          <w:rFonts w:hint="eastAsia" w:ascii="Times New Roman" w:hAnsi="Times New Roman" w:eastAsia="仿宋_GB2312"/>
          <w:sz w:val="32"/>
          <w:szCs w:val="32"/>
          <w:lang w:eastAsia="zh-CN"/>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ascii="Times New Roman" w:hAnsi="Times New Roman" w:eastAsia="仿宋_GB2312"/>
          <w:sz w:val="32"/>
          <w:lang w:eastAsia="zh-CN"/>
        </w:rPr>
        <w:t>511102-GXQ-05-</w:t>
      </w:r>
      <w:r>
        <w:rPr>
          <w:rFonts w:hint="eastAsia" w:eastAsia="仿宋_GB2312"/>
          <w:sz w:val="32"/>
          <w:lang w:val="en-US" w:eastAsia="zh-CN"/>
        </w:rPr>
        <w:t>0301</w:t>
      </w:r>
      <w:r>
        <w:rPr>
          <w:rFonts w:hint="eastAsia" w:ascii="Times New Roman" w:hAnsi="Times New Roman" w:eastAsia="仿宋_GB2312"/>
          <w:sz w:val="32"/>
        </w:rPr>
        <w:t>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4．宗地面积：47538.20平方米（约71.31亩）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Times New Roman" w:hAnsi="Times New Roman" w:eastAsia="仿宋_GB2312"/>
          <w:sz w:val="32"/>
          <w:szCs w:val="32"/>
        </w:rPr>
        <w:t>城镇住宅用地、商业用地</w:t>
      </w:r>
      <w:r>
        <w:rPr>
          <w:rFonts w:hint="eastAsia" w:ascii="Times New Roman" w:hAnsi="Times New Roman" w:eastAsia="仿宋_GB2312"/>
          <w:color w:val="000000"/>
          <w:sz w:val="32"/>
        </w:rPr>
        <w:t>。</w:t>
      </w:r>
    </w:p>
    <w:p w14:paraId="2ABA5D9D">
      <w:pPr>
        <w:spacing w:line="520" w:lineRule="exact"/>
        <w:ind w:left="636" w:leftChars="303" w:firstLine="0" w:firstLineChars="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w:t>
      </w:r>
      <w:r>
        <w:rPr>
          <w:rFonts w:hint="eastAsia" w:ascii="Times New Roman" w:hAnsi="Times New Roman" w:eastAsia="仿宋_GB2312"/>
          <w:sz w:val="32"/>
          <w:szCs w:val="32"/>
        </w:rPr>
        <w:t>城镇住宅用地70年、商业用地40年</w:t>
      </w:r>
      <w:r>
        <w:rPr>
          <w:rFonts w:hint="eastAsia" w:ascii="Times New Roman" w:hAnsi="Times New Roman" w:eastAsia="仿宋_GB2312"/>
          <w:sz w:val="32"/>
        </w:rPr>
        <w:t>。</w:t>
      </w: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37D8CD6B">
      <w:pPr>
        <w:spacing w:line="520" w:lineRule="exact"/>
        <w:ind w:left="-2" w:leftChars="-1" w:firstLine="643" w:firstLineChars="200"/>
        <w:rPr>
          <w:rFonts w:hint="eastAsia" w:ascii="Times New Roman" w:hAnsi="Times New Roman" w:eastAsia="仿宋_GB2312"/>
          <w:sz w:val="32"/>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性质：</w:t>
      </w:r>
      <w:r>
        <w:rPr>
          <w:rFonts w:hint="eastAsia" w:ascii="Times New Roman" w:hAnsi="Times New Roman" w:eastAsia="仿宋_GB2312"/>
          <w:sz w:val="32"/>
        </w:rPr>
        <w:t>城镇住宅用地(</w:t>
      </w:r>
      <w:r>
        <w:rPr>
          <w:rFonts w:ascii="Times New Roman" w:hAnsi="Times New Roman" w:eastAsia="仿宋_GB2312"/>
          <w:sz w:val="32"/>
        </w:rPr>
        <w:t>0701</w:t>
      </w:r>
      <w:r>
        <w:rPr>
          <w:rFonts w:hint="eastAsia" w:ascii="Times New Roman" w:hAnsi="Times New Roman" w:eastAsia="仿宋_GB2312"/>
          <w:sz w:val="32"/>
        </w:rPr>
        <w:t>)，可配套不超过地块规定总计容建筑面积的10%的商业建筑。</w:t>
      </w:r>
    </w:p>
    <w:p w14:paraId="016A9C9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（2）容积率：</w:t>
      </w:r>
      <w:r>
        <w:rPr>
          <w:rFonts w:hint="eastAsia" w:eastAsia="仿宋_GB2312" w:cs="Times New Roman"/>
          <w:b/>
          <w:bCs/>
          <w:kern w:val="0"/>
          <w:sz w:val="32"/>
          <w:szCs w:val="32"/>
          <w:lang w:val="en-US" w:eastAsia="zh-CN"/>
        </w:rPr>
        <w:t>不小于</w:t>
      </w:r>
      <w:r>
        <w:rPr>
          <w:rFonts w:hint="eastAsia" w:ascii="Times New Roman" w:hAnsi="Times New Roman" w:eastAsia="仿宋_GB2312" w:cs="Times New Roman"/>
          <w:b/>
          <w:bCs/>
          <w:kern w:val="0"/>
          <w:sz w:val="32"/>
          <w:szCs w:val="32"/>
          <w:lang w:val="en-US" w:eastAsia="zh-CN"/>
        </w:rPr>
        <w:t>1.0且不大于2.</w:t>
      </w:r>
      <w:r>
        <w:rPr>
          <w:rFonts w:hint="eastAsia" w:eastAsia="仿宋_GB2312" w:cs="Times New Roman"/>
          <w:b/>
          <w:bCs/>
          <w:kern w:val="0"/>
          <w:sz w:val="32"/>
          <w:szCs w:val="32"/>
          <w:lang w:val="en-US" w:eastAsia="zh-CN"/>
        </w:rPr>
        <w:t>0</w:t>
      </w:r>
      <w:r>
        <w:rPr>
          <w:rFonts w:hint="eastAsia" w:ascii="Times New Roman" w:hAnsi="Times New Roman" w:eastAsia="仿宋_GB2312" w:cs="Times New Roman"/>
          <w:b/>
          <w:bCs/>
          <w:kern w:val="0"/>
          <w:sz w:val="32"/>
          <w:szCs w:val="32"/>
          <w:lang w:val="en-US" w:eastAsia="zh-CN"/>
        </w:rPr>
        <w:t>。规划方案建筑面积计算按照现行《民用建筑通用规范》、《建筑工程建筑面积计算规范》和《乐山市城市规划管理技术规定》执行。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 xml:space="preserve">（3）建筑密度：不大于22%。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（4）绿地率：不小于35%。</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（5）建筑高度：不超过54米且同时满足航空限高要求。</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w:t>
      </w:r>
      <w:r>
        <w:rPr>
          <w:rFonts w:hint="eastAsia" w:ascii="Times New Roman" w:hAnsi="Times New Roman" w:eastAsia="仿宋_GB2312" w:cs="Times New Roman"/>
          <w:b/>
          <w:bCs/>
          <w:kern w:val="0"/>
          <w:sz w:val="32"/>
          <w:szCs w:val="32"/>
          <w:lang w:val="en-US" w:eastAsia="zh-CN"/>
        </w:rPr>
        <w:t>划要求详见：乐山市自然资源和规划局《关于</w:t>
      </w:r>
      <w:r>
        <w:rPr>
          <w:rFonts w:hint="eastAsia" w:eastAsia="仿宋_GB2312" w:cs="Times New Roman"/>
          <w:b/>
          <w:bCs/>
          <w:kern w:val="0"/>
          <w:sz w:val="32"/>
          <w:szCs w:val="32"/>
          <w:lang w:val="en-US" w:eastAsia="zh-CN"/>
        </w:rPr>
        <w:t>乐山</w:t>
      </w:r>
      <w:r>
        <w:rPr>
          <w:rFonts w:hint="eastAsia" w:ascii="Times New Roman" w:hAnsi="Times New Roman" w:eastAsia="仿宋_GB2312" w:cs="Times New Roman"/>
          <w:b/>
          <w:bCs/>
          <w:kern w:val="0"/>
          <w:sz w:val="32"/>
          <w:szCs w:val="32"/>
          <w:lang w:val="en-US" w:eastAsia="zh-CN"/>
        </w:rPr>
        <w:t>高新区511102-GXQ-05-</w:t>
      </w:r>
      <w:r>
        <w:rPr>
          <w:rFonts w:hint="eastAsia" w:eastAsia="仿宋_GB2312" w:cs="Times New Roman"/>
          <w:b/>
          <w:bCs/>
          <w:kern w:val="0"/>
          <w:sz w:val="32"/>
          <w:szCs w:val="32"/>
          <w:lang w:val="en-US" w:eastAsia="zh-CN"/>
        </w:rPr>
        <w:t>0301</w:t>
      </w:r>
      <w:r>
        <w:rPr>
          <w:rFonts w:hint="eastAsia" w:ascii="Times New Roman" w:hAnsi="Times New Roman" w:eastAsia="仿宋_GB2312" w:cs="Times New Roman"/>
          <w:b/>
          <w:bCs/>
          <w:kern w:val="0"/>
          <w:sz w:val="32"/>
          <w:szCs w:val="32"/>
          <w:lang w:val="en-US" w:eastAsia="zh-CN"/>
        </w:rPr>
        <w:t>号地块规划条件的函（乐市自然资规规划函〔2025〕6</w:t>
      </w: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3年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3000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17</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17</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14980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18</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3E00BD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4F7F4724">
      <w:pPr>
        <w:spacing w:line="520" w:lineRule="exact"/>
        <w:ind w:firstLine="643" w:firstLineChars="200"/>
        <w:rPr>
          <w:rFonts w:hint="eastAsia" w:ascii="Times New Roman" w:hAnsi="Times New Roman" w:eastAsia="仿宋_GB2312"/>
          <w:sz w:val="32"/>
        </w:rPr>
      </w:pPr>
      <w:r>
        <w:rPr>
          <w:rFonts w:hint="eastAsia" w:eastAsia="楷体_GB2312"/>
          <w:b/>
          <w:bCs w:val="0"/>
          <w:sz w:val="32"/>
          <w:szCs w:val="32"/>
        </w:rPr>
        <w:t>竞得人在签订《国有建设用地使用权出让合同》之日起30日内缴纳土地出让价款的50%，剩余50%土地出让价款在签订《国有建设用地使用权出让合同》之日起1年内缴清，土地出让价款全额缴入乐山高新区（到国家税务总局乐山高新技术产业开发区税务局办理）</w:t>
      </w:r>
      <w:r>
        <w:rPr>
          <w:rFonts w:hint="eastAsia" w:ascii="Times New Roman" w:hAnsi="Times New Roman" w:eastAsia="仿宋_GB2312"/>
          <w:sz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6D5A5B14">
      <w:pPr>
        <w:spacing w:line="520" w:lineRule="exact"/>
        <w:ind w:firstLine="643" w:firstLineChars="200"/>
        <w:rPr>
          <w:rFonts w:eastAsia="黑体"/>
          <w:bCs/>
          <w:sz w:val="32"/>
          <w:szCs w:val="32"/>
        </w:rPr>
      </w:pPr>
      <w:r>
        <w:rPr>
          <w:rFonts w:hint="eastAsia" w:eastAsia="楷体_GB2312"/>
          <w:b/>
          <w:bCs w:val="0"/>
          <w:sz w:val="32"/>
          <w:szCs w:val="32"/>
        </w:rPr>
        <w:t>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w:t>
      </w: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6518BD14">
      <w:pPr>
        <w:spacing w:line="520" w:lineRule="exact"/>
        <w:ind w:firstLine="640" w:firstLineChars="200"/>
        <w:rPr>
          <w:rFonts w:eastAsia="方正小标宋简体"/>
          <w:b/>
          <w:sz w:val="44"/>
          <w:szCs w:val="44"/>
        </w:rPr>
      </w:pPr>
      <w:r>
        <w:rPr>
          <w:rFonts w:eastAsia="仿宋_GB2312"/>
          <w:sz w:val="32"/>
          <w:szCs w:val="32"/>
        </w:rPr>
        <w:t>网址：</w:t>
      </w:r>
      <w:r>
        <w:rPr>
          <w:rFonts w:hint="eastAsia" w:eastAsia="仿宋_GB2312"/>
          <w:sz w:val="28"/>
          <w:szCs w:val="28"/>
          <w:lang w:val="en-US" w:eastAsia="zh-CN"/>
        </w:rPr>
        <w:t>https://www.leshan.gov.cn/syx/szrzyhghj/zfxxgk/index.html</w:t>
      </w:r>
    </w:p>
    <w:p w14:paraId="38D08B9E">
      <w:pPr>
        <w:spacing w:line="640" w:lineRule="exact"/>
        <w:jc w:val="center"/>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18</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w:t>
      </w:r>
      <w:r>
        <w:rPr>
          <w:rFonts w:hint="eastAsia" w:ascii="Times New Roman" w:hAnsi="Times New Roman" w:eastAsia="仿宋_GB2312"/>
          <w:sz w:val="32"/>
        </w:rPr>
        <w:t>高新区</w:t>
      </w:r>
      <w:r>
        <w:rPr>
          <w:rFonts w:hint="eastAsia" w:ascii="Times New Roman" w:hAnsi="Times New Roman" w:eastAsia="仿宋_GB2312"/>
          <w:sz w:val="32"/>
          <w:lang w:eastAsia="zh-CN"/>
        </w:rPr>
        <w:t>511102-GXQ-05-</w:t>
      </w:r>
      <w:r>
        <w:rPr>
          <w:rFonts w:hint="eastAsia" w:eastAsia="仿宋_GB2312"/>
          <w:sz w:val="32"/>
          <w:lang w:val="en-US" w:eastAsia="zh-CN"/>
        </w:rPr>
        <w:t>0301</w:t>
      </w:r>
      <w:r>
        <w:rPr>
          <w:rFonts w:hint="eastAsia" w:ascii="Times New Roman" w:hAnsi="Times New Roman" w:eastAsia="仿宋_GB2312"/>
          <w:sz w:val="32"/>
        </w:rPr>
        <w:t>号</w:t>
      </w:r>
      <w:r>
        <w:rPr>
          <w:rFonts w:hint="eastAsia" w:eastAsia="仿宋_GB2312"/>
          <w:sz w:val="32"/>
          <w:szCs w:val="32"/>
          <w:lang w:eastAsia="zh-CN"/>
        </w:rPr>
        <w:t>]</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3000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18</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w:t>
      </w:r>
      <w:r>
        <w:rPr>
          <w:rFonts w:hint="eastAsia" w:ascii="Times New Roman" w:hAnsi="Times New Roman" w:eastAsia="仿宋_GB2312"/>
          <w:sz w:val="32"/>
        </w:rPr>
        <w:t>高新区</w:t>
      </w:r>
      <w:r>
        <w:rPr>
          <w:rFonts w:hint="eastAsia" w:ascii="Times New Roman" w:hAnsi="Times New Roman" w:eastAsia="仿宋_GB2312"/>
          <w:sz w:val="32"/>
          <w:lang w:eastAsia="zh-CN"/>
        </w:rPr>
        <w:t>511102-GXQ-05-</w:t>
      </w:r>
      <w:r>
        <w:rPr>
          <w:rFonts w:hint="eastAsia" w:eastAsia="仿宋_GB2312"/>
          <w:sz w:val="32"/>
          <w:lang w:val="en-US" w:eastAsia="zh-CN"/>
        </w:rPr>
        <w:t>0301</w:t>
      </w:r>
      <w:r>
        <w:rPr>
          <w:rFonts w:hint="eastAsia" w:ascii="Times New Roman" w:hAnsi="Times New Roman" w:eastAsia="仿宋_GB2312"/>
          <w:sz w:val="32"/>
        </w:rPr>
        <w:t>号</w:t>
      </w:r>
      <w:r>
        <w:rPr>
          <w:rFonts w:hint="eastAsia" w:eastAsia="仿宋_GB2312"/>
          <w:sz w:val="32"/>
          <w:szCs w:val="32"/>
          <w:lang w:eastAsia="zh-CN"/>
        </w:rPr>
        <w:t>]</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F58784E">
      <w:pPr>
        <w:adjustRightInd w:val="0"/>
        <w:spacing w:line="520" w:lineRule="exact"/>
        <w:ind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土地拍卖成交</w:t>
      </w:r>
      <w:r>
        <w:rPr>
          <w:rFonts w:hint="eastAsia" w:eastAsia="黑体"/>
          <w:b/>
          <w:sz w:val="32"/>
          <w:szCs w:val="32"/>
        </w:rPr>
        <w:t>之日起</w:t>
      </w:r>
      <w:r>
        <w:rPr>
          <w:rFonts w:eastAsia="黑体"/>
          <w:b/>
          <w:sz w:val="32"/>
          <w:szCs w:val="32"/>
        </w:rPr>
        <w:t>10个工作日内</w:t>
      </w:r>
      <w:r>
        <w:rPr>
          <w:rFonts w:hint="eastAsia" w:eastAsia="黑体"/>
          <w:b/>
          <w:sz w:val="32"/>
          <w:szCs w:val="32"/>
          <w:lang w:eastAsia="zh-CN"/>
        </w:rPr>
        <w:t>，</w:t>
      </w:r>
      <w:r>
        <w:rPr>
          <w:rFonts w:eastAsia="黑体"/>
          <w:b/>
          <w:sz w:val="32"/>
          <w:szCs w:val="32"/>
        </w:rPr>
        <w:t>与</w:t>
      </w:r>
      <w:r>
        <w:rPr>
          <w:rFonts w:hint="eastAsia" w:eastAsia="黑体"/>
          <w:b/>
          <w:sz w:val="32"/>
          <w:szCs w:val="32"/>
          <w:lang w:eastAsia="zh-CN"/>
        </w:rPr>
        <w:t>乐山市自</w:t>
      </w:r>
      <w:r>
        <w:rPr>
          <w:rFonts w:eastAsia="黑体"/>
          <w:b/>
          <w:sz w:val="32"/>
          <w:szCs w:val="32"/>
        </w:rPr>
        <w:t>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在签订《国有建设用地使用权出让合同》之日起30日内缴纳土地出让价款的50%，剩余50%土地出让价款在签订《国有建设用地使用权出让合同》之日起1年内缴清，土地出让价款全额缴入乐山高新区（到国家税务总局乐山高新技术产业开发区税务局办理）。</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7196F291">
      <w:pPr>
        <w:spacing w:line="560" w:lineRule="exact"/>
        <w:ind w:right="-42" w:rightChars="-20"/>
        <w:jc w:val="both"/>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w:t>
      </w:r>
      <w:bookmarkStart w:id="2" w:name="_GoBack"/>
      <w:bookmarkEnd w:id="2"/>
      <w:r>
        <w:rPr>
          <w:rFonts w:hint="eastAsia" w:ascii="Times New Roman" w:hAnsi="Times New Roman" w:eastAsia="仿宋_GB2312"/>
          <w:sz w:val="32"/>
        </w:rPr>
        <w:t>高新区</w:t>
      </w:r>
      <w:r>
        <w:rPr>
          <w:rFonts w:hint="eastAsia" w:ascii="Times New Roman" w:hAnsi="Times New Roman" w:eastAsia="仿宋_GB2312"/>
          <w:sz w:val="32"/>
          <w:lang w:eastAsia="zh-CN"/>
        </w:rPr>
        <w:t>511102-GXQ-05-</w:t>
      </w:r>
      <w:r>
        <w:rPr>
          <w:rFonts w:hint="eastAsia" w:ascii="Times New Roman" w:hAnsi="Times New Roman" w:eastAsia="仿宋_GB2312"/>
          <w:sz w:val="32"/>
          <w:lang w:val="en-US" w:eastAsia="zh-CN"/>
        </w:rPr>
        <w:t>0301</w:t>
      </w:r>
      <w:r>
        <w:rPr>
          <w:rFonts w:hint="eastAsia" w:ascii="Times New Roman" w:hAnsi="Times New Roman" w:eastAsia="仿宋_GB2312"/>
          <w:sz w:val="32"/>
        </w:rPr>
        <w:t>号</w:t>
      </w:r>
      <w:r>
        <w:rPr>
          <w:rFonts w:hint="eastAsia" w:eastAsia="仿宋_GB2312"/>
          <w:sz w:val="32"/>
          <w:szCs w:val="32"/>
          <w:lang w:eastAsia="zh-CN"/>
        </w:rPr>
        <w:t>]</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》于2025年12月18日09:30分前，到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2000EBA0">
      <w:pPr>
        <w:spacing w:line="560" w:lineRule="exact"/>
        <w:ind w:right="-42" w:rightChars="-20"/>
        <w:jc w:val="both"/>
        <w:rPr>
          <w:rFonts w:eastAsia="方正小标宋简体"/>
          <w:b/>
          <w:sz w:val="44"/>
          <w:szCs w:val="44"/>
        </w:rPr>
      </w:pPr>
    </w:p>
    <w:p w14:paraId="30F56B3F">
      <w:pPr>
        <w:spacing w:line="560" w:lineRule="exact"/>
        <w:ind w:right="-42" w:rightChars="-20"/>
        <w:jc w:val="both"/>
        <w:rPr>
          <w:rFonts w:eastAsia="方正小标宋简体"/>
          <w:b/>
          <w:sz w:val="44"/>
          <w:szCs w:val="44"/>
        </w:rPr>
      </w:pPr>
    </w:p>
    <w:p w14:paraId="3D007E0B">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06473"/>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2B0B7B"/>
    <w:rsid w:val="263C10CB"/>
    <w:rsid w:val="264D685D"/>
    <w:rsid w:val="265B6496"/>
    <w:rsid w:val="26693BEE"/>
    <w:rsid w:val="268C401A"/>
    <w:rsid w:val="26A077B9"/>
    <w:rsid w:val="26AF4C83"/>
    <w:rsid w:val="26B34BD2"/>
    <w:rsid w:val="26B959C5"/>
    <w:rsid w:val="26BA47A4"/>
    <w:rsid w:val="26BD2B12"/>
    <w:rsid w:val="26EA3136"/>
    <w:rsid w:val="26F01B52"/>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57B40"/>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97E9B"/>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3103"/>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065E4C"/>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7D66FA"/>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44</Pages>
  <Words>10997</Words>
  <Characters>11480</Characters>
  <Lines>153</Lines>
  <Paragraphs>43</Paragraphs>
  <TotalTime>22</TotalTime>
  <ScaleCrop>false</ScaleCrop>
  <LinksUpToDate>false</LinksUpToDate>
  <CharactersWithSpaces>12245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2025-12-01T03:20:19Z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