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BB" w:rsidRDefault="006457CA">
      <w:pPr>
        <w:widowControl/>
        <w:spacing w:line="600" w:lineRule="exact"/>
        <w:jc w:val="center"/>
        <w:rPr>
          <w:rFonts w:ascii="方正小标宋简体" w:eastAsia="方正小标宋简体"/>
          <w:bCs/>
          <w:kern w:val="0"/>
          <w:sz w:val="44"/>
          <w:szCs w:val="36"/>
        </w:rPr>
      </w:pPr>
      <w:r>
        <w:rPr>
          <w:rFonts w:ascii="方正小标宋简体" w:eastAsia="方正小标宋简体" w:hint="eastAsia"/>
          <w:bCs/>
          <w:kern w:val="0"/>
          <w:sz w:val="44"/>
          <w:szCs w:val="36"/>
        </w:rPr>
        <w:t>乐山市第四次全国经济普查公报（第四号）</w:t>
      </w:r>
    </w:p>
    <w:p w:rsidR="00D146BB" w:rsidRDefault="006457CA">
      <w:pPr>
        <w:widowControl/>
        <w:spacing w:line="600" w:lineRule="exact"/>
        <w:jc w:val="center"/>
        <w:rPr>
          <w:rFonts w:ascii="楷体_GB2312" w:eastAsia="楷体_GB2312"/>
          <w:bCs/>
          <w:kern w:val="0"/>
          <w:sz w:val="32"/>
          <w:szCs w:val="32"/>
        </w:rPr>
      </w:pPr>
      <w:r>
        <w:rPr>
          <w:rFonts w:ascii="方正小标宋简体" w:eastAsia="方正小标宋简体" w:hint="eastAsia"/>
          <w:bCs/>
          <w:sz w:val="32"/>
          <w:szCs w:val="32"/>
          <w:lang w:bidi="ar"/>
        </w:rPr>
        <w:t>——</w:t>
      </w:r>
      <w:r>
        <w:rPr>
          <w:rFonts w:ascii="楷体_GB2312" w:eastAsia="楷体_GB2312" w:hint="eastAsia"/>
          <w:bCs/>
          <w:kern w:val="0"/>
          <w:sz w:val="32"/>
          <w:szCs w:val="32"/>
        </w:rPr>
        <w:t>第三产业基本情况之一</w:t>
      </w:r>
    </w:p>
    <w:p w:rsidR="00D146BB" w:rsidRDefault="00D146BB">
      <w:pPr>
        <w:widowControl/>
        <w:spacing w:line="600" w:lineRule="exact"/>
        <w:jc w:val="center"/>
        <w:rPr>
          <w:rFonts w:ascii="楷体_GB2312" w:eastAsia="楷体_GB2312"/>
          <w:kern w:val="0"/>
          <w:sz w:val="32"/>
          <w:szCs w:val="32"/>
        </w:rPr>
      </w:pPr>
    </w:p>
    <w:p w:rsidR="00D146BB" w:rsidRDefault="006457CA">
      <w:pPr>
        <w:widowControl/>
        <w:spacing w:line="600" w:lineRule="exact"/>
        <w:jc w:val="center"/>
        <w:rPr>
          <w:rFonts w:ascii="楷体_GB2312" w:eastAsia="楷体_GB2312"/>
          <w:kern w:val="0"/>
          <w:sz w:val="32"/>
          <w:szCs w:val="32"/>
        </w:rPr>
      </w:pPr>
      <w:r>
        <w:rPr>
          <w:rFonts w:ascii="楷体_GB2312" w:eastAsia="楷体_GB2312" w:hint="eastAsia"/>
          <w:kern w:val="0"/>
          <w:sz w:val="32"/>
          <w:szCs w:val="32"/>
        </w:rPr>
        <w:t>乐山市统计局</w:t>
      </w:r>
    </w:p>
    <w:p w:rsidR="00D146BB" w:rsidRDefault="006457CA">
      <w:pPr>
        <w:widowControl/>
        <w:spacing w:line="600" w:lineRule="exact"/>
        <w:jc w:val="center"/>
        <w:rPr>
          <w:rFonts w:ascii="楷体_GB2312" w:eastAsia="楷体_GB2312"/>
          <w:color w:val="000000" w:themeColor="text1"/>
          <w:kern w:val="0"/>
          <w:sz w:val="32"/>
          <w:szCs w:val="32"/>
        </w:rPr>
      </w:pPr>
      <w:r>
        <w:rPr>
          <w:rFonts w:ascii="楷体_GB2312" w:eastAsia="楷体_GB2312" w:hint="eastAsia"/>
          <w:color w:val="000000" w:themeColor="text1"/>
          <w:kern w:val="0"/>
          <w:sz w:val="32"/>
          <w:szCs w:val="32"/>
        </w:rPr>
        <w:t>乐山市人民政府经济普查领导小组办公室</w:t>
      </w:r>
    </w:p>
    <w:p w:rsidR="00D146BB" w:rsidRDefault="006457CA">
      <w:pPr>
        <w:widowControl/>
        <w:spacing w:line="600" w:lineRule="exact"/>
        <w:jc w:val="center"/>
        <w:rPr>
          <w:rFonts w:ascii="楷体_GB2312" w:eastAsia="楷体_GB2312"/>
          <w:color w:val="000000" w:themeColor="text1"/>
          <w:kern w:val="0"/>
          <w:sz w:val="32"/>
          <w:szCs w:val="32"/>
        </w:rPr>
      </w:pPr>
      <w:r>
        <w:rPr>
          <w:rFonts w:ascii="楷体_GB2312" w:eastAsia="楷体_GB2312" w:hint="eastAsia"/>
          <w:color w:val="000000" w:themeColor="text1"/>
          <w:kern w:val="0"/>
          <w:sz w:val="32"/>
          <w:szCs w:val="32"/>
        </w:rPr>
        <w:t>2020年4月10日</w:t>
      </w:r>
    </w:p>
    <w:p w:rsidR="00D146BB" w:rsidRDefault="006457CA">
      <w:pPr>
        <w:widowControl/>
        <w:spacing w:line="560" w:lineRule="exact"/>
        <w:jc w:val="left"/>
        <w:rPr>
          <w:color w:val="000000" w:themeColor="text1"/>
          <w:kern w:val="0"/>
          <w:sz w:val="24"/>
        </w:rPr>
      </w:pPr>
      <w:r>
        <w:rPr>
          <w:color w:val="000000" w:themeColor="text1"/>
          <w:kern w:val="0"/>
          <w:sz w:val="24"/>
        </w:rPr>
        <w:t xml:space="preserve"> </w:t>
      </w:r>
    </w:p>
    <w:p w:rsidR="00D146BB" w:rsidRDefault="006457CA">
      <w:pPr>
        <w:widowControl/>
        <w:spacing w:line="54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根据</w:t>
      </w:r>
      <w:r>
        <w:rPr>
          <w:rFonts w:eastAsia="仿宋_GB2312" w:hint="eastAsia"/>
          <w:color w:val="000000" w:themeColor="text1"/>
          <w:kern w:val="0"/>
          <w:sz w:val="32"/>
          <w:szCs w:val="32"/>
        </w:rPr>
        <w:t>乐山市</w:t>
      </w:r>
      <w:r>
        <w:rPr>
          <w:rFonts w:eastAsia="仿宋_GB2312"/>
          <w:color w:val="000000" w:themeColor="text1"/>
          <w:kern w:val="0"/>
          <w:sz w:val="32"/>
          <w:szCs w:val="32"/>
        </w:rPr>
        <w:t>第四次全国经济普查结果，现将</w:t>
      </w:r>
      <w:r>
        <w:rPr>
          <w:rFonts w:eastAsia="仿宋_GB2312" w:hint="eastAsia"/>
          <w:color w:val="000000" w:themeColor="text1"/>
          <w:kern w:val="0"/>
          <w:sz w:val="32"/>
          <w:szCs w:val="32"/>
        </w:rPr>
        <w:t>全市</w:t>
      </w:r>
      <w:r>
        <w:rPr>
          <w:rFonts w:eastAsia="仿宋_GB2312"/>
          <w:color w:val="000000" w:themeColor="text1"/>
          <w:kern w:val="0"/>
          <w:sz w:val="32"/>
          <w:szCs w:val="32"/>
        </w:rPr>
        <w:t>第三产业中批发和零售业，交通运输、仓储和邮政业，住宿和餐饮业，信息传输、软件和信息技术服务业，房地产业，租赁和商务服务业的主要数据公布如下：</w:t>
      </w:r>
    </w:p>
    <w:p w:rsidR="00D146BB" w:rsidRDefault="006457CA">
      <w:pPr>
        <w:widowControl/>
        <w:spacing w:line="540" w:lineRule="exact"/>
        <w:ind w:firstLineChars="200" w:firstLine="640"/>
        <w:rPr>
          <w:rFonts w:eastAsia="黑体"/>
          <w:color w:val="000000" w:themeColor="text1"/>
          <w:kern w:val="0"/>
          <w:sz w:val="32"/>
          <w:szCs w:val="32"/>
        </w:rPr>
      </w:pPr>
      <w:r>
        <w:rPr>
          <w:rFonts w:eastAsia="黑体"/>
          <w:color w:val="000000" w:themeColor="text1"/>
          <w:kern w:val="0"/>
          <w:sz w:val="32"/>
          <w:szCs w:val="32"/>
        </w:rPr>
        <w:t>一、批发和零售业</w:t>
      </w:r>
    </w:p>
    <w:p w:rsidR="00D146BB" w:rsidRDefault="006457CA">
      <w:pPr>
        <w:widowControl/>
        <w:spacing w:line="54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（一）企业法人单位数和从业人员。</w:t>
      </w:r>
    </w:p>
    <w:p w:rsidR="00D146BB" w:rsidRDefault="006457CA">
      <w:pPr>
        <w:widowControl/>
        <w:spacing w:line="540" w:lineRule="exact"/>
        <w:ind w:firstLineChars="200" w:firstLine="640"/>
        <w:rPr>
          <w:rFonts w:ascii="仿宋_GB2312" w:eastAsia="仿宋_GB2312"/>
          <w:color w:val="000000" w:themeColor="text1"/>
          <w:kern w:val="0"/>
          <w:sz w:val="32"/>
          <w:szCs w:val="32"/>
        </w:rPr>
      </w:pPr>
      <w:r>
        <w:rPr>
          <w:rFonts w:ascii="仿宋_GB2312" w:eastAsia="仿宋_GB2312" w:hAnsi="Times New Roman" w:hint="eastAsia"/>
          <w:color w:val="000000" w:themeColor="text1"/>
          <w:kern w:val="0"/>
          <w:sz w:val="32"/>
          <w:szCs w:val="32"/>
        </w:rPr>
        <w:t>2018</w:t>
      </w:r>
      <w:r>
        <w:rPr>
          <w:rFonts w:ascii="仿宋_GB2312" w:eastAsia="仿宋_GB2312" w:hint="eastAsia"/>
          <w:color w:val="000000" w:themeColor="text1"/>
          <w:kern w:val="0"/>
          <w:sz w:val="32"/>
          <w:szCs w:val="32"/>
        </w:rPr>
        <w:t>年末，全市共有批发和零售业企业法人单位</w:t>
      </w:r>
      <w:r>
        <w:rPr>
          <w:rFonts w:ascii="仿宋_GB2312" w:eastAsia="仿宋_GB2312" w:hAnsi="Times New Roman" w:hint="eastAsia"/>
          <w:color w:val="000000" w:themeColor="text1"/>
          <w:sz w:val="32"/>
          <w:szCs w:val="32"/>
        </w:rPr>
        <w:t>5626</w:t>
      </w:r>
      <w:r>
        <w:rPr>
          <w:rFonts w:ascii="仿宋_GB2312" w:eastAsia="仿宋_GB2312" w:hint="eastAsia"/>
          <w:color w:val="000000" w:themeColor="text1"/>
          <w:kern w:val="0"/>
          <w:sz w:val="32"/>
          <w:szCs w:val="32"/>
        </w:rPr>
        <w:t>个，从业人员</w:t>
      </w:r>
      <w:r>
        <w:rPr>
          <w:rFonts w:ascii="仿宋_GB2312" w:eastAsia="仿宋_GB2312" w:hAnsi="Times New Roman" w:hint="eastAsia"/>
          <w:color w:val="000000" w:themeColor="text1"/>
          <w:sz w:val="32"/>
          <w:szCs w:val="32"/>
        </w:rPr>
        <w:t>44670</w:t>
      </w:r>
      <w:r>
        <w:rPr>
          <w:rFonts w:ascii="仿宋_GB2312" w:eastAsia="仿宋_GB2312" w:hint="eastAsia"/>
          <w:color w:val="000000" w:themeColor="text1"/>
          <w:kern w:val="0"/>
          <w:sz w:val="32"/>
          <w:szCs w:val="32"/>
        </w:rPr>
        <w:t>人，分别比</w:t>
      </w:r>
      <w:r>
        <w:rPr>
          <w:rFonts w:ascii="仿宋_GB2312" w:eastAsia="仿宋_GB2312" w:hAnsi="Times New Roman" w:hint="eastAsia"/>
          <w:color w:val="000000" w:themeColor="text1"/>
          <w:kern w:val="0"/>
          <w:sz w:val="32"/>
          <w:szCs w:val="32"/>
        </w:rPr>
        <w:t>2013</w:t>
      </w:r>
      <w:r>
        <w:rPr>
          <w:rFonts w:ascii="仿宋_GB2312" w:eastAsia="仿宋_GB2312" w:hint="eastAsia"/>
          <w:color w:val="000000" w:themeColor="text1"/>
          <w:kern w:val="0"/>
          <w:sz w:val="32"/>
          <w:szCs w:val="32"/>
        </w:rPr>
        <w:t>年末增长</w:t>
      </w:r>
      <w:r>
        <w:rPr>
          <w:rFonts w:ascii="仿宋_GB2312" w:eastAsia="仿宋_GB2312" w:hAnsi="Times New Roman" w:hint="eastAsia"/>
          <w:color w:val="000000" w:themeColor="text1"/>
          <w:sz w:val="32"/>
          <w:szCs w:val="32"/>
        </w:rPr>
        <w:t>148.0</w:t>
      </w:r>
      <w:r>
        <w:rPr>
          <w:rFonts w:ascii="仿宋_GB2312" w:eastAsia="仿宋_GB2312" w:hint="eastAsia"/>
          <w:color w:val="000000" w:themeColor="text1"/>
          <w:kern w:val="0"/>
          <w:sz w:val="32"/>
          <w:szCs w:val="32"/>
        </w:rPr>
        <w:t>%和</w:t>
      </w:r>
      <w:r>
        <w:rPr>
          <w:rFonts w:ascii="仿宋_GB2312" w:eastAsia="仿宋_GB2312" w:hAnsi="Times New Roman" w:hint="eastAsia"/>
          <w:color w:val="000000" w:themeColor="text1"/>
          <w:sz w:val="32"/>
          <w:szCs w:val="32"/>
        </w:rPr>
        <w:t>28.1</w:t>
      </w:r>
      <w:r>
        <w:rPr>
          <w:rFonts w:ascii="仿宋_GB2312" w:eastAsia="仿宋_GB2312" w:hint="eastAsia"/>
          <w:color w:val="000000" w:themeColor="text1"/>
          <w:kern w:val="0"/>
          <w:sz w:val="32"/>
          <w:szCs w:val="32"/>
        </w:rPr>
        <w:t>%。</w:t>
      </w:r>
    </w:p>
    <w:p w:rsidR="00D146BB" w:rsidRDefault="006457CA">
      <w:pPr>
        <w:widowControl/>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在批发和零售业企业法人单位中，批发业占</w:t>
      </w:r>
      <w:r>
        <w:rPr>
          <w:rFonts w:ascii="仿宋_GB2312" w:eastAsia="仿宋_GB2312" w:hAnsi="Times New Roman" w:hint="eastAsia"/>
          <w:color w:val="000000" w:themeColor="text1"/>
          <w:sz w:val="32"/>
          <w:szCs w:val="32"/>
        </w:rPr>
        <w:t>52.1</w:t>
      </w:r>
      <w:r>
        <w:rPr>
          <w:rFonts w:ascii="仿宋_GB2312" w:eastAsia="仿宋_GB2312" w:hAnsi="Times New Roman" w:hint="eastAsia"/>
          <w:color w:val="000000" w:themeColor="text1"/>
          <w:kern w:val="0"/>
          <w:sz w:val="32"/>
          <w:szCs w:val="32"/>
        </w:rPr>
        <w:t>%</w:t>
      </w:r>
      <w:r>
        <w:rPr>
          <w:rFonts w:ascii="仿宋_GB2312" w:eastAsia="仿宋_GB2312" w:hint="eastAsia"/>
          <w:color w:val="000000" w:themeColor="text1"/>
          <w:kern w:val="0"/>
          <w:sz w:val="32"/>
          <w:szCs w:val="32"/>
        </w:rPr>
        <w:t>，零售业占</w:t>
      </w:r>
      <w:r>
        <w:rPr>
          <w:rFonts w:ascii="仿宋_GB2312" w:eastAsia="仿宋_GB2312" w:hAnsi="Times New Roman" w:hint="eastAsia"/>
          <w:color w:val="000000" w:themeColor="text1"/>
          <w:sz w:val="32"/>
          <w:szCs w:val="32"/>
        </w:rPr>
        <w:t>47.9</w:t>
      </w:r>
      <w:r>
        <w:rPr>
          <w:rFonts w:ascii="仿宋_GB2312" w:eastAsia="仿宋_GB2312" w:hAnsi="Times New Roman" w:hint="eastAsia"/>
          <w:color w:val="000000" w:themeColor="text1"/>
          <w:kern w:val="0"/>
          <w:sz w:val="32"/>
          <w:szCs w:val="32"/>
        </w:rPr>
        <w:t>%</w:t>
      </w:r>
      <w:r>
        <w:rPr>
          <w:rFonts w:ascii="仿宋_GB2312" w:eastAsia="仿宋_GB2312" w:hint="eastAsia"/>
          <w:color w:val="000000" w:themeColor="text1"/>
          <w:kern w:val="0"/>
          <w:sz w:val="32"/>
          <w:szCs w:val="32"/>
        </w:rPr>
        <w:t>。在批发和零售业企业法人单位从业人员中，批发业占</w:t>
      </w:r>
      <w:r>
        <w:rPr>
          <w:rFonts w:ascii="仿宋_GB2312" w:eastAsia="仿宋_GB2312" w:hAnsi="Times New Roman" w:hint="eastAsia"/>
          <w:color w:val="000000" w:themeColor="text1"/>
          <w:sz w:val="32"/>
          <w:szCs w:val="32"/>
        </w:rPr>
        <w:t>48.8</w:t>
      </w:r>
      <w:r>
        <w:rPr>
          <w:rFonts w:ascii="仿宋_GB2312" w:eastAsia="仿宋_GB2312" w:hAnsi="Times New Roman" w:hint="eastAsia"/>
          <w:color w:val="000000" w:themeColor="text1"/>
          <w:kern w:val="0"/>
          <w:sz w:val="32"/>
          <w:szCs w:val="32"/>
        </w:rPr>
        <w:t>%</w:t>
      </w:r>
      <w:r>
        <w:rPr>
          <w:rFonts w:ascii="仿宋_GB2312" w:eastAsia="仿宋_GB2312" w:hint="eastAsia"/>
          <w:color w:val="000000" w:themeColor="text1"/>
          <w:kern w:val="0"/>
          <w:sz w:val="32"/>
          <w:szCs w:val="32"/>
        </w:rPr>
        <w:t>，零售业占</w:t>
      </w:r>
      <w:r>
        <w:rPr>
          <w:rFonts w:ascii="仿宋_GB2312" w:eastAsia="仿宋_GB2312" w:hAnsi="Times New Roman" w:hint="eastAsia"/>
          <w:color w:val="000000" w:themeColor="text1"/>
          <w:sz w:val="32"/>
          <w:szCs w:val="32"/>
        </w:rPr>
        <w:t>51.2</w:t>
      </w:r>
      <w:r>
        <w:rPr>
          <w:rFonts w:ascii="仿宋_GB2312" w:eastAsia="仿宋_GB2312" w:hAnsi="Times New Roman" w:hint="eastAsia"/>
          <w:color w:val="000000" w:themeColor="text1"/>
          <w:kern w:val="0"/>
          <w:sz w:val="32"/>
          <w:szCs w:val="32"/>
        </w:rPr>
        <w:t>%</w:t>
      </w:r>
      <w:r>
        <w:rPr>
          <w:rFonts w:ascii="仿宋_GB2312" w:eastAsia="仿宋_GB2312" w:hint="eastAsia"/>
          <w:color w:val="000000" w:themeColor="text1"/>
          <w:kern w:val="0"/>
          <w:sz w:val="32"/>
          <w:szCs w:val="32"/>
        </w:rPr>
        <w:t>（详见表4-1）。</w:t>
      </w:r>
    </w:p>
    <w:p w:rsidR="00D146BB" w:rsidRDefault="006457CA">
      <w:pPr>
        <w:widowControl/>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在批发和零售业企业法人单位中，内资企业占</w:t>
      </w:r>
      <w:r>
        <w:rPr>
          <w:rFonts w:ascii="仿宋_GB2312" w:eastAsia="仿宋_GB2312" w:hAnsi="Times New Roman" w:hint="eastAsia"/>
          <w:color w:val="000000" w:themeColor="text1"/>
          <w:kern w:val="0"/>
          <w:sz w:val="32"/>
          <w:szCs w:val="32"/>
        </w:rPr>
        <w:t>99.9%</w:t>
      </w:r>
      <w:r>
        <w:rPr>
          <w:rFonts w:ascii="仿宋_GB2312" w:eastAsia="仿宋_GB2312" w:hint="eastAsia"/>
          <w:color w:val="000000" w:themeColor="text1"/>
          <w:kern w:val="0"/>
          <w:sz w:val="32"/>
          <w:szCs w:val="32"/>
        </w:rPr>
        <w:t>，港、澳、台商投资企业和外商投资企业占</w:t>
      </w:r>
      <w:r>
        <w:rPr>
          <w:rFonts w:ascii="仿宋_GB2312" w:eastAsia="仿宋_GB2312" w:hAnsi="Times New Roman"/>
          <w:color w:val="000000" w:themeColor="text1"/>
          <w:kern w:val="0"/>
          <w:sz w:val="32"/>
          <w:szCs w:val="32"/>
        </w:rPr>
        <w:t>0.1</w:t>
      </w:r>
      <w:r>
        <w:rPr>
          <w:rFonts w:ascii="仿宋_GB2312" w:eastAsia="仿宋_GB2312" w:hAnsi="Times New Roman" w:hint="eastAsia"/>
          <w:color w:val="000000" w:themeColor="text1"/>
          <w:kern w:val="0"/>
          <w:sz w:val="32"/>
          <w:szCs w:val="32"/>
        </w:rPr>
        <w:t>%</w:t>
      </w:r>
      <w:r>
        <w:rPr>
          <w:rFonts w:ascii="仿宋_GB2312" w:eastAsia="仿宋_GB2312" w:hint="eastAsia"/>
          <w:color w:val="000000" w:themeColor="text1"/>
          <w:kern w:val="0"/>
          <w:sz w:val="32"/>
          <w:szCs w:val="32"/>
        </w:rPr>
        <w:t>。</w:t>
      </w:r>
    </w:p>
    <w:p w:rsidR="00D146BB" w:rsidRDefault="006457CA">
      <w:pPr>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在批发和零售业企业法人单位从业人员中，内资企业占</w:t>
      </w:r>
      <w:r>
        <w:rPr>
          <w:rFonts w:ascii="仿宋_GB2312" w:eastAsia="仿宋_GB2312" w:hAnsi="Times New Roman" w:hint="eastAsia"/>
          <w:color w:val="000000" w:themeColor="text1"/>
          <w:kern w:val="0"/>
          <w:sz w:val="32"/>
          <w:szCs w:val="32"/>
        </w:rPr>
        <w:t>98.4%</w:t>
      </w:r>
      <w:r>
        <w:rPr>
          <w:rFonts w:ascii="仿宋_GB2312" w:eastAsia="仿宋_GB2312" w:hint="eastAsia"/>
          <w:color w:val="000000" w:themeColor="text1"/>
          <w:kern w:val="0"/>
          <w:sz w:val="32"/>
          <w:szCs w:val="32"/>
        </w:rPr>
        <w:t>，港、澳、台商投资企业占</w:t>
      </w:r>
      <w:r>
        <w:rPr>
          <w:rFonts w:ascii="仿宋_GB2312" w:eastAsia="仿宋_GB2312" w:hAnsi="Times New Roman" w:hint="eastAsia"/>
          <w:color w:val="000000" w:themeColor="text1"/>
          <w:kern w:val="0"/>
          <w:sz w:val="32"/>
          <w:szCs w:val="32"/>
        </w:rPr>
        <w:t>1.4%</w:t>
      </w:r>
      <w:r>
        <w:rPr>
          <w:rFonts w:ascii="仿宋_GB2312" w:eastAsia="仿宋_GB2312" w:hint="eastAsia"/>
          <w:color w:val="000000" w:themeColor="text1"/>
          <w:kern w:val="0"/>
          <w:sz w:val="32"/>
          <w:szCs w:val="32"/>
        </w:rPr>
        <w:t>，外商投资企业占</w:t>
      </w:r>
      <w:r>
        <w:rPr>
          <w:rFonts w:ascii="仿宋_GB2312" w:eastAsia="仿宋_GB2312" w:hAnsi="Times New Roman" w:hint="eastAsia"/>
          <w:color w:val="000000" w:themeColor="text1"/>
          <w:kern w:val="0"/>
          <w:sz w:val="32"/>
          <w:szCs w:val="32"/>
        </w:rPr>
        <w:t>0.1%</w:t>
      </w:r>
      <w:r>
        <w:rPr>
          <w:rFonts w:ascii="仿宋_GB2312" w:eastAsia="仿宋_GB2312" w:hint="eastAsia"/>
          <w:color w:val="000000" w:themeColor="text1"/>
          <w:kern w:val="0"/>
          <w:sz w:val="32"/>
          <w:szCs w:val="32"/>
        </w:rPr>
        <w:t>（详</w:t>
      </w:r>
      <w:r>
        <w:rPr>
          <w:rFonts w:ascii="仿宋_GB2312" w:eastAsia="仿宋_GB2312" w:hint="eastAsia"/>
          <w:color w:val="000000" w:themeColor="text1"/>
          <w:kern w:val="0"/>
          <w:sz w:val="32"/>
          <w:szCs w:val="32"/>
        </w:rPr>
        <w:lastRenderedPageBreak/>
        <w:t>见表</w:t>
      </w:r>
      <w:r>
        <w:rPr>
          <w:rFonts w:ascii="仿宋_GB2312" w:eastAsia="仿宋_GB2312" w:hAnsi="Times New Roman" w:hint="eastAsia"/>
          <w:color w:val="000000" w:themeColor="text1"/>
          <w:kern w:val="0"/>
          <w:sz w:val="32"/>
          <w:szCs w:val="32"/>
        </w:rPr>
        <w:t>4-2</w:t>
      </w:r>
      <w:r>
        <w:rPr>
          <w:rFonts w:ascii="仿宋_GB2312" w:eastAsia="仿宋_GB2312" w:hint="eastAsia"/>
          <w:color w:val="000000" w:themeColor="text1"/>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0"/>
        <w:gridCol w:w="1436"/>
        <w:gridCol w:w="1132"/>
        <w:gridCol w:w="646"/>
        <w:gridCol w:w="1651"/>
      </w:tblGrid>
      <w:tr w:rsidR="00D146BB">
        <w:trPr>
          <w:trHeight w:val="567"/>
          <w:jc w:val="center"/>
        </w:trPr>
        <w:tc>
          <w:tcPr>
            <w:tcW w:w="8425" w:type="dxa"/>
            <w:gridSpan w:val="5"/>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color w:val="000000" w:themeColor="text1"/>
                <w:kern w:val="0"/>
                <w:sz w:val="24"/>
              </w:rPr>
            </w:pPr>
            <w:r>
              <w:rPr>
                <w:rFonts w:ascii="黑体" w:eastAsia="黑体" w:hAnsi="黑体"/>
                <w:bCs/>
                <w:color w:val="000000" w:themeColor="text1"/>
                <w:kern w:val="0"/>
                <w:sz w:val="24"/>
              </w:rPr>
              <w:t>表4-1　按行业中类分组的批发和零售业企业法人单位和从业人员</w:t>
            </w:r>
          </w:p>
        </w:tc>
      </w:tr>
      <w:tr w:rsidR="00D146BB">
        <w:trPr>
          <w:trHeight w:val="567"/>
          <w:jc w:val="center"/>
        </w:trPr>
        <w:tc>
          <w:tcPr>
            <w:tcW w:w="4996" w:type="dxa"/>
            <w:gridSpan w:val="2"/>
            <w:tcBorders>
              <w:top w:val="nil"/>
              <w:left w:val="nil"/>
              <w:bottom w:val="single" w:sz="4" w:space="0" w:color="auto"/>
              <w:right w:val="single" w:sz="4" w:space="0" w:color="auto"/>
            </w:tcBorders>
            <w:vAlign w:val="center"/>
          </w:tcPr>
          <w:p w:rsidR="00D146BB" w:rsidRDefault="006457CA">
            <w:pPr>
              <w:widowControl/>
              <w:spacing w:line="300" w:lineRule="exact"/>
              <w:ind w:left="57" w:right="57"/>
              <w:jc w:val="center"/>
              <w:rPr>
                <w:b/>
                <w:color w:val="000000" w:themeColor="text1"/>
                <w:kern w:val="0"/>
                <w:sz w:val="18"/>
                <w:szCs w:val="18"/>
              </w:rPr>
            </w:pPr>
            <w:r>
              <w:rPr>
                <w:b/>
                <w:color w:val="000000" w:themeColor="text1"/>
                <w:kern w:val="0"/>
                <w:szCs w:val="21"/>
              </w:rPr>
              <w:t xml:space="preserve">　</w:t>
            </w:r>
          </w:p>
        </w:tc>
        <w:tc>
          <w:tcPr>
            <w:tcW w:w="1778" w:type="dxa"/>
            <w:gridSpan w:val="2"/>
            <w:tcBorders>
              <w:top w:val="nil"/>
              <w:left w:val="single" w:sz="4" w:space="0" w:color="auto"/>
              <w:bottom w:val="single" w:sz="4" w:space="0" w:color="auto"/>
              <w:right w:val="single" w:sz="4" w:space="0" w:color="auto"/>
            </w:tcBorders>
            <w:tcMar>
              <w:left w:w="113" w:type="dxa"/>
              <w:right w:w="113" w:type="dxa"/>
            </w:tcMar>
            <w:vAlign w:val="center"/>
          </w:tcPr>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1651" w:type="dxa"/>
            <w:tcBorders>
              <w:top w:val="nil"/>
              <w:left w:val="single" w:sz="4" w:space="0" w:color="auto"/>
              <w:bottom w:val="single" w:sz="4" w:space="0" w:color="auto"/>
              <w:right w:val="nil"/>
            </w:tcBorders>
            <w:tcMar>
              <w:left w:w="113" w:type="dxa"/>
              <w:right w:w="113" w:type="dxa"/>
            </w:tcMar>
            <w:vAlign w:val="center"/>
          </w:tcPr>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w:t>
            </w:r>
          </w:p>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hRule="exact" w:val="272"/>
          <w:jc w:val="center"/>
        </w:trPr>
        <w:tc>
          <w:tcPr>
            <w:tcW w:w="4996" w:type="dxa"/>
            <w:gridSpan w:val="2"/>
            <w:tcBorders>
              <w:top w:val="single" w:sz="4" w:space="0" w:color="auto"/>
              <w:left w:val="nil"/>
              <w:bottom w:val="nil"/>
              <w:right w:val="single" w:sz="4" w:space="0" w:color="auto"/>
            </w:tcBorders>
            <w:vAlign w:val="center"/>
          </w:tcPr>
          <w:p w:rsidR="00D146BB" w:rsidRDefault="006457CA">
            <w:pPr>
              <w:widowControl/>
              <w:spacing w:line="290" w:lineRule="exact"/>
              <w:ind w:left="57" w:right="57"/>
              <w:jc w:val="center"/>
              <w:rPr>
                <w:rFonts w:ascii="仿宋_GB2312" w:eastAsia="仿宋_GB2312"/>
                <w:color w:val="000000" w:themeColor="text1"/>
                <w:kern w:val="0"/>
                <w:szCs w:val="21"/>
              </w:rPr>
            </w:pPr>
            <w:r>
              <w:rPr>
                <w:rFonts w:ascii="仿宋_GB2312" w:eastAsia="仿宋_GB2312" w:hint="eastAsia"/>
                <w:b/>
                <w:bCs/>
                <w:color w:val="000000" w:themeColor="text1"/>
                <w:kern w:val="0"/>
                <w:szCs w:val="21"/>
              </w:rPr>
              <w:t>合  计</w:t>
            </w:r>
          </w:p>
        </w:tc>
        <w:tc>
          <w:tcPr>
            <w:tcW w:w="1778" w:type="dxa"/>
            <w:gridSpan w:val="2"/>
            <w:tcBorders>
              <w:top w:val="single" w:sz="4" w:space="0" w:color="auto"/>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5626</w:t>
            </w:r>
          </w:p>
        </w:tc>
        <w:tc>
          <w:tcPr>
            <w:tcW w:w="1651" w:type="dxa"/>
            <w:tcBorders>
              <w:top w:val="single" w:sz="4" w:space="0" w:color="auto"/>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44670</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b/>
                <w:color w:val="000000" w:themeColor="text1"/>
                <w:kern w:val="0"/>
                <w:szCs w:val="21"/>
              </w:rPr>
            </w:pPr>
            <w:r>
              <w:rPr>
                <w:rFonts w:ascii="仿宋_GB2312" w:eastAsia="仿宋_GB2312" w:hint="eastAsia"/>
                <w:b/>
                <w:color w:val="000000" w:themeColor="text1"/>
                <w:kern w:val="0"/>
                <w:szCs w:val="21"/>
              </w:rPr>
              <w:t>批发业</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2929</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21789</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农、林、牧、渔产品批发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369</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2331</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食品、饮料及烟草制品批发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498</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6352</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纺织、服装及家庭用品批发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133</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757</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文化、体育用品及器材批发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55</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223</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医药及医疗器材批发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138</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1443</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矿产品、建材及化工产品批发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1267</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8140</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机械设备、五金产品及电子产品批发</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313</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1784</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贸易经纪与代理</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20</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74</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其他批发业</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136</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685</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b/>
                <w:color w:val="000000" w:themeColor="text1"/>
                <w:kern w:val="0"/>
                <w:szCs w:val="21"/>
              </w:rPr>
            </w:pPr>
            <w:r>
              <w:rPr>
                <w:rFonts w:ascii="仿宋_GB2312" w:eastAsia="仿宋_GB2312" w:hint="eastAsia"/>
                <w:b/>
                <w:color w:val="000000" w:themeColor="text1"/>
                <w:kern w:val="0"/>
                <w:szCs w:val="21"/>
              </w:rPr>
              <w:t>零售业</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2697</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22881</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综合零售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121</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4629</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食品、饮料及烟草制品专门零售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432</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2385</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纺织、服装及日用品专门零售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178</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893</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文化、体育用品及器材专门零售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136</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840</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医药及医疗器材专门零售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 xml:space="preserve">     636</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3592</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汽车、摩托车、零配件和燃料及其他动力销售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464</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6420</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家用电器及电子产品专门零售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243</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1704</w:t>
            </w:r>
          </w:p>
        </w:tc>
      </w:tr>
      <w:tr w:rsidR="00D146BB">
        <w:trPr>
          <w:trHeight w:hRule="exact" w:val="272"/>
          <w:jc w:val="center"/>
        </w:trPr>
        <w:tc>
          <w:tcPr>
            <w:tcW w:w="4996" w:type="dxa"/>
            <w:gridSpan w:val="2"/>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五金、家具及室内装饰材料专门零售</w:t>
            </w:r>
          </w:p>
        </w:tc>
        <w:tc>
          <w:tcPr>
            <w:tcW w:w="177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347</w:t>
            </w:r>
          </w:p>
        </w:tc>
        <w:tc>
          <w:tcPr>
            <w:tcW w:w="1651" w:type="dxa"/>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1623</w:t>
            </w:r>
          </w:p>
        </w:tc>
      </w:tr>
      <w:tr w:rsidR="00D146BB">
        <w:trPr>
          <w:trHeight w:hRule="exact" w:val="272"/>
          <w:jc w:val="center"/>
        </w:trPr>
        <w:tc>
          <w:tcPr>
            <w:tcW w:w="4996" w:type="dxa"/>
            <w:gridSpan w:val="2"/>
            <w:tcBorders>
              <w:top w:val="nil"/>
              <w:left w:val="nil"/>
              <w:bottom w:val="single" w:sz="12" w:space="0" w:color="auto"/>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货摊、无店铺及其他零售业</w:t>
            </w:r>
          </w:p>
        </w:tc>
        <w:tc>
          <w:tcPr>
            <w:tcW w:w="1778" w:type="dxa"/>
            <w:gridSpan w:val="2"/>
            <w:tcBorders>
              <w:top w:val="nil"/>
              <w:left w:val="single" w:sz="4" w:space="0" w:color="auto"/>
              <w:bottom w:val="single" w:sz="12" w:space="0" w:color="auto"/>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140</w:t>
            </w:r>
          </w:p>
        </w:tc>
        <w:tc>
          <w:tcPr>
            <w:tcW w:w="1651" w:type="dxa"/>
            <w:tcBorders>
              <w:top w:val="nil"/>
              <w:left w:val="single" w:sz="4" w:space="0" w:color="auto"/>
              <w:bottom w:val="single" w:sz="12" w:space="0" w:color="auto"/>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795</w:t>
            </w:r>
          </w:p>
        </w:tc>
      </w:tr>
      <w:tr w:rsidR="00D146BB">
        <w:trPr>
          <w:trHeight w:val="567"/>
          <w:jc w:val="center"/>
        </w:trPr>
        <w:tc>
          <w:tcPr>
            <w:tcW w:w="8425" w:type="dxa"/>
            <w:gridSpan w:val="5"/>
            <w:tcBorders>
              <w:top w:val="nil"/>
              <w:left w:val="nil"/>
              <w:bottom w:val="single" w:sz="12" w:space="0" w:color="auto"/>
              <w:right w:val="nil"/>
            </w:tcBorders>
            <w:shd w:val="clear" w:color="auto" w:fill="FFFFFF"/>
            <w:vAlign w:val="center"/>
          </w:tcPr>
          <w:p w:rsidR="00D146BB" w:rsidRDefault="00D146BB">
            <w:pPr>
              <w:widowControl/>
              <w:rPr>
                <w:b/>
                <w:bCs/>
                <w:color w:val="000000" w:themeColor="text1"/>
                <w:kern w:val="0"/>
                <w:sz w:val="24"/>
              </w:rPr>
            </w:pPr>
          </w:p>
          <w:p w:rsidR="00D146BB" w:rsidRDefault="00D146BB">
            <w:pPr>
              <w:widowControl/>
              <w:rPr>
                <w:b/>
                <w:bCs/>
                <w:color w:val="000000" w:themeColor="text1"/>
                <w:kern w:val="0"/>
                <w:sz w:val="24"/>
              </w:rPr>
            </w:pPr>
          </w:p>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表4-2　按登记注册类型分组的批发和零售业企业法人单位和从业人员</w:t>
            </w:r>
          </w:p>
        </w:tc>
      </w:tr>
      <w:tr w:rsidR="00D146BB">
        <w:trPr>
          <w:trHeight w:val="567"/>
          <w:jc w:val="center"/>
        </w:trPr>
        <w:tc>
          <w:tcPr>
            <w:tcW w:w="3560" w:type="dxa"/>
            <w:tcBorders>
              <w:top w:val="nil"/>
              <w:left w:val="nil"/>
              <w:bottom w:val="single" w:sz="4" w:space="0" w:color="auto"/>
              <w:right w:val="single" w:sz="4" w:space="0" w:color="auto"/>
            </w:tcBorders>
            <w:vAlign w:val="center"/>
          </w:tcPr>
          <w:p w:rsidR="00D146BB" w:rsidRDefault="006457CA">
            <w:pPr>
              <w:widowControl/>
              <w:spacing w:line="300" w:lineRule="exac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2568" w:type="dxa"/>
            <w:gridSpan w:val="2"/>
            <w:tcBorders>
              <w:top w:val="nil"/>
              <w:left w:val="single" w:sz="4" w:space="0" w:color="auto"/>
              <w:bottom w:val="single" w:sz="4" w:space="0" w:color="auto"/>
              <w:right w:val="single" w:sz="4" w:space="0" w:color="auto"/>
            </w:tcBorders>
            <w:vAlign w:val="center"/>
          </w:tcPr>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297" w:type="dxa"/>
            <w:gridSpan w:val="2"/>
            <w:tcBorders>
              <w:top w:val="nil"/>
              <w:left w:val="single" w:sz="4" w:space="0" w:color="auto"/>
              <w:bottom w:val="single" w:sz="4" w:space="0" w:color="auto"/>
              <w:right w:val="nil"/>
            </w:tcBorders>
            <w:vAlign w:val="center"/>
          </w:tcPr>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w:t>
            </w:r>
          </w:p>
          <w:p w:rsidR="00D146BB" w:rsidRDefault="006457CA">
            <w:pPr>
              <w:widowControl/>
              <w:spacing w:line="30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hRule="exact" w:val="272"/>
          <w:jc w:val="center"/>
        </w:trPr>
        <w:tc>
          <w:tcPr>
            <w:tcW w:w="3560" w:type="dxa"/>
            <w:tcBorders>
              <w:top w:val="single" w:sz="4" w:space="0" w:color="auto"/>
              <w:left w:val="nil"/>
              <w:bottom w:val="nil"/>
              <w:right w:val="single" w:sz="4" w:space="0" w:color="auto"/>
            </w:tcBorders>
            <w:vAlign w:val="center"/>
          </w:tcPr>
          <w:p w:rsidR="00D146BB" w:rsidRDefault="006457CA">
            <w:pPr>
              <w:widowControl/>
              <w:spacing w:line="290" w:lineRule="exac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568" w:type="dxa"/>
            <w:gridSpan w:val="2"/>
            <w:tcBorders>
              <w:top w:val="single" w:sz="4" w:space="0" w:color="auto"/>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5626</w:t>
            </w:r>
          </w:p>
        </w:tc>
        <w:tc>
          <w:tcPr>
            <w:tcW w:w="2297" w:type="dxa"/>
            <w:gridSpan w:val="2"/>
            <w:tcBorders>
              <w:top w:val="single" w:sz="4" w:space="0" w:color="auto"/>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44670</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内资企业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5622</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43977</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国有企业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10</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740</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集体企业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21</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118</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股份合作企业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4</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54</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有限责任公司</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305</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7212</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股份有限公司</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26</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1149</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私营企业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4674</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31090</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其他企业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581</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color w:val="000000" w:themeColor="text1"/>
              </w:rPr>
            </w:pPr>
            <w:r>
              <w:rPr>
                <w:rFonts w:ascii="仿宋_GB2312" w:eastAsia="仿宋_GB2312" w:hAnsi="Times New Roman" w:hint="eastAsia"/>
                <w:color w:val="000000" w:themeColor="text1"/>
              </w:rPr>
              <w:t>3613</w:t>
            </w:r>
          </w:p>
        </w:tc>
      </w:tr>
      <w:tr w:rsidR="00D146BB">
        <w:trPr>
          <w:trHeight w:hRule="exact" w:val="272"/>
          <w:jc w:val="center"/>
        </w:trPr>
        <w:tc>
          <w:tcPr>
            <w:tcW w:w="3560" w:type="dxa"/>
            <w:tcBorders>
              <w:top w:val="nil"/>
              <w:left w:val="nil"/>
              <w:bottom w:val="nil"/>
              <w:right w:val="single" w:sz="4" w:space="0" w:color="auto"/>
            </w:tcBorders>
            <w:vAlign w:val="center"/>
          </w:tcPr>
          <w:p w:rsidR="00D146BB" w:rsidRDefault="006457CA">
            <w:pPr>
              <w:widowControl/>
              <w:spacing w:line="290" w:lineRule="exac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港、澳、台商投资企业</w:t>
            </w:r>
          </w:p>
        </w:tc>
        <w:tc>
          <w:tcPr>
            <w:tcW w:w="2568" w:type="dxa"/>
            <w:gridSpan w:val="2"/>
            <w:tcBorders>
              <w:top w:val="nil"/>
              <w:left w:val="single" w:sz="4" w:space="0" w:color="auto"/>
              <w:bottom w:val="nil"/>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w:t>
            </w:r>
          </w:p>
        </w:tc>
        <w:tc>
          <w:tcPr>
            <w:tcW w:w="2297" w:type="dxa"/>
            <w:gridSpan w:val="2"/>
            <w:tcBorders>
              <w:top w:val="nil"/>
              <w:left w:val="single" w:sz="4" w:space="0" w:color="auto"/>
              <w:bottom w:val="nil"/>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631</w:t>
            </w:r>
          </w:p>
        </w:tc>
      </w:tr>
      <w:tr w:rsidR="00D146BB">
        <w:trPr>
          <w:trHeight w:hRule="exact" w:val="272"/>
          <w:jc w:val="center"/>
        </w:trPr>
        <w:tc>
          <w:tcPr>
            <w:tcW w:w="3560" w:type="dxa"/>
            <w:tcBorders>
              <w:top w:val="nil"/>
              <w:left w:val="nil"/>
              <w:bottom w:val="single" w:sz="12" w:space="0" w:color="auto"/>
              <w:right w:val="single" w:sz="4" w:space="0" w:color="auto"/>
            </w:tcBorders>
            <w:vAlign w:val="center"/>
          </w:tcPr>
          <w:p w:rsidR="00D146BB" w:rsidRDefault="006457CA">
            <w:pPr>
              <w:widowControl/>
              <w:spacing w:line="290" w:lineRule="exac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外商投资企业</w:t>
            </w:r>
          </w:p>
        </w:tc>
        <w:tc>
          <w:tcPr>
            <w:tcW w:w="2568" w:type="dxa"/>
            <w:gridSpan w:val="2"/>
            <w:tcBorders>
              <w:top w:val="nil"/>
              <w:left w:val="single" w:sz="4" w:space="0" w:color="auto"/>
              <w:bottom w:val="single" w:sz="12" w:space="0" w:color="auto"/>
              <w:right w:val="single" w:sz="4" w:space="0" w:color="auto"/>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w:t>
            </w:r>
          </w:p>
        </w:tc>
        <w:tc>
          <w:tcPr>
            <w:tcW w:w="2297" w:type="dxa"/>
            <w:gridSpan w:val="2"/>
            <w:tcBorders>
              <w:top w:val="nil"/>
              <w:left w:val="single" w:sz="4" w:space="0" w:color="auto"/>
              <w:bottom w:val="single" w:sz="12" w:space="0" w:color="auto"/>
              <w:right w:val="nil"/>
            </w:tcBorders>
            <w:tcMar>
              <w:left w:w="113" w:type="dxa"/>
              <w:right w:w="113" w:type="dxa"/>
            </w:tcMar>
          </w:tcPr>
          <w:p w:rsidR="00D146BB" w:rsidRDefault="006457CA">
            <w:pPr>
              <w:spacing w:line="290" w:lineRule="exact"/>
              <w:ind w:rightChars="200" w:right="42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62</w:t>
            </w:r>
          </w:p>
        </w:tc>
      </w:tr>
    </w:tbl>
    <w:p w:rsidR="00D146BB" w:rsidRDefault="006457CA" w:rsidP="00E03D95">
      <w:pPr>
        <w:widowControl/>
        <w:ind w:firstLineChars="200" w:firstLine="420"/>
        <w:rPr>
          <w:rFonts w:ascii="楷体_GB2312" w:eastAsia="楷体_GB2312" w:hAnsi="仿宋_GB2312" w:cs="仿宋_GB2312"/>
          <w:color w:val="000000" w:themeColor="text1"/>
          <w:kern w:val="0"/>
          <w:szCs w:val="21"/>
        </w:rPr>
      </w:pPr>
      <w:r>
        <w:rPr>
          <w:rFonts w:ascii="楷体_GB2312" w:eastAsia="楷体_GB2312" w:hAnsi="仿宋_GB2312" w:cs="仿宋_GB2312" w:hint="eastAsia"/>
          <w:color w:val="000000" w:themeColor="text1"/>
          <w:kern w:val="0"/>
          <w:szCs w:val="21"/>
        </w:rPr>
        <w:t>注：表中内资企业数据中企业法人单位和</w:t>
      </w:r>
      <w:proofErr w:type="gramStart"/>
      <w:r>
        <w:rPr>
          <w:rFonts w:ascii="楷体_GB2312" w:eastAsia="楷体_GB2312" w:hAnsi="仿宋_GB2312" w:cs="仿宋_GB2312" w:hint="eastAsia"/>
          <w:color w:val="000000" w:themeColor="text1"/>
          <w:kern w:val="0"/>
          <w:szCs w:val="21"/>
        </w:rPr>
        <w:t>从业人员</w:t>
      </w:r>
      <w:r w:rsidR="002C2374">
        <w:rPr>
          <w:rFonts w:ascii="楷体_GB2312" w:eastAsia="楷体_GB2312" w:hAnsi="仿宋_GB2312" w:cs="仿宋_GB2312" w:hint="eastAsia"/>
          <w:color w:val="000000" w:themeColor="text1"/>
          <w:kern w:val="0"/>
          <w:szCs w:val="21"/>
        </w:rPr>
        <w:t>数</w:t>
      </w:r>
      <w:r>
        <w:rPr>
          <w:rFonts w:ascii="楷体_GB2312" w:eastAsia="楷体_GB2312" w:hAnsi="仿宋_GB2312" w:cs="仿宋_GB2312" w:hint="eastAsia"/>
          <w:color w:val="000000" w:themeColor="text1"/>
          <w:kern w:val="0"/>
          <w:szCs w:val="21"/>
        </w:rPr>
        <w:t>含联营</w:t>
      </w:r>
      <w:proofErr w:type="gramEnd"/>
      <w:r>
        <w:rPr>
          <w:rFonts w:ascii="楷体_GB2312" w:eastAsia="楷体_GB2312" w:hAnsi="仿宋_GB2312" w:cs="仿宋_GB2312" w:hint="eastAsia"/>
          <w:color w:val="000000" w:themeColor="text1"/>
          <w:kern w:val="0"/>
          <w:szCs w:val="21"/>
        </w:rPr>
        <w:t>企业数据。</w:t>
      </w:r>
    </w:p>
    <w:p w:rsidR="00D146BB" w:rsidRDefault="006457CA">
      <w:pPr>
        <w:widowControl/>
        <w:spacing w:line="60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lastRenderedPageBreak/>
        <w:t>（二）主要经济指标。</w:t>
      </w:r>
    </w:p>
    <w:p w:rsidR="00D146BB" w:rsidRDefault="006457CA">
      <w:pPr>
        <w:widowControl/>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批发和零售业企业法人单位资产总计466.91亿元，比2013年末增长110.7%。其中，批发业企业法人单位资产总计339.57亿元，零售业企业法人单位资产总计127.34亿元，分别比2013年末增长138.5%和60.8%。负债合计345.45亿元。全年实现营业收入628.39亿元（详见表4-3）。</w:t>
      </w:r>
    </w:p>
    <w:tbl>
      <w:tblPr>
        <w:tblW w:w="878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1417"/>
        <w:gridCol w:w="1417"/>
        <w:gridCol w:w="1418"/>
      </w:tblGrid>
      <w:tr w:rsidR="00D146BB">
        <w:trPr>
          <w:trHeight w:val="504"/>
          <w:jc w:val="center"/>
        </w:trPr>
        <w:tc>
          <w:tcPr>
            <w:tcW w:w="8787" w:type="dxa"/>
            <w:gridSpan w:val="4"/>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color w:val="000000" w:themeColor="text1"/>
                <w:kern w:val="0"/>
                <w:sz w:val="24"/>
              </w:rPr>
            </w:pPr>
            <w:r>
              <w:rPr>
                <w:rFonts w:ascii="黑体" w:eastAsia="黑体" w:hAnsi="黑体"/>
                <w:bCs/>
                <w:color w:val="000000" w:themeColor="text1"/>
                <w:kern w:val="0"/>
                <w:sz w:val="24"/>
              </w:rPr>
              <w:t>表4-3　按行业中类分组的批发和零售业企业法人单位主要经济指标</w:t>
            </w:r>
          </w:p>
        </w:tc>
      </w:tr>
      <w:tr w:rsidR="00D146BB">
        <w:trPr>
          <w:trHeight w:val="567"/>
          <w:jc w:val="center"/>
        </w:trPr>
        <w:tc>
          <w:tcPr>
            <w:tcW w:w="4535"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1417"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资产总计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417"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负债合计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418"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营业收入</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（亿元）</w:t>
            </w:r>
          </w:p>
        </w:tc>
      </w:tr>
      <w:tr w:rsidR="00D146BB">
        <w:trPr>
          <w:trHeight w:hRule="exact" w:val="283"/>
          <w:jc w:val="center"/>
        </w:trPr>
        <w:tc>
          <w:tcPr>
            <w:tcW w:w="4535"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Cs w:val="21"/>
              </w:rPr>
            </w:pPr>
            <w:r>
              <w:rPr>
                <w:rFonts w:ascii="仿宋_GB2312" w:eastAsia="仿宋_GB2312" w:hint="eastAsia"/>
                <w:b/>
                <w:bCs/>
                <w:color w:val="000000" w:themeColor="text1"/>
                <w:kern w:val="0"/>
                <w:szCs w:val="21"/>
              </w:rPr>
              <w:t>合　计</w:t>
            </w:r>
          </w:p>
        </w:tc>
        <w:tc>
          <w:tcPr>
            <w:tcW w:w="1417"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466.91</w:t>
            </w:r>
          </w:p>
        </w:tc>
        <w:tc>
          <w:tcPr>
            <w:tcW w:w="1417"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345.45</w:t>
            </w:r>
          </w:p>
        </w:tc>
        <w:tc>
          <w:tcPr>
            <w:tcW w:w="1418" w:type="dxa"/>
            <w:tcBorders>
              <w:top w:val="single" w:sz="4" w:space="0" w:color="auto"/>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628.39</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b/>
                <w:color w:val="000000" w:themeColor="text1"/>
                <w:szCs w:val="21"/>
              </w:rPr>
            </w:pPr>
            <w:r>
              <w:rPr>
                <w:rFonts w:ascii="仿宋_GB2312" w:eastAsia="仿宋_GB2312" w:hint="eastAsia"/>
                <w:b/>
                <w:color w:val="000000" w:themeColor="text1"/>
                <w:szCs w:val="21"/>
              </w:rPr>
              <w:t>批发业</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339.57</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260.68</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403.59</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kern w:val="0"/>
                <w:szCs w:val="21"/>
              </w:rPr>
              <w:t xml:space="preserve">　农、林、牧、渔产品批发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15.79</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7.49</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20.97</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食品、饮料及烟草制品批发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29.22</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9.98</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53.78</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纺织、服装及家庭用品批发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7.25</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6.19</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7.58</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文化、体育用品及器材批发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0.59</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0.22</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0.76</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医药及医疗器材批发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14.43</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11.91</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17.18</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矿产品、建材及化工产品批发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250.91</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208.03</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282.49</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机械设备、五金产品及电子产品批发</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17.85</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14.95</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16.59</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贸易经纪与代理</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0.27</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0.20</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0.09</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其他批发业</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3.25</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1.71</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4.15</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b/>
                <w:color w:val="000000" w:themeColor="text1"/>
                <w:szCs w:val="21"/>
              </w:rPr>
            </w:pPr>
            <w:r>
              <w:rPr>
                <w:rFonts w:ascii="仿宋_GB2312" w:eastAsia="仿宋_GB2312" w:hint="eastAsia"/>
                <w:b/>
                <w:color w:val="000000" w:themeColor="text1"/>
                <w:szCs w:val="21"/>
              </w:rPr>
              <w:t>零售业</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127.34</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84.77</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224.80</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综合零售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17.34</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12.80</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28.67</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食品、饮料及烟草制品专门零售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10.36</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6.49</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13.10</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纺织、服装及日用品专门零售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3.46</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2.88</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3.17</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文化、体育用品及器材专门零售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3.18</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1.90</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6.05</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医药及医疗器材专门零售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5.85</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3.65</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9.75</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kern w:val="0"/>
                <w:szCs w:val="21"/>
              </w:rPr>
              <w:t xml:space="preserve">　汽车、摩托车、零配件和燃料及其他动力销售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49.94</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32.01</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128.24</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家用电器及电子产品专门零售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13.44</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6.89</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15.41</w:t>
            </w:r>
          </w:p>
        </w:tc>
      </w:tr>
      <w:tr w:rsidR="00D146BB">
        <w:trPr>
          <w:trHeight w:hRule="exact" w:val="283"/>
          <w:jc w:val="center"/>
        </w:trPr>
        <w:tc>
          <w:tcPr>
            <w:tcW w:w="4535" w:type="dxa"/>
            <w:tcBorders>
              <w:top w:val="nil"/>
              <w:left w:val="nil"/>
              <w:bottom w:val="nil"/>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五金、家具及室内装饰材料专门零售</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16.90</w:t>
            </w:r>
          </w:p>
        </w:tc>
        <w:tc>
          <w:tcPr>
            <w:tcW w:w="1417"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13.59</w:t>
            </w:r>
          </w:p>
        </w:tc>
        <w:tc>
          <w:tcPr>
            <w:tcW w:w="1418"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15.55</w:t>
            </w:r>
          </w:p>
        </w:tc>
      </w:tr>
      <w:tr w:rsidR="00D146BB">
        <w:trPr>
          <w:trHeight w:hRule="exact" w:val="283"/>
          <w:jc w:val="center"/>
        </w:trPr>
        <w:tc>
          <w:tcPr>
            <w:tcW w:w="4535" w:type="dxa"/>
            <w:tcBorders>
              <w:top w:val="nil"/>
              <w:left w:val="nil"/>
              <w:bottom w:val="single" w:sz="12" w:space="0" w:color="auto"/>
              <w:right w:val="single" w:sz="4" w:space="0" w:color="auto"/>
            </w:tcBorders>
          </w:tcPr>
          <w:p w:rsidR="00D146BB" w:rsidRDefault="006457CA">
            <w:pPr>
              <w:rPr>
                <w:rFonts w:ascii="仿宋_GB2312" w:eastAsia="仿宋_GB2312"/>
                <w:color w:val="000000" w:themeColor="text1"/>
                <w:szCs w:val="21"/>
              </w:rPr>
            </w:pPr>
            <w:r>
              <w:rPr>
                <w:rFonts w:ascii="仿宋_GB2312" w:eastAsia="仿宋_GB2312" w:hint="eastAsia"/>
                <w:color w:val="000000" w:themeColor="text1"/>
                <w:szCs w:val="21"/>
              </w:rPr>
              <w:t xml:space="preserve">　货摊、无店铺及其他零售业</w:t>
            </w:r>
          </w:p>
        </w:tc>
        <w:tc>
          <w:tcPr>
            <w:tcW w:w="1417"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6.87</w:t>
            </w:r>
          </w:p>
        </w:tc>
        <w:tc>
          <w:tcPr>
            <w:tcW w:w="1417"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4.56</w:t>
            </w:r>
          </w:p>
        </w:tc>
        <w:tc>
          <w:tcPr>
            <w:tcW w:w="1418" w:type="dxa"/>
            <w:tcBorders>
              <w:top w:val="nil"/>
              <w:left w:val="single" w:sz="4" w:space="0" w:color="auto"/>
              <w:bottom w:val="single" w:sz="12" w:space="0" w:color="auto"/>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4.87</w:t>
            </w:r>
          </w:p>
        </w:tc>
      </w:tr>
    </w:tbl>
    <w:p w:rsidR="00D146BB" w:rsidRDefault="006457CA">
      <w:pPr>
        <w:widowControl/>
        <w:spacing w:line="600" w:lineRule="exact"/>
        <w:ind w:firstLineChars="200" w:firstLine="640"/>
        <w:jc w:val="left"/>
        <w:rPr>
          <w:rFonts w:eastAsia="黑体"/>
          <w:color w:val="000000" w:themeColor="text1"/>
          <w:kern w:val="0"/>
          <w:sz w:val="32"/>
          <w:szCs w:val="32"/>
        </w:rPr>
      </w:pPr>
      <w:r>
        <w:rPr>
          <w:rFonts w:eastAsia="黑体"/>
          <w:color w:val="000000" w:themeColor="text1"/>
          <w:kern w:val="0"/>
          <w:sz w:val="32"/>
          <w:szCs w:val="32"/>
        </w:rPr>
        <w:t>二、交通运输、仓储和邮政业</w:t>
      </w:r>
    </w:p>
    <w:p w:rsidR="00D146BB" w:rsidRDefault="006457CA">
      <w:pPr>
        <w:widowControl/>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（一）企业法人单位数和从业人员。</w:t>
      </w:r>
    </w:p>
    <w:p w:rsidR="00D146BB" w:rsidRDefault="006457CA">
      <w:pPr>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w:t>
      </w:r>
      <w:r>
        <w:rPr>
          <w:rFonts w:ascii="仿宋_GB2312" w:eastAsia="仿宋_GB2312" w:hAnsi="Times New Roman"/>
          <w:color w:val="000000" w:themeColor="text1"/>
          <w:kern w:val="0"/>
          <w:sz w:val="32"/>
          <w:szCs w:val="32"/>
        </w:rPr>
        <w:t>市共有交通运输、仓储和邮政业企业法人单位</w:t>
      </w:r>
      <w:r>
        <w:rPr>
          <w:rFonts w:ascii="仿宋_GB2312" w:eastAsia="仿宋_GB2312" w:hAnsi="Times New Roman"/>
          <w:color w:val="000000" w:themeColor="text1"/>
          <w:kern w:val="0"/>
          <w:sz w:val="32"/>
          <w:szCs w:val="32"/>
        </w:rPr>
        <w:lastRenderedPageBreak/>
        <w:t>774个，从业人员25063人，分别比2013年末增长148.9%和80.9%（详见表4-4）。</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2429"/>
        <w:gridCol w:w="2430"/>
      </w:tblGrid>
      <w:tr w:rsidR="00D146BB">
        <w:trPr>
          <w:trHeight w:val="504"/>
          <w:jc w:val="center"/>
        </w:trPr>
        <w:tc>
          <w:tcPr>
            <w:tcW w:w="864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表4-4　按行业大类分组的交通运输、仓储和邮政业企业法人单位和从业人员</w:t>
            </w:r>
          </w:p>
        </w:tc>
      </w:tr>
      <w:tr w:rsidR="00D146BB">
        <w:trPr>
          <w:trHeight w:val="567"/>
          <w:jc w:val="center"/>
        </w:trPr>
        <w:tc>
          <w:tcPr>
            <w:tcW w:w="3787"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b/>
                <w:color w:val="000000" w:themeColor="text1"/>
                <w:kern w:val="0"/>
                <w:sz w:val="18"/>
                <w:szCs w:val="18"/>
              </w:rPr>
            </w:pPr>
            <w:r>
              <w:rPr>
                <w:b/>
                <w:color w:val="000000" w:themeColor="text1"/>
                <w:kern w:val="0"/>
                <w:szCs w:val="21"/>
              </w:rPr>
              <w:t xml:space="preserve">　</w:t>
            </w:r>
          </w:p>
        </w:tc>
        <w:tc>
          <w:tcPr>
            <w:tcW w:w="2429"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430"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（人）</w:t>
            </w:r>
          </w:p>
        </w:tc>
      </w:tr>
      <w:tr w:rsidR="00D146BB">
        <w:trPr>
          <w:trHeight w:hRule="exact" w:val="283"/>
          <w:jc w:val="center"/>
        </w:trPr>
        <w:tc>
          <w:tcPr>
            <w:tcW w:w="3787"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429"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774</w:t>
            </w:r>
          </w:p>
        </w:tc>
        <w:tc>
          <w:tcPr>
            <w:tcW w:w="2430"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color w:val="000000" w:themeColor="text1"/>
                <w:szCs w:val="21"/>
              </w:rPr>
            </w:pPr>
            <w:r>
              <w:rPr>
                <w:rFonts w:ascii="仿宋_GB2312" w:eastAsia="仿宋_GB2312" w:hAnsi="Times New Roman" w:hint="eastAsia"/>
                <w:b/>
                <w:color w:val="000000" w:themeColor="text1"/>
                <w:szCs w:val="21"/>
              </w:rPr>
              <w:t>25063</w:t>
            </w:r>
          </w:p>
        </w:tc>
      </w:tr>
      <w:tr w:rsidR="00D146BB">
        <w:trPr>
          <w:trHeight w:hRule="exact" w:val="283"/>
          <w:jc w:val="center"/>
        </w:trPr>
        <w:tc>
          <w:tcPr>
            <w:tcW w:w="3787"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道路运输业</w:t>
            </w:r>
          </w:p>
        </w:tc>
        <w:tc>
          <w:tcPr>
            <w:tcW w:w="2429"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592</w:t>
            </w:r>
          </w:p>
        </w:tc>
        <w:tc>
          <w:tcPr>
            <w:tcW w:w="2430"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19969</w:t>
            </w:r>
          </w:p>
        </w:tc>
      </w:tr>
      <w:tr w:rsidR="00D146BB">
        <w:trPr>
          <w:trHeight w:hRule="exact" w:val="283"/>
          <w:jc w:val="center"/>
        </w:trPr>
        <w:tc>
          <w:tcPr>
            <w:tcW w:w="3787"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水上运输业</w:t>
            </w:r>
          </w:p>
        </w:tc>
        <w:tc>
          <w:tcPr>
            <w:tcW w:w="2429"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33</w:t>
            </w:r>
          </w:p>
        </w:tc>
        <w:tc>
          <w:tcPr>
            <w:tcW w:w="2430"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668</w:t>
            </w:r>
          </w:p>
        </w:tc>
      </w:tr>
      <w:tr w:rsidR="00D146BB">
        <w:trPr>
          <w:trHeight w:hRule="exact" w:val="283"/>
          <w:jc w:val="center"/>
        </w:trPr>
        <w:tc>
          <w:tcPr>
            <w:tcW w:w="3787"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多式联运和运输代理业</w:t>
            </w:r>
          </w:p>
        </w:tc>
        <w:tc>
          <w:tcPr>
            <w:tcW w:w="2429"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37</w:t>
            </w:r>
          </w:p>
        </w:tc>
        <w:tc>
          <w:tcPr>
            <w:tcW w:w="2430"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315</w:t>
            </w:r>
          </w:p>
        </w:tc>
      </w:tr>
      <w:tr w:rsidR="00D146BB">
        <w:trPr>
          <w:trHeight w:hRule="exact" w:val="283"/>
          <w:jc w:val="center"/>
        </w:trPr>
        <w:tc>
          <w:tcPr>
            <w:tcW w:w="3787"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装卸搬运和仓储业</w:t>
            </w:r>
          </w:p>
        </w:tc>
        <w:tc>
          <w:tcPr>
            <w:tcW w:w="2429"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73</w:t>
            </w:r>
          </w:p>
        </w:tc>
        <w:tc>
          <w:tcPr>
            <w:tcW w:w="2430"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2168</w:t>
            </w:r>
          </w:p>
        </w:tc>
      </w:tr>
      <w:tr w:rsidR="00D146BB">
        <w:trPr>
          <w:trHeight w:hRule="exact" w:val="283"/>
          <w:jc w:val="center"/>
        </w:trPr>
        <w:tc>
          <w:tcPr>
            <w:tcW w:w="3787" w:type="dxa"/>
            <w:tcBorders>
              <w:top w:val="nil"/>
              <w:left w:val="nil"/>
              <w:bottom w:val="single" w:sz="12" w:space="0" w:color="auto"/>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邮政业</w:t>
            </w:r>
          </w:p>
        </w:tc>
        <w:tc>
          <w:tcPr>
            <w:tcW w:w="2429"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35</w:t>
            </w:r>
          </w:p>
        </w:tc>
        <w:tc>
          <w:tcPr>
            <w:tcW w:w="2430"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1942</w:t>
            </w:r>
          </w:p>
        </w:tc>
      </w:tr>
    </w:tbl>
    <w:p w:rsidR="00D146BB" w:rsidRDefault="006457CA">
      <w:pPr>
        <w:ind w:firstLineChars="100" w:firstLine="210"/>
        <w:rPr>
          <w:rFonts w:ascii="楷体_GB2312" w:eastAsia="楷体_GB2312"/>
          <w:color w:val="000000" w:themeColor="text1"/>
          <w:kern w:val="0"/>
          <w:szCs w:val="21"/>
        </w:rPr>
      </w:pPr>
      <w:r>
        <w:rPr>
          <w:rFonts w:ascii="楷体_GB2312" w:eastAsia="楷体_GB2312" w:hint="eastAsia"/>
          <w:color w:val="000000" w:themeColor="text1"/>
          <w:kern w:val="0"/>
          <w:szCs w:val="21"/>
        </w:rPr>
        <w:t>注：表中企业法人单位、从业人员</w:t>
      </w:r>
      <w:proofErr w:type="gramStart"/>
      <w:r>
        <w:rPr>
          <w:rFonts w:ascii="楷体_GB2312" w:eastAsia="楷体_GB2312" w:hint="eastAsia"/>
          <w:color w:val="000000" w:themeColor="text1"/>
          <w:kern w:val="0"/>
          <w:szCs w:val="21"/>
        </w:rPr>
        <w:t>合计数含航空运输</w:t>
      </w:r>
      <w:proofErr w:type="gramEnd"/>
      <w:r>
        <w:rPr>
          <w:rFonts w:ascii="楷体_GB2312" w:eastAsia="楷体_GB2312" w:hint="eastAsia"/>
          <w:color w:val="000000" w:themeColor="text1"/>
          <w:kern w:val="0"/>
          <w:szCs w:val="21"/>
        </w:rPr>
        <w:t>业、管道运输业数据。</w:t>
      </w:r>
    </w:p>
    <w:p w:rsidR="00D146BB" w:rsidRDefault="006457CA">
      <w:pPr>
        <w:widowControl/>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在交通运输、仓储和邮政业企业法人单位中，内资企业占100.0%。</w:t>
      </w:r>
    </w:p>
    <w:p w:rsidR="00D146BB" w:rsidRDefault="006457CA">
      <w:pPr>
        <w:widowControl/>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在交通运输、仓储和邮政业企业法人单位从业人员中，内资企业占100.0%（详见表4-5）。</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2713"/>
        <w:gridCol w:w="2248"/>
      </w:tblGrid>
      <w:tr w:rsidR="00D146BB">
        <w:trPr>
          <w:trHeight w:val="567"/>
          <w:jc w:val="center"/>
        </w:trPr>
        <w:tc>
          <w:tcPr>
            <w:tcW w:w="8647"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表4-5　按登记注册类型分组的交通运输、仓储和邮政业企业法人单位和从业人员</w:t>
            </w:r>
          </w:p>
        </w:tc>
      </w:tr>
      <w:tr w:rsidR="00D146BB">
        <w:trPr>
          <w:trHeight w:val="567"/>
          <w:jc w:val="center"/>
        </w:trPr>
        <w:tc>
          <w:tcPr>
            <w:tcW w:w="3686"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eastAsia="黑体" w:cs="Calibri"/>
                <w:color w:val="000000" w:themeColor="text1"/>
                <w:kern w:val="0"/>
                <w:szCs w:val="21"/>
              </w:rPr>
              <w:t> </w:t>
            </w:r>
          </w:p>
        </w:tc>
        <w:tc>
          <w:tcPr>
            <w:tcW w:w="2713"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248"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val="283"/>
          <w:jc w:val="center"/>
        </w:trPr>
        <w:tc>
          <w:tcPr>
            <w:tcW w:w="3686"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713"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774</w:t>
            </w:r>
          </w:p>
        </w:tc>
        <w:tc>
          <w:tcPr>
            <w:tcW w:w="2248"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25063</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内资企业</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774</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25063</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国有企业</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9</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1198</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集体企业</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9</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865</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有限责任公司</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120</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7202</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股份有限公司</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14</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552</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私营企业</w:t>
            </w:r>
          </w:p>
        </w:tc>
        <w:tc>
          <w:tcPr>
            <w:tcW w:w="271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620</w:t>
            </w:r>
          </w:p>
        </w:tc>
        <w:tc>
          <w:tcPr>
            <w:tcW w:w="2248"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15235</w:t>
            </w:r>
          </w:p>
        </w:tc>
      </w:tr>
      <w:tr w:rsidR="00D146BB">
        <w:trPr>
          <w:trHeight w:val="283"/>
          <w:jc w:val="center"/>
        </w:trPr>
        <w:tc>
          <w:tcPr>
            <w:tcW w:w="3686"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其他企业</w:t>
            </w:r>
          </w:p>
        </w:tc>
        <w:tc>
          <w:tcPr>
            <w:tcW w:w="2713"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w:t>
            </w:r>
          </w:p>
        </w:tc>
        <w:tc>
          <w:tcPr>
            <w:tcW w:w="2248"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11</w:t>
            </w:r>
          </w:p>
        </w:tc>
      </w:tr>
    </w:tbl>
    <w:p w:rsidR="00D146BB" w:rsidRDefault="006457CA">
      <w:pPr>
        <w:widowControl/>
        <w:spacing w:line="54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（二）主要经济指标。</w:t>
      </w:r>
    </w:p>
    <w:p w:rsidR="00D146BB" w:rsidRDefault="006457CA">
      <w:pPr>
        <w:widowControl/>
        <w:spacing w:line="54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2018年末，交通运输、仓储和邮政业企业法人单位资产总计450.71亿元，比2013年末</w:t>
      </w:r>
      <w:r>
        <w:rPr>
          <w:rFonts w:ascii="仿宋_GB2312" w:eastAsia="仿宋_GB2312" w:hAnsi="Times New Roman" w:hint="eastAsia"/>
          <w:color w:val="000000" w:themeColor="text1"/>
          <w:kern w:val="0"/>
          <w:sz w:val="32"/>
          <w:szCs w:val="32"/>
        </w:rPr>
        <w:t>增长</w:t>
      </w:r>
      <w:r>
        <w:rPr>
          <w:rFonts w:ascii="仿宋_GB2312" w:eastAsia="仿宋_GB2312" w:hAnsi="Times New Roman"/>
          <w:color w:val="000000" w:themeColor="text1"/>
          <w:kern w:val="0"/>
          <w:sz w:val="32"/>
          <w:szCs w:val="32"/>
        </w:rPr>
        <w:t>539.9%。负债合计271.90亿元。全年实现营业收入94.02亿元（详见表4-6）。</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83"/>
        <w:gridCol w:w="1583"/>
        <w:gridCol w:w="1583"/>
      </w:tblGrid>
      <w:tr w:rsidR="00D146BB">
        <w:trPr>
          <w:trHeight w:val="516"/>
          <w:jc w:val="center"/>
        </w:trPr>
        <w:tc>
          <w:tcPr>
            <w:tcW w:w="8435" w:type="dxa"/>
            <w:gridSpan w:val="4"/>
            <w:tcBorders>
              <w:top w:val="nil"/>
              <w:left w:val="nil"/>
              <w:bottom w:val="single" w:sz="12" w:space="0" w:color="auto"/>
              <w:right w:val="nil"/>
            </w:tcBorders>
            <w:shd w:val="clear" w:color="auto" w:fill="FFFFFF"/>
            <w:vAlign w:val="center"/>
          </w:tcPr>
          <w:p w:rsidR="00D146BB" w:rsidRDefault="006457CA">
            <w:pPr>
              <w:widowControl/>
              <w:rPr>
                <w:rFonts w:ascii="黑体" w:eastAsia="黑体" w:hAnsi="黑体"/>
                <w:bCs/>
                <w:color w:val="000000" w:themeColor="text1"/>
                <w:kern w:val="0"/>
                <w:sz w:val="24"/>
              </w:rPr>
            </w:pPr>
            <w:r>
              <w:rPr>
                <w:rFonts w:ascii="黑体" w:eastAsia="黑体" w:hAnsi="黑体"/>
                <w:bCs/>
                <w:color w:val="000000" w:themeColor="text1"/>
                <w:kern w:val="0"/>
                <w:sz w:val="24"/>
              </w:rPr>
              <w:lastRenderedPageBreak/>
              <w:t>表4-6　按行业大类分组的交通运输、仓储和邮政业企业法人单位主要经济指标</w:t>
            </w:r>
          </w:p>
        </w:tc>
      </w:tr>
      <w:tr w:rsidR="00D146BB">
        <w:trPr>
          <w:trHeight w:val="567"/>
          <w:jc w:val="center"/>
        </w:trPr>
        <w:tc>
          <w:tcPr>
            <w:tcW w:w="3686"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1583"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资产总计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83"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负债合计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83"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营业收入</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（亿元）</w:t>
            </w:r>
          </w:p>
        </w:tc>
      </w:tr>
      <w:tr w:rsidR="00D146BB">
        <w:trPr>
          <w:trHeight w:hRule="exact" w:val="266"/>
          <w:jc w:val="center"/>
        </w:trPr>
        <w:tc>
          <w:tcPr>
            <w:tcW w:w="3686"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1583"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450.71</w:t>
            </w:r>
          </w:p>
        </w:tc>
        <w:tc>
          <w:tcPr>
            <w:tcW w:w="1583"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271.90</w:t>
            </w:r>
          </w:p>
        </w:tc>
        <w:tc>
          <w:tcPr>
            <w:tcW w:w="1583" w:type="dxa"/>
            <w:tcBorders>
              <w:top w:val="single" w:sz="4" w:space="0" w:color="auto"/>
              <w:left w:val="single" w:sz="4" w:space="0" w:color="auto"/>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94.02</w:t>
            </w:r>
          </w:p>
        </w:tc>
      </w:tr>
      <w:tr w:rsidR="00D146BB">
        <w:trPr>
          <w:trHeight w:hRule="exact" w:val="266"/>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道路运输业</w:t>
            </w:r>
          </w:p>
        </w:tc>
        <w:tc>
          <w:tcPr>
            <w:tcW w:w="158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359.50</w:t>
            </w:r>
          </w:p>
        </w:tc>
        <w:tc>
          <w:tcPr>
            <w:tcW w:w="1583" w:type="dxa"/>
            <w:tcBorders>
              <w:top w:val="nil"/>
              <w:left w:val="nil"/>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244.74</w:t>
            </w:r>
          </w:p>
        </w:tc>
        <w:tc>
          <w:tcPr>
            <w:tcW w:w="1583"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80.25</w:t>
            </w:r>
          </w:p>
        </w:tc>
      </w:tr>
      <w:tr w:rsidR="00D146BB">
        <w:trPr>
          <w:trHeight w:hRule="exact" w:val="266"/>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水上运输业</w:t>
            </w:r>
          </w:p>
        </w:tc>
        <w:tc>
          <w:tcPr>
            <w:tcW w:w="158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71.06</w:t>
            </w:r>
          </w:p>
        </w:tc>
        <w:tc>
          <w:tcPr>
            <w:tcW w:w="1583" w:type="dxa"/>
            <w:tcBorders>
              <w:top w:val="nil"/>
              <w:left w:val="nil"/>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12.23</w:t>
            </w:r>
          </w:p>
        </w:tc>
        <w:tc>
          <w:tcPr>
            <w:tcW w:w="1583"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1.29</w:t>
            </w:r>
          </w:p>
        </w:tc>
      </w:tr>
      <w:tr w:rsidR="00D146BB">
        <w:trPr>
          <w:trHeight w:hRule="exact" w:val="266"/>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多式联运和运输代理业</w:t>
            </w:r>
          </w:p>
        </w:tc>
        <w:tc>
          <w:tcPr>
            <w:tcW w:w="158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1.74</w:t>
            </w:r>
          </w:p>
        </w:tc>
        <w:tc>
          <w:tcPr>
            <w:tcW w:w="1583" w:type="dxa"/>
            <w:tcBorders>
              <w:top w:val="nil"/>
              <w:left w:val="nil"/>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1.26</w:t>
            </w:r>
          </w:p>
        </w:tc>
        <w:tc>
          <w:tcPr>
            <w:tcW w:w="1583"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1.90</w:t>
            </w:r>
          </w:p>
        </w:tc>
      </w:tr>
      <w:tr w:rsidR="00D146BB">
        <w:trPr>
          <w:trHeight w:hRule="exact" w:val="266"/>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装卸搬运和仓储业</w:t>
            </w:r>
          </w:p>
        </w:tc>
        <w:tc>
          <w:tcPr>
            <w:tcW w:w="1583"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15.86</w:t>
            </w:r>
          </w:p>
        </w:tc>
        <w:tc>
          <w:tcPr>
            <w:tcW w:w="1583" w:type="dxa"/>
            <w:tcBorders>
              <w:top w:val="nil"/>
              <w:left w:val="nil"/>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12.42</w:t>
            </w:r>
          </w:p>
        </w:tc>
        <w:tc>
          <w:tcPr>
            <w:tcW w:w="1583"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6.60</w:t>
            </w:r>
          </w:p>
        </w:tc>
      </w:tr>
      <w:tr w:rsidR="00D146BB">
        <w:trPr>
          <w:trHeight w:hRule="exact" w:val="266"/>
          <w:jc w:val="center"/>
        </w:trPr>
        <w:tc>
          <w:tcPr>
            <w:tcW w:w="3686" w:type="dxa"/>
            <w:tcBorders>
              <w:top w:val="nil"/>
              <w:left w:val="nil"/>
              <w:bottom w:val="single" w:sz="12" w:space="0" w:color="auto"/>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邮政业</w:t>
            </w:r>
          </w:p>
        </w:tc>
        <w:tc>
          <w:tcPr>
            <w:tcW w:w="1583"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widowControl/>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1.99</w:t>
            </w:r>
          </w:p>
        </w:tc>
        <w:tc>
          <w:tcPr>
            <w:tcW w:w="1583"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1.25</w:t>
            </w:r>
          </w:p>
        </w:tc>
        <w:tc>
          <w:tcPr>
            <w:tcW w:w="1583" w:type="dxa"/>
            <w:tcBorders>
              <w:top w:val="nil"/>
              <w:left w:val="single" w:sz="4" w:space="0" w:color="auto"/>
              <w:bottom w:val="single" w:sz="12" w:space="0" w:color="auto"/>
              <w:right w:val="nil"/>
            </w:tcBorders>
            <w:shd w:val="clear" w:color="000000" w:fill="FFFFFF"/>
            <w:tcMar>
              <w:left w:w="113" w:type="dxa"/>
              <w:right w:w="113" w:type="dxa"/>
            </w:tcMar>
            <w:vAlign w:val="center"/>
          </w:tcPr>
          <w:p w:rsidR="00D146BB" w:rsidRDefault="006457CA">
            <w:pPr>
              <w:ind w:rightChars="200" w:right="42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3.98</w:t>
            </w:r>
          </w:p>
        </w:tc>
      </w:tr>
    </w:tbl>
    <w:p w:rsidR="00D146BB" w:rsidRDefault="006457CA" w:rsidP="00E03D95">
      <w:pPr>
        <w:widowControl/>
        <w:ind w:firstLineChars="200" w:firstLine="420"/>
        <w:rPr>
          <w:rFonts w:ascii="楷体_GB2312" w:eastAsia="楷体_GB2312" w:hAnsi="Times New Roman"/>
          <w:color w:val="FF0000"/>
          <w:kern w:val="0"/>
          <w:sz w:val="32"/>
          <w:szCs w:val="32"/>
        </w:rPr>
      </w:pPr>
      <w:r>
        <w:rPr>
          <w:rFonts w:ascii="楷体_GB2312" w:eastAsia="楷体_GB2312" w:hint="eastAsia"/>
          <w:color w:val="000000" w:themeColor="text1"/>
          <w:kern w:val="0"/>
          <w:szCs w:val="21"/>
        </w:rPr>
        <w:t>注：表中资产总计、负债合计和营业收入</w:t>
      </w:r>
      <w:proofErr w:type="gramStart"/>
      <w:r>
        <w:rPr>
          <w:rFonts w:ascii="楷体_GB2312" w:eastAsia="楷体_GB2312" w:hint="eastAsia"/>
          <w:color w:val="000000" w:themeColor="text1"/>
          <w:kern w:val="0"/>
          <w:szCs w:val="21"/>
        </w:rPr>
        <w:t>合计数含航空运输</w:t>
      </w:r>
      <w:proofErr w:type="gramEnd"/>
      <w:r>
        <w:rPr>
          <w:rFonts w:ascii="楷体_GB2312" w:eastAsia="楷体_GB2312" w:hint="eastAsia"/>
          <w:color w:val="000000" w:themeColor="text1"/>
          <w:kern w:val="0"/>
          <w:szCs w:val="21"/>
        </w:rPr>
        <w:t>业、管道运输业数据。</w:t>
      </w:r>
    </w:p>
    <w:p w:rsidR="00D146BB" w:rsidRDefault="006457CA">
      <w:pPr>
        <w:spacing w:line="500" w:lineRule="exact"/>
        <w:ind w:firstLineChars="200" w:firstLine="640"/>
        <w:jc w:val="left"/>
        <w:rPr>
          <w:rFonts w:eastAsia="黑体"/>
          <w:color w:val="000000" w:themeColor="text1"/>
          <w:kern w:val="0"/>
          <w:sz w:val="32"/>
          <w:szCs w:val="32"/>
        </w:rPr>
      </w:pPr>
      <w:r>
        <w:rPr>
          <w:rFonts w:eastAsia="黑体"/>
          <w:color w:val="000000" w:themeColor="text1"/>
          <w:kern w:val="0"/>
          <w:sz w:val="32"/>
          <w:szCs w:val="32"/>
        </w:rPr>
        <w:t>三、住宿和餐饮业</w:t>
      </w:r>
    </w:p>
    <w:p w:rsidR="00D146BB" w:rsidRDefault="006457CA">
      <w:pPr>
        <w:spacing w:line="50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（一）企业法人单位数和从业人员。</w:t>
      </w:r>
    </w:p>
    <w:p w:rsidR="00D146BB" w:rsidRDefault="006457CA">
      <w:pPr>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w:t>
      </w:r>
      <w:r>
        <w:rPr>
          <w:rFonts w:ascii="仿宋_GB2312" w:eastAsia="仿宋_GB2312" w:hAnsi="Times New Roman"/>
          <w:color w:val="000000" w:themeColor="text1"/>
          <w:kern w:val="0"/>
          <w:sz w:val="32"/>
          <w:szCs w:val="32"/>
        </w:rPr>
        <w:t>市共有住宿和餐饮业企业法人单位333个，从业人员7257人，分别比2013年末增长8</w:t>
      </w:r>
      <w:r>
        <w:rPr>
          <w:rFonts w:ascii="仿宋_GB2312" w:eastAsia="仿宋_GB2312" w:hAnsi="Times New Roman" w:hint="eastAsia"/>
          <w:color w:val="000000" w:themeColor="text1"/>
          <w:kern w:val="0"/>
          <w:sz w:val="32"/>
          <w:szCs w:val="32"/>
        </w:rPr>
        <w:t>5.0</w:t>
      </w:r>
      <w:r>
        <w:rPr>
          <w:rFonts w:ascii="仿宋_GB2312" w:eastAsia="仿宋_GB2312" w:hAnsi="Times New Roman"/>
          <w:color w:val="000000" w:themeColor="text1"/>
          <w:kern w:val="0"/>
          <w:sz w:val="32"/>
          <w:szCs w:val="32"/>
        </w:rPr>
        <w:t>%和4.</w:t>
      </w:r>
      <w:r>
        <w:rPr>
          <w:rFonts w:ascii="仿宋_GB2312" w:eastAsia="仿宋_GB2312" w:hAnsi="Times New Roman" w:hint="eastAsia"/>
          <w:color w:val="000000" w:themeColor="text1"/>
          <w:kern w:val="0"/>
          <w:sz w:val="32"/>
          <w:szCs w:val="32"/>
        </w:rPr>
        <w:t>7</w:t>
      </w:r>
      <w:r>
        <w:rPr>
          <w:rFonts w:ascii="仿宋_GB2312" w:eastAsia="仿宋_GB2312" w:hAnsi="Times New Roman"/>
          <w:color w:val="000000" w:themeColor="text1"/>
          <w:kern w:val="0"/>
          <w:sz w:val="32"/>
          <w:szCs w:val="32"/>
        </w:rPr>
        <w:t>%。</w:t>
      </w:r>
    </w:p>
    <w:p w:rsidR="00D146BB" w:rsidRDefault="006457CA">
      <w:pPr>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在住宿和餐饮业企业法人单位中，住宿业占52.9%，餐饮业占47.1%。在住宿和餐饮业企业法人单位从业人员中，住宿业占60.5%，餐饮业占39.5%（详见表4-7）。</w:t>
      </w:r>
    </w:p>
    <w:p w:rsidR="00D146BB" w:rsidRDefault="006457CA">
      <w:pPr>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在住宿和餐饮业企业法人单位中，内资企业占100.0%。</w:t>
      </w:r>
    </w:p>
    <w:p w:rsidR="00D146BB" w:rsidRDefault="006457CA">
      <w:pPr>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在住宿和餐饮业企业法人单位从业人员中，内资企业占100.0%（详见表4-8）。</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661"/>
        <w:gridCol w:w="1932"/>
      </w:tblGrid>
      <w:tr w:rsidR="00D146BB">
        <w:trPr>
          <w:trHeight w:val="388"/>
          <w:jc w:val="center"/>
        </w:trPr>
        <w:tc>
          <w:tcPr>
            <w:tcW w:w="830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表4-7　按行业中类分组的住宿和餐饮业企业法人单位和从业人员</w:t>
            </w:r>
          </w:p>
        </w:tc>
      </w:tr>
      <w:tr w:rsidR="00D146BB">
        <w:trPr>
          <w:trHeight w:val="411"/>
          <w:jc w:val="center"/>
        </w:trPr>
        <w:tc>
          <w:tcPr>
            <w:tcW w:w="3713" w:type="dxa"/>
            <w:tcBorders>
              <w:top w:val="nil"/>
              <w:left w:val="nil"/>
              <w:bottom w:val="single" w:sz="4" w:space="0" w:color="auto"/>
              <w:right w:val="single" w:sz="4" w:space="0" w:color="auto"/>
            </w:tcBorders>
            <w:vAlign w:val="center"/>
          </w:tcPr>
          <w:p w:rsidR="00D146BB" w:rsidRDefault="00D146BB">
            <w:pPr>
              <w:widowControl/>
              <w:jc w:val="left"/>
              <w:rPr>
                <w:rFonts w:ascii="黑体" w:eastAsia="黑体" w:hAnsi="黑体"/>
                <w:color w:val="000000" w:themeColor="text1"/>
                <w:kern w:val="0"/>
                <w:sz w:val="20"/>
                <w:szCs w:val="20"/>
              </w:rPr>
            </w:pPr>
          </w:p>
        </w:tc>
        <w:tc>
          <w:tcPr>
            <w:tcW w:w="2661"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1932"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从业人员（人）</w:t>
            </w:r>
          </w:p>
        </w:tc>
      </w:tr>
      <w:tr w:rsidR="00D146BB">
        <w:trPr>
          <w:trHeight w:hRule="exact" w:val="261"/>
          <w:jc w:val="center"/>
        </w:trPr>
        <w:tc>
          <w:tcPr>
            <w:tcW w:w="3713"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661"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333</w:t>
            </w:r>
          </w:p>
        </w:tc>
        <w:tc>
          <w:tcPr>
            <w:tcW w:w="1932" w:type="dxa"/>
            <w:tcBorders>
              <w:top w:val="single" w:sz="4" w:space="0" w:color="auto"/>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7257</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住宿业</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176</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4388</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旅游饭店</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48</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2499</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一般旅馆</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114</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1724</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民宿服务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7</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40</w:t>
            </w:r>
          </w:p>
          <w:p w:rsidR="00D146BB" w:rsidRDefault="00D146BB">
            <w:pPr>
              <w:ind w:rightChars="500" w:right="1050"/>
              <w:jc w:val="right"/>
              <w:rPr>
                <w:rFonts w:ascii="仿宋_GB2312" w:eastAsia="仿宋_GB2312" w:hAnsi="Times New Roman"/>
                <w:color w:val="000000" w:themeColor="text1"/>
              </w:rPr>
            </w:pP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firstLineChars="200" w:firstLine="420"/>
              <w:rPr>
                <w:rFonts w:ascii="仿宋_GB2312" w:eastAsia="仿宋_GB2312"/>
                <w:color w:val="000000" w:themeColor="text1"/>
                <w:kern w:val="0"/>
                <w:szCs w:val="21"/>
              </w:rPr>
            </w:pPr>
            <w:r>
              <w:rPr>
                <w:rFonts w:ascii="仿宋_GB2312" w:eastAsia="仿宋_GB2312" w:hint="eastAsia"/>
                <w:color w:val="000000" w:themeColor="text1"/>
                <w:kern w:val="0"/>
                <w:szCs w:val="21"/>
              </w:rPr>
              <w:t>露营地服务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3</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其他住宿业</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6</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122</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餐饮业</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157</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2869</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正餐服务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140</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2778</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快餐服务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5</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52</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饮料及冷饮服务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5</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23</w:t>
            </w:r>
          </w:p>
        </w:tc>
      </w:tr>
      <w:tr w:rsidR="00D146BB">
        <w:trPr>
          <w:trHeight w:hRule="exact" w:val="261"/>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餐饮配送及外卖送餐服务</w:t>
            </w:r>
          </w:p>
        </w:tc>
        <w:tc>
          <w:tcPr>
            <w:tcW w:w="2661"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3</w:t>
            </w:r>
          </w:p>
        </w:tc>
        <w:tc>
          <w:tcPr>
            <w:tcW w:w="1932"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7</w:t>
            </w:r>
          </w:p>
        </w:tc>
      </w:tr>
      <w:tr w:rsidR="00D146BB">
        <w:trPr>
          <w:trHeight w:hRule="exact" w:val="261"/>
          <w:jc w:val="center"/>
        </w:trPr>
        <w:tc>
          <w:tcPr>
            <w:tcW w:w="3713"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其他餐饮业</w:t>
            </w:r>
          </w:p>
        </w:tc>
        <w:tc>
          <w:tcPr>
            <w:tcW w:w="2661"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4</w:t>
            </w:r>
          </w:p>
        </w:tc>
        <w:tc>
          <w:tcPr>
            <w:tcW w:w="1932" w:type="dxa"/>
            <w:tcBorders>
              <w:top w:val="nil"/>
              <w:left w:val="single" w:sz="4" w:space="0" w:color="auto"/>
              <w:bottom w:val="single" w:sz="12" w:space="0" w:color="auto"/>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9</w:t>
            </w:r>
          </w:p>
        </w:tc>
      </w:tr>
    </w:tbl>
    <w:p w:rsidR="00D146BB" w:rsidRDefault="00D146BB">
      <w:pPr>
        <w:spacing w:line="20" w:lineRule="exact"/>
        <w:ind w:firstLineChars="200" w:firstLine="200"/>
        <w:rPr>
          <w:rFonts w:eastAsia="仿宋_GB2312"/>
          <w:color w:val="000000" w:themeColor="text1"/>
          <w:kern w:val="0"/>
          <w:sz w:val="10"/>
          <w:szCs w:val="10"/>
        </w:rPr>
      </w:pPr>
    </w:p>
    <w:tbl>
      <w:tblPr>
        <w:tblW w:w="83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659"/>
        <w:gridCol w:w="1934"/>
      </w:tblGrid>
      <w:tr w:rsidR="00D146BB">
        <w:trPr>
          <w:trHeight w:val="567"/>
          <w:jc w:val="center"/>
        </w:trPr>
        <w:tc>
          <w:tcPr>
            <w:tcW w:w="830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lastRenderedPageBreak/>
              <w:t>表4-8　按登记注册类型分组的住宿和餐饮业企业法人单位和从业人员</w:t>
            </w:r>
          </w:p>
        </w:tc>
      </w:tr>
      <w:tr w:rsidR="00D146BB">
        <w:trPr>
          <w:trHeight w:val="567"/>
          <w:jc w:val="center"/>
        </w:trPr>
        <w:tc>
          <w:tcPr>
            <w:tcW w:w="3713" w:type="dxa"/>
            <w:tcBorders>
              <w:top w:val="nil"/>
              <w:left w:val="nil"/>
              <w:bottom w:val="single" w:sz="4" w:space="0" w:color="auto"/>
              <w:right w:val="single" w:sz="4" w:space="0" w:color="auto"/>
            </w:tcBorders>
            <w:vAlign w:val="center"/>
          </w:tcPr>
          <w:p w:rsidR="00D146BB" w:rsidRDefault="00D146BB">
            <w:pPr>
              <w:widowControl/>
              <w:jc w:val="left"/>
              <w:rPr>
                <w:rFonts w:ascii="黑体" w:eastAsia="黑体" w:hAnsi="黑体"/>
                <w:color w:val="000000" w:themeColor="text1"/>
                <w:kern w:val="0"/>
                <w:sz w:val="20"/>
                <w:szCs w:val="20"/>
              </w:rPr>
            </w:pPr>
          </w:p>
        </w:tc>
        <w:tc>
          <w:tcPr>
            <w:tcW w:w="2659"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企业法人单位</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1934"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从业人员</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hRule="exact" w:val="266"/>
          <w:jc w:val="center"/>
        </w:trPr>
        <w:tc>
          <w:tcPr>
            <w:tcW w:w="3713"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659"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333</w:t>
            </w:r>
          </w:p>
        </w:tc>
        <w:tc>
          <w:tcPr>
            <w:tcW w:w="1934" w:type="dxa"/>
            <w:tcBorders>
              <w:top w:val="single" w:sz="4" w:space="0" w:color="auto"/>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7257</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color w:val="000000" w:themeColor="text1"/>
                <w:kern w:val="0"/>
                <w:sz w:val="18"/>
                <w:szCs w:val="18"/>
              </w:rPr>
            </w:pPr>
            <w:r>
              <w:rPr>
                <w:rFonts w:ascii="仿宋_GB2312" w:eastAsia="仿宋_GB2312" w:hint="eastAsia"/>
                <w:b/>
                <w:color w:val="000000" w:themeColor="text1"/>
                <w:kern w:val="0"/>
                <w:szCs w:val="21"/>
              </w:rPr>
              <w:t>内资企业</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333</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7257</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国有企业</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6</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137</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集体企业</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9</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55</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股份合作企业</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68</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联营企业</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14</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有限责任公司</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46</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2245</w:t>
            </w:r>
          </w:p>
        </w:tc>
      </w:tr>
      <w:tr w:rsidR="00D146BB">
        <w:trPr>
          <w:trHeight w:hRule="exact" w:val="266"/>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股份有限公司</w:t>
            </w:r>
          </w:p>
        </w:tc>
        <w:tc>
          <w:tcPr>
            <w:tcW w:w="2659" w:type="dxa"/>
            <w:tcBorders>
              <w:top w:val="nil"/>
              <w:left w:val="single" w:sz="4" w:space="0" w:color="auto"/>
              <w:bottom w:val="nil"/>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9</w:t>
            </w:r>
          </w:p>
        </w:tc>
        <w:tc>
          <w:tcPr>
            <w:tcW w:w="1934" w:type="dxa"/>
            <w:tcBorders>
              <w:top w:val="nil"/>
              <w:left w:val="single" w:sz="4" w:space="0" w:color="auto"/>
              <w:bottom w:val="nil"/>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245</w:t>
            </w:r>
          </w:p>
        </w:tc>
      </w:tr>
      <w:tr w:rsidR="00D146BB">
        <w:trPr>
          <w:trHeight w:hRule="exact" w:val="266"/>
          <w:jc w:val="center"/>
        </w:trPr>
        <w:tc>
          <w:tcPr>
            <w:tcW w:w="3713"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私营企业</w:t>
            </w:r>
          </w:p>
        </w:tc>
        <w:tc>
          <w:tcPr>
            <w:tcW w:w="2659"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258</w:t>
            </w:r>
          </w:p>
        </w:tc>
        <w:tc>
          <w:tcPr>
            <w:tcW w:w="1934" w:type="dxa"/>
            <w:tcBorders>
              <w:top w:val="nil"/>
              <w:left w:val="single" w:sz="4" w:space="0" w:color="auto"/>
              <w:bottom w:val="single" w:sz="12" w:space="0" w:color="auto"/>
              <w:right w:val="nil"/>
            </w:tcBorders>
            <w:tcMar>
              <w:left w:w="113" w:type="dxa"/>
              <w:right w:w="113" w:type="dxa"/>
            </w:tcMar>
          </w:tcPr>
          <w:p w:rsidR="00D146BB" w:rsidRDefault="006457CA">
            <w:pPr>
              <w:ind w:rightChars="500" w:right="1050"/>
              <w:jc w:val="right"/>
              <w:rPr>
                <w:rFonts w:ascii="仿宋_GB2312" w:eastAsia="仿宋_GB2312" w:hAnsi="Times New Roman"/>
                <w:color w:val="000000" w:themeColor="text1"/>
              </w:rPr>
            </w:pPr>
            <w:r>
              <w:rPr>
                <w:rFonts w:ascii="仿宋_GB2312" w:eastAsia="仿宋_GB2312" w:hAnsi="Times New Roman" w:hint="eastAsia"/>
                <w:color w:val="000000" w:themeColor="text1"/>
              </w:rPr>
              <w:t>4490</w:t>
            </w:r>
          </w:p>
        </w:tc>
      </w:tr>
    </w:tbl>
    <w:p w:rsidR="00D146BB" w:rsidRDefault="006457CA" w:rsidP="00E03D95">
      <w:pPr>
        <w:ind w:firstLineChars="200" w:firstLine="420"/>
        <w:rPr>
          <w:rFonts w:ascii="楷体_GB2312" w:eastAsia="楷体_GB2312" w:hAnsi="仿宋_GB2312" w:cs="仿宋_GB2312"/>
          <w:color w:val="000000" w:themeColor="text1"/>
          <w:kern w:val="0"/>
          <w:szCs w:val="21"/>
        </w:rPr>
      </w:pPr>
      <w:r>
        <w:rPr>
          <w:rFonts w:ascii="楷体_GB2312" w:eastAsia="楷体_GB2312" w:hAnsi="仿宋_GB2312" w:cs="仿宋_GB2312" w:hint="eastAsia"/>
          <w:color w:val="000000" w:themeColor="text1"/>
          <w:kern w:val="0"/>
          <w:szCs w:val="21"/>
        </w:rPr>
        <w:t>注：表中内资企业中企业法人单位和</w:t>
      </w:r>
      <w:proofErr w:type="gramStart"/>
      <w:r>
        <w:rPr>
          <w:rFonts w:ascii="楷体_GB2312" w:eastAsia="楷体_GB2312" w:hAnsi="仿宋_GB2312" w:cs="仿宋_GB2312" w:hint="eastAsia"/>
          <w:color w:val="000000" w:themeColor="text1"/>
          <w:kern w:val="0"/>
          <w:szCs w:val="21"/>
        </w:rPr>
        <w:t>从业人员数含其他</w:t>
      </w:r>
      <w:proofErr w:type="gramEnd"/>
      <w:r>
        <w:rPr>
          <w:rFonts w:ascii="楷体_GB2312" w:eastAsia="楷体_GB2312" w:hAnsi="仿宋_GB2312" w:cs="仿宋_GB2312" w:hint="eastAsia"/>
          <w:color w:val="000000" w:themeColor="text1"/>
          <w:kern w:val="0"/>
          <w:szCs w:val="21"/>
        </w:rPr>
        <w:t>企业数据。</w:t>
      </w:r>
    </w:p>
    <w:p w:rsidR="00D146BB" w:rsidRDefault="006457CA">
      <w:pPr>
        <w:spacing w:line="52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（二）主要经济指标。</w:t>
      </w:r>
    </w:p>
    <w:p w:rsidR="00D146BB" w:rsidRDefault="006457CA">
      <w:pPr>
        <w:spacing w:line="52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2018年末，住宿和餐饮业企业法人单位资产总计为35.23亿元，比2013年末增长29.5%。其中，住宿业企业法人单位资产总计25.50亿元，餐饮业企业法人单位资产总计9.73亿元，分别比2013年末增长31.3%和</w:t>
      </w:r>
      <w:r>
        <w:rPr>
          <w:rFonts w:ascii="仿宋_GB2312" w:eastAsia="仿宋_GB2312" w:hAnsi="Times New Roman" w:hint="eastAsia"/>
          <w:color w:val="000000" w:themeColor="text1"/>
          <w:kern w:val="0"/>
          <w:sz w:val="32"/>
          <w:szCs w:val="32"/>
        </w:rPr>
        <w:t>24.9</w:t>
      </w:r>
      <w:r>
        <w:rPr>
          <w:rFonts w:ascii="仿宋_GB2312" w:eastAsia="仿宋_GB2312" w:hAnsi="Times New Roman"/>
          <w:color w:val="000000" w:themeColor="text1"/>
          <w:kern w:val="0"/>
          <w:sz w:val="32"/>
          <w:szCs w:val="32"/>
        </w:rPr>
        <w:t>%。负债合计22.35亿元。全年实现年营业收入15.51亿元（详见表4-9）。</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46BB">
        <w:trPr>
          <w:trHeight w:val="567"/>
          <w:jc w:val="center"/>
        </w:trPr>
        <w:tc>
          <w:tcPr>
            <w:tcW w:w="8306" w:type="dxa"/>
            <w:gridSpan w:val="4"/>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hint="eastAsia"/>
                <w:bCs/>
                <w:color w:val="000000" w:themeColor="text1"/>
                <w:kern w:val="0"/>
                <w:sz w:val="24"/>
              </w:rPr>
              <w:t>表4-9　按行业中类分组的住宿和餐饮业企业法人单位主要经济指标</w:t>
            </w:r>
          </w:p>
        </w:tc>
      </w:tr>
      <w:tr w:rsidR="00D146BB">
        <w:trPr>
          <w:trHeight w:val="567"/>
          <w:jc w:val="center"/>
        </w:trPr>
        <w:tc>
          <w:tcPr>
            <w:tcW w:w="3686"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1540"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资产总计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40"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负债合计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40"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营业收入</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（亿元）</w:t>
            </w:r>
          </w:p>
        </w:tc>
      </w:tr>
      <w:tr w:rsidR="00D146BB">
        <w:trPr>
          <w:trHeight w:val="283"/>
          <w:jc w:val="center"/>
        </w:trPr>
        <w:tc>
          <w:tcPr>
            <w:tcW w:w="3686"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1540"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35.23</w:t>
            </w:r>
          </w:p>
        </w:tc>
        <w:tc>
          <w:tcPr>
            <w:tcW w:w="1540"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22.35</w:t>
            </w:r>
          </w:p>
        </w:tc>
        <w:tc>
          <w:tcPr>
            <w:tcW w:w="1540" w:type="dxa"/>
            <w:tcBorders>
              <w:top w:val="single" w:sz="4" w:space="0" w:color="auto"/>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15.51</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b/>
                <w:color w:val="000000" w:themeColor="text1"/>
              </w:rPr>
            </w:pPr>
            <w:r>
              <w:rPr>
                <w:rFonts w:ascii="仿宋_GB2312" w:eastAsia="仿宋_GB2312" w:hint="eastAsia"/>
                <w:b/>
                <w:color w:val="000000" w:themeColor="text1"/>
                <w:kern w:val="0"/>
                <w:szCs w:val="21"/>
              </w:rPr>
              <w:t>住宿业</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25.50</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16.10</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10.92</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旅游饭店</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15.17</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10.44</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6.73</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一般旅馆</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9.91</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5.33</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4..01</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民宿服务</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0.12</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0.02</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0.05</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其他住宿业</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0.29</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0.31</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0.13</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b/>
                <w:color w:val="000000" w:themeColor="text1"/>
              </w:rPr>
            </w:pPr>
            <w:r>
              <w:rPr>
                <w:rFonts w:ascii="仿宋_GB2312" w:eastAsia="仿宋_GB2312" w:hint="eastAsia"/>
                <w:b/>
                <w:color w:val="000000" w:themeColor="text1"/>
                <w:kern w:val="0"/>
                <w:szCs w:val="21"/>
              </w:rPr>
              <w:t>餐饮业</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9.73</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6.25</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4.59</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正餐服务</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9.65</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6.23</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4.47</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快餐服务</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0.06</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0.01</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0.09</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饮料及冷饮服务</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0.01</w:t>
            </w:r>
          </w:p>
        </w:tc>
        <w:tc>
          <w:tcPr>
            <w:tcW w:w="1540"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w:t>
            </w:r>
          </w:p>
        </w:tc>
        <w:tc>
          <w:tcPr>
            <w:tcW w:w="1540"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0.02</w:t>
            </w:r>
          </w:p>
        </w:tc>
      </w:tr>
      <w:tr w:rsidR="00D146BB">
        <w:trPr>
          <w:trHeight w:val="283"/>
          <w:jc w:val="center"/>
        </w:trPr>
        <w:tc>
          <w:tcPr>
            <w:tcW w:w="3686" w:type="dxa"/>
            <w:tcBorders>
              <w:top w:val="nil"/>
              <w:left w:val="nil"/>
              <w:bottom w:val="single" w:sz="12" w:space="0" w:color="auto"/>
              <w:right w:val="single" w:sz="4" w:space="0" w:color="auto"/>
            </w:tcBorders>
          </w:tcPr>
          <w:p w:rsidR="00D146BB" w:rsidRDefault="006457CA">
            <w:pPr>
              <w:rPr>
                <w:rFonts w:ascii="仿宋_GB2312" w:eastAsia="仿宋_GB2312"/>
                <w:color w:val="000000" w:themeColor="text1"/>
              </w:rPr>
            </w:pPr>
            <w:r>
              <w:rPr>
                <w:rFonts w:ascii="仿宋_GB2312" w:eastAsia="仿宋_GB2312" w:hint="eastAsia"/>
                <w:color w:val="000000" w:themeColor="text1"/>
              </w:rPr>
              <w:t xml:space="preserve">　  </w:t>
            </w:r>
            <w:r>
              <w:rPr>
                <w:rFonts w:ascii="仿宋_GB2312" w:eastAsia="仿宋_GB2312" w:hint="eastAsia"/>
                <w:color w:val="000000" w:themeColor="text1"/>
                <w:kern w:val="0"/>
                <w:szCs w:val="21"/>
              </w:rPr>
              <w:t>其他餐饮业</w:t>
            </w:r>
          </w:p>
        </w:tc>
        <w:tc>
          <w:tcPr>
            <w:tcW w:w="1540"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0.01</w:t>
            </w:r>
          </w:p>
        </w:tc>
        <w:tc>
          <w:tcPr>
            <w:tcW w:w="1540"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w:t>
            </w:r>
          </w:p>
        </w:tc>
        <w:tc>
          <w:tcPr>
            <w:tcW w:w="1540" w:type="dxa"/>
            <w:tcBorders>
              <w:top w:val="nil"/>
              <w:left w:val="single" w:sz="4" w:space="0" w:color="auto"/>
              <w:bottom w:val="single" w:sz="12" w:space="0" w:color="auto"/>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0.01</w:t>
            </w:r>
          </w:p>
        </w:tc>
      </w:tr>
    </w:tbl>
    <w:p w:rsidR="00D146BB" w:rsidRDefault="006457CA" w:rsidP="00E03D95">
      <w:pPr>
        <w:rPr>
          <w:rFonts w:ascii="楷体_GB2312" w:eastAsia="楷体_GB2312" w:hAnsi="仿宋_GB2312" w:cs="仿宋_GB2312"/>
          <w:color w:val="000000" w:themeColor="text1"/>
          <w:szCs w:val="21"/>
        </w:rPr>
      </w:pPr>
      <w:r>
        <w:rPr>
          <w:rFonts w:ascii="楷体_GB2312" w:eastAsia="楷体_GB2312" w:hAnsi="仿宋_GB2312" w:cs="仿宋_GB2312" w:hint="eastAsia"/>
          <w:color w:val="000000" w:themeColor="text1"/>
          <w:szCs w:val="21"/>
        </w:rPr>
        <w:t>注：表中资产总计、负债合计和营业收入</w:t>
      </w:r>
      <w:proofErr w:type="gramStart"/>
      <w:r>
        <w:rPr>
          <w:rFonts w:ascii="楷体_GB2312" w:eastAsia="楷体_GB2312" w:hAnsi="仿宋_GB2312" w:cs="仿宋_GB2312" w:hint="eastAsia"/>
          <w:color w:val="000000" w:themeColor="text1"/>
          <w:szCs w:val="21"/>
        </w:rPr>
        <w:t>合计数含露营地</w:t>
      </w:r>
      <w:proofErr w:type="gramEnd"/>
      <w:r>
        <w:rPr>
          <w:rFonts w:ascii="楷体_GB2312" w:eastAsia="楷体_GB2312" w:hAnsi="仿宋_GB2312" w:cs="仿宋_GB2312" w:hint="eastAsia"/>
          <w:color w:val="000000" w:themeColor="text1"/>
          <w:szCs w:val="21"/>
        </w:rPr>
        <w:t>服务、餐饮配送及外卖送餐服务数据。</w:t>
      </w:r>
    </w:p>
    <w:p w:rsidR="00D146BB" w:rsidRDefault="006457CA">
      <w:pPr>
        <w:spacing w:line="600" w:lineRule="exact"/>
        <w:ind w:firstLineChars="200" w:firstLine="640"/>
        <w:rPr>
          <w:rFonts w:eastAsia="黑体"/>
          <w:color w:val="000000" w:themeColor="text1"/>
          <w:sz w:val="32"/>
          <w:szCs w:val="32"/>
        </w:rPr>
      </w:pPr>
      <w:r>
        <w:rPr>
          <w:rFonts w:eastAsia="黑体"/>
          <w:color w:val="000000" w:themeColor="text1"/>
          <w:sz w:val="32"/>
          <w:szCs w:val="32"/>
        </w:rPr>
        <w:t>四、信息传输、软件和信息技术服务业</w:t>
      </w:r>
    </w:p>
    <w:p w:rsidR="00D146BB" w:rsidRDefault="006457CA">
      <w:pPr>
        <w:spacing w:line="54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lastRenderedPageBreak/>
        <w:t>（一）企业法人单位数和从业人员。</w:t>
      </w:r>
    </w:p>
    <w:p w:rsidR="00D146BB" w:rsidRDefault="006457CA">
      <w:pPr>
        <w:spacing w:line="54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全市</w:t>
      </w:r>
      <w:r>
        <w:rPr>
          <w:rFonts w:ascii="仿宋_GB2312" w:eastAsia="仿宋_GB2312" w:hAnsi="Times New Roman"/>
          <w:color w:val="000000" w:themeColor="text1"/>
          <w:kern w:val="0"/>
          <w:sz w:val="32"/>
          <w:szCs w:val="32"/>
        </w:rPr>
        <w:t>共有信息传输、软件和信息技术服务业企业法人单位389个，从业人员4591人，分别比2013年末增长480.6%和67.6%（详见表4-10）。</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296"/>
        <w:gridCol w:w="2297"/>
      </w:tblGrid>
      <w:tr w:rsidR="00D146BB">
        <w:trPr>
          <w:trHeight w:val="850"/>
          <w:jc w:val="center"/>
        </w:trPr>
        <w:tc>
          <w:tcPr>
            <w:tcW w:w="830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表4-10　按行业大类分组的信息传输、软件和信息技术服务业</w:t>
            </w:r>
          </w:p>
          <w:p w:rsidR="00D146BB" w:rsidRDefault="006457CA">
            <w:pPr>
              <w:widowControl/>
              <w:jc w:val="center"/>
              <w:rPr>
                <w:rFonts w:eastAsia="黑体"/>
                <w:bCs/>
                <w:color w:val="000000" w:themeColor="text1"/>
                <w:kern w:val="0"/>
                <w:sz w:val="24"/>
              </w:rPr>
            </w:pPr>
            <w:r>
              <w:rPr>
                <w:rFonts w:ascii="黑体" w:eastAsia="黑体" w:hAnsi="黑体"/>
                <w:bCs/>
                <w:color w:val="000000" w:themeColor="text1"/>
                <w:kern w:val="0"/>
                <w:sz w:val="24"/>
              </w:rPr>
              <w:t>企业法人单位和从业人员</w:t>
            </w:r>
          </w:p>
        </w:tc>
      </w:tr>
      <w:tr w:rsidR="00D146BB">
        <w:trPr>
          <w:trHeight w:val="567"/>
          <w:jc w:val="center"/>
        </w:trPr>
        <w:tc>
          <w:tcPr>
            <w:tcW w:w="3713"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2296"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297"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val="283"/>
          <w:jc w:val="center"/>
        </w:trPr>
        <w:tc>
          <w:tcPr>
            <w:tcW w:w="3713"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Cs w:val="21"/>
              </w:rPr>
            </w:pPr>
            <w:r>
              <w:rPr>
                <w:rFonts w:ascii="仿宋_GB2312" w:eastAsia="仿宋_GB2312" w:hint="eastAsia"/>
                <w:b/>
                <w:bCs/>
                <w:color w:val="000000" w:themeColor="text1"/>
                <w:kern w:val="0"/>
                <w:szCs w:val="21"/>
              </w:rPr>
              <w:t>合　计</w:t>
            </w:r>
          </w:p>
        </w:tc>
        <w:tc>
          <w:tcPr>
            <w:tcW w:w="2296"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389</w:t>
            </w:r>
          </w:p>
        </w:tc>
        <w:tc>
          <w:tcPr>
            <w:tcW w:w="2297"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4591</w:t>
            </w:r>
          </w:p>
        </w:tc>
      </w:tr>
      <w:tr w:rsidR="00D146BB">
        <w:trPr>
          <w:trHeight w:val="283"/>
          <w:jc w:val="center"/>
        </w:trPr>
        <w:tc>
          <w:tcPr>
            <w:tcW w:w="3713" w:type="dxa"/>
            <w:tcBorders>
              <w:top w:val="nil"/>
              <w:left w:val="nil"/>
              <w:bottom w:val="nil"/>
              <w:right w:val="single" w:sz="4" w:space="0" w:color="auto"/>
            </w:tcBorders>
            <w:vAlign w:val="center"/>
          </w:tcPr>
          <w:p w:rsidR="00D146BB" w:rsidRDefault="006457CA">
            <w:pPr>
              <w:rPr>
                <w:rFonts w:ascii="仿宋_GB2312" w:eastAsia="仿宋_GB2312"/>
                <w:color w:val="000000" w:themeColor="text1"/>
                <w:szCs w:val="21"/>
              </w:rPr>
            </w:pPr>
            <w:r>
              <w:rPr>
                <w:rFonts w:ascii="仿宋_GB2312" w:eastAsia="仿宋_GB2312" w:hint="eastAsia"/>
                <w:color w:val="000000" w:themeColor="text1"/>
                <w:kern w:val="0"/>
                <w:szCs w:val="21"/>
              </w:rPr>
              <w:t xml:space="preserve">　电信、广播电视和卫星传输服务</w:t>
            </w:r>
          </w:p>
        </w:tc>
        <w:tc>
          <w:tcPr>
            <w:tcW w:w="2296"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14</w:t>
            </w:r>
          </w:p>
        </w:tc>
        <w:tc>
          <w:tcPr>
            <w:tcW w:w="2297"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2055</w:t>
            </w:r>
          </w:p>
        </w:tc>
      </w:tr>
      <w:tr w:rsidR="00D146BB">
        <w:trPr>
          <w:trHeight w:val="283"/>
          <w:jc w:val="center"/>
        </w:trPr>
        <w:tc>
          <w:tcPr>
            <w:tcW w:w="3713" w:type="dxa"/>
            <w:tcBorders>
              <w:top w:val="nil"/>
              <w:left w:val="nil"/>
              <w:bottom w:val="nil"/>
              <w:right w:val="single" w:sz="4" w:space="0" w:color="auto"/>
            </w:tcBorders>
            <w:vAlign w:val="center"/>
          </w:tcPr>
          <w:p w:rsidR="00D146BB" w:rsidRDefault="006457CA">
            <w:pPr>
              <w:rPr>
                <w:rFonts w:ascii="仿宋_GB2312" w:eastAsia="仿宋_GB2312"/>
                <w:color w:val="000000" w:themeColor="text1"/>
                <w:szCs w:val="21"/>
              </w:rPr>
            </w:pPr>
            <w:r>
              <w:rPr>
                <w:rFonts w:ascii="仿宋_GB2312" w:eastAsia="仿宋_GB2312" w:hint="eastAsia"/>
                <w:color w:val="000000" w:themeColor="text1"/>
                <w:kern w:val="0"/>
                <w:szCs w:val="21"/>
              </w:rPr>
              <w:t xml:space="preserve">　互联网和相关服务</w:t>
            </w:r>
          </w:p>
        </w:tc>
        <w:tc>
          <w:tcPr>
            <w:tcW w:w="2296"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80</w:t>
            </w:r>
          </w:p>
        </w:tc>
        <w:tc>
          <w:tcPr>
            <w:tcW w:w="2297"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582</w:t>
            </w:r>
          </w:p>
        </w:tc>
      </w:tr>
      <w:tr w:rsidR="00D146BB">
        <w:trPr>
          <w:trHeight w:val="283"/>
          <w:jc w:val="center"/>
        </w:trPr>
        <w:tc>
          <w:tcPr>
            <w:tcW w:w="3713" w:type="dxa"/>
            <w:tcBorders>
              <w:top w:val="nil"/>
              <w:left w:val="nil"/>
              <w:bottom w:val="single" w:sz="12" w:space="0" w:color="auto"/>
              <w:right w:val="single" w:sz="4" w:space="0" w:color="auto"/>
            </w:tcBorders>
            <w:vAlign w:val="center"/>
          </w:tcPr>
          <w:p w:rsidR="00D146BB" w:rsidRDefault="006457CA">
            <w:pPr>
              <w:widowControl/>
              <w:spacing w:line="240" w:lineRule="atLeast"/>
              <w:ind w:right="57" w:firstLineChars="100" w:firstLine="210"/>
              <w:rPr>
                <w:rFonts w:ascii="仿宋_GB2312" w:eastAsia="仿宋_GB2312"/>
                <w:color w:val="000000" w:themeColor="text1"/>
                <w:kern w:val="0"/>
                <w:szCs w:val="21"/>
              </w:rPr>
            </w:pPr>
            <w:r>
              <w:rPr>
                <w:rFonts w:ascii="仿宋_GB2312" w:eastAsia="仿宋_GB2312" w:hint="eastAsia"/>
                <w:color w:val="000000" w:themeColor="text1"/>
                <w:kern w:val="0"/>
                <w:szCs w:val="21"/>
              </w:rPr>
              <w:t>软件和信息技术服务业</w:t>
            </w:r>
          </w:p>
        </w:tc>
        <w:tc>
          <w:tcPr>
            <w:tcW w:w="2296"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295</w:t>
            </w:r>
          </w:p>
        </w:tc>
        <w:tc>
          <w:tcPr>
            <w:tcW w:w="2297"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1954</w:t>
            </w:r>
          </w:p>
        </w:tc>
      </w:tr>
    </w:tbl>
    <w:p w:rsidR="00D146BB" w:rsidRDefault="006457CA">
      <w:pPr>
        <w:spacing w:line="54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hint="eastAsia"/>
          <w:color w:val="000000" w:themeColor="text1"/>
          <w:kern w:val="0"/>
          <w:sz w:val="32"/>
          <w:szCs w:val="32"/>
        </w:rPr>
        <w:t>在信息传输、软件和信息技术服务业企业法人单</w:t>
      </w:r>
      <w:r>
        <w:rPr>
          <w:rFonts w:ascii="仿宋_GB2312" w:eastAsia="仿宋_GB2312" w:hAnsi="Times New Roman"/>
          <w:color w:val="000000" w:themeColor="text1"/>
          <w:kern w:val="0"/>
          <w:sz w:val="32"/>
          <w:szCs w:val="32"/>
        </w:rPr>
        <w:t>位中，内资企业占99.5%，港、澳、台商投资企业</w:t>
      </w:r>
      <w:r>
        <w:rPr>
          <w:rFonts w:ascii="仿宋_GB2312" w:eastAsia="仿宋_GB2312" w:hAnsi="Times New Roman" w:hint="eastAsia"/>
          <w:color w:val="000000" w:themeColor="text1"/>
          <w:kern w:val="0"/>
          <w:sz w:val="32"/>
          <w:szCs w:val="32"/>
        </w:rPr>
        <w:t>和</w:t>
      </w:r>
      <w:r>
        <w:rPr>
          <w:rFonts w:ascii="仿宋_GB2312" w:eastAsia="仿宋_GB2312" w:hAnsi="Times New Roman"/>
          <w:color w:val="000000" w:themeColor="text1"/>
          <w:kern w:val="0"/>
          <w:sz w:val="32"/>
          <w:szCs w:val="32"/>
        </w:rPr>
        <w:t>外商投资企业占0.5%。</w:t>
      </w:r>
    </w:p>
    <w:p w:rsidR="00D146BB" w:rsidRDefault="006457CA">
      <w:pPr>
        <w:spacing w:line="54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在信息传输、软件和信息技术服务业企业法人单位从业人员中，内资企业</w:t>
      </w:r>
      <w:r>
        <w:rPr>
          <w:rFonts w:ascii="仿宋_GB2312" w:eastAsia="仿宋_GB2312" w:hAnsi="Times New Roman"/>
          <w:kern w:val="0"/>
          <w:sz w:val="32"/>
          <w:szCs w:val="32"/>
        </w:rPr>
        <w:t>占99.5%</w:t>
      </w:r>
      <w:r>
        <w:rPr>
          <w:rFonts w:ascii="仿宋_GB2312" w:eastAsia="仿宋_GB2312" w:hAnsi="Times New Roman"/>
          <w:color w:val="000000" w:themeColor="text1"/>
          <w:kern w:val="0"/>
          <w:sz w:val="32"/>
          <w:szCs w:val="32"/>
        </w:rPr>
        <w:t>，港、澳、台商投资企业</w:t>
      </w:r>
      <w:r>
        <w:rPr>
          <w:rFonts w:ascii="仿宋_GB2312" w:eastAsia="仿宋_GB2312" w:hAnsi="Times New Roman" w:hint="eastAsia"/>
          <w:color w:val="000000" w:themeColor="text1"/>
          <w:kern w:val="0"/>
          <w:sz w:val="32"/>
          <w:szCs w:val="32"/>
        </w:rPr>
        <w:t>和</w:t>
      </w:r>
      <w:r>
        <w:rPr>
          <w:rFonts w:ascii="仿宋_GB2312" w:eastAsia="仿宋_GB2312" w:hAnsi="Times New Roman"/>
          <w:color w:val="000000" w:themeColor="text1"/>
          <w:kern w:val="0"/>
          <w:sz w:val="32"/>
          <w:szCs w:val="32"/>
        </w:rPr>
        <w:t>外商投资企业占0.5%（详见表4-11）。</w:t>
      </w:r>
    </w:p>
    <w:tbl>
      <w:tblPr>
        <w:tblW w:w="82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296"/>
        <w:gridCol w:w="2284"/>
      </w:tblGrid>
      <w:tr w:rsidR="00D146BB">
        <w:trPr>
          <w:trHeight w:val="850"/>
          <w:jc w:val="center"/>
        </w:trPr>
        <w:tc>
          <w:tcPr>
            <w:tcW w:w="8293" w:type="dxa"/>
            <w:gridSpan w:val="3"/>
            <w:tcBorders>
              <w:top w:val="nil"/>
              <w:left w:val="nil"/>
              <w:bottom w:val="single" w:sz="12" w:space="0" w:color="auto"/>
              <w:right w:val="nil"/>
            </w:tcBorders>
            <w:shd w:val="clear" w:color="auto" w:fill="FFFFFF"/>
            <w:vAlign w:val="center"/>
          </w:tcPr>
          <w:p w:rsidR="00D146BB" w:rsidRPr="00C81FA4" w:rsidRDefault="006457CA">
            <w:pPr>
              <w:widowControl/>
              <w:jc w:val="center"/>
              <w:rPr>
                <w:rFonts w:ascii="黑体" w:eastAsia="黑体" w:hAnsi="黑体"/>
                <w:bCs/>
                <w:color w:val="000000" w:themeColor="text1"/>
                <w:kern w:val="0"/>
                <w:sz w:val="24"/>
              </w:rPr>
            </w:pPr>
            <w:r w:rsidRPr="00C81FA4">
              <w:rPr>
                <w:rFonts w:ascii="黑体" w:eastAsia="黑体" w:hAnsi="黑体"/>
                <w:bCs/>
                <w:color w:val="000000" w:themeColor="text1"/>
                <w:kern w:val="0"/>
                <w:sz w:val="24"/>
              </w:rPr>
              <w:t>表4-11　按登记注册类型分组的信息传输、软件和信息技术服务业</w:t>
            </w:r>
          </w:p>
          <w:p w:rsidR="00D146BB" w:rsidRDefault="006457CA">
            <w:pPr>
              <w:widowControl/>
              <w:jc w:val="center"/>
              <w:rPr>
                <w:rFonts w:eastAsia="黑体"/>
                <w:bCs/>
                <w:color w:val="000000" w:themeColor="text1"/>
                <w:kern w:val="0"/>
                <w:sz w:val="24"/>
              </w:rPr>
            </w:pPr>
            <w:r w:rsidRPr="00C81FA4">
              <w:rPr>
                <w:rFonts w:ascii="黑体" w:eastAsia="黑体" w:hAnsi="黑体"/>
                <w:bCs/>
                <w:color w:val="000000" w:themeColor="text1"/>
                <w:kern w:val="0"/>
                <w:sz w:val="24"/>
              </w:rPr>
              <w:t>企业法人单位和从业人员</w:t>
            </w:r>
          </w:p>
        </w:tc>
      </w:tr>
      <w:tr w:rsidR="00D146BB">
        <w:trPr>
          <w:trHeight w:val="567"/>
          <w:jc w:val="center"/>
        </w:trPr>
        <w:tc>
          <w:tcPr>
            <w:tcW w:w="3713" w:type="dxa"/>
            <w:tcBorders>
              <w:top w:val="nil"/>
              <w:left w:val="nil"/>
              <w:bottom w:val="single" w:sz="4" w:space="0" w:color="auto"/>
              <w:right w:val="single" w:sz="4" w:space="0" w:color="auto"/>
            </w:tcBorders>
            <w:vAlign w:val="center"/>
          </w:tcPr>
          <w:p w:rsidR="00D146BB" w:rsidRDefault="00D146BB">
            <w:pPr>
              <w:widowControl/>
              <w:jc w:val="left"/>
              <w:rPr>
                <w:rFonts w:ascii="黑体" w:eastAsia="黑体" w:hAnsi="黑体"/>
                <w:color w:val="000000" w:themeColor="text1"/>
                <w:kern w:val="0"/>
                <w:sz w:val="20"/>
                <w:szCs w:val="20"/>
              </w:rPr>
            </w:pPr>
          </w:p>
        </w:tc>
        <w:tc>
          <w:tcPr>
            <w:tcW w:w="2296"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企业法人单位</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284"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从业人员</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(人)</w:t>
            </w:r>
          </w:p>
        </w:tc>
      </w:tr>
      <w:tr w:rsidR="00D146BB">
        <w:trPr>
          <w:trHeight w:hRule="exact" w:val="284"/>
          <w:jc w:val="center"/>
        </w:trPr>
        <w:tc>
          <w:tcPr>
            <w:tcW w:w="3713"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Cs w:val="21"/>
              </w:rPr>
            </w:pPr>
            <w:r>
              <w:rPr>
                <w:rFonts w:ascii="仿宋_GB2312" w:eastAsia="仿宋_GB2312" w:hint="eastAsia"/>
                <w:b/>
                <w:bCs/>
                <w:color w:val="000000" w:themeColor="text1"/>
                <w:kern w:val="0"/>
                <w:szCs w:val="21"/>
              </w:rPr>
              <w:t>合　计</w:t>
            </w:r>
          </w:p>
        </w:tc>
        <w:tc>
          <w:tcPr>
            <w:tcW w:w="2296"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389</w:t>
            </w:r>
          </w:p>
        </w:tc>
        <w:tc>
          <w:tcPr>
            <w:tcW w:w="2284"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4591</w:t>
            </w:r>
          </w:p>
        </w:tc>
      </w:tr>
      <w:tr w:rsidR="00D146BB">
        <w:trPr>
          <w:trHeight w:hRule="exact" w:val="284"/>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color w:val="000000" w:themeColor="text1"/>
                <w:kern w:val="0"/>
                <w:szCs w:val="21"/>
              </w:rPr>
            </w:pPr>
            <w:r>
              <w:rPr>
                <w:rFonts w:ascii="仿宋_GB2312" w:eastAsia="仿宋_GB2312" w:hint="eastAsia"/>
                <w:b/>
                <w:color w:val="000000" w:themeColor="text1"/>
                <w:kern w:val="0"/>
                <w:szCs w:val="21"/>
              </w:rPr>
              <w:t>内资企业</w:t>
            </w:r>
          </w:p>
        </w:tc>
        <w:tc>
          <w:tcPr>
            <w:tcW w:w="2296"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387</w:t>
            </w:r>
          </w:p>
        </w:tc>
        <w:tc>
          <w:tcPr>
            <w:tcW w:w="2284"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4567</w:t>
            </w:r>
          </w:p>
        </w:tc>
      </w:tr>
      <w:tr w:rsidR="00D146BB">
        <w:trPr>
          <w:trHeight w:hRule="exact" w:val="284"/>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有限责任公司</w:t>
            </w:r>
          </w:p>
        </w:tc>
        <w:tc>
          <w:tcPr>
            <w:tcW w:w="2296"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21</w:t>
            </w:r>
          </w:p>
        </w:tc>
        <w:tc>
          <w:tcPr>
            <w:tcW w:w="2284"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1128</w:t>
            </w:r>
          </w:p>
        </w:tc>
      </w:tr>
      <w:tr w:rsidR="00D146BB">
        <w:trPr>
          <w:trHeight w:hRule="exact" w:val="284"/>
          <w:jc w:val="center"/>
        </w:trPr>
        <w:tc>
          <w:tcPr>
            <w:tcW w:w="3713"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股份有限公司</w:t>
            </w:r>
          </w:p>
        </w:tc>
        <w:tc>
          <w:tcPr>
            <w:tcW w:w="2296"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4</w:t>
            </w:r>
          </w:p>
        </w:tc>
        <w:tc>
          <w:tcPr>
            <w:tcW w:w="2284" w:type="dxa"/>
            <w:tcBorders>
              <w:top w:val="nil"/>
              <w:left w:val="nil"/>
              <w:bottom w:val="nil"/>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1016</w:t>
            </w:r>
          </w:p>
        </w:tc>
      </w:tr>
      <w:tr w:rsidR="00D146BB">
        <w:trPr>
          <w:trHeight w:hRule="exact" w:val="284"/>
          <w:jc w:val="center"/>
        </w:trPr>
        <w:tc>
          <w:tcPr>
            <w:tcW w:w="3713"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color w:val="000000" w:themeColor="text1"/>
                <w:kern w:val="0"/>
                <w:szCs w:val="21"/>
              </w:rPr>
            </w:pPr>
            <w:r>
              <w:rPr>
                <w:rFonts w:ascii="仿宋_GB2312" w:eastAsia="仿宋_GB2312" w:hint="eastAsia"/>
                <w:color w:val="000000" w:themeColor="text1"/>
                <w:kern w:val="0"/>
                <w:szCs w:val="21"/>
              </w:rPr>
              <w:t xml:space="preserve">　　私营企业</w:t>
            </w:r>
          </w:p>
        </w:tc>
        <w:tc>
          <w:tcPr>
            <w:tcW w:w="2296"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widowControl/>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361</w:t>
            </w:r>
          </w:p>
        </w:tc>
        <w:tc>
          <w:tcPr>
            <w:tcW w:w="2284"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400" w:right="840"/>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2423</w:t>
            </w:r>
          </w:p>
        </w:tc>
      </w:tr>
    </w:tbl>
    <w:p w:rsidR="00D146BB" w:rsidRDefault="006457CA">
      <w:pPr>
        <w:widowControl/>
        <w:spacing w:line="240" w:lineRule="atLeast"/>
        <w:ind w:right="57" w:firstLineChars="200" w:firstLine="420"/>
        <w:rPr>
          <w:rFonts w:ascii="楷体_GB2312" w:eastAsia="楷体_GB2312" w:hAnsi="仿宋_GB2312" w:cs="仿宋_GB2312"/>
          <w:color w:val="000000" w:themeColor="text1"/>
          <w:kern w:val="0"/>
          <w:szCs w:val="21"/>
        </w:rPr>
      </w:pPr>
      <w:r>
        <w:rPr>
          <w:rFonts w:ascii="楷体_GB2312" w:eastAsia="楷体_GB2312" w:hAnsi="仿宋_GB2312" w:cs="仿宋_GB2312" w:hint="eastAsia"/>
          <w:color w:val="000000" w:themeColor="text1"/>
          <w:kern w:val="0"/>
          <w:szCs w:val="21"/>
        </w:rPr>
        <w:t>注：表中企业法人单位和从业人员</w:t>
      </w:r>
      <w:proofErr w:type="gramStart"/>
      <w:r>
        <w:rPr>
          <w:rFonts w:ascii="楷体_GB2312" w:eastAsia="楷体_GB2312" w:hAnsi="仿宋_GB2312" w:cs="仿宋_GB2312" w:hint="eastAsia"/>
          <w:color w:val="000000" w:themeColor="text1"/>
          <w:kern w:val="0"/>
          <w:szCs w:val="21"/>
        </w:rPr>
        <w:t>合计数含港</w:t>
      </w:r>
      <w:proofErr w:type="gramEnd"/>
      <w:r>
        <w:rPr>
          <w:rFonts w:ascii="楷体_GB2312" w:eastAsia="楷体_GB2312" w:hAnsi="仿宋_GB2312" w:cs="仿宋_GB2312" w:hint="eastAsia"/>
          <w:color w:val="000000" w:themeColor="text1"/>
          <w:kern w:val="0"/>
          <w:szCs w:val="21"/>
        </w:rPr>
        <w:t>、澳、台商投资企业和外商投资企业数据，表中内资企业中企业法人</w:t>
      </w:r>
      <w:proofErr w:type="gramStart"/>
      <w:r>
        <w:rPr>
          <w:rFonts w:ascii="楷体_GB2312" w:eastAsia="楷体_GB2312" w:hAnsi="仿宋_GB2312" w:cs="仿宋_GB2312" w:hint="eastAsia"/>
          <w:color w:val="000000" w:themeColor="text1"/>
          <w:kern w:val="0"/>
          <w:szCs w:val="21"/>
        </w:rPr>
        <w:t>单位数含国有</w:t>
      </w:r>
      <w:proofErr w:type="gramEnd"/>
      <w:r>
        <w:rPr>
          <w:rFonts w:ascii="楷体_GB2312" w:eastAsia="楷体_GB2312" w:hAnsi="仿宋_GB2312" w:cs="仿宋_GB2312" w:hint="eastAsia"/>
          <w:color w:val="000000" w:themeColor="text1"/>
          <w:kern w:val="0"/>
          <w:szCs w:val="21"/>
        </w:rPr>
        <w:t>企业数据。</w:t>
      </w:r>
    </w:p>
    <w:p w:rsidR="00D146BB" w:rsidRDefault="006457CA">
      <w:pPr>
        <w:spacing w:line="50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（二）主要经济指标。</w:t>
      </w:r>
    </w:p>
    <w:p w:rsidR="00D146BB" w:rsidRDefault="006457CA">
      <w:pPr>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2018年末，信息传输、软件和信息技术服务业企业法人单位资产总计42.55亿元，比2013年末增长57.</w:t>
      </w:r>
      <w:r>
        <w:rPr>
          <w:rFonts w:ascii="仿宋_GB2312" w:eastAsia="仿宋_GB2312" w:hAnsi="Times New Roman" w:hint="eastAsia"/>
          <w:color w:val="000000" w:themeColor="text1"/>
          <w:kern w:val="0"/>
          <w:sz w:val="32"/>
          <w:szCs w:val="32"/>
        </w:rPr>
        <w:t>5</w:t>
      </w:r>
      <w:r>
        <w:rPr>
          <w:rFonts w:ascii="仿宋_GB2312" w:eastAsia="仿宋_GB2312" w:hAnsi="Times New Roman"/>
          <w:color w:val="000000" w:themeColor="text1"/>
          <w:kern w:val="0"/>
          <w:sz w:val="32"/>
          <w:szCs w:val="32"/>
        </w:rPr>
        <w:t>%。负债合计37.72</w:t>
      </w:r>
      <w:r>
        <w:rPr>
          <w:rFonts w:ascii="仿宋_GB2312" w:eastAsia="仿宋_GB2312" w:hAnsi="Times New Roman"/>
          <w:color w:val="000000" w:themeColor="text1"/>
          <w:kern w:val="0"/>
          <w:sz w:val="32"/>
          <w:szCs w:val="32"/>
        </w:rPr>
        <w:lastRenderedPageBreak/>
        <w:t>亿元。全年实现营业收入28.22亿元（详见表4-12）。</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46BB">
        <w:trPr>
          <w:trHeight w:val="850"/>
          <w:jc w:val="center"/>
        </w:trPr>
        <w:tc>
          <w:tcPr>
            <w:tcW w:w="8306" w:type="dxa"/>
            <w:gridSpan w:val="4"/>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表4-12　按行业大类分组的信息传输、软件和信息技术服务业</w:t>
            </w:r>
          </w:p>
          <w:p w:rsidR="00D146BB" w:rsidRDefault="006457CA">
            <w:pPr>
              <w:widowControl/>
              <w:jc w:val="center"/>
              <w:rPr>
                <w:rFonts w:eastAsia="黑体"/>
                <w:bCs/>
                <w:color w:val="000000" w:themeColor="text1"/>
                <w:kern w:val="0"/>
                <w:sz w:val="24"/>
              </w:rPr>
            </w:pPr>
            <w:r>
              <w:rPr>
                <w:rFonts w:ascii="黑体" w:eastAsia="黑体" w:hAnsi="黑体"/>
                <w:bCs/>
                <w:color w:val="000000" w:themeColor="text1"/>
                <w:kern w:val="0"/>
                <w:sz w:val="24"/>
              </w:rPr>
              <w:t>企业法人单位主要经济指标</w:t>
            </w:r>
          </w:p>
        </w:tc>
      </w:tr>
      <w:tr w:rsidR="00D146BB">
        <w:trPr>
          <w:trHeight w:val="567"/>
          <w:jc w:val="center"/>
        </w:trPr>
        <w:tc>
          <w:tcPr>
            <w:tcW w:w="3686" w:type="dxa"/>
            <w:tcBorders>
              <w:top w:val="single" w:sz="12" w:space="0" w:color="auto"/>
              <w:left w:val="nil"/>
              <w:bottom w:val="single" w:sz="4" w:space="0" w:color="auto"/>
              <w:right w:val="single" w:sz="4" w:space="0" w:color="auto"/>
            </w:tcBorders>
            <w:vAlign w:val="center"/>
          </w:tcPr>
          <w:p w:rsidR="00D146BB" w:rsidRDefault="006457CA">
            <w:pPr>
              <w:widowControl/>
              <w:spacing w:line="320" w:lineRule="exac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1540" w:type="dxa"/>
            <w:tcBorders>
              <w:top w:val="single" w:sz="12" w:space="0" w:color="auto"/>
              <w:left w:val="single" w:sz="4" w:space="0" w:color="auto"/>
              <w:bottom w:val="single" w:sz="4" w:space="0" w:color="auto"/>
              <w:right w:val="single" w:sz="4" w:space="0" w:color="auto"/>
            </w:tcBorders>
            <w:vAlign w:val="center"/>
          </w:tcPr>
          <w:p w:rsidR="00D146BB" w:rsidRDefault="006457CA">
            <w:pPr>
              <w:widowControl/>
              <w:spacing w:line="320" w:lineRule="exac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资产总计</w:t>
            </w:r>
          </w:p>
          <w:p w:rsidR="00D146BB" w:rsidRDefault="006457CA">
            <w:pPr>
              <w:widowControl/>
              <w:spacing w:line="320" w:lineRule="exac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40" w:type="dxa"/>
            <w:tcBorders>
              <w:top w:val="single" w:sz="12" w:space="0" w:color="auto"/>
              <w:left w:val="single" w:sz="4" w:space="0" w:color="auto"/>
              <w:bottom w:val="single" w:sz="4" w:space="0" w:color="auto"/>
              <w:right w:val="single" w:sz="4" w:space="0" w:color="auto"/>
            </w:tcBorders>
            <w:vAlign w:val="center"/>
          </w:tcPr>
          <w:p w:rsidR="00D146BB" w:rsidRDefault="006457CA">
            <w:pPr>
              <w:widowControl/>
              <w:spacing w:line="320" w:lineRule="exac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负债合计</w:t>
            </w:r>
          </w:p>
          <w:p w:rsidR="00D146BB" w:rsidRDefault="006457CA">
            <w:pPr>
              <w:widowControl/>
              <w:spacing w:line="320" w:lineRule="exac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540" w:type="dxa"/>
            <w:tcBorders>
              <w:top w:val="single" w:sz="12" w:space="0" w:color="auto"/>
              <w:left w:val="single" w:sz="4" w:space="0" w:color="auto"/>
              <w:bottom w:val="single" w:sz="4" w:space="0" w:color="auto"/>
              <w:right w:val="nil"/>
            </w:tcBorders>
            <w:vAlign w:val="center"/>
          </w:tcPr>
          <w:p w:rsidR="00D146BB" w:rsidRDefault="006457CA">
            <w:pPr>
              <w:widowControl/>
              <w:spacing w:line="320" w:lineRule="exac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营业收入</w:t>
            </w:r>
          </w:p>
          <w:p w:rsidR="00D146BB" w:rsidRDefault="006457CA">
            <w:pPr>
              <w:widowControl/>
              <w:spacing w:line="320" w:lineRule="exac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（亿元）</w:t>
            </w:r>
          </w:p>
        </w:tc>
      </w:tr>
      <w:tr w:rsidR="00D146BB">
        <w:trPr>
          <w:trHeight w:hRule="exact" w:val="284"/>
          <w:jc w:val="center"/>
        </w:trPr>
        <w:tc>
          <w:tcPr>
            <w:tcW w:w="3686" w:type="dxa"/>
            <w:tcBorders>
              <w:top w:val="single" w:sz="4" w:space="0" w:color="auto"/>
              <w:left w:val="nil"/>
              <w:bottom w:val="nil"/>
              <w:right w:val="single" w:sz="4" w:space="0" w:color="auto"/>
            </w:tcBorders>
            <w:vAlign w:val="center"/>
          </w:tcPr>
          <w:p w:rsidR="00D146BB" w:rsidRDefault="006457CA">
            <w:pPr>
              <w:widowControl/>
              <w:spacing w:line="320" w:lineRule="exact"/>
              <w:ind w:left="57" w:right="57"/>
              <w:jc w:val="center"/>
              <w:rPr>
                <w:rFonts w:ascii="仿宋_GB2312" w:eastAsia="仿宋_GB2312"/>
                <w:color w:val="000000" w:themeColor="text1"/>
                <w:kern w:val="0"/>
                <w:szCs w:val="21"/>
              </w:rPr>
            </w:pPr>
            <w:r>
              <w:rPr>
                <w:rFonts w:ascii="仿宋_GB2312" w:eastAsia="仿宋_GB2312" w:hint="eastAsia"/>
                <w:b/>
                <w:bCs/>
                <w:color w:val="000000" w:themeColor="text1"/>
                <w:kern w:val="0"/>
                <w:szCs w:val="21"/>
              </w:rPr>
              <w:t>合　计</w:t>
            </w:r>
          </w:p>
        </w:tc>
        <w:tc>
          <w:tcPr>
            <w:tcW w:w="1540"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150" w:right="315"/>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42.55</w:t>
            </w:r>
          </w:p>
        </w:tc>
        <w:tc>
          <w:tcPr>
            <w:tcW w:w="1540" w:type="dxa"/>
            <w:tcBorders>
              <w:top w:val="single" w:sz="4" w:space="0" w:color="auto"/>
              <w:left w:val="nil"/>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37.72</w:t>
            </w:r>
          </w:p>
        </w:tc>
        <w:tc>
          <w:tcPr>
            <w:tcW w:w="1540" w:type="dxa"/>
            <w:tcBorders>
              <w:top w:val="single" w:sz="4" w:space="0" w:color="auto"/>
              <w:left w:val="single" w:sz="4" w:space="0" w:color="auto"/>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
                <w:bCs/>
                <w:color w:val="000000" w:themeColor="text1"/>
                <w:szCs w:val="21"/>
              </w:rPr>
            </w:pPr>
            <w:r>
              <w:rPr>
                <w:rFonts w:ascii="仿宋_GB2312" w:eastAsia="仿宋_GB2312" w:hAnsi="Times New Roman" w:hint="eastAsia"/>
                <w:b/>
                <w:bCs/>
                <w:color w:val="000000" w:themeColor="text1"/>
                <w:szCs w:val="21"/>
              </w:rPr>
              <w:t>28.22</w:t>
            </w:r>
          </w:p>
        </w:tc>
      </w:tr>
      <w:tr w:rsidR="00D146BB">
        <w:trPr>
          <w:trHeight w:hRule="exact" w:val="284"/>
          <w:jc w:val="center"/>
        </w:trPr>
        <w:tc>
          <w:tcPr>
            <w:tcW w:w="3686" w:type="dxa"/>
            <w:tcBorders>
              <w:top w:val="nil"/>
              <w:left w:val="nil"/>
              <w:bottom w:val="nil"/>
              <w:right w:val="single" w:sz="4" w:space="0" w:color="auto"/>
            </w:tcBorders>
            <w:vAlign w:val="center"/>
          </w:tcPr>
          <w:p w:rsidR="00D146BB" w:rsidRDefault="006457CA">
            <w:pPr>
              <w:spacing w:line="320" w:lineRule="exact"/>
              <w:rPr>
                <w:rFonts w:ascii="仿宋_GB2312" w:eastAsia="仿宋_GB2312"/>
                <w:color w:val="000000" w:themeColor="text1"/>
                <w:szCs w:val="21"/>
              </w:rPr>
            </w:pPr>
            <w:r>
              <w:rPr>
                <w:rFonts w:ascii="仿宋_GB2312" w:eastAsia="仿宋_GB2312" w:hint="eastAsia"/>
                <w:color w:val="000000" w:themeColor="text1"/>
                <w:kern w:val="0"/>
                <w:szCs w:val="21"/>
              </w:rPr>
              <w:t xml:space="preserve">　电信、广播电视和卫星传输服务</w:t>
            </w:r>
          </w:p>
        </w:tc>
        <w:tc>
          <w:tcPr>
            <w:tcW w:w="1540"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26.85</w:t>
            </w:r>
          </w:p>
        </w:tc>
        <w:tc>
          <w:tcPr>
            <w:tcW w:w="1540" w:type="dxa"/>
            <w:tcBorders>
              <w:top w:val="nil"/>
              <w:left w:val="nil"/>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27.09</w:t>
            </w:r>
          </w:p>
        </w:tc>
        <w:tc>
          <w:tcPr>
            <w:tcW w:w="1540"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24.42</w:t>
            </w:r>
          </w:p>
        </w:tc>
      </w:tr>
      <w:tr w:rsidR="00D146BB">
        <w:trPr>
          <w:trHeight w:hRule="exact" w:val="284"/>
          <w:jc w:val="center"/>
        </w:trPr>
        <w:tc>
          <w:tcPr>
            <w:tcW w:w="3686" w:type="dxa"/>
            <w:tcBorders>
              <w:top w:val="nil"/>
              <w:left w:val="nil"/>
              <w:bottom w:val="nil"/>
              <w:right w:val="single" w:sz="4" w:space="0" w:color="auto"/>
            </w:tcBorders>
            <w:vAlign w:val="center"/>
          </w:tcPr>
          <w:p w:rsidR="00D146BB" w:rsidRDefault="006457CA">
            <w:pPr>
              <w:spacing w:line="320" w:lineRule="exact"/>
              <w:rPr>
                <w:rFonts w:ascii="仿宋_GB2312" w:eastAsia="仿宋_GB2312"/>
                <w:color w:val="000000" w:themeColor="text1"/>
                <w:szCs w:val="21"/>
              </w:rPr>
            </w:pPr>
            <w:r>
              <w:rPr>
                <w:rFonts w:ascii="仿宋_GB2312" w:eastAsia="仿宋_GB2312" w:hint="eastAsia"/>
                <w:color w:val="000000" w:themeColor="text1"/>
                <w:kern w:val="0"/>
                <w:szCs w:val="21"/>
              </w:rPr>
              <w:t xml:space="preserve">　互联网和相关服务</w:t>
            </w:r>
          </w:p>
        </w:tc>
        <w:tc>
          <w:tcPr>
            <w:tcW w:w="1540" w:type="dxa"/>
            <w:tcBorders>
              <w:top w:val="nil"/>
              <w:left w:val="single" w:sz="4" w:space="0" w:color="auto"/>
              <w:bottom w:val="nil"/>
              <w:right w:val="single" w:sz="4" w:space="0" w:color="auto"/>
            </w:tcBorders>
            <w:shd w:val="clear" w:color="000000" w:fill="FFFFFF"/>
            <w:tcMar>
              <w:left w:w="113" w:type="dxa"/>
              <w:right w:w="113" w:type="dxa"/>
            </w:tcMar>
            <w:vAlign w:val="center"/>
          </w:tcPr>
          <w:p w:rsidR="00D146BB" w:rsidRDefault="006457CA">
            <w:pPr>
              <w:widowControl/>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0.97</w:t>
            </w:r>
          </w:p>
        </w:tc>
        <w:tc>
          <w:tcPr>
            <w:tcW w:w="1540" w:type="dxa"/>
            <w:tcBorders>
              <w:top w:val="nil"/>
              <w:left w:val="nil"/>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0.46</w:t>
            </w:r>
          </w:p>
        </w:tc>
        <w:tc>
          <w:tcPr>
            <w:tcW w:w="1540" w:type="dxa"/>
            <w:tcBorders>
              <w:top w:val="nil"/>
              <w:left w:val="single" w:sz="4" w:space="0" w:color="auto"/>
              <w:bottom w:val="nil"/>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0.75</w:t>
            </w:r>
          </w:p>
        </w:tc>
      </w:tr>
      <w:tr w:rsidR="00D146BB">
        <w:trPr>
          <w:trHeight w:hRule="exact" w:val="329"/>
          <w:jc w:val="center"/>
        </w:trPr>
        <w:tc>
          <w:tcPr>
            <w:tcW w:w="3686" w:type="dxa"/>
            <w:tcBorders>
              <w:top w:val="nil"/>
              <w:left w:val="nil"/>
              <w:bottom w:val="single" w:sz="12" w:space="0" w:color="auto"/>
              <w:right w:val="single" w:sz="4" w:space="0" w:color="auto"/>
            </w:tcBorders>
          </w:tcPr>
          <w:p w:rsidR="00D146BB" w:rsidRDefault="006457CA">
            <w:pPr>
              <w:spacing w:line="320" w:lineRule="exact"/>
              <w:rPr>
                <w:rFonts w:ascii="仿宋_GB2312" w:eastAsia="仿宋_GB2312"/>
                <w:color w:val="000000" w:themeColor="text1"/>
                <w:szCs w:val="21"/>
              </w:rPr>
            </w:pPr>
            <w:r>
              <w:rPr>
                <w:rFonts w:ascii="仿宋_GB2312" w:eastAsia="仿宋_GB2312" w:hint="eastAsia"/>
                <w:color w:val="000000" w:themeColor="text1"/>
                <w:szCs w:val="21"/>
              </w:rPr>
              <w:t xml:space="preserve">　</w:t>
            </w:r>
            <w:r>
              <w:rPr>
                <w:rFonts w:ascii="仿宋_GB2312" w:eastAsia="仿宋_GB2312" w:hint="eastAsia"/>
                <w:color w:val="000000" w:themeColor="text1"/>
                <w:kern w:val="0"/>
                <w:szCs w:val="21"/>
              </w:rPr>
              <w:t>软件和信息技术服务业</w:t>
            </w:r>
          </w:p>
        </w:tc>
        <w:tc>
          <w:tcPr>
            <w:tcW w:w="1540"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D146BB" w:rsidRDefault="006457CA">
            <w:pPr>
              <w:widowControl/>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14.73</w:t>
            </w:r>
          </w:p>
        </w:tc>
        <w:tc>
          <w:tcPr>
            <w:tcW w:w="1540" w:type="dxa"/>
            <w:tcBorders>
              <w:top w:val="nil"/>
              <w:left w:val="nil"/>
              <w:bottom w:val="single" w:sz="12" w:space="0" w:color="auto"/>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10.16</w:t>
            </w:r>
          </w:p>
        </w:tc>
        <w:tc>
          <w:tcPr>
            <w:tcW w:w="1540" w:type="dxa"/>
            <w:tcBorders>
              <w:top w:val="nil"/>
              <w:left w:val="single" w:sz="4" w:space="0" w:color="auto"/>
              <w:bottom w:val="single" w:sz="12" w:space="0" w:color="auto"/>
              <w:right w:val="nil"/>
            </w:tcBorders>
            <w:shd w:val="clear" w:color="000000" w:fill="FFFFFF"/>
            <w:tcMar>
              <w:left w:w="113" w:type="dxa"/>
              <w:right w:w="113" w:type="dxa"/>
            </w:tcMar>
            <w:vAlign w:val="center"/>
          </w:tcPr>
          <w:p w:rsidR="00D146BB" w:rsidRDefault="006457CA">
            <w:pPr>
              <w:ind w:rightChars="150" w:right="315"/>
              <w:jc w:val="right"/>
              <w:rPr>
                <w:rFonts w:ascii="仿宋_GB2312" w:eastAsia="仿宋_GB2312" w:hAnsi="Times New Roman"/>
                <w:bCs/>
                <w:color w:val="000000" w:themeColor="text1"/>
                <w:szCs w:val="21"/>
              </w:rPr>
            </w:pPr>
            <w:r>
              <w:rPr>
                <w:rFonts w:ascii="仿宋_GB2312" w:eastAsia="仿宋_GB2312" w:hAnsi="Times New Roman" w:hint="eastAsia"/>
                <w:bCs/>
                <w:color w:val="000000" w:themeColor="text1"/>
                <w:szCs w:val="21"/>
              </w:rPr>
              <w:t>3.04</w:t>
            </w:r>
          </w:p>
        </w:tc>
      </w:tr>
    </w:tbl>
    <w:p w:rsidR="00D146BB" w:rsidRDefault="006457CA">
      <w:pPr>
        <w:widowControl/>
        <w:spacing w:line="500" w:lineRule="exact"/>
        <w:ind w:firstLineChars="200" w:firstLine="640"/>
        <w:jc w:val="left"/>
        <w:rPr>
          <w:rFonts w:eastAsia="黑体"/>
          <w:color w:val="000000" w:themeColor="text1"/>
          <w:kern w:val="0"/>
          <w:sz w:val="32"/>
          <w:szCs w:val="32"/>
        </w:rPr>
      </w:pPr>
      <w:r>
        <w:rPr>
          <w:rFonts w:eastAsia="黑体" w:hint="eastAsia"/>
          <w:color w:val="000000" w:themeColor="text1"/>
          <w:kern w:val="0"/>
          <w:sz w:val="32"/>
          <w:szCs w:val="32"/>
        </w:rPr>
        <w:t>五</w:t>
      </w:r>
      <w:r>
        <w:rPr>
          <w:rFonts w:eastAsia="黑体"/>
          <w:color w:val="000000" w:themeColor="text1"/>
          <w:kern w:val="0"/>
          <w:sz w:val="32"/>
          <w:szCs w:val="32"/>
        </w:rPr>
        <w:t>、房地产业</w:t>
      </w:r>
    </w:p>
    <w:p w:rsidR="00D146BB" w:rsidRDefault="006457CA">
      <w:pPr>
        <w:widowControl/>
        <w:spacing w:line="50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（一）企业法人单位数和从业人员。</w:t>
      </w:r>
    </w:p>
    <w:p w:rsidR="00D146BB" w:rsidRDefault="006457CA">
      <w:pPr>
        <w:widowControl/>
        <w:spacing w:line="5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全市</w:t>
      </w:r>
      <w:r>
        <w:rPr>
          <w:rFonts w:ascii="仿宋_GB2312" w:eastAsia="仿宋_GB2312" w:hAnsi="Times New Roman"/>
          <w:color w:val="000000" w:themeColor="text1"/>
          <w:kern w:val="0"/>
          <w:sz w:val="32"/>
          <w:szCs w:val="32"/>
        </w:rPr>
        <w:t>共有房地产业企业法人单位716个，比2013年末增长83.6%。其中，房地产开发经营企业308个，物业管理企业213个，房地产中介服务企业134个，分别比2013年末</w:t>
      </w:r>
      <w:r>
        <w:rPr>
          <w:rFonts w:ascii="仿宋_GB2312" w:eastAsia="仿宋_GB2312" w:hAnsi="Times New Roman" w:hint="eastAsia"/>
          <w:color w:val="000000" w:themeColor="text1"/>
          <w:kern w:val="0"/>
          <w:sz w:val="32"/>
          <w:szCs w:val="32"/>
        </w:rPr>
        <w:t>增长</w:t>
      </w:r>
      <w:r>
        <w:rPr>
          <w:rFonts w:ascii="仿宋_GB2312" w:eastAsia="仿宋_GB2312" w:hAnsi="Times New Roman"/>
          <w:color w:val="000000" w:themeColor="text1"/>
          <w:kern w:val="0"/>
          <w:sz w:val="32"/>
          <w:szCs w:val="32"/>
        </w:rPr>
        <w:t>50.2%、93.6%和100.0%。</w:t>
      </w:r>
    </w:p>
    <w:p w:rsidR="00D146BB" w:rsidRDefault="006457CA">
      <w:pPr>
        <w:spacing w:line="500" w:lineRule="exact"/>
        <w:ind w:firstLineChars="200" w:firstLine="640"/>
        <w:rPr>
          <w:rFonts w:eastAsia="仿宋_GB2312"/>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全市</w:t>
      </w:r>
      <w:r>
        <w:rPr>
          <w:rFonts w:ascii="仿宋_GB2312" w:eastAsia="仿宋_GB2312" w:hAnsi="Times New Roman"/>
          <w:color w:val="000000" w:themeColor="text1"/>
          <w:kern w:val="0"/>
          <w:sz w:val="32"/>
          <w:szCs w:val="32"/>
        </w:rPr>
        <w:t>房地产业企业法人单位的从业人员为20347人，比2013年末增长70.6%。其中，房地产开发经营企业9083人，物业管理企业8144人，房地产中介服务企业2808人，分别比2013年末增长60.0%、59.9%和163.4%（详见表4-13）。</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2676"/>
        <w:gridCol w:w="2552"/>
      </w:tblGrid>
      <w:tr w:rsidR="00D146BB">
        <w:trPr>
          <w:trHeight w:val="567"/>
          <w:jc w:val="center"/>
        </w:trPr>
        <w:tc>
          <w:tcPr>
            <w:tcW w:w="830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表4-13　按行业中类分组的房地产业企业法人单位和从业人员</w:t>
            </w:r>
          </w:p>
        </w:tc>
      </w:tr>
      <w:tr w:rsidR="00D146BB">
        <w:trPr>
          <w:trHeight w:val="567"/>
          <w:jc w:val="center"/>
        </w:trPr>
        <w:tc>
          <w:tcPr>
            <w:tcW w:w="3078" w:type="dxa"/>
            <w:tcBorders>
              <w:top w:val="nil"/>
              <w:left w:val="nil"/>
              <w:bottom w:val="single" w:sz="4" w:space="0" w:color="auto"/>
              <w:right w:val="single" w:sz="4" w:space="0" w:color="auto"/>
            </w:tcBorders>
            <w:vAlign w:val="center"/>
          </w:tcPr>
          <w:p w:rsidR="00D146BB" w:rsidRDefault="006457CA">
            <w:pPr>
              <w:widowControl/>
              <w:ind w:left="57" w:right="57"/>
              <w:jc w:val="center"/>
              <w:rPr>
                <w:rFonts w:ascii="黑体" w:eastAsia="黑体" w:hAnsi="黑体"/>
                <w:color w:val="000000" w:themeColor="text1"/>
                <w:kern w:val="0"/>
                <w:sz w:val="18"/>
                <w:szCs w:val="18"/>
              </w:rPr>
            </w:pPr>
            <w:r>
              <w:rPr>
                <w:rFonts w:eastAsia="黑体" w:cs="Calibri"/>
                <w:color w:val="000000" w:themeColor="text1"/>
                <w:kern w:val="0"/>
                <w:szCs w:val="21"/>
              </w:rPr>
              <w:t> </w:t>
            </w:r>
          </w:p>
        </w:tc>
        <w:tc>
          <w:tcPr>
            <w:tcW w:w="2676" w:type="dxa"/>
            <w:tcBorders>
              <w:top w:val="nil"/>
              <w:left w:val="single" w:sz="4" w:space="0" w:color="auto"/>
              <w:bottom w:val="single" w:sz="4" w:space="0" w:color="auto"/>
              <w:right w:val="single" w:sz="4" w:space="0" w:color="auto"/>
            </w:tcBorders>
            <w:vAlign w:val="center"/>
          </w:tcPr>
          <w:p w:rsidR="00D146BB" w:rsidRDefault="006457CA">
            <w:pPr>
              <w:widowControl/>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企业法人单位（</w:t>
            </w:r>
            <w:proofErr w:type="gramStart"/>
            <w:r>
              <w:rPr>
                <w:rFonts w:ascii="黑体" w:eastAsia="黑体" w:hAnsi="黑体"/>
                <w:color w:val="000000" w:themeColor="text1"/>
                <w:kern w:val="0"/>
                <w:szCs w:val="21"/>
              </w:rPr>
              <w:t>个</w:t>
            </w:r>
            <w:proofErr w:type="gramEnd"/>
            <w:r>
              <w:rPr>
                <w:rFonts w:ascii="黑体" w:eastAsia="黑体" w:hAnsi="黑体"/>
                <w:color w:val="000000" w:themeColor="text1"/>
                <w:kern w:val="0"/>
                <w:szCs w:val="21"/>
              </w:rPr>
              <w:t>）</w:t>
            </w:r>
          </w:p>
        </w:tc>
        <w:tc>
          <w:tcPr>
            <w:tcW w:w="2552" w:type="dxa"/>
            <w:tcBorders>
              <w:top w:val="nil"/>
              <w:left w:val="single" w:sz="4" w:space="0" w:color="auto"/>
              <w:bottom w:val="single" w:sz="4" w:space="0" w:color="auto"/>
              <w:right w:val="nil"/>
            </w:tcBorders>
            <w:vAlign w:val="center"/>
          </w:tcPr>
          <w:p w:rsidR="00D146BB" w:rsidRDefault="006457CA">
            <w:pPr>
              <w:widowControl/>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从业人员（人）</w:t>
            </w:r>
          </w:p>
        </w:tc>
      </w:tr>
      <w:tr w:rsidR="00D146BB">
        <w:trPr>
          <w:trHeight w:val="283"/>
          <w:jc w:val="center"/>
        </w:trPr>
        <w:tc>
          <w:tcPr>
            <w:tcW w:w="3078" w:type="dxa"/>
            <w:tcBorders>
              <w:top w:val="single" w:sz="4" w:space="0" w:color="auto"/>
              <w:left w:val="nil"/>
              <w:bottom w:val="nil"/>
              <w:right w:val="single" w:sz="4" w:space="0" w:color="auto"/>
            </w:tcBorders>
            <w:vAlign w:val="center"/>
          </w:tcPr>
          <w:p w:rsidR="00D146BB" w:rsidRDefault="006457CA">
            <w:pPr>
              <w:widowControl/>
              <w:spacing w:line="280" w:lineRule="exac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2676"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spacing w:line="280" w:lineRule="exact"/>
              <w:ind w:rightChars="400" w:right="84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716</w:t>
            </w:r>
          </w:p>
        </w:tc>
        <w:tc>
          <w:tcPr>
            <w:tcW w:w="2552" w:type="dxa"/>
            <w:tcBorders>
              <w:top w:val="single" w:sz="4" w:space="0" w:color="auto"/>
              <w:left w:val="single" w:sz="4" w:space="0" w:color="auto"/>
              <w:bottom w:val="nil"/>
              <w:right w:val="nil"/>
            </w:tcBorders>
            <w:tcMar>
              <w:left w:w="113" w:type="dxa"/>
              <w:right w:w="113" w:type="dxa"/>
            </w:tcMar>
          </w:tcPr>
          <w:p w:rsidR="00D146BB" w:rsidRDefault="006457CA">
            <w:pPr>
              <w:spacing w:line="280" w:lineRule="exact"/>
              <w:ind w:rightChars="400" w:right="840"/>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20347</w:t>
            </w:r>
          </w:p>
        </w:tc>
      </w:tr>
      <w:tr w:rsidR="00D146BB">
        <w:trPr>
          <w:trHeight w:val="283"/>
          <w:jc w:val="center"/>
        </w:trPr>
        <w:tc>
          <w:tcPr>
            <w:tcW w:w="3078" w:type="dxa"/>
            <w:tcBorders>
              <w:top w:val="nil"/>
              <w:left w:val="nil"/>
              <w:bottom w:val="nil"/>
              <w:right w:val="single" w:sz="4" w:space="0" w:color="auto"/>
            </w:tcBorders>
            <w:vAlign w:val="center"/>
          </w:tcPr>
          <w:p w:rsidR="00D146BB" w:rsidRDefault="006457CA">
            <w:pPr>
              <w:widowControl/>
              <w:spacing w:line="28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房地产开发经营</w:t>
            </w:r>
          </w:p>
        </w:tc>
        <w:tc>
          <w:tcPr>
            <w:tcW w:w="2676" w:type="dxa"/>
            <w:tcBorders>
              <w:top w:val="nil"/>
              <w:left w:val="single" w:sz="4" w:space="0" w:color="auto"/>
              <w:bottom w:val="nil"/>
              <w:right w:val="single" w:sz="4" w:space="0" w:color="auto"/>
            </w:tcBorders>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308</w:t>
            </w:r>
          </w:p>
        </w:tc>
        <w:tc>
          <w:tcPr>
            <w:tcW w:w="2552" w:type="dxa"/>
            <w:tcBorders>
              <w:top w:val="nil"/>
              <w:left w:val="single" w:sz="4" w:space="0" w:color="auto"/>
              <w:bottom w:val="nil"/>
              <w:right w:val="nil"/>
            </w:tcBorders>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9083</w:t>
            </w:r>
          </w:p>
        </w:tc>
      </w:tr>
      <w:tr w:rsidR="00D146BB">
        <w:trPr>
          <w:trHeight w:val="283"/>
          <w:jc w:val="center"/>
        </w:trPr>
        <w:tc>
          <w:tcPr>
            <w:tcW w:w="3078" w:type="dxa"/>
            <w:tcBorders>
              <w:top w:val="nil"/>
              <w:left w:val="nil"/>
              <w:bottom w:val="nil"/>
              <w:right w:val="single" w:sz="4" w:space="0" w:color="auto"/>
            </w:tcBorders>
            <w:vAlign w:val="center"/>
          </w:tcPr>
          <w:p w:rsidR="00D146BB" w:rsidRDefault="006457CA">
            <w:pPr>
              <w:widowControl/>
              <w:spacing w:line="28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物业管理</w:t>
            </w:r>
          </w:p>
        </w:tc>
        <w:tc>
          <w:tcPr>
            <w:tcW w:w="2676" w:type="dxa"/>
            <w:tcBorders>
              <w:top w:val="nil"/>
              <w:left w:val="single" w:sz="4" w:space="0" w:color="auto"/>
              <w:bottom w:val="nil"/>
              <w:right w:val="single" w:sz="4" w:space="0" w:color="auto"/>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213</w:t>
            </w:r>
          </w:p>
        </w:tc>
        <w:tc>
          <w:tcPr>
            <w:tcW w:w="2552" w:type="dxa"/>
            <w:tcBorders>
              <w:top w:val="nil"/>
              <w:left w:val="nil"/>
              <w:bottom w:val="nil"/>
              <w:right w:val="nil"/>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8144</w:t>
            </w:r>
          </w:p>
        </w:tc>
      </w:tr>
      <w:tr w:rsidR="00D146BB">
        <w:trPr>
          <w:trHeight w:val="283"/>
          <w:jc w:val="center"/>
        </w:trPr>
        <w:tc>
          <w:tcPr>
            <w:tcW w:w="3078" w:type="dxa"/>
            <w:tcBorders>
              <w:top w:val="nil"/>
              <w:left w:val="nil"/>
              <w:bottom w:val="nil"/>
              <w:right w:val="single" w:sz="4" w:space="0" w:color="auto"/>
            </w:tcBorders>
            <w:vAlign w:val="center"/>
          </w:tcPr>
          <w:p w:rsidR="00D146BB" w:rsidRDefault="006457CA">
            <w:pPr>
              <w:widowControl/>
              <w:spacing w:line="28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房地产中介服务</w:t>
            </w:r>
          </w:p>
        </w:tc>
        <w:tc>
          <w:tcPr>
            <w:tcW w:w="2676" w:type="dxa"/>
            <w:tcBorders>
              <w:top w:val="nil"/>
              <w:left w:val="single" w:sz="4" w:space="0" w:color="auto"/>
              <w:bottom w:val="nil"/>
              <w:right w:val="single" w:sz="4" w:space="0" w:color="auto"/>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134</w:t>
            </w:r>
          </w:p>
        </w:tc>
        <w:tc>
          <w:tcPr>
            <w:tcW w:w="2552" w:type="dxa"/>
            <w:tcBorders>
              <w:top w:val="nil"/>
              <w:left w:val="nil"/>
              <w:bottom w:val="nil"/>
              <w:right w:val="nil"/>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2808</w:t>
            </w:r>
          </w:p>
        </w:tc>
      </w:tr>
      <w:tr w:rsidR="00D146BB">
        <w:trPr>
          <w:trHeight w:val="283"/>
          <w:jc w:val="center"/>
        </w:trPr>
        <w:tc>
          <w:tcPr>
            <w:tcW w:w="3078" w:type="dxa"/>
            <w:tcBorders>
              <w:top w:val="nil"/>
              <w:left w:val="nil"/>
              <w:bottom w:val="nil"/>
              <w:right w:val="single" w:sz="4" w:space="0" w:color="auto"/>
            </w:tcBorders>
            <w:vAlign w:val="center"/>
          </w:tcPr>
          <w:p w:rsidR="00D146BB" w:rsidRDefault="006457CA">
            <w:pPr>
              <w:widowControl/>
              <w:spacing w:line="280" w:lineRule="exact"/>
              <w:ind w:left="57" w:right="57" w:firstLineChars="100" w:firstLine="210"/>
              <w:rPr>
                <w:rFonts w:ascii="仿宋_GB2312" w:eastAsia="仿宋_GB2312"/>
                <w:color w:val="000000" w:themeColor="text1"/>
                <w:kern w:val="0"/>
                <w:sz w:val="18"/>
                <w:szCs w:val="18"/>
              </w:rPr>
            </w:pPr>
            <w:r>
              <w:rPr>
                <w:rFonts w:ascii="仿宋_GB2312" w:eastAsia="仿宋_GB2312" w:hint="eastAsia"/>
                <w:color w:val="000000" w:themeColor="text1"/>
                <w:kern w:val="0"/>
                <w:szCs w:val="21"/>
              </w:rPr>
              <w:t>房地产租赁经营</w:t>
            </w:r>
          </w:p>
        </w:tc>
        <w:tc>
          <w:tcPr>
            <w:tcW w:w="2676" w:type="dxa"/>
            <w:tcBorders>
              <w:top w:val="nil"/>
              <w:left w:val="single" w:sz="4" w:space="0" w:color="auto"/>
              <w:bottom w:val="nil"/>
              <w:right w:val="single" w:sz="4" w:space="0" w:color="auto"/>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58</w:t>
            </w:r>
          </w:p>
        </w:tc>
        <w:tc>
          <w:tcPr>
            <w:tcW w:w="2552" w:type="dxa"/>
            <w:tcBorders>
              <w:top w:val="nil"/>
              <w:left w:val="nil"/>
              <w:bottom w:val="nil"/>
              <w:right w:val="nil"/>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298</w:t>
            </w:r>
          </w:p>
        </w:tc>
      </w:tr>
      <w:tr w:rsidR="00D146BB">
        <w:trPr>
          <w:trHeight w:val="283"/>
          <w:jc w:val="center"/>
        </w:trPr>
        <w:tc>
          <w:tcPr>
            <w:tcW w:w="3078" w:type="dxa"/>
            <w:tcBorders>
              <w:top w:val="nil"/>
              <w:left w:val="nil"/>
              <w:bottom w:val="single" w:sz="12" w:space="0" w:color="auto"/>
              <w:right w:val="single" w:sz="4" w:space="0" w:color="auto"/>
            </w:tcBorders>
            <w:vAlign w:val="center"/>
          </w:tcPr>
          <w:p w:rsidR="00D146BB" w:rsidRDefault="006457CA">
            <w:pPr>
              <w:widowControl/>
              <w:spacing w:line="280" w:lineRule="exact"/>
              <w:ind w:left="57" w:right="57"/>
              <w:rPr>
                <w:rFonts w:ascii="仿宋_GB2312" w:eastAsia="仿宋_GB2312"/>
                <w:color w:val="000000" w:themeColor="text1"/>
                <w:kern w:val="0"/>
                <w:sz w:val="18"/>
                <w:szCs w:val="18"/>
              </w:rPr>
            </w:pPr>
            <w:r>
              <w:rPr>
                <w:rFonts w:ascii="仿宋_GB2312" w:eastAsia="仿宋_GB2312" w:hint="eastAsia"/>
                <w:color w:val="000000" w:themeColor="text1"/>
                <w:kern w:val="0"/>
                <w:szCs w:val="21"/>
              </w:rPr>
              <w:t xml:space="preserve">　其他房地产业</w:t>
            </w:r>
          </w:p>
        </w:tc>
        <w:tc>
          <w:tcPr>
            <w:tcW w:w="2676" w:type="dxa"/>
            <w:tcBorders>
              <w:top w:val="nil"/>
              <w:left w:val="single" w:sz="4" w:space="0" w:color="auto"/>
              <w:bottom w:val="single" w:sz="12" w:space="0" w:color="auto"/>
              <w:right w:val="single" w:sz="4" w:space="0" w:color="auto"/>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3</w:t>
            </w:r>
          </w:p>
        </w:tc>
        <w:tc>
          <w:tcPr>
            <w:tcW w:w="2552" w:type="dxa"/>
            <w:tcBorders>
              <w:top w:val="nil"/>
              <w:left w:val="nil"/>
              <w:bottom w:val="single" w:sz="12" w:space="0" w:color="auto"/>
              <w:right w:val="nil"/>
            </w:tcBorders>
            <w:shd w:val="clear" w:color="000000" w:fill="FFFFFF"/>
            <w:tcMar>
              <w:left w:w="113" w:type="dxa"/>
              <w:right w:w="113" w:type="dxa"/>
            </w:tcMar>
          </w:tcPr>
          <w:p w:rsidR="00D146BB" w:rsidRDefault="006457CA">
            <w:pPr>
              <w:spacing w:line="280" w:lineRule="exact"/>
              <w:ind w:rightChars="400" w:right="840"/>
              <w:jc w:val="right"/>
              <w:rPr>
                <w:rFonts w:ascii="仿宋_GB2312" w:eastAsia="仿宋_GB2312" w:hAnsi="Times New Roman"/>
                <w:color w:val="000000" w:themeColor="text1"/>
              </w:rPr>
            </w:pPr>
            <w:r>
              <w:rPr>
                <w:rFonts w:ascii="仿宋_GB2312" w:eastAsia="仿宋_GB2312" w:hAnsi="Times New Roman" w:hint="eastAsia"/>
                <w:color w:val="000000" w:themeColor="text1"/>
              </w:rPr>
              <w:t>14</w:t>
            </w:r>
          </w:p>
        </w:tc>
      </w:tr>
    </w:tbl>
    <w:p w:rsidR="00D146BB" w:rsidRDefault="006457CA">
      <w:pPr>
        <w:widowControl/>
        <w:spacing w:line="54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（二）主要经济指标</w:t>
      </w:r>
      <w:r>
        <w:rPr>
          <w:rFonts w:eastAsia="仿宋_GB2312"/>
          <w:color w:val="000000" w:themeColor="text1"/>
          <w:kern w:val="0"/>
          <w:sz w:val="32"/>
          <w:szCs w:val="32"/>
        </w:rPr>
        <w:t>。</w:t>
      </w:r>
    </w:p>
    <w:p w:rsidR="00D146BB" w:rsidRPr="00E03D95" w:rsidRDefault="006457CA" w:rsidP="00E03D95">
      <w:pPr>
        <w:spacing w:line="540" w:lineRule="exact"/>
        <w:ind w:firstLineChars="200" w:firstLine="640"/>
        <w:rPr>
          <w:rFonts w:ascii="仿宋_GB2312" w:eastAsia="仿宋_GB2312" w:hAnsi="Times New Roman" w:hint="eastAsia"/>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全市</w:t>
      </w:r>
      <w:r>
        <w:rPr>
          <w:rFonts w:ascii="仿宋_GB2312" w:eastAsia="仿宋_GB2312" w:hAnsi="Times New Roman"/>
          <w:color w:val="000000" w:themeColor="text1"/>
          <w:kern w:val="0"/>
          <w:sz w:val="32"/>
          <w:szCs w:val="32"/>
        </w:rPr>
        <w:t>房地产业企业法人单位的资产总计926.75亿元，比2013年末</w:t>
      </w:r>
      <w:r>
        <w:rPr>
          <w:rFonts w:ascii="仿宋_GB2312" w:eastAsia="仿宋_GB2312" w:hAnsi="Times New Roman" w:hint="eastAsia"/>
          <w:color w:val="000000" w:themeColor="text1"/>
          <w:kern w:val="0"/>
          <w:sz w:val="32"/>
          <w:szCs w:val="32"/>
        </w:rPr>
        <w:t>增长</w:t>
      </w:r>
      <w:r>
        <w:rPr>
          <w:rFonts w:ascii="仿宋_GB2312" w:eastAsia="仿宋_GB2312" w:hAnsi="Times New Roman"/>
          <w:color w:val="000000" w:themeColor="text1"/>
          <w:kern w:val="0"/>
          <w:sz w:val="32"/>
          <w:szCs w:val="32"/>
        </w:rPr>
        <w:t>75.5%。其中，房地产开发企业870.38</w:t>
      </w:r>
      <w:r>
        <w:rPr>
          <w:rFonts w:ascii="仿宋_GB2312" w:eastAsia="仿宋_GB2312" w:hAnsi="Times New Roman"/>
          <w:color w:val="000000" w:themeColor="text1"/>
          <w:kern w:val="0"/>
          <w:sz w:val="32"/>
          <w:szCs w:val="32"/>
        </w:rPr>
        <w:lastRenderedPageBreak/>
        <w:t>亿元，物业管理企业6.34亿元，分别比2013年末</w:t>
      </w:r>
      <w:r>
        <w:rPr>
          <w:rFonts w:ascii="仿宋_GB2312" w:eastAsia="仿宋_GB2312" w:hAnsi="Times New Roman" w:hint="eastAsia"/>
          <w:color w:val="000000" w:themeColor="text1"/>
          <w:kern w:val="0"/>
          <w:sz w:val="32"/>
          <w:szCs w:val="32"/>
        </w:rPr>
        <w:t>增长</w:t>
      </w:r>
      <w:r>
        <w:rPr>
          <w:rFonts w:ascii="仿宋_GB2312" w:eastAsia="仿宋_GB2312" w:hAnsi="Times New Roman"/>
          <w:color w:val="000000" w:themeColor="text1"/>
          <w:kern w:val="0"/>
          <w:sz w:val="32"/>
          <w:szCs w:val="32"/>
        </w:rPr>
        <w:t>83.0%</w:t>
      </w:r>
      <w:r>
        <w:rPr>
          <w:rFonts w:ascii="仿宋_GB2312" w:eastAsia="仿宋_GB2312" w:hAnsi="Times New Roman" w:hint="eastAsia"/>
          <w:color w:val="000000" w:themeColor="text1"/>
          <w:kern w:val="0"/>
          <w:sz w:val="32"/>
          <w:szCs w:val="32"/>
        </w:rPr>
        <w:t>和</w:t>
      </w:r>
      <w:r>
        <w:rPr>
          <w:rFonts w:ascii="仿宋_GB2312" w:eastAsia="仿宋_GB2312" w:hAnsi="Times New Roman"/>
          <w:color w:val="000000" w:themeColor="text1"/>
          <w:kern w:val="0"/>
          <w:sz w:val="32"/>
          <w:szCs w:val="32"/>
        </w:rPr>
        <w:t>60.</w:t>
      </w:r>
      <w:r>
        <w:rPr>
          <w:rFonts w:ascii="仿宋_GB2312" w:eastAsia="仿宋_GB2312" w:hAnsi="Times New Roman" w:hint="eastAsia"/>
          <w:color w:val="000000" w:themeColor="text1"/>
          <w:kern w:val="0"/>
          <w:sz w:val="32"/>
          <w:szCs w:val="32"/>
        </w:rPr>
        <w:t>5</w:t>
      </w:r>
      <w:r>
        <w:rPr>
          <w:rFonts w:ascii="仿宋_GB2312" w:eastAsia="仿宋_GB2312" w:hAnsi="Times New Roman"/>
          <w:color w:val="000000" w:themeColor="text1"/>
          <w:kern w:val="0"/>
          <w:sz w:val="32"/>
          <w:szCs w:val="32"/>
        </w:rPr>
        <w:t>%</w:t>
      </w:r>
      <w:r>
        <w:rPr>
          <w:rFonts w:ascii="仿宋_GB2312" w:eastAsia="仿宋_GB2312" w:hAnsi="Times New Roman" w:hint="eastAsia"/>
          <w:color w:val="000000" w:themeColor="text1"/>
          <w:kern w:val="0"/>
          <w:sz w:val="32"/>
          <w:szCs w:val="32"/>
        </w:rPr>
        <w:t>，</w:t>
      </w:r>
      <w:r>
        <w:rPr>
          <w:rFonts w:ascii="仿宋_GB2312" w:eastAsia="仿宋_GB2312" w:hAnsi="Times New Roman"/>
          <w:color w:val="000000" w:themeColor="text1"/>
          <w:kern w:val="0"/>
          <w:sz w:val="32"/>
          <w:szCs w:val="32"/>
        </w:rPr>
        <w:t>房地产中介服务企业2.33亿元，比2013年末</w:t>
      </w:r>
      <w:r>
        <w:rPr>
          <w:rFonts w:ascii="仿宋_GB2312" w:eastAsia="仿宋_GB2312" w:hAnsi="Times New Roman" w:hint="eastAsia"/>
          <w:color w:val="000000" w:themeColor="text1"/>
          <w:kern w:val="0"/>
          <w:sz w:val="32"/>
          <w:szCs w:val="32"/>
        </w:rPr>
        <w:t>下降</w:t>
      </w:r>
      <w:r>
        <w:rPr>
          <w:rFonts w:ascii="仿宋_GB2312" w:eastAsia="仿宋_GB2312" w:hAnsi="Times New Roman"/>
          <w:color w:val="000000" w:themeColor="text1"/>
          <w:kern w:val="0"/>
          <w:sz w:val="32"/>
          <w:szCs w:val="32"/>
        </w:rPr>
        <w:t>63.6%。负债合计776.65亿元。全年实现营业收入307.96亿元（详见表4-14）。</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634"/>
        <w:gridCol w:w="1635"/>
        <w:gridCol w:w="1635"/>
      </w:tblGrid>
      <w:tr w:rsidR="00D146BB">
        <w:trPr>
          <w:trHeight w:val="567"/>
          <w:jc w:val="center"/>
        </w:trPr>
        <w:tc>
          <w:tcPr>
            <w:tcW w:w="8306" w:type="dxa"/>
            <w:gridSpan w:val="4"/>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color w:val="000000" w:themeColor="text1"/>
                <w:kern w:val="0"/>
                <w:sz w:val="24"/>
              </w:rPr>
            </w:pPr>
            <w:r>
              <w:rPr>
                <w:rFonts w:ascii="黑体" w:eastAsia="黑体" w:hAnsi="黑体"/>
                <w:bCs/>
                <w:color w:val="000000" w:themeColor="text1"/>
                <w:kern w:val="0"/>
                <w:sz w:val="24"/>
              </w:rPr>
              <w:t>表4-14　按行业中类分组的房地产业企业法人单位主要经济指标</w:t>
            </w:r>
          </w:p>
        </w:tc>
      </w:tr>
      <w:tr w:rsidR="00D146BB">
        <w:trPr>
          <w:trHeight w:val="567"/>
          <w:jc w:val="center"/>
        </w:trPr>
        <w:tc>
          <w:tcPr>
            <w:tcW w:w="3402"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rFonts w:ascii="黑体" w:eastAsia="黑体" w:hAnsi="黑体"/>
                <w:color w:val="000000" w:themeColor="text1"/>
                <w:kern w:val="0"/>
                <w:sz w:val="18"/>
                <w:szCs w:val="18"/>
              </w:rPr>
            </w:pPr>
            <w:r>
              <w:rPr>
                <w:rFonts w:ascii="黑体" w:eastAsia="黑体" w:hAnsi="黑体"/>
                <w:color w:val="000000" w:themeColor="text1"/>
                <w:kern w:val="0"/>
                <w:szCs w:val="21"/>
              </w:rPr>
              <w:t xml:space="preserve">　</w:t>
            </w:r>
          </w:p>
        </w:tc>
        <w:tc>
          <w:tcPr>
            <w:tcW w:w="1634"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资产总计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635" w:type="dxa"/>
            <w:tcBorders>
              <w:top w:val="nil"/>
              <w:left w:val="single" w:sz="4" w:space="0" w:color="auto"/>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负债合计</w:t>
            </w:r>
          </w:p>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（亿元）</w:t>
            </w:r>
          </w:p>
        </w:tc>
        <w:tc>
          <w:tcPr>
            <w:tcW w:w="1635" w:type="dxa"/>
            <w:tcBorders>
              <w:top w:val="nil"/>
              <w:left w:val="single" w:sz="4" w:space="0" w:color="auto"/>
              <w:bottom w:val="single" w:sz="4" w:space="0" w:color="auto"/>
              <w:right w:val="nil"/>
            </w:tcBorders>
            <w:vAlign w:val="center"/>
          </w:tcPr>
          <w:p w:rsidR="00D146BB" w:rsidRDefault="006457CA">
            <w:pPr>
              <w:widowControl/>
              <w:spacing w:line="240" w:lineRule="atLeast"/>
              <w:ind w:left="57" w:right="57"/>
              <w:jc w:val="center"/>
              <w:rPr>
                <w:rFonts w:ascii="黑体" w:eastAsia="黑体" w:hAnsi="黑体"/>
                <w:color w:val="000000" w:themeColor="text1"/>
                <w:kern w:val="0"/>
                <w:szCs w:val="21"/>
              </w:rPr>
            </w:pPr>
            <w:r>
              <w:rPr>
                <w:rFonts w:ascii="黑体" w:eastAsia="黑体" w:hAnsi="黑体"/>
                <w:color w:val="000000" w:themeColor="text1"/>
                <w:kern w:val="0"/>
                <w:szCs w:val="21"/>
              </w:rPr>
              <w:t>营业收入</w:t>
            </w:r>
          </w:p>
          <w:p w:rsidR="00D146BB" w:rsidRDefault="006457CA">
            <w:pPr>
              <w:widowControl/>
              <w:spacing w:line="240" w:lineRule="atLeast"/>
              <w:ind w:left="57" w:right="57"/>
              <w:jc w:val="center"/>
              <w:rPr>
                <w:rFonts w:ascii="黑体" w:eastAsia="黑体" w:hAnsi="黑体"/>
                <w:color w:val="000000" w:themeColor="text1"/>
                <w:kern w:val="0"/>
                <w:sz w:val="18"/>
                <w:szCs w:val="18"/>
              </w:rPr>
            </w:pPr>
            <w:r>
              <w:rPr>
                <w:rFonts w:ascii="黑体" w:eastAsia="黑体" w:hAnsi="黑体"/>
                <w:color w:val="000000" w:themeColor="text1"/>
                <w:kern w:val="0"/>
                <w:szCs w:val="21"/>
              </w:rPr>
              <w:t>（亿元）</w:t>
            </w:r>
          </w:p>
        </w:tc>
      </w:tr>
      <w:tr w:rsidR="00D146BB">
        <w:trPr>
          <w:trHeight w:val="283"/>
          <w:jc w:val="center"/>
        </w:trPr>
        <w:tc>
          <w:tcPr>
            <w:tcW w:w="3402"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color w:val="000000" w:themeColor="text1"/>
                <w:kern w:val="0"/>
                <w:sz w:val="18"/>
                <w:szCs w:val="18"/>
              </w:rPr>
            </w:pPr>
            <w:r>
              <w:rPr>
                <w:rFonts w:ascii="仿宋_GB2312" w:eastAsia="仿宋_GB2312" w:hint="eastAsia"/>
                <w:b/>
                <w:bCs/>
                <w:color w:val="000000" w:themeColor="text1"/>
                <w:kern w:val="0"/>
                <w:szCs w:val="21"/>
              </w:rPr>
              <w:t>合　计</w:t>
            </w:r>
          </w:p>
        </w:tc>
        <w:tc>
          <w:tcPr>
            <w:tcW w:w="1634"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926.75</w:t>
            </w:r>
          </w:p>
        </w:tc>
        <w:tc>
          <w:tcPr>
            <w:tcW w:w="1635" w:type="dxa"/>
            <w:tcBorders>
              <w:top w:val="single" w:sz="4" w:space="0" w:color="auto"/>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776.65</w:t>
            </w:r>
          </w:p>
        </w:tc>
        <w:tc>
          <w:tcPr>
            <w:tcW w:w="1635" w:type="dxa"/>
            <w:tcBorders>
              <w:top w:val="single" w:sz="4" w:space="0" w:color="auto"/>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b/>
                <w:color w:val="000000" w:themeColor="text1"/>
              </w:rPr>
            </w:pPr>
            <w:r>
              <w:rPr>
                <w:rFonts w:ascii="仿宋_GB2312" w:eastAsia="仿宋_GB2312" w:hAnsi="Times New Roman" w:hint="eastAsia"/>
                <w:b/>
                <w:color w:val="000000" w:themeColor="text1"/>
              </w:rPr>
              <w:t>307.96</w:t>
            </w:r>
          </w:p>
        </w:tc>
      </w:tr>
      <w:tr w:rsidR="00D146BB">
        <w:trPr>
          <w:trHeight w:val="283"/>
          <w:jc w:val="center"/>
        </w:trPr>
        <w:tc>
          <w:tcPr>
            <w:tcW w:w="3402"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房地产开发经营</w:t>
            </w:r>
          </w:p>
        </w:tc>
        <w:tc>
          <w:tcPr>
            <w:tcW w:w="1634"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870.38</w:t>
            </w:r>
          </w:p>
        </w:tc>
        <w:tc>
          <w:tcPr>
            <w:tcW w:w="1635"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738.30</w:t>
            </w:r>
          </w:p>
        </w:tc>
        <w:tc>
          <w:tcPr>
            <w:tcW w:w="1635"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296.91</w:t>
            </w:r>
          </w:p>
        </w:tc>
      </w:tr>
      <w:tr w:rsidR="00D146BB">
        <w:trPr>
          <w:trHeight w:val="283"/>
          <w:jc w:val="center"/>
        </w:trPr>
        <w:tc>
          <w:tcPr>
            <w:tcW w:w="3402"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物业管理</w:t>
            </w:r>
          </w:p>
        </w:tc>
        <w:tc>
          <w:tcPr>
            <w:tcW w:w="1634"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6.34</w:t>
            </w:r>
          </w:p>
        </w:tc>
        <w:tc>
          <w:tcPr>
            <w:tcW w:w="1635"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3.39</w:t>
            </w:r>
          </w:p>
        </w:tc>
        <w:tc>
          <w:tcPr>
            <w:tcW w:w="1635"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5.59</w:t>
            </w:r>
          </w:p>
        </w:tc>
      </w:tr>
      <w:tr w:rsidR="00D146BB">
        <w:trPr>
          <w:trHeight w:val="283"/>
          <w:jc w:val="center"/>
        </w:trPr>
        <w:tc>
          <w:tcPr>
            <w:tcW w:w="3402"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房地产中介服务</w:t>
            </w:r>
          </w:p>
        </w:tc>
        <w:tc>
          <w:tcPr>
            <w:tcW w:w="1634"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2.33</w:t>
            </w:r>
          </w:p>
        </w:tc>
        <w:tc>
          <w:tcPr>
            <w:tcW w:w="1635"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1.14</w:t>
            </w:r>
          </w:p>
        </w:tc>
        <w:tc>
          <w:tcPr>
            <w:tcW w:w="1635"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4.67</w:t>
            </w:r>
          </w:p>
        </w:tc>
      </w:tr>
      <w:tr w:rsidR="00D146BB">
        <w:trPr>
          <w:trHeight w:val="283"/>
          <w:jc w:val="center"/>
        </w:trPr>
        <w:tc>
          <w:tcPr>
            <w:tcW w:w="3402" w:type="dxa"/>
            <w:tcBorders>
              <w:top w:val="nil"/>
              <w:left w:val="nil"/>
              <w:bottom w:val="nil"/>
              <w:right w:val="single" w:sz="4" w:space="0" w:color="auto"/>
            </w:tcBorders>
            <w:vAlign w:val="center"/>
          </w:tcPr>
          <w:p w:rsidR="00D146BB" w:rsidRDefault="006457CA">
            <w:pPr>
              <w:rPr>
                <w:rFonts w:ascii="仿宋_GB2312" w:eastAsia="仿宋_GB2312"/>
                <w:color w:val="000000" w:themeColor="text1"/>
              </w:rPr>
            </w:pPr>
            <w:r>
              <w:rPr>
                <w:rFonts w:ascii="仿宋_GB2312" w:eastAsia="仿宋_GB2312" w:hint="eastAsia"/>
                <w:color w:val="000000" w:themeColor="text1"/>
                <w:kern w:val="0"/>
                <w:szCs w:val="21"/>
              </w:rPr>
              <w:t xml:space="preserve">　房地产租赁经营</w:t>
            </w:r>
          </w:p>
        </w:tc>
        <w:tc>
          <w:tcPr>
            <w:tcW w:w="1634"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10.66</w:t>
            </w:r>
          </w:p>
        </w:tc>
        <w:tc>
          <w:tcPr>
            <w:tcW w:w="1635" w:type="dxa"/>
            <w:tcBorders>
              <w:top w:val="nil"/>
              <w:left w:val="single" w:sz="4" w:space="0" w:color="auto"/>
              <w:bottom w:val="nil"/>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6.85</w:t>
            </w:r>
          </w:p>
        </w:tc>
        <w:tc>
          <w:tcPr>
            <w:tcW w:w="1635" w:type="dxa"/>
            <w:tcBorders>
              <w:top w:val="nil"/>
              <w:left w:val="single" w:sz="4" w:space="0" w:color="auto"/>
              <w:bottom w:val="nil"/>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0.77</w:t>
            </w:r>
          </w:p>
        </w:tc>
      </w:tr>
      <w:tr w:rsidR="00D146BB">
        <w:trPr>
          <w:trHeight w:val="283"/>
          <w:jc w:val="center"/>
        </w:trPr>
        <w:tc>
          <w:tcPr>
            <w:tcW w:w="3402" w:type="dxa"/>
            <w:tcBorders>
              <w:top w:val="nil"/>
              <w:left w:val="nil"/>
              <w:bottom w:val="single" w:sz="12" w:space="0" w:color="auto"/>
              <w:right w:val="single" w:sz="4" w:space="0" w:color="auto"/>
            </w:tcBorders>
          </w:tcPr>
          <w:p w:rsidR="00D146BB" w:rsidRDefault="006457CA">
            <w:pPr>
              <w:rPr>
                <w:rFonts w:ascii="仿宋_GB2312" w:eastAsia="仿宋_GB2312"/>
                <w:color w:val="000000" w:themeColor="text1"/>
              </w:rPr>
            </w:pPr>
            <w:r>
              <w:rPr>
                <w:rFonts w:ascii="仿宋_GB2312" w:eastAsia="仿宋_GB2312" w:hint="eastAsia"/>
                <w:color w:val="000000" w:themeColor="text1"/>
              </w:rPr>
              <w:t xml:space="preserve">　</w:t>
            </w:r>
            <w:r>
              <w:rPr>
                <w:rFonts w:ascii="仿宋_GB2312" w:eastAsia="仿宋_GB2312" w:hint="eastAsia"/>
                <w:color w:val="000000" w:themeColor="text1"/>
                <w:kern w:val="0"/>
                <w:szCs w:val="21"/>
              </w:rPr>
              <w:t>其他房地产业</w:t>
            </w:r>
          </w:p>
        </w:tc>
        <w:tc>
          <w:tcPr>
            <w:tcW w:w="1634"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37.03</w:t>
            </w:r>
          </w:p>
        </w:tc>
        <w:tc>
          <w:tcPr>
            <w:tcW w:w="1635" w:type="dxa"/>
            <w:tcBorders>
              <w:top w:val="nil"/>
              <w:left w:val="single" w:sz="4" w:space="0" w:color="auto"/>
              <w:bottom w:val="single" w:sz="12" w:space="0" w:color="auto"/>
              <w:right w:val="single" w:sz="4" w:space="0" w:color="auto"/>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26.98</w:t>
            </w:r>
          </w:p>
        </w:tc>
        <w:tc>
          <w:tcPr>
            <w:tcW w:w="1635" w:type="dxa"/>
            <w:tcBorders>
              <w:top w:val="nil"/>
              <w:left w:val="single" w:sz="4" w:space="0" w:color="auto"/>
              <w:bottom w:val="single" w:sz="12" w:space="0" w:color="auto"/>
              <w:right w:val="nil"/>
            </w:tcBorders>
            <w:tcMar>
              <w:left w:w="113" w:type="dxa"/>
              <w:right w:w="113" w:type="dxa"/>
            </w:tcMar>
          </w:tcPr>
          <w:p w:rsidR="00D146BB" w:rsidRDefault="006457CA">
            <w:pPr>
              <w:ind w:rightChars="150" w:right="315"/>
              <w:jc w:val="right"/>
              <w:rPr>
                <w:rFonts w:ascii="仿宋_GB2312" w:eastAsia="仿宋_GB2312" w:hAnsi="Times New Roman"/>
                <w:color w:val="000000" w:themeColor="text1"/>
              </w:rPr>
            </w:pPr>
            <w:r>
              <w:rPr>
                <w:rFonts w:ascii="仿宋_GB2312" w:eastAsia="仿宋_GB2312" w:hAnsi="Times New Roman" w:hint="eastAsia"/>
                <w:color w:val="000000" w:themeColor="text1"/>
              </w:rPr>
              <w:t>0.02</w:t>
            </w:r>
          </w:p>
        </w:tc>
      </w:tr>
    </w:tbl>
    <w:p w:rsidR="00D146BB" w:rsidRDefault="006457CA" w:rsidP="00E03D95">
      <w:pPr>
        <w:spacing w:line="560" w:lineRule="exact"/>
        <w:ind w:firstLineChars="200" w:firstLine="640"/>
        <w:jc w:val="left"/>
        <w:rPr>
          <w:rFonts w:eastAsia="黑体"/>
          <w:color w:val="000000" w:themeColor="text1"/>
          <w:kern w:val="0"/>
          <w:sz w:val="32"/>
          <w:szCs w:val="32"/>
        </w:rPr>
      </w:pPr>
      <w:r>
        <w:rPr>
          <w:rFonts w:eastAsia="黑体" w:hint="eastAsia"/>
          <w:color w:val="000000" w:themeColor="text1"/>
          <w:kern w:val="0"/>
          <w:sz w:val="32"/>
          <w:szCs w:val="32"/>
        </w:rPr>
        <w:t>六</w:t>
      </w:r>
      <w:r>
        <w:rPr>
          <w:rFonts w:eastAsia="黑体"/>
          <w:color w:val="000000" w:themeColor="text1"/>
          <w:kern w:val="0"/>
          <w:sz w:val="32"/>
          <w:szCs w:val="32"/>
        </w:rPr>
        <w:t>、租赁和商务服务业</w:t>
      </w:r>
    </w:p>
    <w:p w:rsidR="00D146BB" w:rsidRDefault="006457CA">
      <w:pPr>
        <w:spacing w:line="600" w:lineRule="exact"/>
        <w:ind w:firstLineChars="200" w:firstLine="640"/>
        <w:rPr>
          <w:rFonts w:eastAsia="楷体_GB2312"/>
          <w:color w:val="000000" w:themeColor="text1"/>
          <w:kern w:val="0"/>
          <w:sz w:val="32"/>
          <w:szCs w:val="32"/>
        </w:rPr>
      </w:pPr>
      <w:r>
        <w:rPr>
          <w:rFonts w:eastAsia="楷体_GB2312"/>
          <w:color w:val="000000" w:themeColor="text1"/>
          <w:kern w:val="0"/>
          <w:sz w:val="32"/>
          <w:szCs w:val="32"/>
        </w:rPr>
        <w:t>（一）企业法人单位数和从业人员</w:t>
      </w:r>
      <w:r>
        <w:rPr>
          <w:rFonts w:eastAsia="仿宋_GB2312"/>
          <w:color w:val="000000" w:themeColor="text1"/>
          <w:kern w:val="0"/>
          <w:sz w:val="32"/>
          <w:szCs w:val="32"/>
        </w:rPr>
        <w:t>。</w:t>
      </w:r>
    </w:p>
    <w:p w:rsidR="00D146BB" w:rsidRDefault="006457CA">
      <w:pPr>
        <w:spacing w:line="6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w:t>
      </w:r>
      <w:r>
        <w:rPr>
          <w:rFonts w:ascii="仿宋_GB2312" w:eastAsia="仿宋_GB2312" w:hAnsi="Times New Roman" w:hint="eastAsia"/>
          <w:color w:val="000000" w:themeColor="text1"/>
          <w:kern w:val="0"/>
          <w:sz w:val="32"/>
          <w:szCs w:val="32"/>
        </w:rPr>
        <w:t>全市</w:t>
      </w:r>
      <w:r>
        <w:rPr>
          <w:rFonts w:ascii="仿宋_GB2312" w:eastAsia="仿宋_GB2312" w:hAnsi="Times New Roman"/>
          <w:color w:val="000000" w:themeColor="text1"/>
          <w:kern w:val="0"/>
          <w:sz w:val="32"/>
          <w:szCs w:val="32"/>
        </w:rPr>
        <w:t>共有租赁和商务服务业企业法人单位1925个，从业人员31952人，分别比2013年末增长209.0%和284.9%。</w:t>
      </w:r>
    </w:p>
    <w:p w:rsidR="00D146BB" w:rsidRDefault="006457CA">
      <w:pPr>
        <w:spacing w:line="6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在租赁和商务服务业企业法人单位中，租赁业占12.9%，商务服务业占87.1%。在租赁和商务服务业企业法人单位从业人员中，租赁业占6.0%，商务服务业占94.0%（详见表4-15）。</w:t>
      </w:r>
    </w:p>
    <w:p w:rsidR="00D146BB" w:rsidRDefault="00D146BB">
      <w:pPr>
        <w:spacing w:line="600" w:lineRule="exact"/>
        <w:ind w:firstLineChars="200" w:firstLine="640"/>
        <w:rPr>
          <w:rFonts w:ascii="仿宋_GB2312" w:eastAsia="仿宋_GB2312" w:hAnsi="Times New Roman"/>
          <w:color w:val="000000" w:themeColor="text1"/>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2676"/>
        <w:gridCol w:w="2552"/>
      </w:tblGrid>
      <w:tr w:rsidR="00D146BB">
        <w:trPr>
          <w:trHeight w:val="567"/>
          <w:jc w:val="center"/>
        </w:trPr>
        <w:tc>
          <w:tcPr>
            <w:tcW w:w="8306" w:type="dxa"/>
            <w:gridSpan w:val="3"/>
            <w:tcBorders>
              <w:top w:val="nil"/>
              <w:left w:val="nil"/>
              <w:bottom w:val="single" w:sz="12" w:space="0" w:color="auto"/>
              <w:right w:val="nil"/>
            </w:tcBorders>
            <w:shd w:val="clear" w:color="auto" w:fill="FFFFFF"/>
            <w:vAlign w:val="center"/>
          </w:tcPr>
          <w:p w:rsidR="00D146BB" w:rsidRDefault="00D146BB">
            <w:pPr>
              <w:widowControl/>
              <w:rPr>
                <w:b/>
                <w:bCs/>
                <w:kern w:val="0"/>
                <w:sz w:val="24"/>
              </w:rPr>
            </w:pPr>
          </w:p>
          <w:p w:rsidR="00D146BB" w:rsidRDefault="006457CA">
            <w:pPr>
              <w:widowControl/>
              <w:jc w:val="center"/>
              <w:rPr>
                <w:rFonts w:ascii="黑体" w:eastAsia="黑体" w:hAnsi="黑体"/>
                <w:bCs/>
                <w:kern w:val="0"/>
                <w:sz w:val="24"/>
              </w:rPr>
            </w:pPr>
            <w:r>
              <w:rPr>
                <w:rFonts w:ascii="黑体" w:eastAsia="黑体" w:hAnsi="黑体"/>
                <w:bCs/>
                <w:kern w:val="0"/>
                <w:sz w:val="24"/>
              </w:rPr>
              <w:t>表4-15　按行业大类分组的租赁和商务服务业企业法人单位和从业人员</w:t>
            </w:r>
          </w:p>
        </w:tc>
      </w:tr>
      <w:tr w:rsidR="00D146BB">
        <w:trPr>
          <w:trHeight w:val="474"/>
          <w:jc w:val="center"/>
        </w:trPr>
        <w:tc>
          <w:tcPr>
            <w:tcW w:w="3078"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eastAsia="黑体" w:cs="Calibri"/>
                <w:kern w:val="0"/>
                <w:szCs w:val="21"/>
              </w:rPr>
              <w:t> </w:t>
            </w:r>
          </w:p>
        </w:tc>
        <w:tc>
          <w:tcPr>
            <w:tcW w:w="2676" w:type="dxa"/>
            <w:tcBorders>
              <w:top w:val="nil"/>
              <w:left w:val="single" w:sz="4" w:space="0" w:color="auto"/>
              <w:bottom w:val="single" w:sz="6"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ascii="黑体" w:eastAsia="黑体" w:hAnsi="黑体"/>
                <w:kern w:val="0"/>
                <w:szCs w:val="21"/>
              </w:rPr>
              <w:t>企业法人单位（</w:t>
            </w:r>
            <w:proofErr w:type="gramStart"/>
            <w:r>
              <w:rPr>
                <w:rFonts w:ascii="黑体" w:eastAsia="黑体" w:hAnsi="黑体"/>
                <w:kern w:val="0"/>
                <w:szCs w:val="21"/>
              </w:rPr>
              <w:t>个</w:t>
            </w:r>
            <w:proofErr w:type="gramEnd"/>
            <w:r>
              <w:rPr>
                <w:rFonts w:ascii="黑体" w:eastAsia="黑体" w:hAnsi="黑体"/>
                <w:kern w:val="0"/>
                <w:szCs w:val="21"/>
              </w:rPr>
              <w:t>）</w:t>
            </w:r>
          </w:p>
        </w:tc>
        <w:tc>
          <w:tcPr>
            <w:tcW w:w="2552" w:type="dxa"/>
            <w:tcBorders>
              <w:top w:val="nil"/>
              <w:left w:val="single" w:sz="4" w:space="0" w:color="auto"/>
              <w:bottom w:val="single" w:sz="6" w:space="0" w:color="auto"/>
              <w:right w:val="nil"/>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ascii="黑体" w:eastAsia="黑体" w:hAnsi="黑体"/>
                <w:kern w:val="0"/>
                <w:szCs w:val="21"/>
              </w:rPr>
              <w:t>从业人员（人）</w:t>
            </w:r>
          </w:p>
        </w:tc>
      </w:tr>
      <w:tr w:rsidR="00D146BB">
        <w:trPr>
          <w:trHeight w:val="283"/>
          <w:jc w:val="center"/>
        </w:trPr>
        <w:tc>
          <w:tcPr>
            <w:tcW w:w="3078"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kern w:val="0"/>
                <w:sz w:val="18"/>
                <w:szCs w:val="18"/>
              </w:rPr>
            </w:pPr>
            <w:r>
              <w:rPr>
                <w:rFonts w:ascii="仿宋_GB2312" w:eastAsia="仿宋_GB2312" w:hint="eastAsia"/>
                <w:b/>
                <w:bCs/>
                <w:kern w:val="0"/>
                <w:szCs w:val="21"/>
              </w:rPr>
              <w:t>合　计</w:t>
            </w:r>
          </w:p>
        </w:tc>
        <w:tc>
          <w:tcPr>
            <w:tcW w:w="2676" w:type="dxa"/>
            <w:tcBorders>
              <w:top w:val="single" w:sz="6" w:space="0" w:color="auto"/>
              <w:left w:val="single" w:sz="6" w:space="0" w:color="auto"/>
              <w:bottom w:val="nil"/>
              <w:right w:val="single" w:sz="6" w:space="0" w:color="auto"/>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1925</w:t>
            </w:r>
          </w:p>
        </w:tc>
        <w:tc>
          <w:tcPr>
            <w:tcW w:w="2552" w:type="dxa"/>
            <w:tcBorders>
              <w:top w:val="single" w:sz="6" w:space="0" w:color="auto"/>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31952</w:t>
            </w:r>
          </w:p>
        </w:tc>
      </w:tr>
      <w:tr w:rsidR="00D146BB">
        <w:trPr>
          <w:trHeight w:val="283"/>
          <w:jc w:val="center"/>
        </w:trPr>
        <w:tc>
          <w:tcPr>
            <w:tcW w:w="3078"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租赁业</w:t>
            </w:r>
          </w:p>
        </w:tc>
        <w:tc>
          <w:tcPr>
            <w:tcW w:w="2676" w:type="dxa"/>
            <w:tcBorders>
              <w:top w:val="nil"/>
              <w:left w:val="single" w:sz="6" w:space="0" w:color="auto"/>
              <w:bottom w:val="nil"/>
              <w:right w:val="single" w:sz="6" w:space="0" w:color="auto"/>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249</w:t>
            </w:r>
          </w:p>
        </w:tc>
        <w:tc>
          <w:tcPr>
            <w:tcW w:w="2552" w:type="dxa"/>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1910</w:t>
            </w:r>
          </w:p>
        </w:tc>
      </w:tr>
      <w:tr w:rsidR="00D146BB">
        <w:trPr>
          <w:trHeight w:val="283"/>
          <w:jc w:val="center"/>
        </w:trPr>
        <w:tc>
          <w:tcPr>
            <w:tcW w:w="3078"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商务服务业</w:t>
            </w:r>
          </w:p>
        </w:tc>
        <w:tc>
          <w:tcPr>
            <w:tcW w:w="2676" w:type="dxa"/>
            <w:tcBorders>
              <w:top w:val="nil"/>
              <w:left w:val="single" w:sz="6" w:space="0" w:color="auto"/>
              <w:bottom w:val="single" w:sz="12" w:space="0" w:color="auto"/>
              <w:right w:val="single" w:sz="6" w:space="0" w:color="auto"/>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1676</w:t>
            </w:r>
          </w:p>
        </w:tc>
        <w:tc>
          <w:tcPr>
            <w:tcW w:w="2552" w:type="dxa"/>
            <w:tcBorders>
              <w:top w:val="nil"/>
              <w:left w:val="single" w:sz="6" w:space="0" w:color="auto"/>
              <w:bottom w:val="single" w:sz="12" w:space="0" w:color="auto"/>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30042</w:t>
            </w:r>
          </w:p>
        </w:tc>
      </w:tr>
    </w:tbl>
    <w:p w:rsidR="00D146BB" w:rsidRDefault="006457CA">
      <w:pPr>
        <w:spacing w:line="6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lastRenderedPageBreak/>
        <w:t>在租赁和商务服务业企业法人单位中，内资企业占100.0%。</w:t>
      </w:r>
    </w:p>
    <w:p w:rsidR="00D146BB" w:rsidRDefault="006457CA">
      <w:pPr>
        <w:spacing w:line="6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在租赁和商务服务业企业法人单位从业人员中，内资企业占100.0%（详见表4-16）。</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6"/>
        <w:gridCol w:w="2563"/>
        <w:gridCol w:w="2357"/>
        <w:gridCol w:w="15"/>
      </w:tblGrid>
      <w:tr w:rsidR="00D146BB">
        <w:trPr>
          <w:gridAfter w:val="1"/>
          <w:wAfter w:w="15" w:type="dxa"/>
          <w:trHeight w:val="567"/>
          <w:jc w:val="center"/>
        </w:trPr>
        <w:tc>
          <w:tcPr>
            <w:tcW w:w="8306" w:type="dxa"/>
            <w:gridSpan w:val="3"/>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kern w:val="0"/>
                <w:sz w:val="24"/>
              </w:rPr>
            </w:pPr>
            <w:r>
              <w:rPr>
                <w:rFonts w:ascii="黑体" w:eastAsia="黑体" w:hAnsi="黑体"/>
                <w:bCs/>
                <w:kern w:val="0"/>
                <w:sz w:val="24"/>
              </w:rPr>
              <w:t>表4-16　按登记注册类型分组的租赁和商务服务业企业法人单位和从业人员</w:t>
            </w:r>
          </w:p>
        </w:tc>
      </w:tr>
      <w:tr w:rsidR="00D146BB">
        <w:trPr>
          <w:trHeight w:val="567"/>
          <w:jc w:val="center"/>
        </w:trPr>
        <w:tc>
          <w:tcPr>
            <w:tcW w:w="3386"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eastAsia="黑体" w:cs="Calibri"/>
                <w:kern w:val="0"/>
                <w:szCs w:val="21"/>
              </w:rPr>
              <w:t> </w:t>
            </w:r>
          </w:p>
        </w:tc>
        <w:tc>
          <w:tcPr>
            <w:tcW w:w="2563" w:type="dxa"/>
            <w:tcBorders>
              <w:top w:val="nil"/>
              <w:left w:val="single" w:sz="4" w:space="0" w:color="auto"/>
              <w:bottom w:val="single" w:sz="6"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ascii="黑体" w:eastAsia="黑体" w:hAnsi="黑体"/>
                <w:kern w:val="0"/>
                <w:szCs w:val="21"/>
              </w:rPr>
              <w:t>企业法人单位(</w:t>
            </w:r>
            <w:proofErr w:type="gramStart"/>
            <w:r>
              <w:rPr>
                <w:rFonts w:ascii="黑体" w:eastAsia="黑体" w:hAnsi="黑体"/>
                <w:kern w:val="0"/>
                <w:szCs w:val="21"/>
              </w:rPr>
              <w:t>个</w:t>
            </w:r>
            <w:proofErr w:type="gramEnd"/>
            <w:r>
              <w:rPr>
                <w:rFonts w:ascii="黑体" w:eastAsia="黑体" w:hAnsi="黑体"/>
                <w:kern w:val="0"/>
                <w:szCs w:val="21"/>
              </w:rPr>
              <w:t>)</w:t>
            </w:r>
          </w:p>
        </w:tc>
        <w:tc>
          <w:tcPr>
            <w:tcW w:w="2372" w:type="dxa"/>
            <w:gridSpan w:val="2"/>
            <w:tcBorders>
              <w:top w:val="nil"/>
              <w:left w:val="single" w:sz="4" w:space="0" w:color="auto"/>
              <w:bottom w:val="single" w:sz="6" w:space="0" w:color="auto"/>
              <w:right w:val="nil"/>
            </w:tcBorders>
            <w:vAlign w:val="center"/>
          </w:tcPr>
          <w:p w:rsidR="00D146BB" w:rsidRDefault="006457CA">
            <w:pPr>
              <w:widowControl/>
              <w:spacing w:line="240" w:lineRule="atLeast"/>
              <w:ind w:left="57" w:right="57"/>
              <w:jc w:val="center"/>
              <w:rPr>
                <w:rFonts w:ascii="黑体" w:eastAsia="黑体" w:hAnsi="黑体"/>
                <w:kern w:val="0"/>
                <w:sz w:val="18"/>
                <w:szCs w:val="18"/>
              </w:rPr>
            </w:pPr>
            <w:r>
              <w:rPr>
                <w:rFonts w:ascii="黑体" w:eastAsia="黑体" w:hAnsi="黑体"/>
                <w:kern w:val="0"/>
                <w:szCs w:val="21"/>
              </w:rPr>
              <w:t>从业人员(人)</w:t>
            </w:r>
          </w:p>
        </w:tc>
      </w:tr>
      <w:tr w:rsidR="00D146BB">
        <w:trPr>
          <w:trHeight w:val="283"/>
          <w:jc w:val="center"/>
        </w:trPr>
        <w:tc>
          <w:tcPr>
            <w:tcW w:w="3386"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kern w:val="0"/>
                <w:sz w:val="18"/>
                <w:szCs w:val="18"/>
              </w:rPr>
            </w:pPr>
            <w:r>
              <w:rPr>
                <w:rFonts w:ascii="仿宋_GB2312" w:eastAsia="仿宋_GB2312" w:hint="eastAsia"/>
                <w:b/>
                <w:bCs/>
                <w:kern w:val="0"/>
                <w:szCs w:val="21"/>
              </w:rPr>
              <w:t>合　计</w:t>
            </w:r>
          </w:p>
        </w:tc>
        <w:tc>
          <w:tcPr>
            <w:tcW w:w="2563" w:type="dxa"/>
            <w:tcBorders>
              <w:top w:val="single" w:sz="6" w:space="0" w:color="auto"/>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1925</w:t>
            </w:r>
          </w:p>
        </w:tc>
        <w:tc>
          <w:tcPr>
            <w:tcW w:w="2372" w:type="dxa"/>
            <w:gridSpan w:val="2"/>
            <w:tcBorders>
              <w:top w:val="single" w:sz="6" w:space="0" w:color="auto"/>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31952</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b/>
                <w:kern w:val="0"/>
                <w:sz w:val="18"/>
                <w:szCs w:val="18"/>
              </w:rPr>
            </w:pPr>
            <w:r>
              <w:rPr>
                <w:rFonts w:ascii="仿宋_GB2312" w:eastAsia="仿宋_GB2312" w:hint="eastAsia"/>
                <w:b/>
                <w:kern w:val="0"/>
                <w:szCs w:val="21"/>
              </w:rPr>
              <w:t>内资企业</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1925</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
                <w:bCs/>
                <w:kern w:val="0"/>
                <w:szCs w:val="21"/>
              </w:rPr>
            </w:pPr>
            <w:r>
              <w:rPr>
                <w:rFonts w:ascii="仿宋_GB2312" w:eastAsia="仿宋_GB2312" w:hAnsi="Times New Roman" w:hint="eastAsia"/>
                <w:b/>
                <w:bCs/>
                <w:kern w:val="0"/>
                <w:szCs w:val="21"/>
              </w:rPr>
              <w:t>31952</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firstLineChars="50" w:firstLine="105"/>
              <w:rPr>
                <w:rFonts w:ascii="仿宋_GB2312" w:eastAsia="仿宋_GB2312"/>
                <w:kern w:val="0"/>
                <w:sz w:val="18"/>
                <w:szCs w:val="18"/>
              </w:rPr>
            </w:pPr>
            <w:r>
              <w:rPr>
                <w:rFonts w:ascii="仿宋_GB2312" w:eastAsia="仿宋_GB2312" w:hint="eastAsia"/>
                <w:kern w:val="0"/>
                <w:szCs w:val="21"/>
              </w:rPr>
              <w:t xml:space="preserve">　国有企业</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23</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1806</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集体企业</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144</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431</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股份合作企业</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2</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9</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有限责任公司</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191</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4979</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股份有限公司</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12</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319</w:t>
            </w:r>
          </w:p>
        </w:tc>
      </w:tr>
      <w:tr w:rsidR="00D146BB">
        <w:trPr>
          <w:trHeight w:val="283"/>
          <w:jc w:val="center"/>
        </w:trPr>
        <w:tc>
          <w:tcPr>
            <w:tcW w:w="3386" w:type="dxa"/>
            <w:tcBorders>
              <w:top w:val="nil"/>
              <w:left w:val="nil"/>
              <w:bottom w:val="nil"/>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私营企业</w:t>
            </w:r>
          </w:p>
        </w:tc>
        <w:tc>
          <w:tcPr>
            <w:tcW w:w="2563" w:type="dxa"/>
            <w:tcBorders>
              <w:top w:val="nil"/>
              <w:left w:val="single" w:sz="6" w:space="0" w:color="auto"/>
              <w:bottom w:val="nil"/>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1520</w:t>
            </w:r>
          </w:p>
        </w:tc>
        <w:tc>
          <w:tcPr>
            <w:tcW w:w="2372" w:type="dxa"/>
            <w:gridSpan w:val="2"/>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24284</w:t>
            </w:r>
          </w:p>
        </w:tc>
      </w:tr>
      <w:tr w:rsidR="00D146BB">
        <w:trPr>
          <w:trHeight w:val="283"/>
          <w:jc w:val="center"/>
        </w:trPr>
        <w:tc>
          <w:tcPr>
            <w:tcW w:w="3386" w:type="dxa"/>
            <w:tcBorders>
              <w:top w:val="nil"/>
              <w:left w:val="nil"/>
              <w:bottom w:val="single" w:sz="12" w:space="0" w:color="auto"/>
              <w:right w:val="single" w:sz="4" w:space="0" w:color="auto"/>
            </w:tcBorders>
            <w:vAlign w:val="center"/>
          </w:tcPr>
          <w:p w:rsidR="00D146BB" w:rsidRDefault="006457CA">
            <w:pPr>
              <w:widowControl/>
              <w:spacing w:line="240" w:lineRule="atLeast"/>
              <w:ind w:left="57" w:right="57"/>
              <w:rPr>
                <w:rFonts w:ascii="仿宋_GB2312" w:eastAsia="仿宋_GB2312"/>
                <w:kern w:val="0"/>
                <w:sz w:val="18"/>
                <w:szCs w:val="18"/>
              </w:rPr>
            </w:pPr>
            <w:r>
              <w:rPr>
                <w:rFonts w:ascii="仿宋_GB2312" w:eastAsia="仿宋_GB2312" w:hint="eastAsia"/>
                <w:kern w:val="0"/>
                <w:szCs w:val="21"/>
              </w:rPr>
              <w:t xml:space="preserve">　 其他企业</w:t>
            </w:r>
          </w:p>
        </w:tc>
        <w:tc>
          <w:tcPr>
            <w:tcW w:w="2563" w:type="dxa"/>
            <w:tcBorders>
              <w:top w:val="nil"/>
              <w:left w:val="single" w:sz="6" w:space="0" w:color="auto"/>
              <w:bottom w:val="single" w:sz="12" w:space="0" w:color="auto"/>
              <w:right w:val="single" w:sz="6" w:space="0" w:color="auto"/>
            </w:tcBorders>
            <w:shd w:val="solid" w:color="FFFFFF" w:fill="auto"/>
            <w:tcMar>
              <w:left w:w="113" w:type="dxa"/>
              <w:right w:w="113" w:type="dxa"/>
            </w:tcMar>
            <w:vAlign w:val="cente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33</w:t>
            </w:r>
          </w:p>
        </w:tc>
        <w:tc>
          <w:tcPr>
            <w:tcW w:w="2372" w:type="dxa"/>
            <w:gridSpan w:val="2"/>
            <w:tcBorders>
              <w:top w:val="nil"/>
              <w:left w:val="single" w:sz="6" w:space="0" w:color="auto"/>
              <w:bottom w:val="single" w:sz="12" w:space="0" w:color="auto"/>
              <w:right w:val="nil"/>
            </w:tcBorders>
            <w:shd w:val="solid" w:color="FFFFFF" w:fill="auto"/>
            <w:tcMar>
              <w:left w:w="113" w:type="dxa"/>
              <w:right w:w="113" w:type="dxa"/>
            </w:tcMar>
          </w:tcPr>
          <w:p w:rsidR="00D146BB" w:rsidRDefault="006457CA">
            <w:pPr>
              <w:autoSpaceDE w:val="0"/>
              <w:autoSpaceDN w:val="0"/>
              <w:adjustRightInd w:val="0"/>
              <w:ind w:rightChars="400" w:right="840"/>
              <w:jc w:val="right"/>
              <w:rPr>
                <w:rFonts w:ascii="仿宋_GB2312" w:eastAsia="仿宋_GB2312" w:hAnsi="Times New Roman"/>
                <w:bCs/>
                <w:kern w:val="0"/>
                <w:szCs w:val="21"/>
              </w:rPr>
            </w:pPr>
            <w:r>
              <w:rPr>
                <w:rFonts w:ascii="仿宋_GB2312" w:eastAsia="仿宋_GB2312" w:hAnsi="Times New Roman" w:hint="eastAsia"/>
                <w:bCs/>
                <w:kern w:val="0"/>
                <w:szCs w:val="21"/>
              </w:rPr>
              <w:t>124</w:t>
            </w:r>
          </w:p>
        </w:tc>
      </w:tr>
    </w:tbl>
    <w:p w:rsidR="00D146BB" w:rsidRDefault="006457CA">
      <w:pPr>
        <w:widowControl/>
        <w:spacing w:line="600" w:lineRule="exact"/>
        <w:ind w:firstLineChars="200" w:firstLine="640"/>
        <w:rPr>
          <w:rFonts w:eastAsia="楷体_GB2312"/>
          <w:kern w:val="0"/>
          <w:sz w:val="32"/>
          <w:szCs w:val="32"/>
        </w:rPr>
      </w:pPr>
      <w:r>
        <w:rPr>
          <w:rFonts w:eastAsia="楷体_GB2312"/>
          <w:kern w:val="0"/>
          <w:sz w:val="32"/>
          <w:szCs w:val="32"/>
        </w:rPr>
        <w:t>（二）主要经济指标</w:t>
      </w:r>
      <w:r>
        <w:rPr>
          <w:rFonts w:eastAsia="仿宋_GB2312"/>
          <w:kern w:val="0"/>
          <w:sz w:val="32"/>
          <w:szCs w:val="32"/>
        </w:rPr>
        <w:t>。</w:t>
      </w:r>
    </w:p>
    <w:p w:rsidR="00D146BB" w:rsidRDefault="006457CA" w:rsidP="00E03D95">
      <w:pPr>
        <w:widowControl/>
        <w:spacing w:line="60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color w:val="000000" w:themeColor="text1"/>
          <w:kern w:val="0"/>
          <w:sz w:val="32"/>
          <w:szCs w:val="32"/>
        </w:rPr>
        <w:t>2018年末，租赁和商务服务业企业法人单位资产总计1511.76亿元，比2013年末增长218.6%。其中，租赁业企业法人单位资产总计5.23亿元，商务服务业企业法人单位资产总计1506.53亿元，分别比2013年末增长45</w:t>
      </w:r>
      <w:r>
        <w:rPr>
          <w:rFonts w:ascii="仿宋_GB2312" w:eastAsia="仿宋_GB2312" w:hAnsi="Times New Roman" w:hint="eastAsia"/>
          <w:color w:val="000000" w:themeColor="text1"/>
          <w:kern w:val="0"/>
          <w:sz w:val="32"/>
          <w:szCs w:val="32"/>
        </w:rPr>
        <w:t>6.4</w:t>
      </w:r>
      <w:r>
        <w:rPr>
          <w:rFonts w:ascii="仿宋_GB2312" w:eastAsia="仿宋_GB2312" w:hAnsi="Times New Roman"/>
          <w:color w:val="000000" w:themeColor="text1"/>
          <w:kern w:val="0"/>
          <w:sz w:val="32"/>
          <w:szCs w:val="32"/>
        </w:rPr>
        <w:t>%和218.1%。负债合计699.04亿元。全年实现营业收入71.59亿元。（详见表4-17）。</w:t>
      </w:r>
    </w:p>
    <w:p w:rsidR="00E03D95" w:rsidRPr="00E03D95" w:rsidRDefault="00E03D95" w:rsidP="00E03D95">
      <w:pPr>
        <w:widowControl/>
        <w:spacing w:line="600" w:lineRule="exact"/>
        <w:ind w:firstLineChars="200" w:firstLine="640"/>
        <w:rPr>
          <w:rFonts w:ascii="仿宋_GB2312" w:eastAsia="仿宋_GB2312" w:hAnsi="Times New Roman" w:hint="eastAsia"/>
          <w:color w:val="000000" w:themeColor="text1"/>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46BB">
        <w:trPr>
          <w:trHeight w:val="567"/>
          <w:jc w:val="center"/>
        </w:trPr>
        <w:tc>
          <w:tcPr>
            <w:tcW w:w="8306" w:type="dxa"/>
            <w:gridSpan w:val="4"/>
            <w:tcBorders>
              <w:top w:val="nil"/>
              <w:left w:val="nil"/>
              <w:bottom w:val="single" w:sz="12" w:space="0" w:color="auto"/>
              <w:right w:val="nil"/>
            </w:tcBorders>
            <w:shd w:val="clear" w:color="auto" w:fill="FFFFFF"/>
            <w:vAlign w:val="center"/>
          </w:tcPr>
          <w:p w:rsidR="00D146BB" w:rsidRDefault="006457CA">
            <w:pPr>
              <w:widowControl/>
              <w:jc w:val="center"/>
              <w:rPr>
                <w:rFonts w:ascii="黑体" w:eastAsia="黑体" w:hAnsi="黑体"/>
                <w:bCs/>
                <w:kern w:val="0"/>
                <w:sz w:val="24"/>
              </w:rPr>
            </w:pPr>
            <w:r>
              <w:rPr>
                <w:rFonts w:ascii="黑体" w:eastAsia="黑体" w:hAnsi="黑体"/>
                <w:bCs/>
                <w:kern w:val="0"/>
                <w:sz w:val="24"/>
              </w:rPr>
              <w:t>表4-17　按行业大类分组的租赁和商务服务业企业法人单位主要经济指标</w:t>
            </w:r>
          </w:p>
        </w:tc>
      </w:tr>
      <w:tr w:rsidR="00D146BB">
        <w:trPr>
          <w:trHeight w:val="567"/>
          <w:jc w:val="center"/>
        </w:trPr>
        <w:tc>
          <w:tcPr>
            <w:tcW w:w="3686" w:type="dxa"/>
            <w:tcBorders>
              <w:top w:val="nil"/>
              <w:left w:val="nil"/>
              <w:bottom w:val="single" w:sz="4" w:space="0" w:color="auto"/>
              <w:right w:val="single" w:sz="4" w:space="0" w:color="auto"/>
            </w:tcBorders>
            <w:vAlign w:val="center"/>
          </w:tcPr>
          <w:p w:rsidR="00D146BB" w:rsidRDefault="006457CA">
            <w:pPr>
              <w:widowControl/>
              <w:spacing w:line="240" w:lineRule="atLeast"/>
              <w:ind w:left="57" w:right="57" w:firstLine="500"/>
              <w:jc w:val="center"/>
              <w:rPr>
                <w:rFonts w:ascii="黑体" w:eastAsia="黑体" w:hAnsi="黑体"/>
                <w:kern w:val="0"/>
                <w:sz w:val="18"/>
                <w:szCs w:val="18"/>
              </w:rPr>
            </w:pPr>
            <w:r>
              <w:rPr>
                <w:rFonts w:ascii="黑体" w:eastAsia="黑体" w:hAnsi="黑体"/>
                <w:kern w:val="0"/>
                <w:szCs w:val="21"/>
              </w:rPr>
              <w:t xml:space="preserve">　</w:t>
            </w:r>
          </w:p>
        </w:tc>
        <w:tc>
          <w:tcPr>
            <w:tcW w:w="1540" w:type="dxa"/>
            <w:tcBorders>
              <w:top w:val="nil"/>
              <w:left w:val="single" w:sz="4" w:space="0" w:color="auto"/>
              <w:bottom w:val="single" w:sz="6"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Cs w:val="21"/>
              </w:rPr>
            </w:pPr>
            <w:r>
              <w:rPr>
                <w:rFonts w:ascii="黑体" w:eastAsia="黑体" w:hAnsi="黑体"/>
                <w:kern w:val="0"/>
                <w:szCs w:val="21"/>
              </w:rPr>
              <w:t>资产总计</w:t>
            </w:r>
          </w:p>
          <w:p w:rsidR="00D146BB" w:rsidRDefault="006457CA">
            <w:pPr>
              <w:widowControl/>
              <w:spacing w:line="240" w:lineRule="atLeast"/>
              <w:ind w:left="57" w:right="57"/>
              <w:jc w:val="center"/>
              <w:rPr>
                <w:rFonts w:ascii="黑体" w:eastAsia="黑体" w:hAnsi="黑体"/>
                <w:kern w:val="0"/>
                <w:szCs w:val="21"/>
              </w:rPr>
            </w:pPr>
            <w:r>
              <w:rPr>
                <w:rFonts w:ascii="黑体" w:eastAsia="黑体" w:hAnsi="黑体"/>
                <w:kern w:val="0"/>
                <w:szCs w:val="21"/>
              </w:rPr>
              <w:t>（亿元）</w:t>
            </w:r>
          </w:p>
        </w:tc>
        <w:tc>
          <w:tcPr>
            <w:tcW w:w="1540" w:type="dxa"/>
            <w:tcBorders>
              <w:top w:val="nil"/>
              <w:left w:val="single" w:sz="4" w:space="0" w:color="auto"/>
              <w:bottom w:val="single" w:sz="6" w:space="0" w:color="auto"/>
              <w:right w:val="single" w:sz="4" w:space="0" w:color="auto"/>
            </w:tcBorders>
            <w:vAlign w:val="center"/>
          </w:tcPr>
          <w:p w:rsidR="00D146BB" w:rsidRDefault="006457CA">
            <w:pPr>
              <w:widowControl/>
              <w:spacing w:line="240" w:lineRule="atLeast"/>
              <w:ind w:left="57" w:right="57"/>
              <w:jc w:val="center"/>
              <w:rPr>
                <w:rFonts w:ascii="黑体" w:eastAsia="黑体" w:hAnsi="黑体"/>
                <w:kern w:val="0"/>
                <w:szCs w:val="21"/>
              </w:rPr>
            </w:pPr>
            <w:r>
              <w:rPr>
                <w:rFonts w:ascii="黑体" w:eastAsia="黑体" w:hAnsi="黑体"/>
                <w:kern w:val="0"/>
                <w:szCs w:val="21"/>
              </w:rPr>
              <w:t>负债合计</w:t>
            </w:r>
          </w:p>
          <w:p w:rsidR="00D146BB" w:rsidRDefault="006457CA">
            <w:pPr>
              <w:widowControl/>
              <w:spacing w:line="240" w:lineRule="atLeast"/>
              <w:ind w:left="57" w:right="57"/>
              <w:jc w:val="center"/>
              <w:rPr>
                <w:rFonts w:ascii="黑体" w:eastAsia="黑体" w:hAnsi="黑体"/>
                <w:kern w:val="0"/>
                <w:szCs w:val="21"/>
              </w:rPr>
            </w:pPr>
            <w:r>
              <w:rPr>
                <w:rFonts w:ascii="黑体" w:eastAsia="黑体" w:hAnsi="黑体"/>
                <w:kern w:val="0"/>
                <w:szCs w:val="21"/>
              </w:rPr>
              <w:t>（亿元）</w:t>
            </w:r>
          </w:p>
        </w:tc>
        <w:tc>
          <w:tcPr>
            <w:tcW w:w="1540" w:type="dxa"/>
            <w:tcBorders>
              <w:top w:val="nil"/>
              <w:left w:val="single" w:sz="4" w:space="0" w:color="auto"/>
              <w:bottom w:val="single" w:sz="6" w:space="0" w:color="auto"/>
              <w:right w:val="nil"/>
            </w:tcBorders>
            <w:vAlign w:val="center"/>
          </w:tcPr>
          <w:p w:rsidR="00D146BB" w:rsidRDefault="006457CA">
            <w:pPr>
              <w:widowControl/>
              <w:spacing w:line="240" w:lineRule="atLeast"/>
              <w:ind w:left="57" w:right="57"/>
              <w:jc w:val="center"/>
              <w:rPr>
                <w:rFonts w:ascii="黑体" w:eastAsia="黑体" w:hAnsi="黑体"/>
                <w:kern w:val="0"/>
                <w:szCs w:val="21"/>
              </w:rPr>
            </w:pPr>
            <w:r>
              <w:rPr>
                <w:rFonts w:ascii="黑体" w:eastAsia="黑体" w:hAnsi="黑体"/>
                <w:kern w:val="0"/>
                <w:szCs w:val="21"/>
              </w:rPr>
              <w:t>营业收入</w:t>
            </w:r>
          </w:p>
          <w:p w:rsidR="00D146BB" w:rsidRDefault="006457CA">
            <w:pPr>
              <w:widowControl/>
              <w:spacing w:line="240" w:lineRule="atLeast"/>
              <w:ind w:left="57" w:right="57"/>
              <w:jc w:val="center"/>
              <w:rPr>
                <w:rFonts w:ascii="黑体" w:eastAsia="黑体" w:hAnsi="黑体"/>
                <w:kern w:val="0"/>
                <w:sz w:val="18"/>
                <w:szCs w:val="18"/>
              </w:rPr>
            </w:pPr>
            <w:r>
              <w:rPr>
                <w:rFonts w:ascii="黑体" w:eastAsia="黑体" w:hAnsi="黑体"/>
                <w:kern w:val="0"/>
                <w:szCs w:val="21"/>
              </w:rPr>
              <w:t>（亿元）</w:t>
            </w:r>
          </w:p>
        </w:tc>
      </w:tr>
      <w:tr w:rsidR="00D146BB">
        <w:trPr>
          <w:trHeight w:val="283"/>
          <w:jc w:val="center"/>
        </w:trPr>
        <w:tc>
          <w:tcPr>
            <w:tcW w:w="3686" w:type="dxa"/>
            <w:tcBorders>
              <w:top w:val="single" w:sz="4" w:space="0" w:color="auto"/>
              <w:left w:val="nil"/>
              <w:bottom w:val="nil"/>
              <w:right w:val="single" w:sz="4" w:space="0" w:color="auto"/>
            </w:tcBorders>
            <w:vAlign w:val="center"/>
          </w:tcPr>
          <w:p w:rsidR="00D146BB" w:rsidRDefault="006457CA">
            <w:pPr>
              <w:widowControl/>
              <w:spacing w:line="240" w:lineRule="atLeast"/>
              <w:ind w:left="57" w:right="57"/>
              <w:jc w:val="center"/>
              <w:rPr>
                <w:rFonts w:ascii="仿宋_GB2312" w:eastAsia="仿宋_GB2312"/>
                <w:kern w:val="0"/>
                <w:szCs w:val="21"/>
              </w:rPr>
            </w:pPr>
            <w:r>
              <w:rPr>
                <w:rFonts w:ascii="仿宋_GB2312" w:eastAsia="仿宋_GB2312" w:hint="eastAsia"/>
                <w:b/>
                <w:bCs/>
                <w:kern w:val="0"/>
                <w:szCs w:val="21"/>
              </w:rPr>
              <w:t>合　计</w:t>
            </w:r>
          </w:p>
        </w:tc>
        <w:tc>
          <w:tcPr>
            <w:tcW w:w="1540" w:type="dxa"/>
            <w:tcBorders>
              <w:top w:val="single" w:sz="6" w:space="0" w:color="auto"/>
              <w:left w:val="single" w:sz="6" w:space="0" w:color="auto"/>
              <w:bottom w:val="nil"/>
              <w:right w:val="single" w:sz="6" w:space="0" w:color="auto"/>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
                <w:bCs/>
                <w:kern w:val="0"/>
                <w:szCs w:val="21"/>
              </w:rPr>
            </w:pPr>
            <w:r>
              <w:rPr>
                <w:rFonts w:ascii="仿宋_GB2312" w:eastAsia="仿宋_GB2312" w:hAnsi="Times New Roman" w:hint="eastAsia"/>
                <w:b/>
                <w:bCs/>
                <w:kern w:val="0"/>
                <w:szCs w:val="21"/>
              </w:rPr>
              <w:t>1511.76</w:t>
            </w:r>
          </w:p>
        </w:tc>
        <w:tc>
          <w:tcPr>
            <w:tcW w:w="1540" w:type="dxa"/>
            <w:tcBorders>
              <w:top w:val="single" w:sz="6" w:space="0" w:color="auto"/>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
                <w:bCs/>
                <w:kern w:val="0"/>
                <w:szCs w:val="21"/>
              </w:rPr>
            </w:pPr>
            <w:r>
              <w:rPr>
                <w:rFonts w:ascii="仿宋_GB2312" w:eastAsia="仿宋_GB2312" w:hAnsi="Times New Roman" w:hint="eastAsia"/>
                <w:b/>
                <w:bCs/>
                <w:kern w:val="0"/>
                <w:szCs w:val="21"/>
              </w:rPr>
              <w:t>699.04</w:t>
            </w:r>
          </w:p>
        </w:tc>
        <w:tc>
          <w:tcPr>
            <w:tcW w:w="1540" w:type="dxa"/>
            <w:tcBorders>
              <w:top w:val="single" w:sz="6" w:space="0" w:color="auto"/>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
                <w:bCs/>
                <w:kern w:val="0"/>
                <w:szCs w:val="21"/>
              </w:rPr>
            </w:pPr>
            <w:r>
              <w:rPr>
                <w:rFonts w:ascii="仿宋_GB2312" w:eastAsia="仿宋_GB2312" w:hAnsi="Times New Roman" w:hint="eastAsia"/>
                <w:b/>
                <w:bCs/>
                <w:kern w:val="0"/>
                <w:szCs w:val="21"/>
              </w:rPr>
              <w:t>71.59</w:t>
            </w:r>
          </w:p>
        </w:tc>
      </w:tr>
      <w:tr w:rsidR="00D146BB">
        <w:trPr>
          <w:trHeight w:val="283"/>
          <w:jc w:val="center"/>
        </w:trPr>
        <w:tc>
          <w:tcPr>
            <w:tcW w:w="3686" w:type="dxa"/>
            <w:tcBorders>
              <w:top w:val="nil"/>
              <w:left w:val="nil"/>
              <w:bottom w:val="nil"/>
              <w:right w:val="single" w:sz="4" w:space="0" w:color="auto"/>
            </w:tcBorders>
            <w:vAlign w:val="center"/>
          </w:tcPr>
          <w:p w:rsidR="00D146BB" w:rsidRDefault="006457CA">
            <w:pPr>
              <w:rPr>
                <w:rFonts w:ascii="仿宋_GB2312" w:eastAsia="仿宋_GB2312"/>
                <w:szCs w:val="21"/>
              </w:rPr>
            </w:pPr>
            <w:r>
              <w:rPr>
                <w:rFonts w:ascii="仿宋_GB2312" w:eastAsia="仿宋_GB2312" w:hint="eastAsia"/>
                <w:kern w:val="0"/>
                <w:szCs w:val="21"/>
              </w:rPr>
              <w:t xml:space="preserve">　租赁业</w:t>
            </w:r>
          </w:p>
        </w:tc>
        <w:tc>
          <w:tcPr>
            <w:tcW w:w="1540" w:type="dxa"/>
            <w:tcBorders>
              <w:top w:val="nil"/>
              <w:left w:val="single" w:sz="6" w:space="0" w:color="auto"/>
              <w:bottom w:val="nil"/>
              <w:right w:val="single" w:sz="6" w:space="0" w:color="auto"/>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5.23</w:t>
            </w:r>
          </w:p>
        </w:tc>
        <w:tc>
          <w:tcPr>
            <w:tcW w:w="1540" w:type="dxa"/>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2.82</w:t>
            </w:r>
          </w:p>
        </w:tc>
        <w:tc>
          <w:tcPr>
            <w:tcW w:w="1540" w:type="dxa"/>
            <w:tcBorders>
              <w:top w:val="nil"/>
              <w:left w:val="single" w:sz="6" w:space="0" w:color="auto"/>
              <w:bottom w:val="nil"/>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4.82</w:t>
            </w:r>
          </w:p>
        </w:tc>
      </w:tr>
      <w:tr w:rsidR="00D146BB">
        <w:trPr>
          <w:trHeight w:val="283"/>
          <w:jc w:val="center"/>
        </w:trPr>
        <w:tc>
          <w:tcPr>
            <w:tcW w:w="3686" w:type="dxa"/>
            <w:tcBorders>
              <w:top w:val="nil"/>
              <w:left w:val="nil"/>
              <w:bottom w:val="single" w:sz="12" w:space="0" w:color="auto"/>
              <w:right w:val="single" w:sz="4" w:space="0" w:color="auto"/>
            </w:tcBorders>
          </w:tcPr>
          <w:p w:rsidR="00D146BB" w:rsidRDefault="006457CA">
            <w:pPr>
              <w:rPr>
                <w:rFonts w:ascii="仿宋_GB2312" w:eastAsia="仿宋_GB2312"/>
                <w:szCs w:val="21"/>
              </w:rPr>
            </w:pPr>
            <w:r>
              <w:rPr>
                <w:rFonts w:ascii="仿宋_GB2312" w:eastAsia="仿宋_GB2312" w:hint="eastAsia"/>
                <w:szCs w:val="21"/>
              </w:rPr>
              <w:t xml:space="preserve">　</w:t>
            </w:r>
            <w:r>
              <w:rPr>
                <w:rFonts w:ascii="仿宋_GB2312" w:eastAsia="仿宋_GB2312" w:hint="eastAsia"/>
                <w:kern w:val="0"/>
                <w:szCs w:val="21"/>
              </w:rPr>
              <w:t>商务服务业</w:t>
            </w:r>
          </w:p>
        </w:tc>
        <w:tc>
          <w:tcPr>
            <w:tcW w:w="1540" w:type="dxa"/>
            <w:tcBorders>
              <w:top w:val="nil"/>
              <w:left w:val="single" w:sz="6" w:space="0" w:color="auto"/>
              <w:bottom w:val="single" w:sz="12" w:space="0" w:color="auto"/>
              <w:right w:val="single" w:sz="6" w:space="0" w:color="auto"/>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1506.53</w:t>
            </w:r>
          </w:p>
        </w:tc>
        <w:tc>
          <w:tcPr>
            <w:tcW w:w="1540" w:type="dxa"/>
            <w:tcBorders>
              <w:top w:val="nil"/>
              <w:left w:val="single" w:sz="6" w:space="0" w:color="auto"/>
              <w:bottom w:val="single" w:sz="12" w:space="0" w:color="auto"/>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696.22</w:t>
            </w:r>
          </w:p>
        </w:tc>
        <w:tc>
          <w:tcPr>
            <w:tcW w:w="1540" w:type="dxa"/>
            <w:tcBorders>
              <w:top w:val="nil"/>
              <w:left w:val="single" w:sz="6" w:space="0" w:color="auto"/>
              <w:bottom w:val="single" w:sz="12" w:space="0" w:color="auto"/>
              <w:right w:val="nil"/>
            </w:tcBorders>
            <w:shd w:val="solid" w:color="FFFFFF" w:fill="auto"/>
            <w:tcMar>
              <w:left w:w="113" w:type="dxa"/>
              <w:right w:w="113" w:type="dxa"/>
            </w:tcMar>
          </w:tcPr>
          <w:p w:rsidR="00D146BB" w:rsidRDefault="006457CA">
            <w:pPr>
              <w:autoSpaceDE w:val="0"/>
              <w:autoSpaceDN w:val="0"/>
              <w:adjustRightInd w:val="0"/>
              <w:ind w:rightChars="150" w:right="315"/>
              <w:jc w:val="right"/>
              <w:rPr>
                <w:rFonts w:ascii="仿宋_GB2312" w:eastAsia="仿宋_GB2312" w:hAnsi="Times New Roman"/>
                <w:bCs/>
                <w:kern w:val="0"/>
                <w:szCs w:val="21"/>
              </w:rPr>
            </w:pPr>
            <w:r>
              <w:rPr>
                <w:rFonts w:ascii="仿宋_GB2312" w:eastAsia="仿宋_GB2312" w:hAnsi="Times New Roman" w:hint="eastAsia"/>
                <w:bCs/>
                <w:kern w:val="0"/>
                <w:szCs w:val="21"/>
              </w:rPr>
              <w:t>66.77</w:t>
            </w:r>
          </w:p>
        </w:tc>
      </w:tr>
    </w:tbl>
    <w:p w:rsidR="00D146BB" w:rsidRDefault="00D146BB" w:rsidP="00E03D95">
      <w:pPr>
        <w:widowControl/>
        <w:spacing w:line="600" w:lineRule="exact"/>
        <w:rPr>
          <w:rFonts w:eastAsia="黑体"/>
          <w:kern w:val="0"/>
          <w:sz w:val="28"/>
          <w:szCs w:val="28"/>
        </w:rPr>
      </w:pPr>
    </w:p>
    <w:p w:rsidR="00D146BB" w:rsidRDefault="006457CA">
      <w:pPr>
        <w:widowControl/>
        <w:spacing w:line="600" w:lineRule="exact"/>
        <w:ind w:firstLineChars="200" w:firstLine="560"/>
        <w:rPr>
          <w:rFonts w:eastAsia="黑体"/>
          <w:kern w:val="0"/>
          <w:sz w:val="28"/>
          <w:szCs w:val="28"/>
        </w:rPr>
      </w:pPr>
      <w:bookmarkStart w:id="0" w:name="_GoBack"/>
      <w:bookmarkEnd w:id="0"/>
      <w:r>
        <w:rPr>
          <w:rFonts w:eastAsia="黑体"/>
          <w:kern w:val="0"/>
          <w:sz w:val="28"/>
          <w:szCs w:val="28"/>
        </w:rPr>
        <w:t>注释：</w:t>
      </w:r>
    </w:p>
    <w:p w:rsidR="00D146BB" w:rsidRDefault="006457CA">
      <w:pPr>
        <w:widowControl/>
        <w:spacing w:line="600" w:lineRule="exact"/>
        <w:ind w:firstLineChars="200" w:firstLine="560"/>
        <w:rPr>
          <w:rFonts w:ascii="楷体_GB2312" w:eastAsia="楷体_GB2312"/>
          <w:kern w:val="0"/>
          <w:sz w:val="28"/>
          <w:szCs w:val="28"/>
        </w:rPr>
      </w:pPr>
      <w:r>
        <w:rPr>
          <w:rFonts w:ascii="楷体_GB2312" w:eastAsia="楷体_GB2312" w:hint="eastAsia"/>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146BB" w:rsidRDefault="006457CA">
      <w:pPr>
        <w:widowControl/>
        <w:spacing w:line="600" w:lineRule="exact"/>
        <w:ind w:firstLineChars="200" w:firstLine="560"/>
        <w:jc w:val="left"/>
        <w:rPr>
          <w:rFonts w:ascii="楷体_GB2312" w:eastAsia="楷体_GB2312"/>
        </w:rPr>
      </w:pPr>
      <w:r>
        <w:rPr>
          <w:rFonts w:ascii="楷体_GB2312" w:eastAsia="楷体_GB2312" w:hint="eastAsia"/>
          <w:kern w:val="0"/>
          <w:sz w:val="28"/>
          <w:szCs w:val="28"/>
        </w:rPr>
        <w:t>[2]表中的合计数和部分计算数据因小数取舍而产生的误差，均未作机械调整。</w:t>
      </w:r>
    </w:p>
    <w:sectPr w:rsidR="00D146BB">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49" w:rsidRDefault="00C74749">
      <w:r>
        <w:separator/>
      </w:r>
    </w:p>
  </w:endnote>
  <w:endnote w:type="continuationSeparator" w:id="0">
    <w:p w:rsidR="00C74749" w:rsidRDefault="00C7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BB" w:rsidRDefault="006457CA">
    <w:pPr>
      <w:pStyle w:val="a8"/>
      <w:ind w:right="360" w:firstLineChars="50" w:firstLine="140"/>
    </w:pPr>
    <w:r>
      <w:rPr>
        <w:rFonts w:ascii="宋体" w:hAnsi="宋体" w:hint="eastAsia"/>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03D95" w:rsidRPr="00E03D95">
      <w:rPr>
        <w:rFonts w:ascii="宋体" w:hAnsi="宋体"/>
        <w:noProof/>
        <w:sz w:val="28"/>
        <w:szCs w:val="28"/>
        <w:lang w:val="zh-CN"/>
      </w:rPr>
      <w:t>10</w:t>
    </w:r>
    <w:r>
      <w:rPr>
        <w:rFonts w:ascii="宋体" w:hAnsi="宋体"/>
        <w:sz w:val="28"/>
        <w:szCs w:val="28"/>
      </w:rPr>
      <w:fldChar w:fldCharType="end"/>
    </w:r>
    <w:r>
      <w:rPr>
        <w:rFonts w:ascii="宋体" w:hAnsi="宋体"/>
        <w:sz w:val="28"/>
        <w:szCs w:val="28"/>
        <w:lang w:val="zh-CN"/>
      </w:rPr>
      <w:t xml:space="preserve"> </w:t>
    </w:r>
    <w:r>
      <w:rPr>
        <w:rFonts w:ascii="宋体" w:hAnsi="宋体" w:hint="eastAsia"/>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BB" w:rsidRDefault="006457CA">
    <w:pPr>
      <w:pStyle w:val="a8"/>
      <w:wordWrap w:val="0"/>
      <w:jc w:val="right"/>
    </w:pPr>
    <w:r>
      <w:rPr>
        <w:rFonts w:ascii="宋体" w:hAnsi="宋体" w:hint="eastAsia"/>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03D95" w:rsidRPr="00E03D95">
      <w:rPr>
        <w:rFonts w:ascii="宋体" w:hAnsi="宋体"/>
        <w:noProof/>
        <w:sz w:val="28"/>
        <w:szCs w:val="28"/>
        <w:lang w:val="zh-CN"/>
      </w:rPr>
      <w:t>11</w:t>
    </w:r>
    <w:r>
      <w:rPr>
        <w:rFonts w:ascii="宋体" w:hAnsi="宋体"/>
        <w:sz w:val="28"/>
        <w:szCs w:val="28"/>
      </w:rPr>
      <w:fldChar w:fldCharType="end"/>
    </w:r>
    <w:r>
      <w:rPr>
        <w:rFonts w:ascii="宋体" w:hAnsi="宋体"/>
        <w:sz w:val="28"/>
        <w:szCs w:val="28"/>
        <w:lang w:val="zh-CN"/>
      </w:rPr>
      <w:t xml:space="preserve"> </w:t>
    </w:r>
    <w:r>
      <w:rPr>
        <w:rFonts w:ascii="宋体" w:hAnsi="宋体" w:hint="eastAsia"/>
        <w:sz w:val="28"/>
        <w:szCs w:val="28"/>
        <w:lang w:val="zh-CN"/>
      </w:rPr>
      <w:t xml:space="preserve">— </w:t>
    </w:r>
    <w:r>
      <w:rPr>
        <w:rFonts w:ascii="宋体" w:hAnsi="宋体"/>
        <w:sz w:val="28"/>
        <w:szCs w:val="28"/>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49" w:rsidRDefault="00C74749">
      <w:r>
        <w:separator/>
      </w:r>
    </w:p>
  </w:footnote>
  <w:footnote w:type="continuationSeparator" w:id="0">
    <w:p w:rsidR="00C74749" w:rsidRDefault="00C74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33"/>
    <w:rsid w:val="00000D9A"/>
    <w:rsid w:val="000023FF"/>
    <w:rsid w:val="00011C61"/>
    <w:rsid w:val="00034C51"/>
    <w:rsid w:val="0004282E"/>
    <w:rsid w:val="0004476E"/>
    <w:rsid w:val="00050D90"/>
    <w:rsid w:val="00052C6E"/>
    <w:rsid w:val="00065F51"/>
    <w:rsid w:val="000733F5"/>
    <w:rsid w:val="00085971"/>
    <w:rsid w:val="000B70BC"/>
    <w:rsid w:val="000E1A9E"/>
    <w:rsid w:val="0012061E"/>
    <w:rsid w:val="00133E91"/>
    <w:rsid w:val="00136D2B"/>
    <w:rsid w:val="00137898"/>
    <w:rsid w:val="001400E8"/>
    <w:rsid w:val="00183E87"/>
    <w:rsid w:val="001A6AAB"/>
    <w:rsid w:val="001C4CF0"/>
    <w:rsid w:val="001C7B1B"/>
    <w:rsid w:val="001D1297"/>
    <w:rsid w:val="001F331D"/>
    <w:rsid w:val="00230835"/>
    <w:rsid w:val="00236F2B"/>
    <w:rsid w:val="00251259"/>
    <w:rsid w:val="00262B60"/>
    <w:rsid w:val="00272E65"/>
    <w:rsid w:val="00275B7F"/>
    <w:rsid w:val="002906DF"/>
    <w:rsid w:val="002A6BCF"/>
    <w:rsid w:val="002B4F08"/>
    <w:rsid w:val="002C2374"/>
    <w:rsid w:val="002E4EEA"/>
    <w:rsid w:val="002E7BED"/>
    <w:rsid w:val="00300FD6"/>
    <w:rsid w:val="00316991"/>
    <w:rsid w:val="00346703"/>
    <w:rsid w:val="00354731"/>
    <w:rsid w:val="003857E8"/>
    <w:rsid w:val="003A4F2F"/>
    <w:rsid w:val="003D193E"/>
    <w:rsid w:val="003F16C7"/>
    <w:rsid w:val="00431A5F"/>
    <w:rsid w:val="00446679"/>
    <w:rsid w:val="00456E11"/>
    <w:rsid w:val="00480E54"/>
    <w:rsid w:val="0049272E"/>
    <w:rsid w:val="004938A9"/>
    <w:rsid w:val="004B1060"/>
    <w:rsid w:val="004D5B32"/>
    <w:rsid w:val="004E1133"/>
    <w:rsid w:val="004F2B13"/>
    <w:rsid w:val="0050292F"/>
    <w:rsid w:val="00511D99"/>
    <w:rsid w:val="00536952"/>
    <w:rsid w:val="00546F3A"/>
    <w:rsid w:val="00555879"/>
    <w:rsid w:val="0056529B"/>
    <w:rsid w:val="00581115"/>
    <w:rsid w:val="00595631"/>
    <w:rsid w:val="005C0C90"/>
    <w:rsid w:val="005D36DC"/>
    <w:rsid w:val="005E347D"/>
    <w:rsid w:val="005F461C"/>
    <w:rsid w:val="00621991"/>
    <w:rsid w:val="00626791"/>
    <w:rsid w:val="00630935"/>
    <w:rsid w:val="00635CCB"/>
    <w:rsid w:val="006457CA"/>
    <w:rsid w:val="00662CE6"/>
    <w:rsid w:val="0067311D"/>
    <w:rsid w:val="00675D9D"/>
    <w:rsid w:val="006A1686"/>
    <w:rsid w:val="006A26FD"/>
    <w:rsid w:val="006B181F"/>
    <w:rsid w:val="006B4980"/>
    <w:rsid w:val="006D259A"/>
    <w:rsid w:val="006D4442"/>
    <w:rsid w:val="006F061D"/>
    <w:rsid w:val="006F5BC6"/>
    <w:rsid w:val="00704FEF"/>
    <w:rsid w:val="00742AAF"/>
    <w:rsid w:val="00746F44"/>
    <w:rsid w:val="007623B4"/>
    <w:rsid w:val="00765036"/>
    <w:rsid w:val="00770975"/>
    <w:rsid w:val="007749EF"/>
    <w:rsid w:val="00785D36"/>
    <w:rsid w:val="0079346E"/>
    <w:rsid w:val="007956E4"/>
    <w:rsid w:val="007A06E1"/>
    <w:rsid w:val="007A65D5"/>
    <w:rsid w:val="007C04B2"/>
    <w:rsid w:val="007E2014"/>
    <w:rsid w:val="00827EB8"/>
    <w:rsid w:val="00861FBA"/>
    <w:rsid w:val="00870DD3"/>
    <w:rsid w:val="008C3E26"/>
    <w:rsid w:val="008C4B76"/>
    <w:rsid w:val="009011E5"/>
    <w:rsid w:val="00904E57"/>
    <w:rsid w:val="00924A1F"/>
    <w:rsid w:val="00937B41"/>
    <w:rsid w:val="009500EF"/>
    <w:rsid w:val="00963B79"/>
    <w:rsid w:val="009A433F"/>
    <w:rsid w:val="009B1B25"/>
    <w:rsid w:val="009C328F"/>
    <w:rsid w:val="009E3B25"/>
    <w:rsid w:val="009F7B61"/>
    <w:rsid w:val="00A269D1"/>
    <w:rsid w:val="00A35A3E"/>
    <w:rsid w:val="00A43D29"/>
    <w:rsid w:val="00A45C0A"/>
    <w:rsid w:val="00A51E95"/>
    <w:rsid w:val="00A97B5F"/>
    <w:rsid w:val="00A97FE2"/>
    <w:rsid w:val="00AA2AFC"/>
    <w:rsid w:val="00AB3BDC"/>
    <w:rsid w:val="00AB3EF7"/>
    <w:rsid w:val="00AE43A2"/>
    <w:rsid w:val="00AE4D8E"/>
    <w:rsid w:val="00AE7303"/>
    <w:rsid w:val="00AF0754"/>
    <w:rsid w:val="00AF17B5"/>
    <w:rsid w:val="00AF378E"/>
    <w:rsid w:val="00B03649"/>
    <w:rsid w:val="00B2210F"/>
    <w:rsid w:val="00B37E51"/>
    <w:rsid w:val="00B502CC"/>
    <w:rsid w:val="00B7065A"/>
    <w:rsid w:val="00B97839"/>
    <w:rsid w:val="00BB25DE"/>
    <w:rsid w:val="00BD0123"/>
    <w:rsid w:val="00BD04EF"/>
    <w:rsid w:val="00BD34CA"/>
    <w:rsid w:val="00BE0D01"/>
    <w:rsid w:val="00BE17DD"/>
    <w:rsid w:val="00BE73E0"/>
    <w:rsid w:val="00BF2C9B"/>
    <w:rsid w:val="00C258A0"/>
    <w:rsid w:val="00C3666E"/>
    <w:rsid w:val="00C40F9F"/>
    <w:rsid w:val="00C432CF"/>
    <w:rsid w:val="00C62F87"/>
    <w:rsid w:val="00C64A22"/>
    <w:rsid w:val="00C67BC5"/>
    <w:rsid w:val="00C74749"/>
    <w:rsid w:val="00C809CD"/>
    <w:rsid w:val="00C81FA4"/>
    <w:rsid w:val="00C83A89"/>
    <w:rsid w:val="00C8571E"/>
    <w:rsid w:val="00C94142"/>
    <w:rsid w:val="00CB5D92"/>
    <w:rsid w:val="00CF5324"/>
    <w:rsid w:val="00D146BB"/>
    <w:rsid w:val="00D41226"/>
    <w:rsid w:val="00D41C05"/>
    <w:rsid w:val="00D57B76"/>
    <w:rsid w:val="00D868E7"/>
    <w:rsid w:val="00DC5D36"/>
    <w:rsid w:val="00DF1D1A"/>
    <w:rsid w:val="00E03D95"/>
    <w:rsid w:val="00E04AAC"/>
    <w:rsid w:val="00E46C23"/>
    <w:rsid w:val="00E50E46"/>
    <w:rsid w:val="00E526C1"/>
    <w:rsid w:val="00E86759"/>
    <w:rsid w:val="00EB2A24"/>
    <w:rsid w:val="00EB7C8C"/>
    <w:rsid w:val="00EE65AC"/>
    <w:rsid w:val="00EF0B32"/>
    <w:rsid w:val="00F054C2"/>
    <w:rsid w:val="00F15AFD"/>
    <w:rsid w:val="00F31594"/>
    <w:rsid w:val="00F4513D"/>
    <w:rsid w:val="00F51246"/>
    <w:rsid w:val="00F55142"/>
    <w:rsid w:val="00F64540"/>
    <w:rsid w:val="00F65D63"/>
    <w:rsid w:val="00F74057"/>
    <w:rsid w:val="00F97795"/>
    <w:rsid w:val="00FB09C4"/>
    <w:rsid w:val="00FB1668"/>
    <w:rsid w:val="00FD31C5"/>
    <w:rsid w:val="00FF530D"/>
    <w:rsid w:val="09397940"/>
    <w:rsid w:val="0A001D9F"/>
    <w:rsid w:val="2154335C"/>
    <w:rsid w:val="272D596E"/>
    <w:rsid w:val="2C245E4B"/>
    <w:rsid w:val="2FD75A47"/>
    <w:rsid w:val="302A4A03"/>
    <w:rsid w:val="35055DDE"/>
    <w:rsid w:val="42F97DF8"/>
    <w:rsid w:val="4DAF750F"/>
    <w:rsid w:val="4DDE7655"/>
    <w:rsid w:val="592E6181"/>
    <w:rsid w:val="5AF57A90"/>
    <w:rsid w:val="5CD65933"/>
    <w:rsid w:val="644E4A7B"/>
    <w:rsid w:val="65B54756"/>
    <w:rsid w:val="67111846"/>
    <w:rsid w:val="69033141"/>
    <w:rsid w:val="71137206"/>
    <w:rsid w:val="74CD18B5"/>
    <w:rsid w:val="7D3E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C0127F-238A-43F1-B899-2765AD65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rPr>
      <w:rFonts w:ascii="Times New Roman" w:hAnsi="Times New Roman"/>
      <w:szCs w:val="24"/>
      <w:lang w:val="zh-CN"/>
    </w:rPr>
  </w:style>
  <w:style w:type="paragraph" w:styleId="a4">
    <w:name w:val="Plain Text"/>
    <w:basedOn w:val="a"/>
    <w:link w:val="Char10"/>
    <w:uiPriority w:val="99"/>
    <w:qFormat/>
    <w:rPr>
      <w:rFonts w:ascii="宋体" w:hAnsi="Courier New" w:cs="Courier New"/>
      <w:szCs w:val="21"/>
    </w:rPr>
  </w:style>
  <w:style w:type="paragraph" w:styleId="a5">
    <w:name w:val="Date"/>
    <w:basedOn w:val="a"/>
    <w:next w:val="a"/>
    <w:link w:val="Char11"/>
    <w:uiPriority w:val="99"/>
    <w:unhideWhenUsed/>
    <w:qFormat/>
    <w:pPr>
      <w:ind w:leftChars="2500" w:left="100"/>
    </w:pPr>
    <w:rPr>
      <w:rFonts w:eastAsiaTheme="minorEastAsia" w:cstheme="minorBidi"/>
    </w:rPr>
  </w:style>
  <w:style w:type="paragraph" w:styleId="20">
    <w:name w:val="Body Text Indent 2"/>
    <w:basedOn w:val="a"/>
    <w:link w:val="2Char10"/>
    <w:semiHidden/>
    <w:qFormat/>
    <w:pPr>
      <w:spacing w:after="120" w:line="480" w:lineRule="auto"/>
      <w:ind w:leftChars="200" w:left="420"/>
    </w:pPr>
    <w:rPr>
      <w:rFonts w:asciiTheme="minorHAnsi" w:hAnsiTheme="minorHAnsi" w:cstheme="minorBidi"/>
      <w:color w:val="FF0000"/>
      <w:szCs w:val="24"/>
    </w:rPr>
  </w:style>
  <w:style w:type="paragraph" w:styleId="a6">
    <w:name w:val="endnote text"/>
    <w:basedOn w:val="a"/>
    <w:link w:val="Char12"/>
    <w:qFormat/>
    <w:pPr>
      <w:snapToGrid w:val="0"/>
      <w:jc w:val="left"/>
    </w:pPr>
    <w:rPr>
      <w:rFonts w:asciiTheme="minorHAnsi" w:eastAsiaTheme="minorEastAsia" w:hAnsiTheme="minorHAnsi" w:cstheme="minorBidi"/>
      <w:szCs w:val="24"/>
    </w:rPr>
  </w:style>
  <w:style w:type="paragraph" w:styleId="a7">
    <w:name w:val="Balloon Text"/>
    <w:basedOn w:val="a"/>
    <w:link w:val="Char13"/>
    <w:uiPriority w:val="99"/>
    <w:qFormat/>
    <w:rPr>
      <w:rFonts w:asciiTheme="minorHAnsi" w:eastAsiaTheme="minorEastAsia" w:hAnsiTheme="minorHAnsi" w:cstheme="minorBidi"/>
      <w:sz w:val="18"/>
      <w:szCs w:val="18"/>
    </w:rPr>
  </w:style>
  <w:style w:type="paragraph" w:styleId="a8">
    <w:name w:val="footer"/>
    <w:basedOn w:val="a"/>
    <w:link w:val="Char"/>
    <w:uiPriority w:val="99"/>
    <w:unhideWhenUsed/>
    <w:qFormat/>
    <w:pPr>
      <w:tabs>
        <w:tab w:val="center" w:pos="4153"/>
        <w:tab w:val="right" w:pos="8306"/>
      </w:tabs>
      <w:snapToGrid w:val="0"/>
      <w:jc w:val="left"/>
    </w:pPr>
    <w:rPr>
      <w:sz w:val="18"/>
      <w:szCs w:val="18"/>
    </w:rPr>
  </w:style>
  <w:style w:type="paragraph" w:styleId="a9">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4"/>
    </w:rPr>
  </w:style>
  <w:style w:type="paragraph" w:styleId="aa">
    <w:name w:val="Subtitle"/>
    <w:basedOn w:val="a"/>
    <w:next w:val="a"/>
    <w:link w:val="Char14"/>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b">
    <w:name w:val="footnote text"/>
    <w:basedOn w:val="a"/>
    <w:link w:val="Char15"/>
    <w:uiPriority w:val="99"/>
    <w:semiHidden/>
    <w:qFormat/>
    <w:pPr>
      <w:snapToGrid w:val="0"/>
      <w:jc w:val="left"/>
    </w:pPr>
    <w:rPr>
      <w:rFonts w:cstheme="minorBidi"/>
      <w:sz w:val="18"/>
      <w:szCs w:val="18"/>
    </w:rPr>
  </w:style>
  <w:style w:type="paragraph" w:styleId="21">
    <w:name w:val="toc 2"/>
    <w:basedOn w:val="a"/>
    <w:next w:val="a"/>
    <w:uiPriority w:val="39"/>
    <w:qFormat/>
    <w:pPr>
      <w:ind w:leftChars="200" w:left="420"/>
    </w:pPr>
    <w:rPr>
      <w:rFonts w:ascii="Times New Roman" w:hAnsi="Times New Roman"/>
      <w:szCs w:val="24"/>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d">
    <w:name w:val="Title"/>
    <w:basedOn w:val="a"/>
    <w:next w:val="a"/>
    <w:link w:val="Char16"/>
    <w:qFormat/>
    <w:pPr>
      <w:spacing w:before="240" w:after="60"/>
      <w:jc w:val="center"/>
      <w:outlineLvl w:val="0"/>
    </w:pPr>
    <w:rPr>
      <w:rFonts w:ascii="Calibri Light" w:hAnsi="Calibri Light" w:cstheme="minorBidi"/>
      <w:b/>
      <w:bCs/>
      <w:sz w:val="32"/>
      <w:szCs w:val="32"/>
    </w:rPr>
  </w:style>
  <w:style w:type="paragraph" w:styleId="ae">
    <w:name w:val="annotation subject"/>
    <w:basedOn w:val="a3"/>
    <w:next w:val="a3"/>
    <w:link w:val="Char17"/>
    <w:qFormat/>
    <w:rPr>
      <w:b/>
      <w:bCs/>
    </w:rPr>
  </w:style>
  <w:style w:type="table" w:styleId="af">
    <w:name w:val="Table Grid"/>
    <w:basedOn w:val="a1"/>
    <w:uiPriority w:val="39"/>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99"/>
    <w:qFormat/>
    <w:rPr>
      <w:rFonts w:cs="Times New Roman"/>
      <w:b/>
    </w:rPr>
  </w:style>
  <w:style w:type="character" w:styleId="af1">
    <w:name w:val="endnote reference"/>
    <w:qFormat/>
    <w:rPr>
      <w:vertAlign w:val="superscript"/>
    </w:rPr>
  </w:style>
  <w:style w:type="character" w:styleId="af2">
    <w:name w:val="page number"/>
    <w:basedOn w:val="a0"/>
    <w:qFormat/>
  </w:style>
  <w:style w:type="character" w:styleId="af3">
    <w:name w:val="FollowedHyperlink"/>
    <w:uiPriority w:val="99"/>
    <w:qFormat/>
    <w:rPr>
      <w:rFonts w:cs="Times New Roman"/>
      <w:color w:val="800080"/>
      <w:u w:val="single"/>
    </w:rPr>
  </w:style>
  <w:style w:type="character" w:styleId="af4">
    <w:name w:val="Hyperlink"/>
    <w:uiPriority w:val="99"/>
    <w:unhideWhenUsed/>
    <w:qFormat/>
    <w:rPr>
      <w:color w:val="0563C1"/>
      <w:u w:val="single"/>
    </w:rPr>
  </w:style>
  <w:style w:type="character" w:styleId="af5">
    <w:name w:val="annotation reference"/>
    <w:qFormat/>
    <w:rPr>
      <w:sz w:val="21"/>
      <w:szCs w:val="21"/>
    </w:rPr>
  </w:style>
  <w:style w:type="character" w:styleId="af6">
    <w:name w:val="footnote reference"/>
    <w:uiPriority w:val="99"/>
    <w:semiHidden/>
    <w:qFormat/>
    <w:rPr>
      <w:vertAlign w:val="superscript"/>
    </w:rPr>
  </w:style>
  <w:style w:type="character" w:customStyle="1" w:styleId="Char0">
    <w:name w:val="页眉 Char"/>
    <w:basedOn w:val="a0"/>
    <w:link w:val="a9"/>
    <w:uiPriority w:val="99"/>
    <w:qFormat/>
    <w:rPr>
      <w:sz w:val="18"/>
      <w:szCs w:val="18"/>
    </w:rPr>
  </w:style>
  <w:style w:type="character" w:customStyle="1" w:styleId="Char">
    <w:name w:val="页脚 Char"/>
    <w:basedOn w:val="a0"/>
    <w:link w:val="a8"/>
    <w:uiPriority w:val="99"/>
    <w:qFormat/>
    <w:rPr>
      <w:sz w:val="18"/>
      <w:szCs w:val="18"/>
    </w:rPr>
  </w:style>
  <w:style w:type="character" w:customStyle="1" w:styleId="1Char">
    <w:name w:val="标题 1 Char"/>
    <w:basedOn w:val="a0"/>
    <w:qFormat/>
    <w:rPr>
      <w:rFonts w:ascii="Calibri" w:eastAsia="宋体" w:hAnsi="Calibri" w:cs="Times New Roman"/>
      <w:b/>
      <w:bCs/>
      <w:kern w:val="44"/>
      <w:sz w:val="44"/>
      <w:szCs w:val="44"/>
    </w:rPr>
  </w:style>
  <w:style w:type="character" w:customStyle="1" w:styleId="2Char">
    <w:name w:val="标题 2 Char"/>
    <w:basedOn w:val="a0"/>
    <w:qFormat/>
    <w:rPr>
      <w:rFonts w:asciiTheme="majorHAnsi" w:eastAsiaTheme="majorEastAsia" w:hAnsiTheme="majorHAnsi" w:cstheme="majorBidi"/>
      <w:b/>
      <w:bCs/>
      <w:sz w:val="32"/>
      <w:szCs w:val="32"/>
    </w:rPr>
  </w:style>
  <w:style w:type="character" w:customStyle="1" w:styleId="Char12">
    <w:name w:val="尾注文本 Char1"/>
    <w:link w:val="a6"/>
    <w:qFormat/>
    <w:rPr>
      <w:szCs w:val="24"/>
    </w:rPr>
  </w:style>
  <w:style w:type="character" w:customStyle="1" w:styleId="af7">
    <w:name w:val="批注框文本 字符"/>
    <w:uiPriority w:val="99"/>
    <w:qFormat/>
    <w:rPr>
      <w:rFonts w:ascii="Times New Roman" w:eastAsia="宋体" w:hAnsi="Times New Roman" w:cs="Times New Roman"/>
      <w:sz w:val="18"/>
      <w:szCs w:val="18"/>
    </w:rPr>
  </w:style>
  <w:style w:type="character" w:customStyle="1" w:styleId="af8">
    <w:name w:val="脚注文本 字符"/>
    <w:uiPriority w:val="99"/>
    <w:semiHidden/>
    <w:qFormat/>
    <w:rPr>
      <w:rFonts w:ascii="Calibri" w:eastAsia="宋体" w:hAnsi="Calibri" w:cs="Times New Roman"/>
      <w:kern w:val="0"/>
      <w:sz w:val="18"/>
      <w:szCs w:val="18"/>
    </w:rPr>
  </w:style>
  <w:style w:type="character" w:customStyle="1" w:styleId="af9">
    <w:name w:val="标题 字符"/>
    <w:uiPriority w:val="99"/>
    <w:qFormat/>
    <w:rPr>
      <w:rFonts w:ascii="Calibri Light" w:eastAsia="宋体" w:hAnsi="Calibri Light" w:cs="Times New Roman"/>
      <w:b/>
      <w:bCs/>
      <w:kern w:val="0"/>
      <w:sz w:val="32"/>
      <w:szCs w:val="32"/>
    </w:rPr>
  </w:style>
  <w:style w:type="character" w:customStyle="1" w:styleId="22">
    <w:name w:val="标题 2 字符"/>
    <w:qFormat/>
    <w:rPr>
      <w:rFonts w:ascii="Calibri Light" w:eastAsia="宋体" w:hAnsi="Calibri Light" w:cs="Times New Roman"/>
      <w:b/>
      <w:bCs/>
      <w:kern w:val="0"/>
      <w:sz w:val="32"/>
      <w:szCs w:val="32"/>
    </w:rPr>
  </w:style>
  <w:style w:type="character" w:customStyle="1" w:styleId="afa">
    <w:name w:val="副标题 字符"/>
    <w:uiPriority w:val="99"/>
    <w:qFormat/>
    <w:rPr>
      <w:rFonts w:ascii="Cambria" w:eastAsia="宋体" w:hAnsi="Cambria" w:cs="Times New Roman"/>
      <w:b/>
      <w:bCs/>
      <w:kern w:val="28"/>
      <w:sz w:val="32"/>
      <w:szCs w:val="32"/>
    </w:rPr>
  </w:style>
  <w:style w:type="character" w:customStyle="1" w:styleId="afb">
    <w:name w:val="尾注文本 字符"/>
    <w:uiPriority w:val="99"/>
    <w:qFormat/>
    <w:rPr>
      <w:rFonts w:ascii="Times New Roman" w:eastAsia="宋体" w:hAnsi="Times New Roman" w:cs="Times New Roman"/>
      <w:szCs w:val="24"/>
    </w:rPr>
  </w:style>
  <w:style w:type="character" w:customStyle="1" w:styleId="23">
    <w:name w:val="正文文本缩进 2 字符"/>
    <w:uiPriority w:val="99"/>
    <w:semiHidden/>
    <w:qFormat/>
    <w:rPr>
      <w:rFonts w:ascii="Times New Roman" w:eastAsia="宋体" w:hAnsi="Times New Roman" w:cs="Times New Roman"/>
      <w:color w:val="FF0000"/>
      <w:szCs w:val="24"/>
    </w:rPr>
  </w:style>
  <w:style w:type="character" w:customStyle="1" w:styleId="Char14">
    <w:name w:val="副标题 Char1"/>
    <w:link w:val="aa"/>
    <w:qFormat/>
    <w:rPr>
      <w:rFonts w:ascii="Cambria" w:hAnsi="Cambria"/>
      <w:b/>
      <w:bCs/>
      <w:kern w:val="28"/>
      <w:sz w:val="32"/>
      <w:szCs w:val="32"/>
    </w:rPr>
  </w:style>
  <w:style w:type="character" w:customStyle="1" w:styleId="afc">
    <w:name w:val="日期 字符"/>
    <w:uiPriority w:val="99"/>
    <w:qFormat/>
    <w:rPr>
      <w:rFonts w:ascii="Calibri" w:eastAsia="宋体" w:hAnsi="Calibri" w:cs="Times New Roman"/>
    </w:rPr>
  </w:style>
  <w:style w:type="character" w:customStyle="1" w:styleId="11">
    <w:name w:val="标题 1 字符"/>
    <w:qFormat/>
    <w:rPr>
      <w:rFonts w:ascii="Calibri" w:eastAsia="宋体" w:hAnsi="Calibri" w:cs="Times New Roman"/>
      <w:b/>
      <w:bCs/>
      <w:kern w:val="44"/>
      <w:sz w:val="44"/>
      <w:szCs w:val="44"/>
    </w:rPr>
  </w:style>
  <w:style w:type="character" w:customStyle="1" w:styleId="1Char1">
    <w:name w:val="标题 1 Char1"/>
    <w:link w:val="1"/>
    <w:qFormat/>
    <w:locked/>
    <w:rPr>
      <w:rFonts w:ascii="Calibri" w:eastAsia="宋体" w:hAnsi="Calibri" w:cs="Times New Roman"/>
      <w:b/>
      <w:bCs/>
      <w:kern w:val="44"/>
      <w:sz w:val="44"/>
      <w:szCs w:val="44"/>
    </w:rPr>
  </w:style>
  <w:style w:type="character" w:customStyle="1" w:styleId="2Char1">
    <w:name w:val="标题 2 Char1"/>
    <w:link w:val="2"/>
    <w:qFormat/>
    <w:locked/>
    <w:rPr>
      <w:rFonts w:ascii="Calibri Light" w:eastAsia="宋体" w:hAnsi="Calibri Light" w:cs="Times New Roman"/>
      <w:b/>
      <w:bCs/>
      <w:kern w:val="0"/>
      <w:sz w:val="32"/>
      <w:szCs w:val="32"/>
    </w:rPr>
  </w:style>
  <w:style w:type="character" w:customStyle="1" w:styleId="Char18">
    <w:name w:val="页脚 Char1"/>
    <w:uiPriority w:val="99"/>
    <w:qFormat/>
    <w:rPr>
      <w:sz w:val="18"/>
      <w:szCs w:val="18"/>
    </w:rPr>
  </w:style>
  <w:style w:type="character" w:customStyle="1" w:styleId="Char19">
    <w:name w:val="页眉 Char1"/>
    <w:uiPriority w:val="99"/>
    <w:qFormat/>
    <w:rPr>
      <w:sz w:val="18"/>
      <w:szCs w:val="18"/>
    </w:rPr>
  </w:style>
  <w:style w:type="character" w:customStyle="1" w:styleId="yjsong1">
    <w:name w:val="yjsong1"/>
    <w:qFormat/>
  </w:style>
  <w:style w:type="character" w:customStyle="1" w:styleId="Char16">
    <w:name w:val="标题 Char1"/>
    <w:link w:val="ad"/>
    <w:qFormat/>
    <w:locked/>
    <w:rPr>
      <w:rFonts w:ascii="Calibri Light" w:eastAsia="宋体" w:hAnsi="Calibri Light"/>
      <w:b/>
      <w:bCs/>
      <w:sz w:val="32"/>
      <w:szCs w:val="32"/>
    </w:rPr>
  </w:style>
  <w:style w:type="character" w:customStyle="1" w:styleId="Char15">
    <w:name w:val="脚注文本 Char1"/>
    <w:link w:val="ab"/>
    <w:uiPriority w:val="99"/>
    <w:semiHidden/>
    <w:qFormat/>
    <w:locked/>
    <w:rPr>
      <w:rFonts w:ascii="Calibri" w:eastAsia="宋体" w:hAnsi="Calibri"/>
      <w:sz w:val="18"/>
      <w:szCs w:val="18"/>
    </w:rPr>
  </w:style>
  <w:style w:type="character" w:customStyle="1" w:styleId="Char13">
    <w:name w:val="批注框文本 Char1"/>
    <w:link w:val="a7"/>
    <w:uiPriority w:val="99"/>
    <w:qFormat/>
    <w:rPr>
      <w:sz w:val="18"/>
      <w:szCs w:val="18"/>
    </w:rPr>
  </w:style>
  <w:style w:type="character" w:customStyle="1" w:styleId="Char11">
    <w:name w:val="日期 Char1"/>
    <w:link w:val="a5"/>
    <w:uiPriority w:val="99"/>
    <w:qFormat/>
    <w:rPr>
      <w:rFonts w:ascii="Calibri" w:hAnsi="Calibri"/>
    </w:rPr>
  </w:style>
  <w:style w:type="character" w:customStyle="1" w:styleId="Char10">
    <w:name w:val="纯文本 Char1"/>
    <w:link w:val="a4"/>
    <w:uiPriority w:val="99"/>
    <w:qFormat/>
    <w:locked/>
    <w:rPr>
      <w:rFonts w:ascii="宋体" w:eastAsia="宋体" w:hAnsi="Courier New" w:cs="Courier New"/>
      <w:szCs w:val="21"/>
    </w:rPr>
  </w:style>
  <w:style w:type="character" w:customStyle="1" w:styleId="2Char10">
    <w:name w:val="正文文本缩进 2 Char1"/>
    <w:link w:val="20"/>
    <w:semiHidden/>
    <w:qFormat/>
    <w:locked/>
    <w:rPr>
      <w:rFonts w:eastAsia="宋体"/>
      <w:color w:val="FF0000"/>
      <w:szCs w:val="24"/>
    </w:rPr>
  </w:style>
  <w:style w:type="character" w:styleId="afd">
    <w:name w:val="Placeholder Text"/>
    <w:uiPriority w:val="99"/>
    <w:semiHidden/>
    <w:qFormat/>
    <w:rPr>
      <w:color w:val="808080"/>
    </w:rPr>
  </w:style>
  <w:style w:type="character" w:customStyle="1" w:styleId="afe">
    <w:name w:val="页眉 字符"/>
    <w:uiPriority w:val="99"/>
    <w:qFormat/>
    <w:rPr>
      <w:sz w:val="18"/>
      <w:szCs w:val="18"/>
    </w:rPr>
  </w:style>
  <w:style w:type="character" w:customStyle="1" w:styleId="aff">
    <w:name w:val="页脚 字符"/>
    <w:uiPriority w:val="99"/>
    <w:qFormat/>
    <w:rPr>
      <w:sz w:val="18"/>
      <w:szCs w:val="18"/>
    </w:rPr>
  </w:style>
  <w:style w:type="character" w:customStyle="1" w:styleId="aff0">
    <w:name w:val="纯文本 字符"/>
    <w:uiPriority w:val="99"/>
    <w:qFormat/>
    <w:rPr>
      <w:rFonts w:ascii="宋体" w:eastAsia="宋体" w:hAnsi="Courier New" w:cs="Courier New"/>
      <w:szCs w:val="21"/>
    </w:rPr>
  </w:style>
  <w:style w:type="paragraph" w:customStyle="1" w:styleId="xl89">
    <w:name w:val="xl89"/>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character" w:customStyle="1" w:styleId="Char2">
    <w:name w:val="副标题 Char"/>
    <w:basedOn w:val="a0"/>
    <w:qFormat/>
    <w:rPr>
      <w:rFonts w:asciiTheme="majorHAnsi" w:eastAsia="宋体" w:hAnsiTheme="majorHAnsi" w:cstheme="majorBidi"/>
      <w:b/>
      <w:bCs/>
      <w:kern w:val="28"/>
      <w:sz w:val="32"/>
      <w:szCs w:val="3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7">
    <w:name w:val="xl97"/>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72">
    <w:name w:val="xl7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02">
    <w:name w:val="xl102"/>
    <w:basedOn w:val="a"/>
    <w:uiPriority w:val="99"/>
    <w:qFormat/>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88">
    <w:name w:val="xl88"/>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12">
    <w:name w:val="xl112"/>
    <w:basedOn w:val="a"/>
    <w:uiPriority w:val="99"/>
    <w:qFormat/>
    <w:pPr>
      <w:widowControl/>
      <w:spacing w:before="100" w:beforeAutospacing="1" w:after="100" w:afterAutospacing="1"/>
      <w:textAlignment w:val="top"/>
    </w:pPr>
    <w:rPr>
      <w:rFonts w:ascii="宋体" w:hAnsi="宋体" w:cs="宋体"/>
      <w:kern w:val="0"/>
      <w:sz w:val="18"/>
      <w:szCs w:val="18"/>
    </w:rPr>
  </w:style>
  <w:style w:type="character" w:customStyle="1" w:styleId="Char3">
    <w:name w:val="批注框文本 Char"/>
    <w:basedOn w:val="a0"/>
    <w:uiPriority w:val="99"/>
    <w:qFormat/>
    <w:rPr>
      <w:rFonts w:ascii="Calibri" w:eastAsia="宋体" w:hAnsi="Calibri" w:cs="Times New Roman"/>
      <w:sz w:val="18"/>
      <w:szCs w:val="18"/>
    </w:rPr>
  </w:style>
  <w:style w:type="paragraph" w:customStyle="1" w:styleId="Char4">
    <w:name w:val="Char"/>
    <w:basedOn w:val="a"/>
    <w:uiPriority w:val="99"/>
    <w:qFormat/>
    <w:rPr>
      <w:rFonts w:ascii="Tahoma" w:hAnsi="Tahoma"/>
      <w:sz w:val="24"/>
      <w:szCs w:val="20"/>
    </w:rPr>
  </w:style>
  <w:style w:type="paragraph" w:customStyle="1" w:styleId="xl77">
    <w:name w:val="xl77"/>
    <w:basedOn w:val="a"/>
    <w:uiPriority w:val="99"/>
    <w:qFormat/>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71">
    <w:name w:val="xl71"/>
    <w:basedOn w:val="a"/>
    <w:uiPriority w:val="99"/>
    <w:qFormat/>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121">
    <w:name w:val="xl121"/>
    <w:basedOn w:val="a"/>
    <w:uiPriority w:val="99"/>
    <w:qFormat/>
    <w:pPr>
      <w:widowControl/>
      <w:spacing w:before="100" w:beforeAutospacing="1" w:after="100" w:afterAutospacing="1"/>
      <w:jc w:val="left"/>
      <w:textAlignment w:val="top"/>
    </w:pPr>
    <w:rPr>
      <w:rFonts w:ascii="宋体" w:hAnsi="宋体" w:cs="宋体"/>
      <w:b/>
      <w:bCs/>
      <w:kern w:val="0"/>
      <w:sz w:val="32"/>
      <w:szCs w:val="32"/>
    </w:rPr>
  </w:style>
  <w:style w:type="paragraph" w:customStyle="1" w:styleId="xl70">
    <w:name w:val="xl70"/>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10">
    <w:name w:val="xl110"/>
    <w:basedOn w:val="a"/>
    <w:uiPriority w:val="99"/>
    <w:qFormat/>
    <w:pPr>
      <w:widowControl/>
      <w:spacing w:before="100" w:beforeAutospacing="1" w:after="100" w:afterAutospacing="1"/>
      <w:jc w:val="left"/>
      <w:textAlignment w:val="top"/>
    </w:pPr>
    <w:rPr>
      <w:rFonts w:ascii="Times New Roman" w:hAnsi="Times New Roman"/>
      <w:kern w:val="0"/>
      <w:sz w:val="24"/>
      <w:szCs w:val="24"/>
    </w:rPr>
  </w:style>
  <w:style w:type="paragraph" w:styleId="aff1">
    <w:name w:val="List Paragraph"/>
    <w:basedOn w:val="a"/>
    <w:uiPriority w:val="99"/>
    <w:qFormat/>
    <w:pPr>
      <w:widowControl/>
      <w:spacing w:line="560" w:lineRule="exact"/>
      <w:ind w:firstLineChars="200" w:firstLine="420"/>
      <w:jc w:val="left"/>
    </w:pPr>
    <w:rPr>
      <w:rFonts w:ascii="Times New Roman" w:hAnsi="Times New Roman"/>
      <w:szCs w:val="24"/>
    </w:rPr>
  </w:style>
  <w:style w:type="paragraph" w:customStyle="1" w:styleId="xl113">
    <w:name w:val="xl113"/>
    <w:basedOn w:val="a"/>
    <w:uiPriority w:val="99"/>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87">
    <w:name w:val="xl87"/>
    <w:basedOn w:val="a"/>
    <w:uiPriority w:val="99"/>
    <w:qFormat/>
    <w:pPr>
      <w:widowControl/>
      <w:spacing w:before="100" w:beforeAutospacing="1" w:after="100" w:afterAutospacing="1"/>
      <w:textAlignment w:val="top"/>
    </w:pPr>
    <w:rPr>
      <w:rFonts w:ascii="宋体" w:hAnsi="宋体" w:cs="宋体"/>
      <w:b/>
      <w:bCs/>
      <w:kern w:val="0"/>
      <w:sz w:val="24"/>
      <w:szCs w:val="24"/>
    </w:rPr>
  </w:style>
  <w:style w:type="paragraph" w:customStyle="1" w:styleId="xl115">
    <w:name w:val="xl115"/>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font7">
    <w:name w:val="font7"/>
    <w:basedOn w:val="a"/>
    <w:uiPriority w:val="99"/>
    <w:qFormat/>
    <w:pPr>
      <w:widowControl/>
      <w:spacing w:before="100" w:beforeAutospacing="1" w:after="100" w:afterAutospacing="1"/>
      <w:jc w:val="left"/>
    </w:pPr>
    <w:rPr>
      <w:rFonts w:ascii="宋体" w:hAnsi="宋体" w:cs="宋体"/>
      <w:color w:val="000000"/>
      <w:kern w:val="0"/>
      <w:sz w:val="22"/>
    </w:rPr>
  </w:style>
  <w:style w:type="paragraph" w:customStyle="1" w:styleId="xl80">
    <w:name w:val="xl80"/>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05">
    <w:name w:val="xl105"/>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73">
    <w:name w:val="xl73"/>
    <w:basedOn w:val="a"/>
    <w:uiPriority w:val="99"/>
    <w:qFormat/>
    <w:pPr>
      <w:widowControl/>
      <w:spacing w:before="100" w:beforeAutospacing="1" w:after="100" w:afterAutospacing="1"/>
      <w:jc w:val="center"/>
      <w:textAlignment w:val="top"/>
    </w:pPr>
    <w:rPr>
      <w:rFonts w:ascii="宋体" w:hAnsi="宋体" w:cs="宋体"/>
      <w:kern w:val="0"/>
      <w:sz w:val="24"/>
      <w:szCs w:val="24"/>
    </w:rPr>
  </w:style>
  <w:style w:type="paragraph" w:customStyle="1" w:styleId="font9">
    <w:name w:val="font9"/>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customStyle="1" w:styleId="Char5">
    <w:name w:val="尾注文本 Char"/>
    <w:basedOn w:val="a0"/>
    <w:qFormat/>
    <w:rPr>
      <w:rFonts w:ascii="Calibri" w:eastAsia="宋体" w:hAnsi="Calibri" w:cs="Times New Roman"/>
    </w:rPr>
  </w:style>
  <w:style w:type="paragraph" w:customStyle="1" w:styleId="xl111">
    <w:name w:val="xl111"/>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character" w:customStyle="1" w:styleId="Char6">
    <w:name w:val="日期 Char"/>
    <w:basedOn w:val="a0"/>
    <w:uiPriority w:val="99"/>
    <w:qFormat/>
    <w:rPr>
      <w:rFonts w:ascii="Calibri" w:eastAsia="宋体" w:hAnsi="Calibri" w:cs="Times New Roman"/>
    </w:rPr>
  </w:style>
  <w:style w:type="paragraph" w:customStyle="1" w:styleId="xl85">
    <w:name w:val="xl85"/>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114">
    <w:name w:val="xl11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character" w:customStyle="1" w:styleId="2Char0">
    <w:name w:val="正文文本缩进 2 Char"/>
    <w:basedOn w:val="a0"/>
    <w:semiHidden/>
    <w:qFormat/>
    <w:rPr>
      <w:rFonts w:ascii="Calibri" w:eastAsia="宋体" w:hAnsi="Calibri" w:cs="Times New Roman"/>
    </w:rPr>
  </w:style>
  <w:style w:type="paragraph" w:customStyle="1" w:styleId="12">
    <w:name w:val="修订1"/>
    <w:uiPriority w:val="99"/>
    <w:semiHidden/>
    <w:qFormat/>
    <w:rPr>
      <w:rFonts w:ascii="Times New Roman" w:hAnsi="Times New Roman" w:cs="Times New Roman"/>
      <w:kern w:val="2"/>
      <w:sz w:val="21"/>
      <w:szCs w:val="24"/>
    </w:rPr>
  </w:style>
  <w:style w:type="paragraph" w:customStyle="1" w:styleId="xl81">
    <w:name w:val="xl81"/>
    <w:basedOn w:val="a"/>
    <w:uiPriority w:val="99"/>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109">
    <w:name w:val="xl109"/>
    <w:basedOn w:val="a"/>
    <w:uiPriority w:val="99"/>
    <w:qFormat/>
    <w:pPr>
      <w:widowControl/>
      <w:spacing w:before="100" w:beforeAutospacing="1" w:after="100" w:afterAutospacing="1"/>
      <w:jc w:val="left"/>
      <w:textAlignment w:val="top"/>
    </w:pPr>
    <w:rPr>
      <w:rFonts w:ascii="Times New Roman" w:hAnsi="Times New Roman"/>
      <w:b/>
      <w:bCs/>
      <w:kern w:val="0"/>
      <w:sz w:val="24"/>
      <w:szCs w:val="24"/>
    </w:rPr>
  </w:style>
  <w:style w:type="paragraph" w:customStyle="1" w:styleId="xl69">
    <w:name w:val="xl69"/>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13">
    <w:name w:val="列出段落1"/>
    <w:basedOn w:val="a"/>
    <w:qFormat/>
    <w:pPr>
      <w:ind w:firstLineChars="200" w:firstLine="420"/>
    </w:pPr>
    <w:rPr>
      <w:rFonts w:cs="Calibri"/>
      <w:szCs w:val="21"/>
    </w:rPr>
  </w:style>
  <w:style w:type="character" w:customStyle="1" w:styleId="Char7">
    <w:name w:val="纯文本 Char"/>
    <w:basedOn w:val="a0"/>
    <w:uiPriority w:val="99"/>
    <w:qFormat/>
    <w:rPr>
      <w:rFonts w:ascii="宋体" w:eastAsia="宋体" w:hAnsi="Courier New" w:cs="Courier New"/>
      <w:szCs w:val="21"/>
    </w:rPr>
  </w:style>
  <w:style w:type="paragraph" w:customStyle="1" w:styleId="CharChar1">
    <w:name w:val="Char Char1"/>
    <w:basedOn w:val="a"/>
    <w:next w:val="a"/>
    <w:uiPriority w:val="99"/>
    <w:qFormat/>
    <w:pPr>
      <w:widowControl/>
      <w:spacing w:after="160" w:line="240" w:lineRule="exact"/>
      <w:jc w:val="left"/>
    </w:pPr>
    <w:rPr>
      <w:rFonts w:ascii="Times New Roman" w:hAnsi="Times New Roman"/>
      <w:szCs w:val="24"/>
    </w:rPr>
  </w:style>
  <w:style w:type="paragraph" w:customStyle="1" w:styleId="xl83">
    <w:name w:val="xl83"/>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font8">
    <w:name w:val="font8"/>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91">
    <w:name w:val="xl91"/>
    <w:basedOn w:val="a"/>
    <w:uiPriority w:val="99"/>
    <w:qFormat/>
    <w:pPr>
      <w:widowControl/>
      <w:spacing w:before="100" w:beforeAutospacing="1" w:after="100" w:afterAutospacing="1"/>
      <w:jc w:val="center"/>
      <w:textAlignment w:val="top"/>
    </w:pPr>
    <w:rPr>
      <w:rFonts w:ascii="仿宋_GB2312" w:eastAsia="仿宋_GB2312" w:hAnsi="宋体" w:cs="宋体"/>
      <w:b/>
      <w:bCs/>
      <w:kern w:val="0"/>
      <w:sz w:val="24"/>
      <w:szCs w:val="24"/>
    </w:rPr>
  </w:style>
  <w:style w:type="character" w:customStyle="1" w:styleId="Char8">
    <w:name w:val="脚注文本 Char"/>
    <w:basedOn w:val="a0"/>
    <w:uiPriority w:val="99"/>
    <w:semiHidden/>
    <w:qFormat/>
    <w:rPr>
      <w:rFonts w:ascii="Calibri" w:eastAsia="宋体" w:hAnsi="Calibri" w:cs="Times New Roman"/>
      <w:sz w:val="18"/>
      <w:szCs w:val="18"/>
    </w:rPr>
  </w:style>
  <w:style w:type="paragraph" w:customStyle="1" w:styleId="font0">
    <w:name w:val="font0"/>
    <w:basedOn w:val="a"/>
    <w:uiPriority w:val="99"/>
    <w:qFormat/>
    <w:pPr>
      <w:widowControl/>
      <w:spacing w:before="100" w:beforeAutospacing="1" w:after="100" w:afterAutospacing="1"/>
      <w:jc w:val="left"/>
    </w:pPr>
    <w:rPr>
      <w:rFonts w:ascii="宋体" w:hAnsi="宋体" w:cs="宋体"/>
      <w:color w:val="000000"/>
      <w:kern w:val="0"/>
      <w:sz w:val="22"/>
    </w:rPr>
  </w:style>
  <w:style w:type="paragraph" w:customStyle="1" w:styleId="xl74">
    <w:name w:val="xl74"/>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p0">
    <w:name w:val="p0"/>
    <w:basedOn w:val="a"/>
    <w:uiPriority w:val="99"/>
    <w:qFormat/>
    <w:pPr>
      <w:widowControl/>
      <w:adjustRightInd w:val="0"/>
      <w:snapToGrid w:val="0"/>
      <w:spacing w:after="200"/>
      <w:jc w:val="left"/>
    </w:pPr>
    <w:rPr>
      <w:rFonts w:ascii="Tahoma" w:hAnsi="Tahoma" w:cs="Tahoma"/>
      <w:kern w:val="0"/>
      <w:sz w:val="22"/>
    </w:rPr>
  </w:style>
  <w:style w:type="paragraph" w:customStyle="1" w:styleId="xl99">
    <w:name w:val="xl99"/>
    <w:basedOn w:val="a"/>
    <w:uiPriority w:val="99"/>
    <w:pPr>
      <w:widowControl/>
      <w:spacing w:before="100" w:beforeAutospacing="1" w:after="100" w:afterAutospacing="1"/>
      <w:jc w:val="center"/>
    </w:pPr>
    <w:rPr>
      <w:rFonts w:ascii="宋体" w:hAnsi="宋体" w:cs="宋体"/>
      <w:kern w:val="0"/>
      <w:sz w:val="20"/>
      <w:szCs w:val="20"/>
    </w:rPr>
  </w:style>
  <w:style w:type="paragraph" w:customStyle="1" w:styleId="TOC1">
    <w:name w:val="TOC 标题1"/>
    <w:basedOn w:val="1"/>
    <w:next w:val="a"/>
    <w:uiPriority w:val="39"/>
    <w:qFormat/>
    <w:pPr>
      <w:widowControl/>
      <w:spacing w:before="240" w:after="0" w:line="259" w:lineRule="auto"/>
      <w:ind w:firstLineChars="200" w:firstLine="562"/>
      <w:jc w:val="left"/>
      <w:outlineLvl w:val="9"/>
    </w:pPr>
    <w:rPr>
      <w:rFonts w:ascii="Calibri Light" w:hAnsi="Calibri Light"/>
      <w:b w:val="0"/>
      <w:bCs w:val="0"/>
      <w:color w:val="2E74B5"/>
      <w:kern w:val="0"/>
      <w:sz w:val="32"/>
      <w:szCs w:val="32"/>
    </w:rPr>
  </w:style>
  <w:style w:type="character" w:customStyle="1" w:styleId="Char9">
    <w:name w:val="标题 Char"/>
    <w:basedOn w:val="a0"/>
    <w:rPr>
      <w:rFonts w:asciiTheme="majorHAnsi" w:eastAsia="宋体" w:hAnsiTheme="majorHAnsi" w:cstheme="majorBidi"/>
      <w:b/>
      <w:bCs/>
      <w:sz w:val="32"/>
      <w:szCs w:val="32"/>
    </w:rPr>
  </w:style>
  <w:style w:type="paragraph" w:customStyle="1" w:styleId="xl101">
    <w:name w:val="xl101"/>
    <w:basedOn w:val="a"/>
    <w:uiPriority w:val="99"/>
    <w:pPr>
      <w:widowControl/>
      <w:spacing w:before="100" w:beforeAutospacing="1" w:after="100" w:afterAutospacing="1"/>
      <w:jc w:val="left"/>
      <w:textAlignment w:val="top"/>
    </w:pPr>
    <w:rPr>
      <w:rFonts w:cs="宋体"/>
      <w:kern w:val="0"/>
      <w:sz w:val="18"/>
      <w:szCs w:val="18"/>
    </w:rPr>
  </w:style>
  <w:style w:type="paragraph" w:customStyle="1" w:styleId="xl90">
    <w:name w:val="xl90"/>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CharChar2">
    <w:name w:val="Char Char2"/>
    <w:basedOn w:val="a"/>
    <w:uiPriority w:val="99"/>
    <w:qFormat/>
    <w:pPr>
      <w:tabs>
        <w:tab w:val="left" w:pos="1682"/>
      </w:tabs>
      <w:ind w:left="1682" w:hanging="1080"/>
    </w:pPr>
    <w:rPr>
      <w:rFonts w:ascii="Times New Roman" w:hAnsi="Times New Roman"/>
      <w:sz w:val="24"/>
      <w:szCs w:val="24"/>
    </w:rPr>
  </w:style>
  <w:style w:type="paragraph" w:customStyle="1" w:styleId="xl86">
    <w:name w:val="xl86"/>
    <w:basedOn w:val="a"/>
    <w:uiPriority w:val="99"/>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xl78">
    <w:name w:val="xl78"/>
    <w:basedOn w:val="a"/>
    <w:uiPriority w:val="99"/>
    <w:pPr>
      <w:widowControl/>
      <w:spacing w:before="100" w:beforeAutospacing="1" w:after="100" w:afterAutospacing="1"/>
      <w:jc w:val="left"/>
      <w:textAlignment w:val="top"/>
    </w:pPr>
    <w:rPr>
      <w:rFonts w:ascii="Times New Roman" w:hAnsi="Times New Roman"/>
      <w:b/>
      <w:bCs/>
      <w:kern w:val="0"/>
      <w:sz w:val="24"/>
      <w:szCs w:val="24"/>
    </w:rPr>
  </w:style>
  <w:style w:type="paragraph" w:customStyle="1" w:styleId="xl75">
    <w:name w:val="xl75"/>
    <w:basedOn w:val="a"/>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119">
    <w:name w:val="xl119"/>
    <w:basedOn w:val="a"/>
    <w:uiPriority w:val="99"/>
    <w:pPr>
      <w:widowControl/>
      <w:spacing w:before="100" w:beforeAutospacing="1" w:after="100" w:afterAutospacing="1"/>
      <w:jc w:val="center"/>
      <w:textAlignment w:val="top"/>
    </w:pPr>
    <w:rPr>
      <w:rFonts w:ascii="宋体" w:hAnsi="宋体" w:cs="宋体"/>
      <w:kern w:val="0"/>
      <w:sz w:val="20"/>
      <w:szCs w:val="20"/>
    </w:rPr>
  </w:style>
  <w:style w:type="paragraph" w:customStyle="1" w:styleId="xl84">
    <w:name w:val="xl84"/>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16">
    <w:name w:val="xl116"/>
    <w:basedOn w:val="a"/>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68">
    <w:name w:val="xl68"/>
    <w:basedOn w:val="a"/>
    <w:uiPriority w:val="99"/>
    <w:qFormat/>
    <w:pPr>
      <w:widowControl/>
      <w:spacing w:before="100" w:beforeAutospacing="1" w:after="100" w:afterAutospacing="1"/>
      <w:jc w:val="left"/>
      <w:textAlignment w:val="top"/>
    </w:pPr>
    <w:rPr>
      <w:rFonts w:ascii="仿宋_GB2312" w:eastAsia="仿宋_GB2312" w:hAnsi="宋体" w:cs="宋体"/>
      <w:kern w:val="0"/>
      <w:sz w:val="24"/>
      <w:szCs w:val="24"/>
    </w:rPr>
  </w:style>
  <w:style w:type="paragraph" w:customStyle="1" w:styleId="xl108">
    <w:name w:val="xl108"/>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Char3">
    <w:name w:val="Char Char3"/>
    <w:basedOn w:val="a"/>
    <w:uiPriority w:val="99"/>
    <w:qFormat/>
    <w:pPr>
      <w:tabs>
        <w:tab w:val="left" w:pos="432"/>
      </w:tabs>
      <w:spacing w:line="400" w:lineRule="exact"/>
      <w:ind w:left="432" w:hanging="432"/>
    </w:pPr>
    <w:rPr>
      <w:rFonts w:ascii="Times New Roman" w:hAnsi="Times New Roman"/>
      <w:szCs w:val="24"/>
    </w:rPr>
  </w:style>
  <w:style w:type="paragraph" w:customStyle="1" w:styleId="xl133">
    <w:name w:val="xl133"/>
    <w:basedOn w:val="a"/>
    <w:uiPriority w:val="99"/>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24">
    <w:name w:val="封面标准号2"/>
    <w:basedOn w:val="a"/>
    <w:uiPriority w:val="99"/>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xl118">
    <w:name w:val="xl118"/>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xl92">
    <w:name w:val="xl9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3">
    <w:name w:val="xl93"/>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94">
    <w:name w:val="xl94"/>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106">
    <w:name w:val="xl106"/>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5">
    <w:name w:val="xl95"/>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20">
    <w:name w:val="xl120"/>
    <w:basedOn w:val="a"/>
    <w:uiPriority w:val="99"/>
    <w:qFormat/>
    <w:pPr>
      <w:widowControl/>
      <w:spacing w:before="100" w:beforeAutospacing="1" w:after="100" w:afterAutospacing="1"/>
      <w:textAlignment w:val="top"/>
    </w:pPr>
    <w:rPr>
      <w:rFonts w:ascii="宋体" w:hAnsi="宋体" w:cs="宋体"/>
      <w:b/>
      <w:bCs/>
      <w:kern w:val="0"/>
      <w:sz w:val="24"/>
      <w:szCs w:val="24"/>
    </w:rPr>
  </w:style>
  <w:style w:type="paragraph" w:customStyle="1" w:styleId="xl96">
    <w:name w:val="xl96"/>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pPr>
      <w:widowControl/>
      <w:spacing w:before="100" w:beforeAutospacing="1" w:after="100" w:afterAutospacing="1"/>
      <w:jc w:val="left"/>
      <w:textAlignment w:val="top"/>
    </w:pPr>
    <w:rPr>
      <w:rFonts w:ascii="宋体" w:hAnsi="宋体" w:cs="宋体"/>
      <w:kern w:val="0"/>
      <w:sz w:val="32"/>
      <w:szCs w:val="32"/>
    </w:rPr>
  </w:style>
  <w:style w:type="paragraph" w:customStyle="1" w:styleId="xl117">
    <w:name w:val="xl117"/>
    <w:basedOn w:val="a"/>
    <w:uiPriority w:val="99"/>
    <w:qFormat/>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103">
    <w:name w:val="xl103"/>
    <w:basedOn w:val="a"/>
    <w:uiPriority w:val="99"/>
    <w:qFormat/>
    <w:pPr>
      <w:widowControl/>
      <w:spacing w:before="100" w:beforeAutospacing="1" w:after="100" w:afterAutospacing="1"/>
      <w:jc w:val="center"/>
      <w:textAlignment w:val="top"/>
    </w:pPr>
    <w:rPr>
      <w:rFonts w:ascii="宋体" w:hAnsi="宋体" w:cs="宋体"/>
      <w:kern w:val="0"/>
      <w:sz w:val="24"/>
      <w:szCs w:val="24"/>
    </w:rPr>
  </w:style>
  <w:style w:type="paragraph" w:customStyle="1" w:styleId="xl104">
    <w:name w:val="xl10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07">
    <w:name w:val="xl107"/>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2">
    <w:name w:val="xl12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3">
    <w:name w:val="xl123"/>
    <w:basedOn w:val="a"/>
    <w:uiPriority w:val="99"/>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24">
    <w:name w:val="xl12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5">
    <w:name w:val="xl125"/>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xl126">
    <w:name w:val="xl126"/>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7">
    <w:name w:val="xl127"/>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8">
    <w:name w:val="xl128"/>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29">
    <w:name w:val="xl129"/>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30">
    <w:name w:val="xl13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131">
    <w:name w:val="xl13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132">
    <w:name w:val="xl132"/>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134">
    <w:name w:val="xl134"/>
    <w:basedOn w:val="a"/>
    <w:uiPriority w:val="99"/>
    <w:qFormat/>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xl135">
    <w:name w:val="xl135"/>
    <w:basedOn w:val="a"/>
    <w:uiPriority w:val="99"/>
    <w:qFormat/>
    <w:pPr>
      <w:widowControl/>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136">
    <w:name w:val="xl136"/>
    <w:basedOn w:val="a"/>
    <w:uiPriority w:val="99"/>
    <w:qFormat/>
    <w:pPr>
      <w:widowControl/>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137">
    <w:name w:val="xl137"/>
    <w:basedOn w:val="a"/>
    <w:uiPriority w:val="99"/>
    <w:qFormat/>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138">
    <w:name w:val="xl138"/>
    <w:basedOn w:val="a"/>
    <w:uiPriority w:val="99"/>
    <w:qFormat/>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66">
    <w:name w:val="xl66"/>
    <w:basedOn w:val="a"/>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67">
    <w:name w:val="xl67"/>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GB2312">
    <w:name w:val="标准-仿宋GB2312"/>
    <w:basedOn w:val="a"/>
    <w:uiPriority w:val="99"/>
    <w:qFormat/>
    <w:rPr>
      <w:rFonts w:ascii="仿宋_GB2312" w:eastAsia="仿宋_GB2312"/>
      <w:sz w:val="30"/>
      <w:szCs w:val="30"/>
    </w:rPr>
  </w:style>
  <w:style w:type="paragraph" w:customStyle="1" w:styleId="aff2">
    <w:name w:val="局发文正文"/>
    <w:basedOn w:val="a"/>
    <w:uiPriority w:val="99"/>
    <w:pPr>
      <w:adjustRightInd w:val="0"/>
      <w:spacing w:line="600" w:lineRule="atLeast"/>
      <w:ind w:firstLineChars="200" w:firstLine="200"/>
    </w:pPr>
    <w:rPr>
      <w:rFonts w:ascii="仿宋_GB2312" w:eastAsia="仿宋_GB2312" w:hAnsi="Times New Roman"/>
      <w:caps/>
      <w:spacing w:val="6"/>
      <w:kern w:val="0"/>
      <w:sz w:val="30"/>
      <w:szCs w:val="20"/>
    </w:rPr>
  </w:style>
  <w:style w:type="paragraph" w:customStyle="1" w:styleId="25">
    <w:name w:val="列出段落2"/>
    <w:basedOn w:val="a"/>
    <w:uiPriority w:val="99"/>
    <w:pPr>
      <w:ind w:firstLineChars="200" w:firstLine="420"/>
    </w:pPr>
    <w:rPr>
      <w:rFonts w:cs="Calibri"/>
      <w:szCs w:val="21"/>
    </w:rPr>
  </w:style>
  <w:style w:type="table" w:customStyle="1" w:styleId="14">
    <w:name w:val="网格型1"/>
    <w:basedOn w:val="a1"/>
    <w:uiPriority w:val="39"/>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1"/>
    <w:uiPriority w:val="39"/>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批注文字 Char"/>
    <w:basedOn w:val="a0"/>
    <w:rPr>
      <w:rFonts w:ascii="Calibri" w:eastAsia="宋体" w:hAnsi="Calibri" w:cs="Times New Roman"/>
    </w:rPr>
  </w:style>
  <w:style w:type="character" w:customStyle="1" w:styleId="Char1">
    <w:name w:val="批注文字 Char1"/>
    <w:link w:val="a3"/>
    <w:qFormat/>
    <w:rPr>
      <w:rFonts w:ascii="Times New Roman" w:eastAsia="宋体" w:hAnsi="Times New Roman" w:cs="Times New Roman"/>
      <w:szCs w:val="24"/>
      <w:lang w:val="zh-CN" w:eastAsia="zh-CN"/>
    </w:rPr>
  </w:style>
  <w:style w:type="character" w:customStyle="1" w:styleId="Charb">
    <w:name w:val="批注主题 Char"/>
    <w:basedOn w:val="Chara"/>
    <w:qFormat/>
    <w:rPr>
      <w:rFonts w:ascii="Calibri" w:eastAsia="宋体" w:hAnsi="Calibri" w:cs="Times New Roman"/>
      <w:b/>
      <w:bCs/>
    </w:rPr>
  </w:style>
  <w:style w:type="character" w:customStyle="1" w:styleId="Char17">
    <w:name w:val="批注主题 Char1"/>
    <w:link w:val="ae"/>
    <w:qFormat/>
    <w:rPr>
      <w:rFonts w:ascii="Times New Roman" w:eastAsia="宋体" w:hAnsi="Times New Roman" w:cs="Times New Roman"/>
      <w:b/>
      <w:bCs/>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1056</Words>
  <Characters>6021</Characters>
  <Application>Microsoft Office Word</Application>
  <DocSecurity>0</DocSecurity>
  <Lines>50</Lines>
  <Paragraphs>14</Paragraphs>
  <ScaleCrop>false</ScaleCrop>
  <Company>国家统计局</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132</cp:revision>
  <cp:lastPrinted>2020-04-13T03:09:00Z</cp:lastPrinted>
  <dcterms:created xsi:type="dcterms:W3CDTF">2020-01-10T02:43:00Z</dcterms:created>
  <dcterms:modified xsi:type="dcterms:W3CDTF">2020-04-13T08:47:00Z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