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_GBK" w:eastAsia="方正小标宋_GBK"/>
          <w:sz w:val="44"/>
          <w:szCs w:val="44"/>
        </w:rPr>
      </w:pPr>
      <w:r>
        <w:rPr>
          <w:rFonts w:hint="eastAsia" w:ascii="方正小标宋_GBK" w:eastAsia="方正小标宋_GBK"/>
          <w:sz w:val="44"/>
          <w:szCs w:val="44"/>
        </w:rPr>
        <w:t>乐山市“十四五”会展产业发展规划</w:t>
      </w:r>
    </w:p>
    <w:p>
      <w:pPr>
        <w:adjustRightInd w:val="0"/>
        <w:snapToGrid w:val="0"/>
        <w:spacing w:line="580" w:lineRule="exact"/>
        <w:jc w:val="center"/>
        <w:rPr>
          <w:rFonts w:hint="eastAsia" w:ascii="方正小标宋_GBK" w:eastAsia="方正小标宋_GBK"/>
          <w:sz w:val="44"/>
          <w:szCs w:val="44"/>
        </w:rPr>
      </w:pPr>
      <w:bookmarkStart w:id="0" w:name="_Toc23212"/>
      <w:r>
        <w:rPr>
          <w:rFonts w:hint="eastAsia" w:ascii="方正小标宋_GBK" w:eastAsia="方正小标宋_GBK"/>
          <w:sz w:val="44"/>
          <w:szCs w:val="44"/>
        </w:rPr>
        <w:t>（2021</w:t>
      </w:r>
      <w:r>
        <w:rPr>
          <w:rFonts w:hint="eastAsia" w:ascii="方正小标宋简体" w:eastAsia="方正小标宋简体"/>
          <w:sz w:val="44"/>
          <w:szCs w:val="44"/>
        </w:rPr>
        <w:t>——</w:t>
      </w:r>
      <w:r>
        <w:rPr>
          <w:rFonts w:hint="eastAsia" w:ascii="方正小标宋_GBK" w:eastAsia="方正小标宋_GBK"/>
          <w:sz w:val="44"/>
          <w:szCs w:val="44"/>
        </w:rPr>
        <w:t>2025年）</w:t>
      </w:r>
      <w:bookmarkEnd w:id="0"/>
    </w:p>
    <w:p>
      <w:pPr>
        <w:autoSpaceDE w:val="0"/>
        <w:autoSpaceDN w:val="0"/>
        <w:adjustRightInd w:val="0"/>
        <w:snapToGrid w:val="0"/>
        <w:spacing w:line="580" w:lineRule="exact"/>
        <w:rPr>
          <w:rFonts w:hint="eastAsia" w:ascii="黑体" w:eastAsia="黑体"/>
          <w:kern w:val="0"/>
        </w:rPr>
      </w:pPr>
    </w:p>
    <w:p>
      <w:pPr>
        <w:autoSpaceDE w:val="0"/>
        <w:autoSpaceDN w:val="0"/>
        <w:adjustRightInd w:val="0"/>
        <w:snapToGrid w:val="0"/>
        <w:spacing w:line="580" w:lineRule="exact"/>
        <w:rPr>
          <w:rFonts w:hint="eastAsia" w:ascii="黑体" w:eastAsia="黑体"/>
          <w:kern w:val="0"/>
        </w:rPr>
      </w:pPr>
    </w:p>
    <w:p>
      <w:pPr>
        <w:autoSpaceDE w:val="0"/>
        <w:autoSpaceDN w:val="0"/>
        <w:adjustRightInd w:val="0"/>
        <w:snapToGrid w:val="0"/>
        <w:spacing w:line="580" w:lineRule="exact"/>
        <w:rPr>
          <w:rFonts w:hint="eastAsia" w:ascii="黑体" w:eastAsia="黑体"/>
          <w:kern w:val="0"/>
        </w:rPr>
      </w:pPr>
    </w:p>
    <w:p>
      <w:pPr>
        <w:autoSpaceDE w:val="0"/>
        <w:autoSpaceDN w:val="0"/>
        <w:adjustRightInd w:val="0"/>
        <w:snapToGrid w:val="0"/>
        <w:spacing w:line="660" w:lineRule="exact"/>
        <w:rPr>
          <w:rFonts w:hint="eastAsia" w:ascii="黑体" w:eastAsia="黑体"/>
          <w:kern w:val="0"/>
        </w:rPr>
      </w:pPr>
    </w:p>
    <w:p>
      <w:pPr>
        <w:autoSpaceDE w:val="0"/>
        <w:autoSpaceDN w:val="0"/>
        <w:adjustRightInd w:val="0"/>
        <w:snapToGrid w:val="0"/>
        <w:spacing w:line="660" w:lineRule="exact"/>
        <w:rPr>
          <w:rFonts w:hint="eastAsia" w:ascii="黑体" w:eastAsia="黑体"/>
          <w:kern w:val="0"/>
        </w:rPr>
      </w:pPr>
    </w:p>
    <w:p>
      <w:pPr>
        <w:autoSpaceDE w:val="0"/>
        <w:autoSpaceDN w:val="0"/>
        <w:adjustRightInd w:val="0"/>
        <w:snapToGrid w:val="0"/>
        <w:spacing w:line="660" w:lineRule="exact"/>
        <w:rPr>
          <w:rFonts w:hint="eastAsia" w:ascii="黑体" w:eastAsia="黑体"/>
          <w:kern w:val="0"/>
        </w:rPr>
      </w:pPr>
    </w:p>
    <w:p>
      <w:pPr>
        <w:autoSpaceDE w:val="0"/>
        <w:autoSpaceDN w:val="0"/>
        <w:adjustRightInd w:val="0"/>
        <w:snapToGrid w:val="0"/>
        <w:spacing w:line="800" w:lineRule="exact"/>
        <w:rPr>
          <w:rFonts w:hint="eastAsia" w:ascii="黑体" w:eastAsia="黑体"/>
          <w:kern w:val="0"/>
        </w:rPr>
      </w:pPr>
    </w:p>
    <w:p>
      <w:pPr>
        <w:autoSpaceDE w:val="0"/>
        <w:autoSpaceDN w:val="0"/>
        <w:adjustRightInd w:val="0"/>
        <w:snapToGrid w:val="0"/>
        <w:spacing w:line="800" w:lineRule="exact"/>
        <w:rPr>
          <w:rFonts w:hint="eastAsia" w:ascii="黑体" w:eastAsia="黑体"/>
          <w:kern w:val="0"/>
        </w:rPr>
      </w:pPr>
    </w:p>
    <w:p>
      <w:pPr>
        <w:autoSpaceDE w:val="0"/>
        <w:autoSpaceDN w:val="0"/>
        <w:adjustRightInd w:val="0"/>
        <w:snapToGrid w:val="0"/>
        <w:spacing w:line="800" w:lineRule="exact"/>
        <w:rPr>
          <w:rFonts w:hint="eastAsia" w:ascii="黑体" w:eastAsia="黑体"/>
          <w:kern w:val="0"/>
        </w:rPr>
      </w:pPr>
    </w:p>
    <w:p>
      <w:pPr>
        <w:autoSpaceDE w:val="0"/>
        <w:autoSpaceDN w:val="0"/>
        <w:adjustRightInd w:val="0"/>
        <w:snapToGrid w:val="0"/>
        <w:spacing w:line="800" w:lineRule="exact"/>
        <w:rPr>
          <w:rFonts w:hint="eastAsia" w:ascii="黑体" w:eastAsia="黑体"/>
          <w:kern w:val="0"/>
        </w:rPr>
      </w:pPr>
    </w:p>
    <w:p>
      <w:pPr>
        <w:autoSpaceDE w:val="0"/>
        <w:autoSpaceDN w:val="0"/>
        <w:adjustRightInd w:val="0"/>
        <w:snapToGrid w:val="0"/>
        <w:spacing w:line="800" w:lineRule="exact"/>
        <w:rPr>
          <w:rFonts w:hint="eastAsia" w:ascii="黑体" w:eastAsia="黑体"/>
          <w:kern w:val="0"/>
        </w:rPr>
      </w:pPr>
    </w:p>
    <w:p>
      <w:pPr>
        <w:autoSpaceDE w:val="0"/>
        <w:autoSpaceDN w:val="0"/>
        <w:adjustRightInd w:val="0"/>
        <w:snapToGrid w:val="0"/>
        <w:spacing w:line="1400" w:lineRule="exact"/>
        <w:jc w:val="center"/>
        <w:rPr>
          <w:rFonts w:hint="eastAsia" w:ascii="方正小标宋_GBK" w:eastAsia="方正小标宋_GBK"/>
          <w:kern w:val="0"/>
          <w:sz w:val="36"/>
          <w:szCs w:val="36"/>
        </w:rPr>
      </w:pPr>
      <w:r>
        <w:rPr>
          <w:rFonts w:hint="eastAsia" w:ascii="方正小标宋_GBK" w:eastAsia="方正小标宋_GBK"/>
          <w:kern w:val="0"/>
          <w:sz w:val="36"/>
          <w:szCs w:val="36"/>
        </w:rPr>
        <w:t>市博览事务局</w:t>
      </w:r>
    </w:p>
    <w:p>
      <w:pPr>
        <w:autoSpaceDE w:val="0"/>
        <w:autoSpaceDN w:val="0"/>
        <w:adjustRightInd w:val="0"/>
        <w:snapToGrid w:val="0"/>
        <w:spacing w:line="800" w:lineRule="exact"/>
        <w:rPr>
          <w:rFonts w:hint="eastAsia" w:ascii="黑体" w:eastAsia="黑体"/>
          <w:kern w:val="0"/>
        </w:rPr>
      </w:pPr>
    </w:p>
    <w:p>
      <w:pPr>
        <w:autoSpaceDE w:val="0"/>
        <w:autoSpaceDN w:val="0"/>
        <w:adjustRightInd w:val="0"/>
        <w:snapToGrid w:val="0"/>
        <w:spacing w:line="800" w:lineRule="exact"/>
        <w:rPr>
          <w:rFonts w:hint="eastAsia" w:ascii="黑体" w:eastAsia="黑体"/>
          <w:kern w:val="0"/>
        </w:rPr>
      </w:pPr>
    </w:p>
    <w:p>
      <w:pPr>
        <w:adjustRightInd w:val="0"/>
        <w:snapToGrid w:val="0"/>
        <w:spacing w:line="580" w:lineRule="exact"/>
        <w:jc w:val="center"/>
        <w:rPr>
          <w:rFonts w:hint="eastAsia" w:ascii="方正小标宋_GBK" w:eastAsia="方正小标宋_GBK"/>
          <w:sz w:val="44"/>
          <w:szCs w:val="44"/>
        </w:rPr>
      </w:pPr>
      <w:r>
        <w:rPr>
          <w:rFonts w:hint="eastAsia" w:ascii="方正小标宋_GBK" w:eastAsia="方正小标宋_GBK"/>
          <w:sz w:val="44"/>
          <w:szCs w:val="44"/>
        </w:rPr>
        <w:t>目   录</w:t>
      </w:r>
    </w:p>
    <w:p>
      <w:pPr>
        <w:adjustRightInd w:val="0"/>
        <w:snapToGrid w:val="0"/>
        <w:spacing w:line="580" w:lineRule="exact"/>
        <w:jc w:val="center"/>
        <w:rPr>
          <w:rFonts w:hint="eastAsia" w:ascii="方正小标宋_GBK" w:eastAsia="方正小标宋_GBK"/>
          <w:sz w:val="44"/>
          <w:szCs w:val="44"/>
        </w:rPr>
      </w:pPr>
    </w:p>
    <w:p>
      <w:pPr>
        <w:adjustRightInd w:val="0"/>
        <w:snapToGrid w:val="0"/>
        <w:spacing w:line="580" w:lineRule="exact"/>
        <w:ind w:firstLine="640" w:firstLineChars="200"/>
        <w:rPr>
          <w:rFonts w:ascii="黑体" w:hAnsi="黑体" w:eastAsia="黑体"/>
        </w:rPr>
      </w:pPr>
      <w:r>
        <w:fldChar w:fldCharType="begin"/>
      </w:r>
      <w:r>
        <w:instrText xml:space="preserve">TOC \o "1-2" \h \u </w:instrText>
      </w:r>
      <w:r>
        <w:fldChar w:fldCharType="separate"/>
      </w:r>
      <w:r>
        <w:rPr>
          <w:rFonts w:ascii="黑体" w:hAnsi="黑体" w:eastAsia="黑体"/>
        </w:rPr>
        <w:fldChar w:fldCharType="begin"/>
      </w:r>
      <w:r>
        <w:rPr>
          <w:rFonts w:ascii="黑体" w:hAnsi="黑体" w:eastAsia="黑体"/>
        </w:rPr>
        <w:instrText xml:space="preserve"> HYPERLINK \l _Toc23972 </w:instrText>
      </w:r>
      <w:r>
        <w:rPr>
          <w:rFonts w:ascii="黑体" w:hAnsi="黑体" w:eastAsia="黑体"/>
        </w:rPr>
        <w:fldChar w:fldCharType="separate"/>
      </w:r>
      <w:r>
        <w:rPr>
          <w:rStyle w:val="8"/>
          <w:rFonts w:ascii="黑体" w:hAnsi="黑体" w:eastAsia="黑体"/>
        </w:rPr>
        <w:t>引     言</w:t>
      </w:r>
      <w:r>
        <w:rPr>
          <w:rStyle w:val="8"/>
          <w:rFonts w:hint="eastAsia" w:ascii="黑体" w:hAnsi="黑体" w:eastAsia="黑体"/>
        </w:rPr>
        <w:t xml:space="preserve">                                     </w:t>
      </w:r>
      <w:r>
        <w:rPr>
          <w:rStyle w:val="8"/>
          <w:rFonts w:ascii="黑体" w:hAnsi="黑体" w:eastAsia="黑体"/>
        </w:rPr>
        <w:tab/>
      </w:r>
      <w:r>
        <w:rPr>
          <w:rStyle w:val="8"/>
          <w:rFonts w:hint="eastAsia" w:ascii="黑体" w:hAnsi="黑体" w:eastAsia="黑体"/>
        </w:rPr>
        <w:t>1</w:t>
      </w:r>
      <w:r>
        <w:rPr>
          <w:rFonts w:ascii="黑体" w:hAnsi="黑体" w:eastAsia="黑体"/>
        </w:rPr>
        <w:fldChar w:fldCharType="end"/>
      </w:r>
    </w:p>
    <w:p>
      <w:pPr>
        <w:adjustRightInd w:val="0"/>
        <w:snapToGrid w:val="0"/>
        <w:spacing w:line="580" w:lineRule="exact"/>
        <w:ind w:firstLine="640" w:firstLineChars="200"/>
        <w:rPr>
          <w:rFonts w:ascii="黑体" w:hAnsi="黑体" w:eastAsia="黑体"/>
        </w:rPr>
      </w:pPr>
      <w:r>
        <w:rPr>
          <w:rFonts w:ascii="黑体" w:hAnsi="黑体" w:eastAsia="黑体"/>
        </w:rPr>
        <w:fldChar w:fldCharType="begin"/>
      </w:r>
      <w:r>
        <w:rPr>
          <w:rFonts w:ascii="黑体" w:hAnsi="黑体" w:eastAsia="黑体"/>
        </w:rPr>
        <w:instrText xml:space="preserve"> HYPERLINK \l _Toc28697 </w:instrText>
      </w:r>
      <w:r>
        <w:rPr>
          <w:rFonts w:ascii="黑体" w:hAnsi="黑体" w:eastAsia="黑体"/>
        </w:rPr>
        <w:fldChar w:fldCharType="separate"/>
      </w:r>
      <w:r>
        <w:rPr>
          <w:rStyle w:val="8"/>
          <w:rFonts w:ascii="黑体" w:hAnsi="黑体" w:eastAsia="黑体"/>
        </w:rPr>
        <w:t>第一章   发展背景</w:t>
      </w:r>
      <w:r>
        <w:rPr>
          <w:rStyle w:val="8"/>
          <w:rFonts w:hint="eastAsia" w:ascii="黑体" w:hAnsi="黑体" w:eastAsia="黑体"/>
        </w:rPr>
        <w:t xml:space="preserve">                             </w:t>
      </w:r>
      <w:r>
        <w:rPr>
          <w:rStyle w:val="8"/>
          <w:rFonts w:ascii="黑体" w:hAnsi="黑体" w:eastAsia="黑体"/>
        </w:rPr>
        <w:tab/>
      </w:r>
      <w:r>
        <w:rPr>
          <w:rStyle w:val="8"/>
          <w:rFonts w:hint="eastAsia" w:ascii="黑体" w:hAnsi="黑体" w:eastAsia="黑体"/>
        </w:rPr>
        <w:t>2</w:t>
      </w:r>
      <w:r>
        <w:rPr>
          <w:rFonts w:ascii="黑体" w:hAnsi="黑体" w:eastAsia="黑体"/>
        </w:rPr>
        <w:fldChar w:fldCharType="end"/>
      </w:r>
    </w:p>
    <w:p>
      <w:pPr>
        <w:adjustRightInd w:val="0"/>
        <w:snapToGrid w:val="0"/>
        <w:spacing w:line="580" w:lineRule="exact"/>
        <w:ind w:firstLine="1600" w:firstLineChars="500"/>
      </w:pPr>
      <w:r>
        <w:fldChar w:fldCharType="begin"/>
      </w:r>
      <w:r>
        <w:instrText xml:space="preserve"> HYPERLINK \l _Toc29305 </w:instrText>
      </w:r>
      <w:r>
        <w:fldChar w:fldCharType="separate"/>
      </w:r>
      <w:r>
        <w:rPr>
          <w:rStyle w:val="8"/>
        </w:rPr>
        <w:t>第一节  “十三五”期间主要成效</w:t>
      </w:r>
      <w:r>
        <w:rPr>
          <w:rStyle w:val="8"/>
          <w:rFonts w:hint="eastAsia"/>
        </w:rPr>
        <w:t xml:space="preserve">             </w:t>
      </w:r>
      <w:r>
        <w:rPr>
          <w:rStyle w:val="8"/>
        </w:rPr>
        <w:tab/>
      </w:r>
      <w:r>
        <w:fldChar w:fldCharType="end"/>
      </w:r>
      <w:r>
        <w:rPr>
          <w:rFonts w:hint="eastAsia"/>
        </w:rPr>
        <w:t>2</w:t>
      </w:r>
    </w:p>
    <w:p>
      <w:pPr>
        <w:adjustRightInd w:val="0"/>
        <w:snapToGrid w:val="0"/>
        <w:spacing w:line="580" w:lineRule="exact"/>
        <w:ind w:firstLine="1600" w:firstLineChars="500"/>
      </w:pPr>
      <w:r>
        <w:fldChar w:fldCharType="begin"/>
      </w:r>
      <w:r>
        <w:instrText xml:space="preserve"> HYPERLINK \l _Toc27917 </w:instrText>
      </w:r>
      <w:r>
        <w:fldChar w:fldCharType="separate"/>
      </w:r>
      <w:r>
        <w:rPr>
          <w:rStyle w:val="8"/>
        </w:rPr>
        <w:t>第二节  “十三五”期间存在问题</w:t>
      </w:r>
      <w:r>
        <w:rPr>
          <w:rStyle w:val="8"/>
          <w:rFonts w:hint="eastAsia"/>
        </w:rPr>
        <w:t xml:space="preserve">              </w:t>
      </w:r>
      <w:r>
        <w:rPr>
          <w:rStyle w:val="8"/>
        </w:rPr>
        <w:tab/>
      </w:r>
      <w:r>
        <w:rPr>
          <w:rStyle w:val="8"/>
          <w:rFonts w:hint="eastAsia"/>
        </w:rPr>
        <w:t>5</w:t>
      </w:r>
      <w:r>
        <w:fldChar w:fldCharType="end"/>
      </w:r>
    </w:p>
    <w:p>
      <w:pPr>
        <w:adjustRightInd w:val="0"/>
        <w:snapToGrid w:val="0"/>
        <w:spacing w:line="580" w:lineRule="exact"/>
        <w:ind w:firstLine="1600" w:firstLineChars="500"/>
      </w:pPr>
      <w:r>
        <w:fldChar w:fldCharType="begin"/>
      </w:r>
      <w:r>
        <w:instrText xml:space="preserve"> HYPERLINK \l _Toc11113 </w:instrText>
      </w:r>
      <w:r>
        <w:fldChar w:fldCharType="separate"/>
      </w:r>
      <w:r>
        <w:rPr>
          <w:rStyle w:val="8"/>
        </w:rPr>
        <w:t>第三节  “十四五”时期发展机遇</w:t>
      </w:r>
      <w:r>
        <w:rPr>
          <w:rStyle w:val="8"/>
          <w:rFonts w:hint="eastAsia"/>
        </w:rPr>
        <w:t xml:space="preserve">              </w:t>
      </w:r>
      <w:r>
        <w:rPr>
          <w:rStyle w:val="8"/>
        </w:rPr>
        <w:tab/>
      </w:r>
      <w:r>
        <w:rPr>
          <w:rStyle w:val="8"/>
          <w:rFonts w:hint="eastAsia"/>
        </w:rPr>
        <w:t>6</w:t>
      </w:r>
      <w:r>
        <w:fldChar w:fldCharType="end"/>
      </w:r>
    </w:p>
    <w:p>
      <w:pPr>
        <w:adjustRightInd w:val="0"/>
        <w:snapToGrid w:val="0"/>
        <w:spacing w:line="580" w:lineRule="exact"/>
        <w:ind w:firstLine="1600" w:firstLineChars="500"/>
      </w:pPr>
      <w:r>
        <w:fldChar w:fldCharType="begin"/>
      </w:r>
      <w:r>
        <w:instrText xml:space="preserve"> HYPERLINK \l _Toc3199 </w:instrText>
      </w:r>
      <w:r>
        <w:fldChar w:fldCharType="separate"/>
      </w:r>
      <w:r>
        <w:rPr>
          <w:rStyle w:val="8"/>
        </w:rPr>
        <w:t>第四节  “十四五”时期发展挑战</w:t>
      </w:r>
      <w:r>
        <w:rPr>
          <w:rStyle w:val="8"/>
          <w:rFonts w:hint="eastAsia"/>
        </w:rPr>
        <w:t xml:space="preserve">              </w:t>
      </w:r>
      <w:r>
        <w:rPr>
          <w:rStyle w:val="8"/>
        </w:rPr>
        <w:tab/>
      </w:r>
      <w:r>
        <w:rPr>
          <w:rStyle w:val="8"/>
          <w:rFonts w:hint="eastAsia"/>
        </w:rPr>
        <w:t>8</w:t>
      </w:r>
      <w:r>
        <w:fldChar w:fldCharType="end"/>
      </w:r>
    </w:p>
    <w:p>
      <w:pPr>
        <w:adjustRightInd w:val="0"/>
        <w:snapToGrid w:val="0"/>
        <w:spacing w:line="580" w:lineRule="exact"/>
        <w:ind w:firstLine="1600" w:firstLineChars="500"/>
      </w:pPr>
      <w:r>
        <w:fldChar w:fldCharType="begin"/>
      </w:r>
      <w:r>
        <w:instrText xml:space="preserve"> HYPERLINK \l _Toc24938 </w:instrText>
      </w:r>
      <w:r>
        <w:fldChar w:fldCharType="separate"/>
      </w:r>
      <w:r>
        <w:rPr>
          <w:rStyle w:val="8"/>
        </w:rPr>
        <w:t>第五节  “十四五”时期发展条件</w:t>
      </w:r>
      <w:r>
        <w:rPr>
          <w:rStyle w:val="8"/>
          <w:rFonts w:hint="eastAsia"/>
        </w:rPr>
        <w:t xml:space="preserve">              </w:t>
      </w:r>
      <w:r>
        <w:rPr>
          <w:rStyle w:val="8"/>
        </w:rPr>
        <w:tab/>
      </w:r>
      <w:r>
        <w:rPr>
          <w:rStyle w:val="8"/>
          <w:rFonts w:hint="eastAsia"/>
        </w:rPr>
        <w:t>9</w:t>
      </w:r>
      <w:r>
        <w:fldChar w:fldCharType="end"/>
      </w:r>
    </w:p>
    <w:p>
      <w:pPr>
        <w:adjustRightInd w:val="0"/>
        <w:snapToGrid w:val="0"/>
        <w:spacing w:line="580" w:lineRule="exact"/>
        <w:ind w:firstLine="640" w:firstLineChars="200"/>
        <w:rPr>
          <w:rFonts w:ascii="黑体" w:hAnsi="黑体" w:eastAsia="黑体"/>
        </w:rPr>
      </w:pPr>
      <w:r>
        <w:rPr>
          <w:rFonts w:ascii="黑体" w:hAnsi="黑体" w:eastAsia="黑体"/>
        </w:rPr>
        <w:fldChar w:fldCharType="begin"/>
      </w:r>
      <w:r>
        <w:rPr>
          <w:rFonts w:ascii="黑体" w:hAnsi="黑体" w:eastAsia="黑体"/>
        </w:rPr>
        <w:instrText xml:space="preserve"> HYPERLINK \l _Toc21521 </w:instrText>
      </w:r>
      <w:r>
        <w:rPr>
          <w:rFonts w:ascii="黑体" w:hAnsi="黑体" w:eastAsia="黑体"/>
        </w:rPr>
        <w:fldChar w:fldCharType="separate"/>
      </w:r>
      <w:r>
        <w:rPr>
          <w:rFonts w:ascii="黑体" w:hAnsi="黑体" w:eastAsia="黑体"/>
        </w:rPr>
        <w:t>第二章  发展趋势</w:t>
      </w:r>
      <w:r>
        <w:rPr>
          <w:rFonts w:hint="eastAsia" w:ascii="黑体" w:hAnsi="黑体" w:eastAsia="黑体"/>
        </w:rPr>
        <w:t xml:space="preserve">                              </w:t>
      </w:r>
      <w:r>
        <w:rPr>
          <w:rFonts w:ascii="黑体" w:hAnsi="黑体" w:eastAsia="黑体"/>
        </w:rPr>
        <w:tab/>
      </w:r>
      <w:r>
        <w:rPr>
          <w:rFonts w:ascii="黑体" w:hAnsi="黑体" w:eastAsia="黑体"/>
        </w:rPr>
        <w:fldChar w:fldCharType="end"/>
      </w:r>
      <w:r>
        <w:rPr>
          <w:rFonts w:hint="eastAsia" w:ascii="黑体" w:hAnsi="黑体" w:eastAsia="黑体"/>
        </w:rPr>
        <w:t>17</w:t>
      </w:r>
    </w:p>
    <w:p>
      <w:pPr>
        <w:adjustRightInd w:val="0"/>
        <w:snapToGrid w:val="0"/>
        <w:spacing w:line="580" w:lineRule="exact"/>
        <w:ind w:firstLine="1600" w:firstLineChars="500"/>
      </w:pPr>
      <w:r>
        <w:fldChar w:fldCharType="begin"/>
      </w:r>
      <w:r>
        <w:instrText xml:space="preserve"> HYPERLINK \l _Toc23064 </w:instrText>
      </w:r>
      <w:r>
        <w:fldChar w:fldCharType="separate"/>
      </w:r>
      <w:r>
        <w:rPr>
          <w:rStyle w:val="8"/>
        </w:rPr>
        <w:t>第一节  发展阶段的演进</w:t>
      </w:r>
      <w:r>
        <w:rPr>
          <w:rStyle w:val="8"/>
          <w:rFonts w:hint="eastAsia"/>
        </w:rPr>
        <w:t xml:space="preserve">                    </w:t>
      </w:r>
      <w:r>
        <w:rPr>
          <w:rStyle w:val="8"/>
        </w:rPr>
        <w:tab/>
      </w:r>
      <w:r>
        <w:fldChar w:fldCharType="end"/>
      </w:r>
      <w:r>
        <w:rPr>
          <w:rFonts w:hint="eastAsia"/>
        </w:rPr>
        <w:t>17</w:t>
      </w:r>
    </w:p>
    <w:p>
      <w:pPr>
        <w:adjustRightInd w:val="0"/>
        <w:snapToGrid w:val="0"/>
        <w:spacing w:line="580" w:lineRule="exact"/>
        <w:ind w:firstLine="1600" w:firstLineChars="500"/>
      </w:pPr>
      <w:r>
        <w:fldChar w:fldCharType="begin"/>
      </w:r>
      <w:r>
        <w:instrText xml:space="preserve"> HYPERLINK \l _Toc22399 </w:instrText>
      </w:r>
      <w:r>
        <w:fldChar w:fldCharType="separate"/>
      </w:r>
      <w:r>
        <w:rPr>
          <w:rStyle w:val="8"/>
        </w:rPr>
        <w:t>第二节  空间格局的分布</w:t>
      </w:r>
      <w:r>
        <w:rPr>
          <w:rStyle w:val="8"/>
          <w:rFonts w:hint="eastAsia"/>
        </w:rPr>
        <w:t xml:space="preserve">                   </w:t>
      </w:r>
      <w:r>
        <w:rPr>
          <w:rStyle w:val="8"/>
        </w:rPr>
        <w:tab/>
      </w:r>
      <w:r>
        <w:fldChar w:fldCharType="end"/>
      </w:r>
      <w:r>
        <w:rPr>
          <w:rFonts w:hint="eastAsia"/>
        </w:rPr>
        <w:t>18</w:t>
      </w:r>
    </w:p>
    <w:p>
      <w:pPr>
        <w:adjustRightInd w:val="0"/>
        <w:snapToGrid w:val="0"/>
        <w:spacing w:line="580" w:lineRule="exact"/>
        <w:ind w:firstLine="1600" w:firstLineChars="500"/>
      </w:pPr>
      <w:r>
        <w:fldChar w:fldCharType="begin"/>
      </w:r>
      <w:r>
        <w:instrText xml:space="preserve"> HYPERLINK \l _Toc29828 </w:instrText>
      </w:r>
      <w:r>
        <w:fldChar w:fldCharType="separate"/>
      </w:r>
      <w:r>
        <w:rPr>
          <w:rStyle w:val="8"/>
        </w:rPr>
        <w:t>第三节  未来发展的趋势</w:t>
      </w:r>
      <w:r>
        <w:rPr>
          <w:rStyle w:val="8"/>
          <w:rFonts w:hint="eastAsia"/>
        </w:rPr>
        <w:t xml:space="preserve">                   </w:t>
      </w:r>
      <w:r>
        <w:rPr>
          <w:rStyle w:val="8"/>
        </w:rPr>
        <w:tab/>
      </w:r>
      <w:r>
        <w:fldChar w:fldCharType="end"/>
      </w:r>
      <w:r>
        <w:rPr>
          <w:rFonts w:hint="eastAsia"/>
        </w:rPr>
        <w:t>19</w:t>
      </w:r>
    </w:p>
    <w:p>
      <w:pPr>
        <w:adjustRightInd w:val="0"/>
        <w:snapToGrid w:val="0"/>
        <w:spacing w:line="580" w:lineRule="exact"/>
        <w:ind w:firstLine="1600" w:firstLineChars="500"/>
      </w:pPr>
      <w:r>
        <w:t>第四节  突破路径的定位</w:t>
      </w:r>
      <w:r>
        <w:rPr>
          <w:rFonts w:hint="eastAsia"/>
        </w:rPr>
        <w:t xml:space="preserve">                   </w:t>
      </w:r>
      <w:r>
        <w:tab/>
      </w:r>
      <w:r>
        <w:rPr>
          <w:rFonts w:hint="eastAsia"/>
        </w:rPr>
        <w:t>22</w:t>
      </w:r>
    </w:p>
    <w:p>
      <w:pPr>
        <w:adjustRightInd w:val="0"/>
        <w:snapToGrid w:val="0"/>
        <w:spacing w:line="580" w:lineRule="exact"/>
        <w:ind w:firstLine="640" w:firstLineChars="200"/>
        <w:rPr>
          <w:rFonts w:ascii="黑体" w:hAnsi="黑体" w:eastAsia="黑体"/>
        </w:rPr>
      </w:pPr>
      <w:r>
        <w:rPr>
          <w:rFonts w:ascii="黑体" w:hAnsi="黑体" w:eastAsia="黑体"/>
        </w:rPr>
        <w:fldChar w:fldCharType="begin"/>
      </w:r>
      <w:r>
        <w:rPr>
          <w:rFonts w:ascii="黑体" w:hAnsi="黑体" w:eastAsia="黑体"/>
        </w:rPr>
        <w:instrText xml:space="preserve"> HYPERLINK \l _Toc21180 </w:instrText>
      </w:r>
      <w:r>
        <w:rPr>
          <w:rFonts w:ascii="黑体" w:hAnsi="黑体" w:eastAsia="黑体"/>
        </w:rPr>
        <w:fldChar w:fldCharType="separate"/>
      </w:r>
      <w:r>
        <w:rPr>
          <w:rFonts w:ascii="黑体" w:hAnsi="黑体" w:eastAsia="黑体"/>
        </w:rPr>
        <w:t>第三章  发展思路</w:t>
      </w:r>
      <w:r>
        <w:rPr>
          <w:rFonts w:hint="eastAsia" w:ascii="黑体" w:hAnsi="黑体" w:eastAsia="黑体"/>
        </w:rPr>
        <w:t xml:space="preserve">                               </w:t>
      </w:r>
      <w:r>
        <w:rPr>
          <w:rFonts w:ascii="黑体" w:hAnsi="黑体" w:eastAsia="黑体"/>
        </w:rPr>
        <w:tab/>
      </w:r>
      <w:r>
        <w:rPr>
          <w:rFonts w:hint="eastAsia" w:ascii="黑体" w:hAnsi="黑体" w:eastAsia="黑体"/>
        </w:rPr>
        <w:t>2</w:t>
      </w:r>
      <w:r>
        <w:rPr>
          <w:rFonts w:ascii="黑体" w:hAnsi="黑体" w:eastAsia="黑体"/>
        </w:rPr>
        <w:fldChar w:fldCharType="end"/>
      </w:r>
      <w:r>
        <w:rPr>
          <w:rFonts w:hint="eastAsia" w:ascii="黑体" w:hAnsi="黑体" w:eastAsia="黑体"/>
        </w:rPr>
        <w:t>4</w:t>
      </w:r>
    </w:p>
    <w:p>
      <w:pPr>
        <w:adjustRightInd w:val="0"/>
        <w:snapToGrid w:val="0"/>
        <w:spacing w:line="580" w:lineRule="exact"/>
        <w:ind w:firstLine="1600" w:firstLineChars="500"/>
      </w:pPr>
      <w:r>
        <w:fldChar w:fldCharType="begin"/>
      </w:r>
      <w:r>
        <w:instrText xml:space="preserve"> HYPERLINK \l _Toc31087 </w:instrText>
      </w:r>
      <w:r>
        <w:fldChar w:fldCharType="separate"/>
      </w:r>
      <w:r>
        <w:rPr>
          <w:rStyle w:val="8"/>
        </w:rPr>
        <w:t>第一节  总体要求</w:t>
      </w:r>
      <w:r>
        <w:rPr>
          <w:rStyle w:val="8"/>
          <w:rFonts w:hint="eastAsia"/>
        </w:rPr>
        <w:t xml:space="preserve">                          </w:t>
      </w:r>
      <w:r>
        <w:rPr>
          <w:rStyle w:val="8"/>
        </w:rPr>
        <w:tab/>
      </w:r>
      <w:r>
        <w:fldChar w:fldCharType="end"/>
      </w:r>
      <w:r>
        <w:rPr>
          <w:rFonts w:hint="eastAsia"/>
        </w:rPr>
        <w:t>24</w:t>
      </w:r>
    </w:p>
    <w:p>
      <w:pPr>
        <w:adjustRightInd w:val="0"/>
        <w:snapToGrid w:val="0"/>
        <w:spacing w:line="580" w:lineRule="exact"/>
        <w:ind w:firstLine="1600" w:firstLineChars="500"/>
      </w:pPr>
      <w:r>
        <w:fldChar w:fldCharType="begin"/>
      </w:r>
      <w:r>
        <w:instrText xml:space="preserve"> HYPERLINK \l _Toc23986 </w:instrText>
      </w:r>
      <w:r>
        <w:fldChar w:fldCharType="separate"/>
      </w:r>
      <w:r>
        <w:rPr>
          <w:rStyle w:val="8"/>
        </w:rPr>
        <w:t>第二节  基本原则</w:t>
      </w:r>
      <w:r>
        <w:rPr>
          <w:rStyle w:val="8"/>
          <w:rFonts w:hint="eastAsia"/>
        </w:rPr>
        <w:t xml:space="preserve">                          </w:t>
      </w:r>
      <w:r>
        <w:rPr>
          <w:rStyle w:val="8"/>
        </w:rPr>
        <w:tab/>
      </w:r>
      <w:r>
        <w:fldChar w:fldCharType="end"/>
      </w:r>
      <w:r>
        <w:rPr>
          <w:rFonts w:hint="eastAsia"/>
        </w:rPr>
        <w:t>24</w:t>
      </w:r>
    </w:p>
    <w:p>
      <w:pPr>
        <w:adjustRightInd w:val="0"/>
        <w:snapToGrid w:val="0"/>
        <w:spacing w:line="580" w:lineRule="exact"/>
        <w:ind w:firstLine="1600" w:firstLineChars="500"/>
      </w:pPr>
      <w:r>
        <w:fldChar w:fldCharType="begin"/>
      </w:r>
      <w:r>
        <w:instrText xml:space="preserve"> HYPERLINK \l _Toc4744 </w:instrText>
      </w:r>
      <w:r>
        <w:fldChar w:fldCharType="separate"/>
      </w:r>
      <w:r>
        <w:rPr>
          <w:rStyle w:val="8"/>
        </w:rPr>
        <w:t>第三节  发展目标</w:t>
      </w:r>
      <w:r>
        <w:rPr>
          <w:rStyle w:val="8"/>
          <w:rFonts w:hint="eastAsia"/>
        </w:rPr>
        <w:t xml:space="preserve">                          </w:t>
      </w:r>
      <w:r>
        <w:rPr>
          <w:rStyle w:val="8"/>
        </w:rPr>
        <w:tab/>
      </w:r>
      <w:r>
        <w:rPr>
          <w:rStyle w:val="8"/>
          <w:rFonts w:hint="eastAsia"/>
        </w:rPr>
        <w:t>2</w:t>
      </w:r>
      <w:r>
        <w:fldChar w:fldCharType="end"/>
      </w:r>
      <w:r>
        <w:rPr>
          <w:rFonts w:hint="eastAsia"/>
        </w:rPr>
        <w:t>5</w:t>
      </w:r>
    </w:p>
    <w:p>
      <w:pPr>
        <w:adjustRightInd w:val="0"/>
        <w:snapToGrid w:val="0"/>
        <w:spacing w:line="580" w:lineRule="exact"/>
        <w:ind w:firstLine="1600" w:firstLineChars="500"/>
      </w:pPr>
      <w:r>
        <w:fldChar w:fldCharType="begin"/>
      </w:r>
      <w:r>
        <w:instrText xml:space="preserve"> HYPERLINK \l _Toc20248 </w:instrText>
      </w:r>
      <w:r>
        <w:fldChar w:fldCharType="separate"/>
      </w:r>
      <w:r>
        <w:rPr>
          <w:rStyle w:val="8"/>
        </w:rPr>
        <w:t>第四节  空间布局</w:t>
      </w:r>
      <w:r>
        <w:rPr>
          <w:rStyle w:val="8"/>
          <w:rFonts w:hint="eastAsia"/>
        </w:rPr>
        <w:t xml:space="preserve">                          </w:t>
      </w:r>
      <w:r>
        <w:rPr>
          <w:rStyle w:val="8"/>
        </w:rPr>
        <w:tab/>
      </w:r>
      <w:r>
        <w:fldChar w:fldCharType="end"/>
      </w:r>
      <w:r>
        <w:rPr>
          <w:rFonts w:hint="eastAsia"/>
        </w:rPr>
        <w:t>28</w:t>
      </w:r>
    </w:p>
    <w:p>
      <w:pPr>
        <w:adjustRightInd w:val="0"/>
        <w:snapToGrid w:val="0"/>
        <w:spacing w:line="580" w:lineRule="exact"/>
        <w:ind w:firstLine="640" w:firstLineChars="200"/>
        <w:rPr>
          <w:rFonts w:ascii="黑体" w:hAnsi="黑体" w:eastAsia="黑体"/>
        </w:rPr>
      </w:pPr>
      <w:r>
        <w:rPr>
          <w:rFonts w:ascii="黑体" w:hAnsi="黑体" w:eastAsia="黑体"/>
        </w:rPr>
        <w:fldChar w:fldCharType="begin"/>
      </w:r>
      <w:r>
        <w:rPr>
          <w:rFonts w:ascii="黑体" w:hAnsi="黑体" w:eastAsia="黑体"/>
        </w:rPr>
        <w:instrText xml:space="preserve"> HYPERLINK \l _Toc18529 </w:instrText>
      </w:r>
      <w:r>
        <w:rPr>
          <w:rFonts w:ascii="黑体" w:hAnsi="黑体" w:eastAsia="黑体"/>
        </w:rPr>
        <w:fldChar w:fldCharType="separate"/>
      </w:r>
      <w:r>
        <w:rPr>
          <w:rFonts w:ascii="黑体" w:hAnsi="黑体" w:eastAsia="黑体"/>
        </w:rPr>
        <w:t>第四章  构建会展产业新格局</w:t>
      </w:r>
      <w:r>
        <w:rPr>
          <w:rFonts w:hint="eastAsia" w:ascii="黑体" w:hAnsi="黑体" w:eastAsia="黑体"/>
        </w:rPr>
        <w:t xml:space="preserve">                     </w:t>
      </w:r>
      <w:r>
        <w:rPr>
          <w:rFonts w:ascii="黑体" w:hAnsi="黑体" w:eastAsia="黑体"/>
        </w:rPr>
        <w:tab/>
      </w:r>
      <w:r>
        <w:rPr>
          <w:rFonts w:hint="eastAsia" w:ascii="黑体" w:hAnsi="黑体" w:eastAsia="黑体"/>
        </w:rPr>
        <w:t>3</w:t>
      </w:r>
      <w:r>
        <w:rPr>
          <w:rFonts w:ascii="黑体" w:hAnsi="黑体" w:eastAsia="黑体"/>
        </w:rPr>
        <w:fldChar w:fldCharType="end"/>
      </w:r>
      <w:r>
        <w:rPr>
          <w:rFonts w:hint="eastAsia" w:ascii="黑体" w:hAnsi="黑体" w:eastAsia="黑体"/>
        </w:rPr>
        <w:t>1</w:t>
      </w:r>
    </w:p>
    <w:p>
      <w:pPr>
        <w:adjustRightInd w:val="0"/>
        <w:snapToGrid w:val="0"/>
        <w:spacing w:line="580" w:lineRule="exact"/>
        <w:ind w:firstLine="1600" w:firstLineChars="500"/>
      </w:pPr>
      <w:r>
        <w:fldChar w:fldCharType="begin"/>
      </w:r>
      <w:r>
        <w:instrText xml:space="preserve"> HYPERLINK \l _Toc20233 </w:instrText>
      </w:r>
      <w:r>
        <w:fldChar w:fldCharType="separate"/>
      </w:r>
      <w:r>
        <w:rPr>
          <w:rStyle w:val="8"/>
        </w:rPr>
        <w:t>第一节  提升“品牌展”能级</w:t>
      </w:r>
      <w:r>
        <w:rPr>
          <w:rStyle w:val="8"/>
          <w:rFonts w:hint="eastAsia"/>
        </w:rPr>
        <w:t xml:space="preserve">                  </w:t>
      </w:r>
      <w:r>
        <w:rPr>
          <w:rStyle w:val="8"/>
        </w:rPr>
        <w:tab/>
      </w:r>
      <w:r>
        <w:rPr>
          <w:rStyle w:val="8"/>
          <w:rFonts w:hint="eastAsia"/>
        </w:rPr>
        <w:t>3</w:t>
      </w:r>
      <w:r>
        <w:fldChar w:fldCharType="end"/>
      </w:r>
      <w:r>
        <w:rPr>
          <w:rFonts w:hint="eastAsia"/>
        </w:rPr>
        <w:t>1</w:t>
      </w:r>
    </w:p>
    <w:p>
      <w:pPr>
        <w:adjustRightInd w:val="0"/>
        <w:snapToGrid w:val="0"/>
        <w:spacing w:line="580" w:lineRule="exact"/>
        <w:ind w:firstLine="1600" w:firstLineChars="500"/>
      </w:pPr>
      <w:r>
        <w:fldChar w:fldCharType="begin"/>
      </w:r>
      <w:r>
        <w:instrText xml:space="preserve"> HYPERLINK \l _Toc9524 </w:instrText>
      </w:r>
      <w:r>
        <w:fldChar w:fldCharType="separate"/>
      </w:r>
      <w:r>
        <w:rPr>
          <w:rStyle w:val="8"/>
        </w:rPr>
        <w:t>第二节  注重“精品展”质量</w:t>
      </w:r>
      <w:r>
        <w:rPr>
          <w:rStyle w:val="8"/>
          <w:rFonts w:hint="eastAsia"/>
        </w:rPr>
        <w:t xml:space="preserve">                  </w:t>
      </w:r>
      <w:r>
        <w:rPr>
          <w:rStyle w:val="8"/>
        </w:rPr>
        <w:tab/>
      </w:r>
      <w:r>
        <w:rPr>
          <w:rStyle w:val="8"/>
          <w:rFonts w:hint="eastAsia"/>
        </w:rPr>
        <w:t>3</w:t>
      </w:r>
      <w:r>
        <w:fldChar w:fldCharType="end"/>
      </w:r>
      <w:r>
        <w:rPr>
          <w:rFonts w:hint="eastAsia"/>
        </w:rPr>
        <w:t>4</w:t>
      </w:r>
    </w:p>
    <w:p>
      <w:pPr>
        <w:adjustRightInd w:val="0"/>
        <w:snapToGrid w:val="0"/>
        <w:spacing w:line="580" w:lineRule="exact"/>
        <w:ind w:firstLine="1600" w:firstLineChars="500"/>
        <w:rPr>
          <w:rFonts w:hint="eastAsia"/>
        </w:rPr>
      </w:pPr>
      <w:r>
        <w:fldChar w:fldCharType="begin"/>
      </w:r>
      <w:r>
        <w:instrText xml:space="preserve"> HYPERLINK \l _Toc24382 </w:instrText>
      </w:r>
      <w:r>
        <w:fldChar w:fldCharType="separate"/>
      </w:r>
      <w:r>
        <w:rPr>
          <w:rStyle w:val="8"/>
        </w:rPr>
        <w:t>第三节  增强“泛会展”实效</w:t>
      </w:r>
      <w:r>
        <w:rPr>
          <w:rStyle w:val="8"/>
          <w:rFonts w:hint="eastAsia"/>
        </w:rPr>
        <w:t xml:space="preserve">                  </w:t>
      </w:r>
      <w:r>
        <w:rPr>
          <w:rStyle w:val="8"/>
        </w:rPr>
        <w:tab/>
      </w:r>
      <w:r>
        <w:rPr>
          <w:rStyle w:val="8"/>
          <w:rFonts w:hint="eastAsia"/>
        </w:rPr>
        <w:t>3</w:t>
      </w:r>
      <w:r>
        <w:fldChar w:fldCharType="end"/>
      </w:r>
      <w:r>
        <w:rPr>
          <w:rFonts w:hint="eastAsia"/>
        </w:rPr>
        <w:t>7</w:t>
      </w:r>
    </w:p>
    <w:p>
      <w:pPr>
        <w:adjustRightInd w:val="0"/>
        <w:snapToGrid w:val="0"/>
        <w:spacing w:line="580" w:lineRule="exact"/>
        <w:ind w:firstLine="640" w:firstLineChars="200"/>
        <w:rPr>
          <w:rFonts w:ascii="黑体" w:hAnsi="黑体" w:eastAsia="黑体"/>
        </w:rPr>
      </w:pPr>
      <w:r>
        <w:rPr>
          <w:rFonts w:ascii="黑体" w:hAnsi="黑体" w:eastAsia="黑体"/>
        </w:rPr>
        <w:fldChar w:fldCharType="begin"/>
      </w:r>
      <w:r>
        <w:rPr>
          <w:rFonts w:ascii="黑体" w:hAnsi="黑体" w:eastAsia="黑体"/>
        </w:rPr>
        <w:instrText xml:space="preserve"> HYPERLINK \l _Toc19121 </w:instrText>
      </w:r>
      <w:r>
        <w:rPr>
          <w:rFonts w:ascii="黑体" w:hAnsi="黑体" w:eastAsia="黑体"/>
        </w:rPr>
        <w:fldChar w:fldCharType="separate"/>
      </w:r>
      <w:r>
        <w:rPr>
          <w:rFonts w:ascii="黑体" w:hAnsi="黑体" w:eastAsia="黑体"/>
        </w:rPr>
        <w:t>第五章  建设国际旅游会展中心</w:t>
      </w:r>
      <w:r>
        <w:rPr>
          <w:rFonts w:hint="eastAsia" w:ascii="黑体" w:hAnsi="黑体" w:eastAsia="黑体"/>
        </w:rPr>
        <w:t xml:space="preserve">                   </w:t>
      </w:r>
      <w:r>
        <w:rPr>
          <w:rFonts w:ascii="黑体" w:hAnsi="黑体" w:eastAsia="黑体"/>
        </w:rPr>
        <w:tab/>
      </w:r>
      <w:r>
        <w:rPr>
          <w:rFonts w:ascii="黑体" w:hAnsi="黑体" w:eastAsia="黑体"/>
        </w:rPr>
        <w:fldChar w:fldCharType="end"/>
      </w:r>
      <w:r>
        <w:rPr>
          <w:rFonts w:hint="eastAsia" w:ascii="黑体" w:hAnsi="黑体" w:eastAsia="黑体"/>
        </w:rPr>
        <w:t>42</w:t>
      </w:r>
    </w:p>
    <w:p>
      <w:pPr>
        <w:adjustRightInd w:val="0"/>
        <w:snapToGrid w:val="0"/>
        <w:spacing w:line="580" w:lineRule="exact"/>
        <w:ind w:firstLine="1600" w:firstLineChars="500"/>
      </w:pPr>
      <w:r>
        <w:fldChar w:fldCharType="begin"/>
      </w:r>
      <w:r>
        <w:instrText xml:space="preserve"> HYPERLINK \l _Toc3601 </w:instrText>
      </w:r>
      <w:r>
        <w:fldChar w:fldCharType="separate"/>
      </w:r>
      <w:r>
        <w:rPr>
          <w:rStyle w:val="8"/>
        </w:rPr>
        <w:t>第一节  打造旅游会展园区</w:t>
      </w:r>
      <w:r>
        <w:rPr>
          <w:rStyle w:val="8"/>
          <w:rFonts w:hint="eastAsia"/>
        </w:rPr>
        <w:t xml:space="preserve">                  </w:t>
      </w:r>
      <w:r>
        <w:rPr>
          <w:rStyle w:val="8"/>
        </w:rPr>
        <w:tab/>
      </w:r>
      <w:r>
        <w:rPr>
          <w:rStyle w:val="8"/>
          <w:rFonts w:hint="eastAsia"/>
        </w:rPr>
        <w:t>4</w:t>
      </w:r>
      <w:r>
        <w:fldChar w:fldCharType="end"/>
      </w:r>
      <w:r>
        <w:rPr>
          <w:rFonts w:hint="eastAsia"/>
        </w:rPr>
        <w:t>2</w:t>
      </w:r>
    </w:p>
    <w:p>
      <w:pPr>
        <w:adjustRightInd w:val="0"/>
        <w:snapToGrid w:val="0"/>
        <w:spacing w:line="580" w:lineRule="exact"/>
        <w:ind w:firstLine="1600" w:firstLineChars="500"/>
      </w:pPr>
      <w:r>
        <w:fldChar w:fldCharType="begin"/>
      </w:r>
      <w:r>
        <w:instrText xml:space="preserve"> HYPERLINK \l _Toc31602 </w:instrText>
      </w:r>
      <w:r>
        <w:fldChar w:fldCharType="separate"/>
      </w:r>
      <w:r>
        <w:rPr>
          <w:rStyle w:val="8"/>
        </w:rPr>
        <w:t>第二节  擦亮会奖旅游品牌</w:t>
      </w:r>
      <w:r>
        <w:rPr>
          <w:rStyle w:val="8"/>
          <w:rFonts w:hint="eastAsia"/>
        </w:rPr>
        <w:t xml:space="preserve">                  </w:t>
      </w:r>
      <w:r>
        <w:rPr>
          <w:rStyle w:val="8"/>
        </w:rPr>
        <w:tab/>
      </w:r>
      <w:r>
        <w:rPr>
          <w:rStyle w:val="8"/>
          <w:rFonts w:hint="eastAsia"/>
        </w:rPr>
        <w:t>4</w:t>
      </w:r>
      <w:r>
        <w:fldChar w:fldCharType="end"/>
      </w:r>
      <w:r>
        <w:rPr>
          <w:rFonts w:hint="eastAsia"/>
        </w:rPr>
        <w:t>3</w:t>
      </w:r>
    </w:p>
    <w:p>
      <w:pPr>
        <w:adjustRightInd w:val="0"/>
        <w:snapToGrid w:val="0"/>
        <w:spacing w:line="580" w:lineRule="exact"/>
        <w:ind w:firstLine="1600" w:firstLineChars="500"/>
      </w:pPr>
      <w:r>
        <w:fldChar w:fldCharType="begin"/>
      </w:r>
      <w:r>
        <w:instrText xml:space="preserve"> HYPERLINK \l _Toc23744 </w:instrText>
      </w:r>
      <w:r>
        <w:fldChar w:fldCharType="separate"/>
      </w:r>
      <w:r>
        <w:rPr>
          <w:rStyle w:val="8"/>
        </w:rPr>
        <w:t>第三节  强化服务树立形象</w:t>
      </w:r>
      <w:r>
        <w:rPr>
          <w:rStyle w:val="8"/>
          <w:rFonts w:hint="eastAsia"/>
        </w:rPr>
        <w:t xml:space="preserve">                  </w:t>
      </w:r>
      <w:r>
        <w:rPr>
          <w:rStyle w:val="8"/>
        </w:rPr>
        <w:tab/>
      </w:r>
      <w:r>
        <w:rPr>
          <w:rStyle w:val="8"/>
          <w:rFonts w:hint="eastAsia"/>
        </w:rPr>
        <w:t>4</w:t>
      </w:r>
      <w:r>
        <w:fldChar w:fldCharType="end"/>
      </w:r>
      <w:r>
        <w:rPr>
          <w:rFonts w:hint="eastAsia"/>
        </w:rPr>
        <w:t>4</w:t>
      </w:r>
    </w:p>
    <w:p>
      <w:pPr>
        <w:adjustRightInd w:val="0"/>
        <w:snapToGrid w:val="0"/>
        <w:spacing w:line="580" w:lineRule="exact"/>
        <w:ind w:firstLine="640" w:firstLineChars="200"/>
        <w:rPr>
          <w:rFonts w:ascii="黑体" w:hAnsi="黑体" w:eastAsia="黑体"/>
        </w:rPr>
      </w:pPr>
      <w:r>
        <w:rPr>
          <w:rFonts w:ascii="黑体" w:hAnsi="黑体" w:eastAsia="黑体"/>
        </w:rPr>
        <w:fldChar w:fldCharType="begin"/>
      </w:r>
      <w:r>
        <w:rPr>
          <w:rFonts w:ascii="黑体" w:hAnsi="黑体" w:eastAsia="黑体"/>
        </w:rPr>
        <w:instrText xml:space="preserve"> HYPERLINK \l _Toc17526 </w:instrText>
      </w:r>
      <w:r>
        <w:rPr>
          <w:rFonts w:ascii="黑体" w:hAnsi="黑体" w:eastAsia="黑体"/>
        </w:rPr>
        <w:fldChar w:fldCharType="separate"/>
      </w:r>
      <w:r>
        <w:rPr>
          <w:rFonts w:ascii="黑体" w:hAnsi="黑体" w:eastAsia="黑体"/>
        </w:rPr>
        <w:t>第六章  培育全域会展生态圈</w:t>
      </w:r>
      <w:r>
        <w:rPr>
          <w:rFonts w:hint="eastAsia" w:ascii="黑体" w:hAnsi="黑体" w:eastAsia="黑体"/>
        </w:rPr>
        <w:t xml:space="preserve">                    </w:t>
      </w:r>
      <w:r>
        <w:rPr>
          <w:rFonts w:ascii="黑体" w:hAnsi="黑体" w:eastAsia="黑体"/>
        </w:rPr>
        <w:tab/>
      </w:r>
      <w:r>
        <w:rPr>
          <w:rFonts w:hint="eastAsia" w:ascii="黑体" w:hAnsi="黑体" w:eastAsia="黑体"/>
        </w:rPr>
        <w:t>4</w:t>
      </w:r>
      <w:r>
        <w:rPr>
          <w:rFonts w:ascii="黑体" w:hAnsi="黑体" w:eastAsia="黑体"/>
        </w:rPr>
        <w:fldChar w:fldCharType="end"/>
      </w:r>
      <w:r>
        <w:rPr>
          <w:rFonts w:hint="eastAsia" w:ascii="黑体" w:hAnsi="黑体" w:eastAsia="黑体"/>
        </w:rPr>
        <w:t>5</w:t>
      </w:r>
    </w:p>
    <w:p>
      <w:pPr>
        <w:adjustRightInd w:val="0"/>
        <w:snapToGrid w:val="0"/>
        <w:spacing w:line="580" w:lineRule="exact"/>
        <w:ind w:firstLine="1600" w:firstLineChars="500"/>
      </w:pPr>
      <w:r>
        <w:fldChar w:fldCharType="begin"/>
      </w:r>
      <w:r>
        <w:instrText xml:space="preserve"> HYPERLINK \l _Toc7120 </w:instrText>
      </w:r>
      <w:r>
        <w:fldChar w:fldCharType="separate"/>
      </w:r>
      <w:r>
        <w:rPr>
          <w:rStyle w:val="8"/>
        </w:rPr>
        <w:t>第一节  扶持市场主体发展</w:t>
      </w:r>
      <w:r>
        <w:rPr>
          <w:rStyle w:val="8"/>
          <w:rFonts w:hint="eastAsia"/>
        </w:rPr>
        <w:t xml:space="preserve">                 </w:t>
      </w:r>
      <w:r>
        <w:rPr>
          <w:rStyle w:val="8"/>
        </w:rPr>
        <w:tab/>
      </w:r>
      <w:r>
        <w:rPr>
          <w:rStyle w:val="8"/>
          <w:rFonts w:hint="eastAsia"/>
        </w:rPr>
        <w:t>4</w:t>
      </w:r>
      <w:r>
        <w:fldChar w:fldCharType="end"/>
      </w:r>
      <w:r>
        <w:rPr>
          <w:rFonts w:hint="eastAsia"/>
        </w:rPr>
        <w:t>5</w:t>
      </w:r>
    </w:p>
    <w:p>
      <w:pPr>
        <w:adjustRightInd w:val="0"/>
        <w:snapToGrid w:val="0"/>
        <w:spacing w:line="580" w:lineRule="exact"/>
        <w:ind w:firstLine="1600" w:firstLineChars="500"/>
      </w:pPr>
      <w:r>
        <w:fldChar w:fldCharType="begin"/>
      </w:r>
      <w:r>
        <w:instrText xml:space="preserve"> HYPERLINK \l _Toc14756 </w:instrText>
      </w:r>
      <w:r>
        <w:fldChar w:fldCharType="separate"/>
      </w:r>
      <w:r>
        <w:rPr>
          <w:rStyle w:val="8"/>
        </w:rPr>
        <w:t>第二节  抓好展会载体建设</w:t>
      </w:r>
      <w:r>
        <w:rPr>
          <w:rStyle w:val="8"/>
          <w:rFonts w:hint="eastAsia"/>
        </w:rPr>
        <w:t xml:space="preserve">                 </w:t>
      </w:r>
      <w:r>
        <w:rPr>
          <w:rStyle w:val="8"/>
        </w:rPr>
        <w:tab/>
      </w:r>
      <w:r>
        <w:rPr>
          <w:rStyle w:val="8"/>
          <w:rFonts w:hint="eastAsia"/>
        </w:rPr>
        <w:t>4</w:t>
      </w:r>
      <w:r>
        <w:fldChar w:fldCharType="end"/>
      </w:r>
      <w:r>
        <w:rPr>
          <w:rFonts w:hint="eastAsia"/>
        </w:rPr>
        <w:t>6</w:t>
      </w:r>
    </w:p>
    <w:p>
      <w:pPr>
        <w:adjustRightInd w:val="0"/>
        <w:snapToGrid w:val="0"/>
        <w:spacing w:line="580" w:lineRule="exact"/>
        <w:ind w:firstLine="1600" w:firstLineChars="500"/>
      </w:pPr>
      <w:r>
        <w:fldChar w:fldCharType="begin"/>
      </w:r>
      <w:r>
        <w:instrText xml:space="preserve"> HYPERLINK \l _Toc8391 </w:instrText>
      </w:r>
      <w:r>
        <w:fldChar w:fldCharType="separate"/>
      </w:r>
      <w:r>
        <w:rPr>
          <w:rStyle w:val="8"/>
        </w:rPr>
        <w:t>第三节  强化会展宣传推广</w:t>
      </w:r>
      <w:r>
        <w:rPr>
          <w:rStyle w:val="8"/>
          <w:rFonts w:hint="eastAsia"/>
        </w:rPr>
        <w:t xml:space="preserve">                 </w:t>
      </w:r>
      <w:r>
        <w:rPr>
          <w:rStyle w:val="8"/>
        </w:rPr>
        <w:tab/>
      </w:r>
      <w:r>
        <w:rPr>
          <w:rStyle w:val="8"/>
          <w:rFonts w:hint="eastAsia"/>
        </w:rPr>
        <w:t>4</w:t>
      </w:r>
      <w:r>
        <w:fldChar w:fldCharType="end"/>
      </w:r>
      <w:r>
        <w:rPr>
          <w:rFonts w:hint="eastAsia"/>
        </w:rPr>
        <w:t>7</w:t>
      </w:r>
    </w:p>
    <w:p>
      <w:pPr>
        <w:adjustRightInd w:val="0"/>
        <w:snapToGrid w:val="0"/>
        <w:spacing w:line="580" w:lineRule="exact"/>
        <w:ind w:firstLine="640" w:firstLineChars="200"/>
        <w:rPr>
          <w:rFonts w:ascii="黑体" w:hAnsi="黑体" w:eastAsia="黑体"/>
        </w:rPr>
      </w:pPr>
      <w:r>
        <w:rPr>
          <w:rFonts w:ascii="黑体" w:hAnsi="黑体" w:eastAsia="黑体"/>
        </w:rPr>
        <w:fldChar w:fldCharType="begin"/>
      </w:r>
      <w:r>
        <w:rPr>
          <w:rFonts w:ascii="黑体" w:hAnsi="黑体" w:eastAsia="黑体"/>
        </w:rPr>
        <w:instrText xml:space="preserve"> HYPERLINK \l _Toc6960 </w:instrText>
      </w:r>
      <w:r>
        <w:rPr>
          <w:rFonts w:ascii="黑体" w:hAnsi="黑体" w:eastAsia="黑体"/>
        </w:rPr>
        <w:fldChar w:fldCharType="separate"/>
      </w:r>
      <w:r>
        <w:rPr>
          <w:rFonts w:ascii="黑体" w:hAnsi="黑体" w:eastAsia="黑体"/>
        </w:rPr>
        <w:t>第七章  增强绿色科技新动能</w:t>
      </w:r>
      <w:r>
        <w:rPr>
          <w:rFonts w:hint="eastAsia" w:ascii="黑体" w:hAnsi="黑体" w:eastAsia="黑体"/>
        </w:rPr>
        <w:t xml:space="preserve">                    </w:t>
      </w:r>
      <w:r>
        <w:rPr>
          <w:rFonts w:ascii="黑体" w:hAnsi="黑体" w:eastAsia="黑体"/>
        </w:rPr>
        <w:tab/>
      </w:r>
      <w:r>
        <w:rPr>
          <w:rFonts w:ascii="黑体" w:hAnsi="黑体" w:eastAsia="黑体"/>
        </w:rPr>
        <w:fldChar w:fldCharType="end"/>
      </w:r>
      <w:r>
        <w:rPr>
          <w:rFonts w:hint="eastAsia" w:ascii="黑体" w:hAnsi="黑体" w:eastAsia="黑体"/>
        </w:rPr>
        <w:t>49</w:t>
      </w:r>
    </w:p>
    <w:p>
      <w:pPr>
        <w:adjustRightInd w:val="0"/>
        <w:snapToGrid w:val="0"/>
        <w:spacing w:line="580" w:lineRule="exact"/>
        <w:ind w:firstLine="1600" w:firstLineChars="500"/>
      </w:pPr>
      <w:r>
        <w:fldChar w:fldCharType="begin"/>
      </w:r>
      <w:r>
        <w:instrText xml:space="preserve"> HYPERLINK \l _Toc10349 </w:instrText>
      </w:r>
      <w:r>
        <w:fldChar w:fldCharType="separate"/>
      </w:r>
      <w:r>
        <w:rPr>
          <w:rStyle w:val="8"/>
        </w:rPr>
        <w:t>第一节  倡导绿色会展服务“双碳”经济</w:t>
      </w:r>
      <w:r>
        <w:rPr>
          <w:rStyle w:val="8"/>
          <w:rFonts w:hint="eastAsia"/>
        </w:rPr>
        <w:t xml:space="preserve">        </w:t>
      </w:r>
      <w:r>
        <w:rPr>
          <w:rStyle w:val="8"/>
        </w:rPr>
        <w:tab/>
      </w:r>
      <w:r>
        <w:fldChar w:fldCharType="end"/>
      </w:r>
      <w:r>
        <w:rPr>
          <w:rFonts w:hint="eastAsia"/>
        </w:rPr>
        <w:t>49</w:t>
      </w:r>
    </w:p>
    <w:p>
      <w:pPr>
        <w:adjustRightInd w:val="0"/>
        <w:snapToGrid w:val="0"/>
        <w:spacing w:line="580" w:lineRule="exact"/>
        <w:ind w:firstLine="1600" w:firstLineChars="500"/>
      </w:pPr>
      <w:r>
        <w:fldChar w:fldCharType="begin"/>
      </w:r>
      <w:r>
        <w:instrText xml:space="preserve"> HYPERLINK \l _Toc10105 </w:instrText>
      </w:r>
      <w:r>
        <w:fldChar w:fldCharType="separate"/>
      </w:r>
      <w:r>
        <w:rPr>
          <w:rStyle w:val="8"/>
        </w:rPr>
        <w:t>第二节  发展科技会展应对疫情挑战</w:t>
      </w:r>
      <w:r>
        <w:rPr>
          <w:rStyle w:val="8"/>
          <w:rFonts w:hint="eastAsia"/>
        </w:rPr>
        <w:t xml:space="preserve">         </w:t>
      </w:r>
      <w:r>
        <w:rPr>
          <w:rStyle w:val="8"/>
        </w:rPr>
        <w:tab/>
      </w:r>
      <w:r>
        <w:fldChar w:fldCharType="end"/>
      </w:r>
      <w:r>
        <w:rPr>
          <w:rFonts w:hint="eastAsia"/>
        </w:rPr>
        <w:t>50</w:t>
      </w:r>
    </w:p>
    <w:p>
      <w:pPr>
        <w:adjustRightInd w:val="0"/>
        <w:snapToGrid w:val="0"/>
        <w:spacing w:line="580" w:lineRule="exact"/>
        <w:ind w:firstLine="640" w:firstLineChars="200"/>
        <w:rPr>
          <w:rFonts w:ascii="黑体" w:hAnsi="黑体" w:eastAsia="黑体"/>
        </w:rPr>
      </w:pPr>
      <w:r>
        <w:rPr>
          <w:rFonts w:ascii="黑体" w:hAnsi="黑体" w:eastAsia="黑体"/>
        </w:rPr>
        <w:fldChar w:fldCharType="begin"/>
      </w:r>
      <w:r>
        <w:rPr>
          <w:rFonts w:ascii="黑体" w:hAnsi="黑体" w:eastAsia="黑体"/>
        </w:rPr>
        <w:instrText xml:space="preserve"> HYPERLINK \l _Toc8568 </w:instrText>
      </w:r>
      <w:r>
        <w:rPr>
          <w:rFonts w:ascii="黑体" w:hAnsi="黑体" w:eastAsia="黑体"/>
        </w:rPr>
        <w:fldChar w:fldCharType="separate"/>
      </w:r>
      <w:r>
        <w:rPr>
          <w:rFonts w:ascii="黑体" w:hAnsi="黑体" w:eastAsia="黑体"/>
        </w:rPr>
        <w:t>第八章  保障措施</w:t>
      </w:r>
      <w:r>
        <w:rPr>
          <w:rFonts w:hint="eastAsia" w:ascii="黑体" w:hAnsi="黑体" w:eastAsia="黑体"/>
        </w:rPr>
        <w:t xml:space="preserve">                              </w:t>
      </w:r>
      <w:r>
        <w:rPr>
          <w:rFonts w:ascii="黑体" w:hAnsi="黑体" w:eastAsia="黑体"/>
        </w:rPr>
        <w:tab/>
      </w:r>
      <w:r>
        <w:rPr>
          <w:rFonts w:hint="eastAsia" w:ascii="黑体" w:hAnsi="黑体" w:eastAsia="黑体"/>
        </w:rPr>
        <w:t>5</w:t>
      </w:r>
      <w:r>
        <w:rPr>
          <w:rFonts w:ascii="黑体" w:hAnsi="黑体" w:eastAsia="黑体"/>
        </w:rPr>
        <w:fldChar w:fldCharType="end"/>
      </w:r>
      <w:r>
        <w:rPr>
          <w:rFonts w:hint="eastAsia" w:ascii="黑体" w:hAnsi="黑体" w:eastAsia="黑体"/>
        </w:rPr>
        <w:t>2</w:t>
      </w:r>
    </w:p>
    <w:p>
      <w:pPr>
        <w:adjustRightInd w:val="0"/>
        <w:snapToGrid w:val="0"/>
        <w:spacing w:line="580" w:lineRule="exact"/>
        <w:ind w:firstLine="1600" w:firstLineChars="500"/>
      </w:pPr>
      <w:r>
        <w:fldChar w:fldCharType="begin"/>
      </w:r>
      <w:r>
        <w:instrText xml:space="preserve"> HYPERLINK \l _Toc19392 </w:instrText>
      </w:r>
      <w:r>
        <w:fldChar w:fldCharType="separate"/>
      </w:r>
      <w:r>
        <w:rPr>
          <w:rStyle w:val="8"/>
        </w:rPr>
        <w:t>第一节  加强组织领导</w:t>
      </w:r>
      <w:r>
        <w:rPr>
          <w:rStyle w:val="8"/>
          <w:rFonts w:hint="eastAsia"/>
        </w:rPr>
        <w:t xml:space="preserve">                     </w:t>
      </w:r>
      <w:r>
        <w:rPr>
          <w:rStyle w:val="8"/>
        </w:rPr>
        <w:tab/>
      </w:r>
      <w:r>
        <w:rPr>
          <w:rStyle w:val="8"/>
          <w:rFonts w:hint="eastAsia"/>
        </w:rPr>
        <w:t>5</w:t>
      </w:r>
      <w:r>
        <w:fldChar w:fldCharType="end"/>
      </w:r>
      <w:r>
        <w:rPr>
          <w:rFonts w:hint="eastAsia"/>
        </w:rPr>
        <w:t>2</w:t>
      </w:r>
    </w:p>
    <w:p>
      <w:pPr>
        <w:adjustRightInd w:val="0"/>
        <w:snapToGrid w:val="0"/>
        <w:spacing w:line="580" w:lineRule="exact"/>
        <w:ind w:firstLine="1600" w:firstLineChars="500"/>
      </w:pPr>
      <w:r>
        <w:fldChar w:fldCharType="begin"/>
      </w:r>
      <w:r>
        <w:instrText xml:space="preserve"> HYPERLINK \l _Toc19209 </w:instrText>
      </w:r>
      <w:r>
        <w:fldChar w:fldCharType="separate"/>
      </w:r>
      <w:r>
        <w:rPr>
          <w:rStyle w:val="8"/>
        </w:rPr>
        <w:t>第二节  完善配套政策</w:t>
      </w:r>
      <w:r>
        <w:rPr>
          <w:rStyle w:val="8"/>
          <w:rFonts w:hint="eastAsia"/>
        </w:rPr>
        <w:t xml:space="preserve">                     </w:t>
      </w:r>
      <w:r>
        <w:rPr>
          <w:rStyle w:val="8"/>
        </w:rPr>
        <w:tab/>
      </w:r>
      <w:r>
        <w:rPr>
          <w:rStyle w:val="8"/>
          <w:rFonts w:hint="eastAsia"/>
        </w:rPr>
        <w:t>5</w:t>
      </w:r>
      <w:r>
        <w:fldChar w:fldCharType="end"/>
      </w:r>
      <w:r>
        <w:rPr>
          <w:rFonts w:hint="eastAsia"/>
        </w:rPr>
        <w:t>3</w:t>
      </w:r>
    </w:p>
    <w:p>
      <w:pPr>
        <w:adjustRightInd w:val="0"/>
        <w:snapToGrid w:val="0"/>
        <w:spacing w:line="580" w:lineRule="exact"/>
        <w:ind w:firstLine="1600" w:firstLineChars="500"/>
      </w:pPr>
      <w:r>
        <w:fldChar w:fldCharType="begin"/>
      </w:r>
      <w:r>
        <w:instrText xml:space="preserve"> HYPERLINK \l _Toc15868 </w:instrText>
      </w:r>
      <w:r>
        <w:fldChar w:fldCharType="separate"/>
      </w:r>
      <w:r>
        <w:rPr>
          <w:rStyle w:val="8"/>
        </w:rPr>
        <w:t>第三节  优化发展环境</w:t>
      </w:r>
      <w:r>
        <w:rPr>
          <w:rStyle w:val="8"/>
          <w:rFonts w:hint="eastAsia"/>
        </w:rPr>
        <w:t xml:space="preserve">                     </w:t>
      </w:r>
      <w:r>
        <w:rPr>
          <w:rStyle w:val="8"/>
        </w:rPr>
        <w:tab/>
      </w:r>
      <w:r>
        <w:rPr>
          <w:rStyle w:val="8"/>
          <w:rFonts w:hint="eastAsia"/>
        </w:rPr>
        <w:t>5</w:t>
      </w:r>
      <w:r>
        <w:fldChar w:fldCharType="end"/>
      </w:r>
      <w:r>
        <w:rPr>
          <w:rFonts w:hint="eastAsia"/>
        </w:rPr>
        <w:t>4</w:t>
      </w:r>
    </w:p>
    <w:p>
      <w:pPr>
        <w:adjustRightInd w:val="0"/>
        <w:snapToGrid w:val="0"/>
        <w:spacing w:line="580" w:lineRule="exact"/>
        <w:ind w:firstLine="1600" w:firstLineChars="500"/>
      </w:pPr>
      <w:r>
        <w:fldChar w:fldCharType="begin"/>
      </w:r>
      <w:r>
        <w:instrText xml:space="preserve"> HYPERLINK \l _Toc22573 </w:instrText>
      </w:r>
      <w:r>
        <w:fldChar w:fldCharType="separate"/>
      </w:r>
      <w:r>
        <w:rPr>
          <w:rStyle w:val="8"/>
        </w:rPr>
        <w:t>第四节  构建标准体系</w:t>
      </w:r>
      <w:r>
        <w:rPr>
          <w:rStyle w:val="8"/>
          <w:rFonts w:hint="eastAsia"/>
        </w:rPr>
        <w:t xml:space="preserve">                      </w:t>
      </w:r>
      <w:r>
        <w:rPr>
          <w:rStyle w:val="8"/>
        </w:rPr>
        <w:tab/>
      </w:r>
      <w:r>
        <w:rPr>
          <w:rStyle w:val="8"/>
          <w:rFonts w:hint="eastAsia"/>
        </w:rPr>
        <w:t>5</w:t>
      </w:r>
      <w:r>
        <w:fldChar w:fldCharType="end"/>
      </w:r>
      <w:r>
        <w:rPr>
          <w:rFonts w:hint="eastAsia"/>
        </w:rPr>
        <w:t>5</w:t>
      </w:r>
    </w:p>
    <w:p>
      <w:pPr>
        <w:adjustRightInd w:val="0"/>
        <w:snapToGrid w:val="0"/>
        <w:spacing w:line="580" w:lineRule="exact"/>
        <w:ind w:firstLine="1600" w:firstLineChars="500"/>
      </w:pPr>
      <w:r>
        <w:fldChar w:fldCharType="begin"/>
      </w:r>
      <w:r>
        <w:instrText xml:space="preserve"> HYPERLINK \l _Toc13154 </w:instrText>
      </w:r>
      <w:r>
        <w:fldChar w:fldCharType="separate"/>
      </w:r>
      <w:r>
        <w:rPr>
          <w:rStyle w:val="8"/>
        </w:rPr>
        <w:t>第五节  加强疫情防控</w:t>
      </w:r>
      <w:r>
        <w:rPr>
          <w:rStyle w:val="8"/>
          <w:rFonts w:hint="eastAsia"/>
        </w:rPr>
        <w:t xml:space="preserve">                     </w:t>
      </w:r>
      <w:r>
        <w:rPr>
          <w:rStyle w:val="8"/>
        </w:rPr>
        <w:tab/>
      </w:r>
      <w:r>
        <w:rPr>
          <w:rStyle w:val="8"/>
          <w:rFonts w:hint="eastAsia"/>
        </w:rPr>
        <w:t>5</w:t>
      </w:r>
      <w:r>
        <w:fldChar w:fldCharType="end"/>
      </w:r>
      <w:r>
        <w:rPr>
          <w:rFonts w:hint="eastAsia"/>
        </w:rPr>
        <w:t>6</w:t>
      </w:r>
    </w:p>
    <w:p>
      <w:pPr>
        <w:adjustRightInd w:val="0"/>
        <w:snapToGrid w:val="0"/>
        <w:spacing w:line="580" w:lineRule="exact"/>
        <w:ind w:firstLine="640" w:firstLineChars="200"/>
      </w:pPr>
      <w:r>
        <w:t>附</w:t>
      </w:r>
      <w:r>
        <w:rPr>
          <w:spacing w:val="-20"/>
        </w:rPr>
        <w:t>件：1.</w:t>
      </w:r>
      <w:r>
        <w:rPr>
          <w:spacing w:val="-20"/>
        </w:rPr>
        <w:fldChar w:fldCharType="begin"/>
      </w:r>
      <w:r>
        <w:rPr>
          <w:spacing w:val="-20"/>
        </w:rPr>
        <w:instrText xml:space="preserve"> HYPERLINK \l _Toc6198 </w:instrText>
      </w:r>
      <w:r>
        <w:rPr>
          <w:spacing w:val="-20"/>
        </w:rPr>
        <w:fldChar w:fldCharType="separate"/>
      </w:r>
      <w:r>
        <w:rPr>
          <w:rStyle w:val="8"/>
          <w:spacing w:val="-20"/>
        </w:rPr>
        <w:t>乐山市“十四五”会展产业发展</w:t>
      </w:r>
      <w:r>
        <w:rPr>
          <w:rStyle w:val="8"/>
          <w:rFonts w:hint="eastAsia"/>
          <w:spacing w:val="-20"/>
        </w:rPr>
        <w:t>年</w:t>
      </w:r>
      <w:r>
        <w:rPr>
          <w:rStyle w:val="8"/>
          <w:rFonts w:hint="eastAsia"/>
          <w:spacing w:val="-18"/>
        </w:rPr>
        <w:t>度重点任务计</w:t>
      </w:r>
      <w:r>
        <w:rPr>
          <w:rStyle w:val="8"/>
          <w:rFonts w:hint="eastAsia"/>
          <w:spacing w:val="-16"/>
        </w:rPr>
        <w:t>划</w:t>
      </w:r>
      <w:r>
        <w:rPr>
          <w:rStyle w:val="8"/>
          <w:spacing w:val="-16"/>
        </w:rPr>
        <w:t>表</w:t>
      </w:r>
      <w:r>
        <w:rPr>
          <w:rStyle w:val="8"/>
          <w:rFonts w:hint="eastAsia"/>
          <w:spacing w:val="-10"/>
        </w:rPr>
        <w:t xml:space="preserve">   </w:t>
      </w:r>
      <w:r>
        <w:rPr>
          <w:rStyle w:val="8"/>
          <w:spacing w:val="-10"/>
        </w:rPr>
        <w:tab/>
      </w:r>
      <w:r>
        <w:rPr>
          <w:rStyle w:val="8"/>
          <w:rFonts w:hint="eastAsia"/>
          <w:spacing w:val="-20"/>
        </w:rPr>
        <w:t>5</w:t>
      </w:r>
      <w:r>
        <w:rPr>
          <w:spacing w:val="-20"/>
        </w:rPr>
        <w:fldChar w:fldCharType="end"/>
      </w:r>
      <w:r>
        <w:rPr>
          <w:rFonts w:hint="eastAsia"/>
          <w:spacing w:val="-20"/>
        </w:rPr>
        <w:t>7</w:t>
      </w:r>
    </w:p>
    <w:p>
      <w:pPr>
        <w:adjustRightInd w:val="0"/>
        <w:snapToGrid w:val="0"/>
        <w:spacing w:line="580" w:lineRule="exact"/>
        <w:ind w:firstLine="1536" w:firstLineChars="480"/>
      </w:pPr>
      <w:r>
        <w:t>2.</w:t>
      </w:r>
      <w:r>
        <w:fldChar w:fldCharType="begin"/>
      </w:r>
      <w:r>
        <w:instrText xml:space="preserve"> HYPERLINK \l _Toc32493 </w:instrText>
      </w:r>
      <w:r>
        <w:fldChar w:fldCharType="separate"/>
      </w:r>
      <w:r>
        <w:rPr>
          <w:rStyle w:val="8"/>
        </w:rPr>
        <w:t>案例分析与经验借鉴</w:t>
      </w:r>
      <w:r>
        <w:rPr>
          <w:rStyle w:val="8"/>
          <w:rFonts w:hint="eastAsia"/>
        </w:rPr>
        <w:t xml:space="preserve">                     </w:t>
      </w:r>
      <w:r>
        <w:rPr>
          <w:rStyle w:val="8"/>
        </w:rPr>
        <w:tab/>
      </w:r>
      <w:r>
        <w:fldChar w:fldCharType="end"/>
      </w:r>
      <w:r>
        <w:rPr>
          <w:rFonts w:hint="eastAsia"/>
        </w:rPr>
        <w:t>59</w:t>
      </w:r>
    </w:p>
    <w:p>
      <w:pPr>
        <w:adjustRightInd w:val="0"/>
        <w:snapToGrid w:val="0"/>
        <w:spacing w:line="580" w:lineRule="exact"/>
        <w:ind w:firstLine="640" w:firstLineChars="200"/>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567" w:left="1588" w:header="851" w:footer="1247" w:gutter="0"/>
          <w:pgNumType w:start="1"/>
          <w:cols w:space="720" w:num="1"/>
          <w:titlePg/>
          <w:docGrid w:type="lines" w:linePitch="312" w:charSpace="0"/>
        </w:sectPr>
      </w:pPr>
      <w:r>
        <w:fldChar w:fldCharType="end"/>
      </w:r>
    </w:p>
    <w:p>
      <w:pPr>
        <w:adjustRightInd w:val="0"/>
        <w:snapToGrid w:val="0"/>
        <w:spacing w:line="580" w:lineRule="exact"/>
        <w:jc w:val="center"/>
        <w:rPr>
          <w:rFonts w:hint="eastAsia" w:ascii="黑体" w:hAnsi="黑体" w:eastAsia="黑体"/>
        </w:rPr>
      </w:pPr>
      <w:bookmarkStart w:id="1" w:name="_Toc8753"/>
      <w:bookmarkStart w:id="2" w:name="_Toc30660"/>
      <w:bookmarkStart w:id="3" w:name="_Toc90812630"/>
      <w:bookmarkStart w:id="4" w:name="_Toc31665"/>
      <w:bookmarkStart w:id="5" w:name="_Toc23972"/>
      <w:bookmarkStart w:id="6" w:name="_Toc21888"/>
      <w:bookmarkStart w:id="7" w:name="_Toc2254"/>
      <w:bookmarkStart w:id="8" w:name="_Toc89531836"/>
      <w:bookmarkStart w:id="9" w:name="_Toc11499"/>
      <w:bookmarkStart w:id="10" w:name="_Toc21413"/>
      <w:bookmarkStart w:id="11" w:name="_Toc19061"/>
      <w:bookmarkStart w:id="12" w:name="_Toc90005830"/>
      <w:bookmarkStart w:id="13" w:name="_Toc17271"/>
      <w:bookmarkStart w:id="14" w:name="_Toc14857"/>
      <w:bookmarkStart w:id="15" w:name="_Toc26947"/>
      <w:bookmarkStart w:id="16" w:name="_Toc29335"/>
      <w:bookmarkStart w:id="17" w:name="_Toc5693"/>
      <w:bookmarkStart w:id="18" w:name="_Toc12656"/>
      <w:bookmarkStart w:id="19" w:name="_Toc13869"/>
      <w:bookmarkStart w:id="20" w:name="_Toc17788"/>
      <w:r>
        <w:rPr>
          <w:rFonts w:hint="eastAsia" w:ascii="黑体" w:hAnsi="黑体" w:eastAsia="黑体"/>
        </w:rPr>
        <w:t>引     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
      <w:pPr>
        <w:adjustRightInd w:val="0"/>
        <w:snapToGrid w:val="0"/>
        <w:spacing w:line="580" w:lineRule="exact"/>
        <w:ind w:firstLine="640" w:firstLineChars="200"/>
        <w:rPr>
          <w:rFonts w:hint="eastAsia"/>
        </w:rPr>
      </w:pPr>
      <w:r>
        <w:rPr>
          <w:rFonts w:hint="eastAsia"/>
        </w:rPr>
        <w:t>“十四五”时期，是我国全面建成小康社会、实现第一个百年奋斗目标之后，向第二个百年奋斗目标进军的第一个五年，也是乐山市加快融入成渝地区双城经济圈，争创全省经济副中心，实现高质量发展的关键时期。当前，世界正面临百年未有之大变局，我国正在加快构建以国内大循环为主体、国内国际双循环相互促进的新发展格局。以会议、展览、赛事、节庆、演艺等活动为载体的会展产业，是链接国内循环和国际循环的重要节点，是促进国内、国际循环融会贯通的润滑剂，更是21世纪的朝阳产业，具有较大的经济集聚效应、辐射带动效应和城市品牌效应。</w:t>
      </w:r>
    </w:p>
    <w:p>
      <w:pPr>
        <w:adjustRightInd w:val="0"/>
        <w:snapToGrid w:val="0"/>
        <w:spacing w:line="580" w:lineRule="exact"/>
        <w:rPr>
          <w:rFonts w:hint="eastAsia"/>
        </w:rPr>
      </w:pPr>
      <w:r>
        <w:rPr>
          <w:rFonts w:hint="eastAsia"/>
        </w:rPr>
        <w:t>为促进乐山市“十四五”时期会展产业发展，建设国际旅游会展中心，打造成渝地区会展第三极，服务乐山市对外开放和经济社会发展，建设全省区域中心城市、“中国绿色硅谷”和世界重要旅游目的地。根据市第八次党代会精神和《乐山市国民经济和社会发展第十四个五年规划和二〇三五年远景目标》《乐山市会展业发展规划（2020—2035年）》等，编制乐山市“十四五”会展产业发展规划，规划期限为2021—2025年。本规划是指导“十四五”时期乐山市会展产业发展的纲领性文件，是制定相关会展规划和政策的重要依据。</w:t>
      </w:r>
    </w:p>
    <w:p>
      <w:pPr>
        <w:adjustRightInd w:val="0"/>
        <w:snapToGrid w:val="0"/>
        <w:spacing w:line="580" w:lineRule="exact"/>
        <w:jc w:val="center"/>
        <w:rPr>
          <w:rFonts w:hint="eastAsia"/>
        </w:rPr>
      </w:pPr>
    </w:p>
    <w:p>
      <w:pPr>
        <w:adjustRightInd w:val="0"/>
        <w:snapToGrid w:val="0"/>
        <w:spacing w:line="580" w:lineRule="exact"/>
        <w:jc w:val="center"/>
        <w:rPr>
          <w:rFonts w:hint="eastAsia"/>
        </w:rPr>
      </w:pPr>
    </w:p>
    <w:p>
      <w:pPr>
        <w:adjustRightInd w:val="0"/>
        <w:snapToGrid w:val="0"/>
        <w:spacing w:line="580" w:lineRule="exact"/>
        <w:jc w:val="center"/>
        <w:rPr>
          <w:rFonts w:hint="eastAsia"/>
        </w:rPr>
      </w:pPr>
      <w:r>
        <w:rPr>
          <w:rFonts w:hint="eastAsia"/>
        </w:rPr>
        <w:br w:type="page"/>
      </w:r>
      <w:bookmarkStart w:id="21" w:name="_Toc1871"/>
      <w:bookmarkStart w:id="22" w:name="_Toc29620"/>
      <w:bookmarkStart w:id="23" w:name="_Toc14788"/>
      <w:bookmarkStart w:id="24" w:name="_Toc90812631"/>
      <w:bookmarkStart w:id="25" w:name="_Toc28697"/>
      <w:bookmarkStart w:id="26" w:name="_Toc9612"/>
      <w:bookmarkStart w:id="27" w:name="_Toc28236"/>
      <w:r>
        <w:rPr>
          <w:rFonts w:hint="eastAsia" w:ascii="黑体" w:hAnsi="黑体" w:eastAsia="黑体"/>
        </w:rPr>
        <w:t>第一章  发展背景</w:t>
      </w:r>
      <w:bookmarkEnd w:id="21"/>
      <w:bookmarkEnd w:id="22"/>
      <w:bookmarkEnd w:id="23"/>
      <w:bookmarkEnd w:id="24"/>
      <w:bookmarkEnd w:id="25"/>
      <w:bookmarkEnd w:id="26"/>
      <w:bookmarkEnd w:id="27"/>
    </w:p>
    <w:p>
      <w:pPr>
        <w:adjustRightInd w:val="0"/>
        <w:snapToGrid w:val="0"/>
        <w:spacing w:line="540" w:lineRule="exact"/>
        <w:ind w:firstLine="640" w:firstLineChars="200"/>
        <w:rPr>
          <w:rFonts w:hint="eastAsia"/>
        </w:rPr>
      </w:pPr>
      <w:bookmarkStart w:id="28" w:name="_Toc20784"/>
      <w:bookmarkStart w:id="29" w:name="_Toc7617"/>
      <w:bookmarkStart w:id="30" w:name="_Toc13801"/>
      <w:bookmarkStart w:id="31" w:name="_Toc21171"/>
      <w:bookmarkStart w:id="32" w:name="_Toc7031"/>
      <w:bookmarkStart w:id="33" w:name="_Toc90005832"/>
      <w:bookmarkStart w:id="34" w:name="_Toc21259"/>
      <w:bookmarkStart w:id="35" w:name="_Toc89531838"/>
      <w:bookmarkStart w:id="36" w:name="_Toc4448"/>
      <w:bookmarkStart w:id="37" w:name="_Toc24957"/>
      <w:bookmarkStart w:id="38" w:name="_Toc27598"/>
      <w:bookmarkStart w:id="39" w:name="_Toc25228"/>
      <w:bookmarkStart w:id="40" w:name="_Toc10898"/>
      <w:bookmarkStart w:id="41" w:name="_Toc29305"/>
      <w:bookmarkStart w:id="42" w:name="_Toc28021"/>
      <w:bookmarkStart w:id="43" w:name="_Toc14918"/>
      <w:bookmarkStart w:id="44" w:name="_Toc90812632"/>
      <w:bookmarkStart w:id="45" w:name="_Toc24439"/>
      <w:bookmarkStart w:id="46" w:name="_Toc28014"/>
      <w:bookmarkStart w:id="47" w:name="_Toc27196"/>
    </w:p>
    <w:p>
      <w:pPr>
        <w:adjustRightInd w:val="0"/>
        <w:snapToGrid w:val="0"/>
        <w:spacing w:line="540" w:lineRule="exact"/>
        <w:jc w:val="center"/>
        <w:rPr>
          <w:rFonts w:hint="eastAsia"/>
        </w:rPr>
      </w:pPr>
      <w:r>
        <w:rPr>
          <w:rFonts w:hint="eastAsia"/>
        </w:rPr>
        <w:t>第一节  “十三五”期间主要</w:t>
      </w:r>
      <w:bookmarkEnd w:id="28"/>
      <w:bookmarkEnd w:id="29"/>
      <w:bookmarkEnd w:id="30"/>
      <w:bookmarkEnd w:id="31"/>
      <w:bookmarkEnd w:id="32"/>
      <w:bookmarkEnd w:id="33"/>
      <w:bookmarkEnd w:id="34"/>
      <w:bookmarkEnd w:id="35"/>
      <w:bookmarkEnd w:id="36"/>
      <w:bookmarkEnd w:id="37"/>
      <w:bookmarkEnd w:id="38"/>
      <w:bookmarkEnd w:id="39"/>
      <w:bookmarkEnd w:id="40"/>
      <w:r>
        <w:rPr>
          <w:rFonts w:hint="eastAsia"/>
        </w:rPr>
        <w:t>成效</w:t>
      </w:r>
      <w:bookmarkEnd w:id="41"/>
      <w:bookmarkEnd w:id="42"/>
      <w:bookmarkEnd w:id="43"/>
      <w:bookmarkEnd w:id="44"/>
      <w:bookmarkEnd w:id="45"/>
      <w:bookmarkEnd w:id="46"/>
      <w:bookmarkEnd w:id="47"/>
    </w:p>
    <w:p>
      <w:pPr>
        <w:adjustRightInd w:val="0"/>
        <w:snapToGrid w:val="0"/>
        <w:spacing w:line="540" w:lineRule="exact"/>
        <w:ind w:firstLine="640" w:firstLineChars="200"/>
        <w:rPr>
          <w:rFonts w:hint="eastAsia"/>
        </w:rPr>
      </w:pP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一、会展产业蓬勃发展</w:t>
      </w:r>
    </w:p>
    <w:p>
      <w:pPr>
        <w:adjustRightInd w:val="0"/>
        <w:snapToGrid w:val="0"/>
        <w:spacing w:line="540" w:lineRule="exact"/>
        <w:ind w:firstLine="640" w:firstLineChars="200"/>
        <w:rPr>
          <w:rFonts w:hint="eastAsia"/>
        </w:rPr>
      </w:pPr>
      <w:r>
        <w:rPr>
          <w:rFonts w:hint="eastAsia"/>
        </w:rPr>
        <w:t>“十三五”期间，我市着力打造“名展”产业名片，先后成功举办四川省文化和旅游发展大会、中国（四川）国际旅游投资大会、</w:t>
      </w:r>
      <w:r>
        <w:rPr>
          <w:rFonts w:hint="eastAsia"/>
        </w:rPr>
        <w:fldChar w:fldCharType="begin"/>
      </w:r>
      <w:r>
        <w:rPr>
          <w:rFonts w:hint="eastAsia"/>
        </w:rPr>
        <w:instrText xml:space="preserve"> HYPERLINK "http://www.baidu.com/link?url=-6en4VVJOTwXUtWhYLTu-f5NgTSwek0jnEldhfkolGtl5khfGE6Go0WjGXiecx4n4GV0JhIfM68e_KnBUpxKImaMZ3DW3A5XFbEj1I87sdQeBNPqXc1s17Q3Mue2RHWe8mUifAgwt_dIdYusPFSrO7t_zWYrHkP0a_JbgRZ4EbvqbCcvApZXIHLgrJ31HYiWBCrvhV4QQB-dQIH6CoprNa" \t "_blank" </w:instrText>
      </w:r>
      <w:r>
        <w:rPr>
          <w:rFonts w:hint="eastAsia"/>
        </w:rPr>
        <w:fldChar w:fldCharType="separate"/>
      </w:r>
      <w:r>
        <w:rPr>
          <w:rStyle w:val="8"/>
          <w:rFonts w:hint="eastAsia"/>
          <w:color w:val="auto"/>
        </w:rPr>
        <w:t>四川国际旅游交易博览会</w:t>
      </w:r>
      <w:r>
        <w:rPr>
          <w:rFonts w:hint="eastAsia"/>
        </w:rPr>
        <w:fldChar w:fldCharType="end"/>
      </w:r>
      <w:r>
        <w:rPr>
          <w:rFonts w:hint="eastAsia"/>
        </w:rPr>
        <w:t>、</w:t>
      </w:r>
      <w:r>
        <w:rPr>
          <w:rFonts w:hint="eastAsia"/>
          <w:color w:val="FFFFFF"/>
        </w:rPr>
        <w:t>中</w:t>
      </w:r>
      <w:r>
        <w:rPr>
          <w:rFonts w:hint="eastAsia"/>
        </w:rPr>
        <w:t>国茶乡峨眉山国际茶文化博览交易会、乐山国际半程马拉松赛、世界传统武术锦标赛、佛光花海音乐节等重要展会活动92场，年均约18场。总展览面积132.53万平方米，年均26.5万平方米。据中国会展经济研究会《2020年全国160个城市展览业发展综合指数》排名显示，乐山从2016年的72名提升到2020年的53名，省内排名从2016年的第6名提升到2020年的第3名，仅次于成都、绵阳。2021年，峨眉山市被确定为全省会展创新发展引领区。</w:t>
      </w:r>
    </w:p>
    <w:p>
      <w:pPr>
        <w:adjustRightInd w:val="0"/>
        <w:snapToGrid w:val="0"/>
        <w:spacing w:line="200" w:lineRule="exact"/>
        <w:ind w:firstLine="640" w:firstLineChars="200"/>
        <w:rPr>
          <w:rFonts w:hint="eastAsia"/>
        </w:rPr>
      </w:pPr>
    </w:p>
    <w:tbl>
      <w:tblPr>
        <w:tblStyle w:val="6"/>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9040" w:type="dxa"/>
            <w:shd w:val="clear" w:color="auto" w:fill="auto"/>
            <w:noWrap w:val="0"/>
            <w:vAlign w:val="center"/>
          </w:tcPr>
          <w:p>
            <w:pPr>
              <w:jc w:val="center"/>
              <w:rPr>
                <w:rFonts w:ascii="黑体" w:hAnsi="黑体" w:eastAsia="黑体"/>
                <w:bCs/>
                <w:sz w:val="28"/>
                <w:szCs w:val="28"/>
              </w:rPr>
            </w:pPr>
            <w:r>
              <w:rPr>
                <w:rFonts w:ascii="黑体" w:hAnsi="黑体" w:eastAsia="黑体"/>
                <w:bCs/>
                <w:sz w:val="28"/>
                <w:szCs w:val="28"/>
              </w:rPr>
              <w:t>专栏1：乐山市“十三五”时期会展产业发展情况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trPr>
        <w:tc>
          <w:tcPr>
            <w:tcW w:w="9040" w:type="dxa"/>
            <w:tcBorders>
              <w:bottom w:val="single" w:color="auto" w:sz="4" w:space="0"/>
            </w:tcBorders>
            <w:noWrap w:val="0"/>
            <w:vAlign w:val="top"/>
          </w:tcPr>
          <w:p>
            <w:pPr>
              <w:jc w:val="center"/>
              <w:rPr>
                <w:rFonts w:ascii="Times New Roman"/>
                <w:b/>
                <w:bCs/>
                <w:color w:val="000000"/>
                <w:sz w:val="28"/>
                <w:szCs w:val="28"/>
              </w:rPr>
            </w:pPr>
            <w:r>
              <w:rPr>
                <w:rFonts w:ascii="Times New Roman"/>
                <w:color w:val="000000"/>
              </w:rPr>
              <w:drawing>
                <wp:inline distT="0" distB="0" distL="114300" distR="114300">
                  <wp:extent cx="5619750" cy="2533650"/>
                  <wp:effectExtent l="4445" t="4445" r="14605" b="14605"/>
                  <wp:docPr id="1"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pPr>
        <w:adjustRightInd w:val="0"/>
        <w:snapToGrid w:val="0"/>
        <w:spacing w:line="540" w:lineRule="exact"/>
        <w:ind w:firstLine="640" w:firstLineChars="200"/>
        <w:rPr>
          <w:rFonts w:hint="eastAsia" w:ascii="黑体" w:hAnsi="黑体" w:eastAsia="黑体"/>
        </w:rPr>
      </w:pPr>
      <w:r>
        <w:rPr>
          <w:rFonts w:hint="eastAsia" w:ascii="黑体" w:hAnsi="黑体" w:eastAsia="黑体"/>
        </w:rPr>
        <w:t>二、会展主体不断壮大</w:t>
      </w:r>
    </w:p>
    <w:p>
      <w:pPr>
        <w:adjustRightInd w:val="0"/>
        <w:snapToGrid w:val="0"/>
        <w:spacing w:line="580" w:lineRule="exact"/>
        <w:ind w:firstLine="640" w:firstLineChars="200"/>
        <w:rPr>
          <w:rFonts w:hint="eastAsia"/>
        </w:rPr>
      </w:pPr>
      <w:r>
        <w:rPr>
          <w:rFonts w:hint="eastAsia"/>
        </w:rPr>
        <w:t>“十三五”期间，全市会展产业组展商、服务商企业不断增加，会展行业上下游配套企业链不断完善。会展工作机构上，设立乐山市博览事务局，负责全市会展事务统筹规划、组织协调和策划执行。同时，各县（市、区）明确相应的会展工作职能部门，促进会展产业的培育和发展壮大。会展承办主体上，乐山市与四川国际博览集团合资成立四川嘉州国际会展集团有限公司，打造乐山国有会展龙头企业，成为省市国有会展资本融合发展的成功范例，并在全省其他市州推广。会展服务主体上，不断强化四川峨眉山乐山大佛旅游集团总公司会展分公司、乐山市报广传媒有限公司、乐山文化产业投资发展有限公司等市场主体在场馆运营、会展策划、宣传营销、设计服务等方面的功能作用。</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三、会展设施逐步完善</w:t>
      </w:r>
    </w:p>
    <w:p>
      <w:pPr>
        <w:adjustRightInd w:val="0"/>
        <w:snapToGrid w:val="0"/>
        <w:spacing w:line="580" w:lineRule="exact"/>
        <w:ind w:firstLine="640" w:firstLineChars="200"/>
        <w:rPr>
          <w:rFonts w:hint="eastAsia"/>
        </w:rPr>
      </w:pPr>
      <w:r>
        <w:rPr>
          <w:rFonts w:hint="eastAsia"/>
        </w:rPr>
        <w:t>“十三五”期间，全市会展相关基础设施不断完善，全方位提升了会展项目承载能力和接待能力。会展场馆上，建成并投入运营全市第一个标准化、专业化会展场馆—四川国际旅游交易博览中心，占地面积约3.8万平方米，建筑面积4.98万平方米，展览面积2.8万平方米，附属设施配套用房建筑面积3881.2平方米。正在抓紧评估论证和规划建设乐山国际博览城，预计该项目主体工程和配套设施建设投资将在100亿元以上。会议设施上，实施红珠山会议中心改造提升工程。演艺、节庆和赛事场地上，建成《只有峨眉山》戏剧幻城、世界茉莉博览园、嘉州绿心公园体育中心等，正式开工建设乐山市奥林匹克中心。配套设施上，新建、改建了红珠山、蓝光己庄、恒邦艾美、锦江嘉州、悦榕庄等一批高档次酒店和世纪阳光、智选假日、宜必思、京泰皇冠、全季等一批连锁经济型酒店，全市酒店数量近1300家，接待床位数近20万张。</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四、展产融合稳步推进</w:t>
      </w:r>
    </w:p>
    <w:p>
      <w:pPr>
        <w:adjustRightInd w:val="0"/>
        <w:snapToGrid w:val="0"/>
        <w:spacing w:line="580" w:lineRule="exact"/>
        <w:ind w:firstLine="640" w:firstLineChars="200"/>
        <w:rPr>
          <w:rFonts w:hint="eastAsia"/>
        </w:rPr>
      </w:pPr>
      <w:r>
        <w:rPr>
          <w:rFonts w:hint="eastAsia"/>
        </w:rPr>
        <w:t>“十三五”期间，连续举办五届</w:t>
      </w:r>
      <w:r>
        <w:rPr>
          <w:rFonts w:hint="eastAsia"/>
        </w:rPr>
        <w:fldChar w:fldCharType="begin"/>
      </w:r>
      <w:r>
        <w:rPr>
          <w:rFonts w:hint="eastAsia"/>
        </w:rPr>
        <w:instrText xml:space="preserve"> HYPERLINK "http://www.baidu.com/link?url=-6en4VVJOTwXUtWhYLTu-f5NgTSwek0jnEldhfkolGtl5khfGE6Go0WjGXiecx4n4GV0JhIfM68e_KnBUpxKImaMZ3DW3A5XFbEj1I87sdQeBNPqXc1s17Q3Mue2RHWe8mUifAgwt_dIdYusPFSrO7t_zWYrHkP0a_JbgRZ4EbvqbCcvApZXIHLgrJ31HYiWBCrvhV4QQB-dQIH6CoprNa" \t "_blank" </w:instrText>
      </w:r>
      <w:r>
        <w:rPr>
          <w:rFonts w:hint="eastAsia"/>
        </w:rPr>
        <w:fldChar w:fldCharType="separate"/>
      </w:r>
      <w:r>
        <w:rPr>
          <w:rStyle w:val="8"/>
          <w:rFonts w:hint="eastAsia"/>
          <w:color w:val="auto"/>
        </w:rPr>
        <w:t>四川国际旅游交易博览会</w:t>
      </w:r>
      <w:r>
        <w:rPr>
          <w:rFonts w:hint="eastAsia"/>
        </w:rPr>
        <w:fldChar w:fldCharType="end"/>
      </w:r>
      <w:r>
        <w:rPr>
          <w:rFonts w:hint="eastAsia"/>
        </w:rPr>
        <w:t>、两届</w:t>
      </w:r>
      <w:r>
        <w:rPr>
          <w:rFonts w:hint="eastAsia"/>
        </w:rPr>
        <w:fldChar w:fldCharType="begin"/>
      </w:r>
      <w:r>
        <w:rPr>
          <w:rFonts w:hint="eastAsia"/>
        </w:rPr>
        <w:instrText xml:space="preserve"> HYPERLINK "http://www.baidu.com/link?url=k11AavLjwlUD6-JL_yjnq82bJ-Veem817U2gEqkk1seTvuWrb_mJDbTQANlTNaVPahdrtGqL_wComZvB6H9FTa" \t "_blank" </w:instrText>
      </w:r>
      <w:r>
        <w:rPr>
          <w:rFonts w:hint="eastAsia"/>
        </w:rPr>
        <w:fldChar w:fldCharType="separate"/>
      </w:r>
      <w:r>
        <w:rPr>
          <w:rStyle w:val="8"/>
          <w:rFonts w:hint="eastAsia"/>
          <w:color w:val="auto"/>
        </w:rPr>
        <w:t>中国（四川）国际旅游投资大会</w:t>
      </w:r>
      <w:r>
        <w:rPr>
          <w:rFonts w:hint="eastAsia"/>
        </w:rPr>
        <w:fldChar w:fldCharType="end"/>
      </w:r>
      <w:r>
        <w:rPr>
          <w:rFonts w:hint="eastAsia"/>
        </w:rPr>
        <w:t>、四届</w:t>
      </w:r>
      <w:r>
        <w:rPr>
          <w:rFonts w:hint="eastAsia"/>
        </w:rPr>
        <w:fldChar w:fldCharType="begin"/>
      </w:r>
      <w:r>
        <w:rPr>
          <w:rFonts w:hint="eastAsia"/>
        </w:rPr>
        <w:instrText xml:space="preserve"> HYPERLINK "http://www.baidu.com/link?url=IEaVGce-La6HsE_Ix02tPPzC4p104DnzJ4RtA0zOhO2wBHH39alJfbYH_EAcjG4zJj0ClO5UdY-E0Dy9sw-H1_" \t "_blank" </w:instrText>
      </w:r>
      <w:r>
        <w:rPr>
          <w:rFonts w:hint="eastAsia"/>
        </w:rPr>
        <w:fldChar w:fldCharType="separate"/>
      </w:r>
      <w:r>
        <w:rPr>
          <w:rStyle w:val="8"/>
          <w:rFonts w:hint="eastAsia"/>
          <w:color w:val="auto"/>
        </w:rPr>
        <w:t>中国茶乡峨眉山国际茶文化博览交易会</w:t>
      </w:r>
      <w:r>
        <w:rPr>
          <w:rFonts w:hint="eastAsia"/>
        </w:rPr>
        <w:fldChar w:fldCharType="end"/>
      </w:r>
      <w:r>
        <w:rPr>
          <w:rFonts w:hint="eastAsia"/>
        </w:rPr>
        <w:t>、三届</w:t>
      </w:r>
      <w:r>
        <w:rPr>
          <w:rFonts w:hint="eastAsia"/>
        </w:rPr>
        <w:fldChar w:fldCharType="begin"/>
      </w:r>
      <w:r>
        <w:rPr>
          <w:rFonts w:hint="eastAsia"/>
        </w:rPr>
        <w:instrText xml:space="preserve"> HYPERLINK "http://www.baidu.com/link?url=Guda_X19c98reJrIrbdWO-H1jsoJ-UgOWG3-eaq-pciIJKgh9YxtaK0pRPbXrxbmTdBmrU7znhGlgFIUlHPssF45ndVSKVGjlsTBLk4vETe" \t "_blank" </w:instrText>
      </w:r>
      <w:r>
        <w:rPr>
          <w:rFonts w:hint="eastAsia"/>
        </w:rPr>
        <w:fldChar w:fldCharType="separate"/>
      </w:r>
      <w:r>
        <w:rPr>
          <w:rStyle w:val="8"/>
          <w:rFonts w:hint="eastAsia"/>
          <w:color w:val="auto"/>
        </w:rPr>
        <w:t>四川（乐山）中医药博览会</w:t>
      </w:r>
      <w:r>
        <w:rPr>
          <w:rFonts w:hint="eastAsia"/>
        </w:rPr>
        <w:fldChar w:fldCharType="end"/>
      </w:r>
      <w:r>
        <w:rPr>
          <w:rFonts w:hint="eastAsia"/>
        </w:rPr>
        <w:t>和中国—东盟旅游节、中国乐山—南亚经贸合作洽谈会、</w:t>
      </w:r>
      <w:r>
        <w:rPr>
          <w:rFonts w:hint="eastAsia"/>
        </w:rPr>
        <w:fldChar w:fldCharType="begin"/>
      </w:r>
      <w:r>
        <w:rPr>
          <w:rFonts w:hint="eastAsia"/>
        </w:rPr>
        <w:instrText xml:space="preserve"> HYPERLINK "http://www.baidu.com/link?url=c_JbujkHlSU2Jlctbc9ogMsNk1QPvTjp98iJQhrbXoLk_t-X_5eB-AegStPmHFkvsA6oJdStHz7I6GchBIVP-E3Vanwo3EAv4l8VuED0Aq3" \t "_blank" </w:instrText>
      </w:r>
      <w:r>
        <w:rPr>
          <w:rFonts w:hint="eastAsia"/>
        </w:rPr>
        <w:fldChar w:fldCharType="separate"/>
      </w:r>
      <w:r>
        <w:rPr>
          <w:rStyle w:val="8"/>
          <w:rFonts w:hint="eastAsia"/>
          <w:color w:val="auto"/>
        </w:rPr>
        <w:t>川南地区信息技术应用创新大会</w:t>
      </w:r>
      <w:r>
        <w:rPr>
          <w:rFonts w:hint="eastAsia"/>
        </w:rPr>
        <w:fldChar w:fldCharType="end"/>
      </w:r>
      <w:r>
        <w:rPr>
          <w:rFonts w:hint="eastAsia"/>
        </w:rPr>
        <w:t>等展览、会议、节庆活动，有力带动乐山市旅游、峨眉山茶、林竹、中药材、信息技术等产业发展和品牌打造，有效促进乐山和欧美、日韩、南亚东南亚国家之间全方位、深层次、多领域的贸易、投资与合作。</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五、积极拓展对外交流</w:t>
      </w:r>
    </w:p>
    <w:p>
      <w:pPr>
        <w:adjustRightInd w:val="0"/>
        <w:snapToGrid w:val="0"/>
        <w:spacing w:line="580" w:lineRule="exact"/>
        <w:ind w:firstLine="640" w:firstLineChars="200"/>
        <w:rPr>
          <w:rFonts w:hint="eastAsia"/>
        </w:rPr>
      </w:pPr>
      <w:r>
        <w:rPr>
          <w:rFonts w:hint="eastAsia"/>
        </w:rPr>
        <w:t>“十三五”期间，积极组织各行业企业赴境外、国内、省内参加相关经贸活动，重点参加了法国法兰克福国际汽车零配件及售后服务展览会、中印智慧城镇化合作大会与展览会、中国机械工业（俄罗斯）品牌展、</w:t>
      </w:r>
      <w:r>
        <w:rPr>
          <w:rFonts w:hint="eastAsia"/>
        </w:rPr>
        <w:fldChar w:fldCharType="begin"/>
      </w:r>
      <w:r>
        <w:rPr>
          <w:rFonts w:hint="eastAsia"/>
        </w:rPr>
        <w:instrText xml:space="preserve"> HYPERLINK "http://www.baidu.com/link?url=DLq7AkrNKBp2YKd19b16_luavFnXERpxW0iCp6gsenuupyTFgh4GjQrUGxtLt5gQ" \t "_blank" </w:instrText>
      </w:r>
      <w:r>
        <w:rPr>
          <w:rFonts w:hint="eastAsia"/>
        </w:rPr>
        <w:fldChar w:fldCharType="separate"/>
      </w:r>
      <w:r>
        <w:rPr>
          <w:rStyle w:val="8"/>
          <w:rFonts w:hint="eastAsia"/>
          <w:color w:val="auto"/>
        </w:rPr>
        <w:t>中国进出口商品交易会</w:t>
      </w:r>
      <w:r>
        <w:rPr>
          <w:rFonts w:hint="eastAsia"/>
        </w:rPr>
        <w:fldChar w:fldCharType="end"/>
      </w:r>
      <w:r>
        <w:rPr>
          <w:rFonts w:hint="eastAsia"/>
        </w:rPr>
        <w:t>、</w:t>
      </w:r>
      <w:r>
        <w:rPr>
          <w:rFonts w:hint="eastAsia"/>
        </w:rPr>
        <w:fldChar w:fldCharType="begin"/>
      </w:r>
      <w:r>
        <w:rPr>
          <w:rFonts w:hint="eastAsia"/>
        </w:rPr>
        <w:instrText xml:space="preserve"> HYPERLINK "http://www.baidu.com/link?url=SNvJHyNMcJZpyauN71u165X_stbtauUxBBdbOmDPVd7iT2IEPzB1AHcxgvv1IsYR" \t "_blank" </w:instrText>
      </w:r>
      <w:r>
        <w:rPr>
          <w:rFonts w:hint="eastAsia"/>
        </w:rPr>
        <w:fldChar w:fldCharType="separate"/>
      </w:r>
      <w:r>
        <w:rPr>
          <w:rStyle w:val="8"/>
          <w:rFonts w:hint="eastAsia"/>
          <w:color w:val="auto"/>
        </w:rPr>
        <w:t>中国国际进口博览会</w:t>
      </w:r>
      <w:r>
        <w:rPr>
          <w:rFonts w:hint="eastAsia"/>
        </w:rPr>
        <w:fldChar w:fldCharType="end"/>
      </w:r>
      <w:r>
        <w:rPr>
          <w:rFonts w:hint="eastAsia"/>
        </w:rPr>
        <w:t>、</w:t>
      </w:r>
      <w:r>
        <w:rPr>
          <w:rFonts w:hint="eastAsia"/>
        </w:rPr>
        <w:fldChar w:fldCharType="begin"/>
      </w:r>
      <w:r>
        <w:rPr>
          <w:rFonts w:hint="eastAsia"/>
        </w:rPr>
        <w:instrText xml:space="preserve"> HYPERLINK "http://www.baidu.com/link?url=zVP1GZNK718zTQUvLVZv5rYih2gabLpcpPTZSpclJaIXyI5r1rG2BFBhxtmgOtkU" \t "_blank" </w:instrText>
      </w:r>
      <w:r>
        <w:rPr>
          <w:rFonts w:hint="eastAsia"/>
        </w:rPr>
        <w:fldChar w:fldCharType="separate"/>
      </w:r>
      <w:r>
        <w:rPr>
          <w:rStyle w:val="8"/>
          <w:rFonts w:hint="eastAsia"/>
          <w:color w:val="auto"/>
        </w:rPr>
        <w:t>全国糖酒商品交易会</w:t>
      </w:r>
      <w:r>
        <w:rPr>
          <w:rFonts w:hint="eastAsia"/>
        </w:rPr>
        <w:fldChar w:fldCharType="end"/>
      </w:r>
      <w:r>
        <w:rPr>
          <w:rFonts w:hint="eastAsia"/>
        </w:rPr>
        <w:t>、</w:t>
      </w:r>
      <w:r>
        <w:rPr>
          <w:rFonts w:hint="eastAsia"/>
        </w:rPr>
        <w:fldChar w:fldCharType="begin"/>
      </w:r>
      <w:r>
        <w:rPr>
          <w:rFonts w:hint="eastAsia"/>
        </w:rPr>
        <w:instrText xml:space="preserve"> HYPERLINK "http://www.baidu.com/link?url=xeStvHTFkLQckdFyhJKbNsoOlsfUJXzyeP27ZxPfRs7&amp;ck=1725.4.1590535507571.0.0.1014.346.0&amp;shh=www.baidu.com&amp;sht=baidu" \t "_blank" </w:instrText>
      </w:r>
      <w:r>
        <w:rPr>
          <w:rFonts w:hint="eastAsia"/>
        </w:rPr>
        <w:fldChar w:fldCharType="separate"/>
      </w:r>
      <w:r>
        <w:rPr>
          <w:rStyle w:val="8"/>
          <w:rFonts w:hint="eastAsia"/>
          <w:color w:val="auto"/>
        </w:rPr>
        <w:t>中国西部国际博览会</w:t>
      </w:r>
      <w:r>
        <w:rPr>
          <w:rFonts w:hint="eastAsia"/>
        </w:rPr>
        <w:fldChar w:fldCharType="end"/>
      </w:r>
      <w:r>
        <w:rPr>
          <w:rFonts w:hint="eastAsia"/>
        </w:rPr>
        <w:t>、重庆国际建筑装饰博览会、重庆中国国际口岸贸易博览会、中国（绵阳）科技城国际科技博览会、中国国际酒业博览会等重大展会活动200场次，助推乐山优势产业、优质产品走出去。</w:t>
      </w:r>
    </w:p>
    <w:p>
      <w:pPr>
        <w:adjustRightInd w:val="0"/>
        <w:snapToGrid w:val="0"/>
        <w:spacing w:line="580" w:lineRule="exact"/>
        <w:ind w:firstLine="640" w:firstLineChars="200"/>
        <w:rPr>
          <w:rFonts w:hint="eastAsia"/>
        </w:rPr>
      </w:pPr>
    </w:p>
    <w:p>
      <w:pPr>
        <w:adjustRightInd w:val="0"/>
        <w:snapToGrid w:val="0"/>
        <w:spacing w:line="540" w:lineRule="exact"/>
        <w:jc w:val="center"/>
        <w:rPr>
          <w:rFonts w:hint="eastAsia"/>
        </w:rPr>
      </w:pPr>
      <w:bookmarkStart w:id="48" w:name="_Toc90812633"/>
      <w:bookmarkStart w:id="49" w:name="_Toc21533"/>
      <w:bookmarkStart w:id="50" w:name="_Toc31250"/>
      <w:bookmarkStart w:id="51" w:name="_Toc1497"/>
      <w:bookmarkStart w:id="52" w:name="_Toc25886"/>
      <w:bookmarkStart w:id="53" w:name="_Toc19084"/>
      <w:bookmarkStart w:id="54" w:name="_Toc24990"/>
      <w:bookmarkStart w:id="55" w:name="_Toc90005833"/>
      <w:bookmarkStart w:id="56" w:name="_Toc29178"/>
      <w:bookmarkStart w:id="57" w:name="_Toc25286"/>
      <w:bookmarkStart w:id="58" w:name="_Toc22632"/>
      <w:bookmarkStart w:id="59" w:name="_Toc89531839"/>
      <w:bookmarkStart w:id="60" w:name="_Toc14355"/>
      <w:bookmarkStart w:id="61" w:name="_Toc23292"/>
      <w:bookmarkStart w:id="62" w:name="_Toc1633"/>
      <w:bookmarkStart w:id="63" w:name="_Toc27917"/>
      <w:bookmarkStart w:id="64" w:name="_Toc18315"/>
      <w:bookmarkStart w:id="65" w:name="_Toc4775"/>
      <w:bookmarkStart w:id="66" w:name="_Toc20446"/>
      <w:bookmarkStart w:id="67" w:name="_Toc26645"/>
      <w:r>
        <w:rPr>
          <w:rFonts w:hint="eastAsia"/>
        </w:rPr>
        <w:t>第二节  “十三五”期间存在问题</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adjustRightInd w:val="0"/>
        <w:snapToGrid w:val="0"/>
        <w:spacing w:line="580" w:lineRule="exact"/>
        <w:ind w:firstLine="640" w:firstLineChars="200"/>
        <w:rPr>
          <w:rFonts w:hint="eastAsia"/>
        </w:rPr>
      </w:pP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一、会展支撑力度不足</w:t>
      </w:r>
    </w:p>
    <w:p>
      <w:pPr>
        <w:adjustRightInd w:val="0"/>
        <w:snapToGrid w:val="0"/>
        <w:spacing w:line="580" w:lineRule="exact"/>
        <w:ind w:firstLine="640" w:firstLineChars="200"/>
        <w:rPr>
          <w:rFonts w:hint="eastAsia"/>
        </w:rPr>
      </w:pPr>
      <w:r>
        <w:rPr>
          <w:rFonts w:hint="eastAsia"/>
        </w:rPr>
        <w:t>主要表现在，配套会展政策不完善。关于招展、引展、办展的财政资金支持和奖励以及金融支持、税收优惠、人才培养和招引鼓励等一系列配套政策不完善。保障机制不健全。目前乐山尚未建立市一级的会展产业发展领导小组，也尚未成立会展产业行业协会。缺乏“会展+”推进机制、会展利益联结机制和人才保障机制。中小型展会举办不足。2020年，乐山单位展览面积达到2.33万平方米/场，排名全省第一，但举办展会数量仅12场，远低于绵阳、自贡、内江，在全省排名第五，主要系中小型展会支撑不足。</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二、会展市场培育不够</w:t>
      </w:r>
    </w:p>
    <w:p>
      <w:pPr>
        <w:adjustRightInd w:val="0"/>
        <w:snapToGrid w:val="0"/>
        <w:spacing w:line="580" w:lineRule="exact"/>
        <w:ind w:firstLine="640" w:firstLineChars="200"/>
        <w:rPr>
          <w:rFonts w:hint="eastAsia"/>
        </w:rPr>
      </w:pPr>
      <w:r>
        <w:rPr>
          <w:rFonts w:hint="eastAsia"/>
        </w:rPr>
        <w:t>会展产业链不全。目前，乐山会展组展、策划、宣传等产业链上游环节，场馆运营、展台搭建、现场服务等产业链中游环节，</w:t>
      </w:r>
      <w:r>
        <w:rPr>
          <w:rFonts w:hint="eastAsia"/>
        </w:rPr>
        <w:fldChar w:fldCharType="begin"/>
      </w:r>
      <w:r>
        <w:rPr>
          <w:rFonts w:hint="eastAsia"/>
        </w:rPr>
        <w:instrText xml:space="preserve"> HYPERLINK "https://wiki.mbalib.com/wiki/%E4%BC%9A%E5%B1%95%E6%B4%BB%E5%8A%A8" \o "会展活动" </w:instrText>
      </w:r>
      <w:r>
        <w:rPr>
          <w:rFonts w:hint="eastAsia"/>
        </w:rPr>
        <w:fldChar w:fldCharType="separate"/>
      </w:r>
      <w:r>
        <w:rPr>
          <w:rStyle w:val="8"/>
          <w:rFonts w:hint="eastAsia"/>
          <w:color w:val="auto"/>
        </w:rPr>
        <w:t>会展物流、商务服务、法律咨询、人才培训等</w:t>
      </w:r>
      <w:r>
        <w:rPr>
          <w:rFonts w:hint="eastAsia"/>
        </w:rPr>
        <w:fldChar w:fldCharType="end"/>
      </w:r>
      <w:r>
        <w:rPr>
          <w:rFonts w:hint="eastAsia"/>
        </w:rPr>
        <w:t>产业链下游环节相关市场主体还有所不足，整体上没有形成完整的会展产业链闭环。市场化程度不够。目前，乐山展会活动以政府展会为主体，市场化展会不足，本地专业组展企业不多，缺少会展龙头企业。</w:t>
      </w:r>
      <w:bookmarkStart w:id="68" w:name="_Toc57056949"/>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三、会展聚集效应不强</w:t>
      </w:r>
      <w:bookmarkEnd w:id="68"/>
    </w:p>
    <w:p>
      <w:pPr>
        <w:adjustRightInd w:val="0"/>
        <w:snapToGrid w:val="0"/>
        <w:spacing w:line="580" w:lineRule="exact"/>
        <w:ind w:firstLine="640" w:firstLineChars="200"/>
        <w:rPr>
          <w:rFonts w:hint="eastAsia"/>
        </w:rPr>
      </w:pPr>
      <w:r>
        <w:rPr>
          <w:rFonts w:hint="eastAsia"/>
        </w:rPr>
        <w:t>乐山城市在国际国内品牌影响力不够，制约了会展产业的快速发展。会展载体作用发挥不够，会展场馆等平台建设和硬件配套设施建设进展缓慢，全市已经建成的专业会展场馆只有1个，拟建的乐山国际博览城建设进度较为缓慢。会展产业的带动效益不</w:t>
      </w:r>
      <w:r>
        <w:rPr>
          <w:rFonts w:hint="eastAsia"/>
          <w:spacing w:val="-10"/>
        </w:rPr>
        <w:t>显著。目前，乐山会展产业对经济的综合拉动系数大约只有1</w:t>
      </w:r>
      <w:r>
        <w:rPr>
          <w:rFonts w:hint="eastAsia" w:hAnsi="宋体" w:cs="宋体"/>
          <w:spacing w:val="-10"/>
        </w:rPr>
        <w:t>∶</w:t>
      </w:r>
      <w:r>
        <w:rPr>
          <w:rFonts w:hint="eastAsia" w:hAnsi="Calibri" w:cs="Calibri"/>
          <w:spacing w:val="-10"/>
        </w:rPr>
        <w:t>4</w:t>
      </w:r>
      <w:r>
        <w:rPr>
          <w:rFonts w:hint="eastAsia"/>
        </w:rPr>
        <w:t>，低于1</w:t>
      </w:r>
      <w:r>
        <w:rPr>
          <w:rFonts w:hint="eastAsia" w:hAnsi="宋体" w:cs="宋体"/>
        </w:rPr>
        <w:t>∶</w:t>
      </w:r>
      <w:r>
        <w:rPr>
          <w:rFonts w:hint="eastAsia" w:hAnsi="Calibri" w:cs="Calibri"/>
        </w:rPr>
        <w:t>9</w:t>
      </w:r>
      <w:r>
        <w:rPr>
          <w:rFonts w:hint="eastAsia"/>
        </w:rPr>
        <w:t>的行业一般标准，会展产业的经济集聚效应还未完全显现，对经济增长的贡献率不够</w:t>
      </w:r>
      <w:bookmarkStart w:id="69" w:name="_Toc57056950"/>
      <w:r>
        <w:rPr>
          <w:rFonts w:hint="eastAsia"/>
        </w:rPr>
        <w:t>。</w:t>
      </w:r>
    </w:p>
    <w:bookmarkEnd w:id="69"/>
    <w:p>
      <w:pPr>
        <w:adjustRightInd w:val="0"/>
        <w:snapToGrid w:val="0"/>
        <w:spacing w:line="580" w:lineRule="exact"/>
        <w:ind w:firstLine="640" w:firstLineChars="200"/>
        <w:rPr>
          <w:rFonts w:hint="eastAsia"/>
        </w:rPr>
      </w:pPr>
      <w:bookmarkStart w:id="70" w:name="_Toc17135"/>
      <w:bookmarkStart w:id="71" w:name="_Toc16754"/>
      <w:bookmarkStart w:id="72" w:name="_Toc2554"/>
      <w:bookmarkStart w:id="73" w:name="_Toc28122"/>
      <w:bookmarkStart w:id="74" w:name="_Toc89531840"/>
      <w:bookmarkStart w:id="75" w:name="_Toc19806"/>
      <w:bookmarkStart w:id="76" w:name="_Toc6263"/>
      <w:bookmarkStart w:id="77" w:name="_Toc90005834"/>
      <w:bookmarkStart w:id="78" w:name="_Toc2741"/>
      <w:bookmarkStart w:id="79" w:name="_Toc27025"/>
      <w:bookmarkStart w:id="80" w:name="_Toc28550"/>
      <w:bookmarkStart w:id="81" w:name="_Toc8231"/>
      <w:bookmarkStart w:id="82" w:name="_Toc20731"/>
      <w:bookmarkStart w:id="83" w:name="_Toc18208"/>
      <w:bookmarkStart w:id="84" w:name="_Toc5330"/>
      <w:bookmarkStart w:id="85" w:name="_Toc90812634"/>
      <w:bookmarkStart w:id="86" w:name="_Toc3835"/>
      <w:bookmarkStart w:id="87" w:name="_Toc17369"/>
      <w:bookmarkStart w:id="88" w:name="_Toc11113"/>
      <w:bookmarkStart w:id="89" w:name="_Toc26627"/>
    </w:p>
    <w:p>
      <w:pPr>
        <w:adjustRightInd w:val="0"/>
        <w:snapToGrid w:val="0"/>
        <w:spacing w:line="540" w:lineRule="exact"/>
        <w:jc w:val="center"/>
        <w:rPr>
          <w:rFonts w:hint="eastAsia"/>
        </w:rPr>
      </w:pPr>
      <w:r>
        <w:rPr>
          <w:rFonts w:hint="eastAsia"/>
        </w:rPr>
        <w:t>第三节  “十四五”时期发展机遇</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adjustRightInd w:val="0"/>
        <w:snapToGrid w:val="0"/>
        <w:spacing w:line="580" w:lineRule="exact"/>
        <w:ind w:firstLine="640" w:firstLineChars="200"/>
        <w:rPr>
          <w:rFonts w:hint="eastAsia"/>
        </w:rPr>
      </w:pP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一、国省战略定位提供的机遇</w:t>
      </w:r>
    </w:p>
    <w:p>
      <w:pPr>
        <w:adjustRightInd w:val="0"/>
        <w:snapToGrid w:val="0"/>
        <w:spacing w:line="580" w:lineRule="exact"/>
        <w:ind w:firstLine="640" w:firstLineChars="200"/>
        <w:rPr>
          <w:rFonts w:hint="eastAsia"/>
        </w:rPr>
      </w:pPr>
      <w:r>
        <w:rPr>
          <w:rFonts w:hint="eastAsia"/>
        </w:rPr>
        <w:t>《成渝地区双城经济圈建设规划纲要》为乐山承接全国、全省重大展会项目，建设四川会展副中心、成渝地区会展第三极和国际旅游会展中心提供了重大机遇。省委、省政府深化拓展“一干多支、五区协同”战略部署，要求乐山打造区域中心城市，支持乐山争创全省经济副中心，为乐山会展产业引聚资源，助力乐山经济实现新突破指明了发展方向。市委、市政府坚持旅游兴市、产业强市战略，市第八次党代会提出“建设国际旅游会展中心，办好旅博会、茶博会、药博会、峨眉山康养论坛，打造成渝地区会展第三极”的战略部署，为乐山会展产业在招展、引展、办展等方面明确了实施路径。</w:t>
      </w:r>
      <w:bookmarkStart w:id="90" w:name="_Toc57056951"/>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二、经济高速发展提供的机遇</w:t>
      </w:r>
      <w:bookmarkEnd w:id="90"/>
      <w:bookmarkStart w:id="91" w:name="_Toc57056952"/>
    </w:p>
    <w:p>
      <w:pPr>
        <w:adjustRightInd w:val="0"/>
        <w:snapToGrid w:val="0"/>
        <w:spacing w:line="580" w:lineRule="exact"/>
        <w:ind w:firstLine="640" w:firstLineChars="200"/>
        <w:rPr>
          <w:rFonts w:hint="eastAsia"/>
        </w:rPr>
      </w:pPr>
      <w:r>
        <w:rPr>
          <w:rFonts w:hint="eastAsia"/>
        </w:rPr>
        <w:t>乐山正在全力争创全省经济副中心，经济高速发展为会展产业创造了更有利的发展条件。“十三五”期间，全市地区生产总值年均增速7.4%左右，高于全国、全省平均水平。经济总量于2020年跨上2000亿台阶，主要经济指标走在全省第一方阵。未来五年，乐山市经济总量将达3200亿元以上，实现发展质效、产业能级、城乡面貌、交通优势、幸福指数“五个提升”，将不断增强乐山在成渝双城经济圈中的吸引力和对区域优质要素的集聚力，为更多会展资源和要素向乐山聚集提供有力条件和坚实支撑。</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三、产业体系加快构建提供的机遇</w:t>
      </w:r>
    </w:p>
    <w:p>
      <w:pPr>
        <w:adjustRightInd w:val="0"/>
        <w:snapToGrid w:val="0"/>
        <w:spacing w:line="580" w:lineRule="exact"/>
        <w:ind w:firstLine="640" w:firstLineChars="200"/>
        <w:rPr>
          <w:rFonts w:hint="eastAsia"/>
        </w:rPr>
      </w:pPr>
      <w:r>
        <w:rPr>
          <w:rFonts w:hint="eastAsia"/>
        </w:rPr>
        <w:t>乐山正在加快优化文旅经济核心区、先进制造集聚区、现代农业示范区、生态经济先行区“四区布局”。特色现代农业、先进制造业、现代旅游业、现代服务业等现代产业体系的加快构建，推动乐山产业发展不断提质增效，充分发挥文化旅游、茶业、中医药、光电信息、先进建材、绿色化工、食品饮料、数字经济等特色优势产业虹吸聚集效应，嫁接资源，孵化培育、策划举办优质展会，构建特色会展项目体系，进一步推进展产融合，助力乐山构建现代产业体系。</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四、资源禀赋独特优势提供的机遇</w:t>
      </w:r>
      <w:bookmarkEnd w:id="91"/>
    </w:p>
    <w:p>
      <w:pPr>
        <w:adjustRightInd w:val="0"/>
        <w:snapToGrid w:val="0"/>
        <w:spacing w:line="580" w:lineRule="exact"/>
        <w:ind w:firstLine="640" w:firstLineChars="200"/>
        <w:rPr>
          <w:rFonts w:hint="eastAsia"/>
        </w:rPr>
      </w:pPr>
      <w:r>
        <w:rPr>
          <w:rFonts w:hint="eastAsia"/>
        </w:rPr>
        <w:t>地理区位优势提供的发展机遇。乐山处于“成-绵-乐”发展轴线和成都平原城镇连绵区，在全省经济发展格局中具有重要地位；在外向开放上，乐山是四川南向出川的重要大通道，是面向港澳、东盟开放合作的“桥头堡”；在交通条件上，乐山是成都平原经济区唯一集公、铁、空、水多种交通方式于一体的城市，打造立体综合交通次枢纽优势显著。丰富的旅游资源提供的发展机遇。乐山作为拥有三处不同类型世界遗产的城市（峨眉山、乐山大佛、东风堰），具有集顶级山水、人文旅游资源于一体的独特优势，为乐山会展产业策划项目、打造品牌、聚集要素提供了良好基础。人文资源禀赋优势提供的发展机遇。峨眉武术文化、佛禅文化、沫若文化等密集、独特、高品位的人文资源为乐山“十四五”时期会展产业向更有特色、更有品质的方向发展增添了优势。</w:t>
      </w:r>
    </w:p>
    <w:p>
      <w:pPr>
        <w:adjustRightInd w:val="0"/>
        <w:snapToGrid w:val="0"/>
        <w:spacing w:line="580" w:lineRule="exact"/>
        <w:ind w:firstLine="640" w:firstLineChars="200"/>
        <w:rPr>
          <w:rFonts w:hint="eastAsia"/>
        </w:rPr>
      </w:pPr>
      <w:bookmarkStart w:id="92" w:name="_Toc30160"/>
      <w:bookmarkStart w:id="93" w:name="_Toc2674"/>
      <w:bookmarkStart w:id="94" w:name="_Toc18403"/>
      <w:bookmarkStart w:id="95" w:name="_Toc30737"/>
      <w:bookmarkStart w:id="96" w:name="_Toc3199"/>
      <w:bookmarkStart w:id="97" w:name="_Toc90005835"/>
      <w:bookmarkStart w:id="98" w:name="_Toc90812635"/>
      <w:bookmarkStart w:id="99" w:name="_Toc593"/>
      <w:bookmarkStart w:id="100" w:name="_Toc23201"/>
      <w:bookmarkStart w:id="101" w:name="_Toc31587"/>
      <w:bookmarkStart w:id="102" w:name="_Toc31764"/>
      <w:bookmarkStart w:id="103" w:name="_Toc19178"/>
      <w:bookmarkStart w:id="104" w:name="_Toc20692"/>
      <w:bookmarkStart w:id="105" w:name="_Toc17052"/>
      <w:bookmarkStart w:id="106" w:name="_Toc5395"/>
      <w:bookmarkStart w:id="107" w:name="_Toc28596"/>
      <w:bookmarkStart w:id="108" w:name="_Toc28930"/>
      <w:bookmarkStart w:id="109" w:name="_Toc89531841"/>
      <w:bookmarkStart w:id="110" w:name="_Toc1945"/>
      <w:bookmarkStart w:id="111" w:name="_Toc19038"/>
    </w:p>
    <w:p>
      <w:pPr>
        <w:adjustRightInd w:val="0"/>
        <w:snapToGrid w:val="0"/>
        <w:spacing w:line="540" w:lineRule="exact"/>
        <w:jc w:val="center"/>
        <w:rPr>
          <w:rFonts w:hint="eastAsia"/>
        </w:rPr>
      </w:pPr>
      <w:r>
        <w:rPr>
          <w:rFonts w:hint="eastAsia"/>
        </w:rPr>
        <w:t>第四节  “十四五”时期发展挑战</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adjustRightInd w:val="0"/>
        <w:snapToGrid w:val="0"/>
        <w:spacing w:line="580" w:lineRule="exact"/>
        <w:ind w:firstLine="640" w:firstLineChars="200"/>
        <w:rPr>
          <w:rFonts w:hint="eastAsia"/>
        </w:rPr>
      </w:pP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一、会展起步阶段带来的挑战</w:t>
      </w:r>
    </w:p>
    <w:p>
      <w:pPr>
        <w:adjustRightInd w:val="0"/>
        <w:snapToGrid w:val="0"/>
        <w:spacing w:line="580" w:lineRule="exact"/>
        <w:ind w:firstLine="640" w:firstLineChars="200"/>
        <w:rPr>
          <w:rFonts w:hint="eastAsia"/>
        </w:rPr>
      </w:pPr>
      <w:r>
        <w:rPr>
          <w:rFonts w:hint="eastAsia"/>
        </w:rPr>
        <w:t>目前，乐山会展产业仍然处于起步阶段，场馆功能略显不足，会展企业数量少、规模小，专业人才较少，技术手段相对落后，经济效益和社会效益还不明显，对经济的贡献率有待进一步提升，而会展产业的发展需要生产要素的大量聚集，目前主要依靠政府推动，市场化办展进程不快。</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二、区域竞争加剧带来的挑战</w:t>
      </w:r>
    </w:p>
    <w:p>
      <w:pPr>
        <w:adjustRightInd w:val="0"/>
        <w:snapToGrid w:val="0"/>
        <w:spacing w:line="580" w:lineRule="exact"/>
        <w:ind w:firstLine="640" w:firstLineChars="200"/>
        <w:rPr>
          <w:rFonts w:hint="eastAsia"/>
        </w:rPr>
      </w:pPr>
      <w:r>
        <w:rPr>
          <w:rFonts w:hint="eastAsia"/>
        </w:rPr>
        <w:t>近年来，全省建设省级会展副中心的竞争城市较多，其会展产业发展也较快。相比而言，乐山在会展数量、办展规模和质量效应上没有明显优势，在与产业规模、消费升级、城市营销等竞争过程中，存在展会主题同质、展会品牌遮蔽的挑战。</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三、新技术应用滞后带来的挑战</w:t>
      </w:r>
    </w:p>
    <w:p>
      <w:pPr>
        <w:adjustRightInd w:val="0"/>
        <w:snapToGrid w:val="0"/>
        <w:spacing w:line="580" w:lineRule="exact"/>
        <w:ind w:firstLine="640" w:firstLineChars="200"/>
        <w:rPr>
          <w:rFonts w:hint="eastAsia"/>
        </w:rPr>
      </w:pPr>
      <w:r>
        <w:rPr>
          <w:rFonts w:hint="eastAsia"/>
        </w:rPr>
        <w:t>随</w:t>
      </w:r>
      <w:r>
        <w:rPr>
          <w:rFonts w:hint="eastAsia"/>
          <w:spacing w:val="-20"/>
        </w:rPr>
        <w:t>着5</w:t>
      </w:r>
      <w:r>
        <w:rPr>
          <w:rFonts w:hint="eastAsia"/>
        </w:rPr>
        <w:t>G、互联网、云计算、大数据、人工智能等技术普及应用，电子商务颠覆式发展带来的冲击，突破了部分传统会展所依赖的区位限制、场地限制，以虚拟展会、数字展会等为代表的全新办展方式逐渐兴起。目前，乐山会展对新技术的应用还存在滞后，创新的办展方式还有不足。</w:t>
      </w:r>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四、不确定因素增多带来的挑战</w:t>
      </w:r>
    </w:p>
    <w:p>
      <w:pPr>
        <w:adjustRightInd w:val="0"/>
        <w:snapToGrid w:val="0"/>
        <w:spacing w:line="580" w:lineRule="exact"/>
        <w:ind w:firstLine="640" w:firstLineChars="200"/>
        <w:rPr>
          <w:rFonts w:hint="eastAsia"/>
        </w:rPr>
      </w:pPr>
      <w:r>
        <w:rPr>
          <w:rFonts w:hint="eastAsia"/>
        </w:rPr>
        <w:t>当前国际环境不确定性因素增多，国内经济恢复仍不稳固、不均衡，加之新冠肺炎疫情时有反复，疫情防控呈现常态化态势。外部不确定性因素对展会的顺利开展影响较大，时有会展延期或取消举办情况出现，对会展主办方与承办方造成较大损失。</w:t>
      </w:r>
    </w:p>
    <w:p>
      <w:pPr>
        <w:adjustRightInd w:val="0"/>
        <w:snapToGrid w:val="0"/>
        <w:spacing w:line="580" w:lineRule="exact"/>
        <w:ind w:firstLine="640" w:firstLineChars="200"/>
        <w:rPr>
          <w:rFonts w:hint="eastAsia"/>
        </w:rPr>
      </w:pPr>
      <w:bookmarkStart w:id="112" w:name="_Toc11777"/>
      <w:bookmarkStart w:id="113" w:name="_Toc7261"/>
      <w:bookmarkStart w:id="114" w:name="_Toc31586"/>
      <w:bookmarkStart w:id="115" w:name="_Toc2718"/>
      <w:bookmarkStart w:id="116" w:name="_Toc13323"/>
      <w:bookmarkStart w:id="117" w:name="_Toc21769"/>
      <w:bookmarkStart w:id="118" w:name="_Toc24938"/>
      <w:bookmarkStart w:id="119" w:name="_Toc90812636"/>
      <w:bookmarkStart w:id="120" w:name="_Toc27781"/>
      <w:bookmarkStart w:id="121" w:name="_Toc6984"/>
      <w:bookmarkStart w:id="122" w:name="_Toc19922"/>
      <w:bookmarkStart w:id="123" w:name="_Toc10005"/>
      <w:bookmarkStart w:id="124" w:name="_Toc89531842"/>
      <w:bookmarkStart w:id="125" w:name="_Toc17958"/>
      <w:bookmarkStart w:id="126" w:name="_Toc4847"/>
      <w:bookmarkStart w:id="127" w:name="_Toc31597"/>
      <w:bookmarkStart w:id="128" w:name="_Toc5663"/>
      <w:bookmarkStart w:id="129" w:name="_Toc3701"/>
      <w:bookmarkStart w:id="130" w:name="_Toc90005836"/>
      <w:bookmarkStart w:id="131" w:name="_Toc1670"/>
    </w:p>
    <w:p>
      <w:pPr>
        <w:adjustRightInd w:val="0"/>
        <w:snapToGrid w:val="0"/>
        <w:spacing w:line="540" w:lineRule="exact"/>
        <w:jc w:val="center"/>
        <w:rPr>
          <w:rFonts w:hint="eastAsia"/>
        </w:rPr>
      </w:pPr>
      <w:r>
        <w:rPr>
          <w:rFonts w:hint="eastAsia"/>
        </w:rPr>
        <w:t>第五节  “十四五”时期发展条件</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adjustRightInd w:val="0"/>
        <w:snapToGrid w:val="0"/>
        <w:spacing w:line="580" w:lineRule="exact"/>
        <w:ind w:firstLine="640" w:firstLineChars="200"/>
        <w:rPr>
          <w:rFonts w:hint="eastAsia"/>
        </w:rPr>
      </w:pPr>
      <w:bookmarkStart w:id="132" w:name="_Toc31006"/>
      <w:bookmarkStart w:id="133" w:name="_Toc20086"/>
      <w:bookmarkStart w:id="134" w:name="_Toc20138"/>
      <w:bookmarkStart w:id="135" w:name="_Toc632"/>
      <w:bookmarkStart w:id="136" w:name="_Toc5907"/>
      <w:bookmarkStart w:id="137" w:name="_Toc24197"/>
      <w:bookmarkStart w:id="138" w:name="_Toc21927"/>
      <w:bookmarkStart w:id="139" w:name="_Toc5579"/>
      <w:bookmarkStart w:id="140" w:name="_Toc17141"/>
      <w:bookmarkStart w:id="141" w:name="_Toc89531843"/>
      <w:bookmarkStart w:id="142" w:name="_Toc1032"/>
      <w:bookmarkStart w:id="143" w:name="_Toc7857"/>
    </w:p>
    <w:p>
      <w:pPr>
        <w:adjustRightInd w:val="0"/>
        <w:snapToGrid w:val="0"/>
        <w:spacing w:line="540" w:lineRule="exact"/>
        <w:ind w:firstLine="640" w:firstLineChars="200"/>
        <w:rPr>
          <w:rFonts w:hint="eastAsia" w:ascii="黑体" w:hAnsi="黑体" w:eastAsia="黑体"/>
        </w:rPr>
      </w:pPr>
      <w:r>
        <w:rPr>
          <w:rFonts w:hint="eastAsia" w:ascii="黑体" w:hAnsi="黑体" w:eastAsia="黑体"/>
        </w:rPr>
        <w:t>一、地理条件</w:t>
      </w:r>
    </w:p>
    <w:p>
      <w:pPr>
        <w:adjustRightInd w:val="0"/>
        <w:snapToGrid w:val="0"/>
        <w:spacing w:line="580" w:lineRule="exact"/>
        <w:ind w:firstLine="640" w:firstLineChars="200"/>
        <w:rPr>
          <w:rFonts w:hint="eastAsia"/>
        </w:rPr>
      </w:pPr>
      <w:r>
        <w:rPr>
          <w:rFonts w:hint="eastAsia"/>
        </w:rPr>
        <w:t>四川</w:t>
      </w:r>
      <w:bookmarkEnd w:id="132"/>
      <w:bookmarkEnd w:id="133"/>
      <w:bookmarkEnd w:id="134"/>
      <w:bookmarkEnd w:id="135"/>
      <w:bookmarkEnd w:id="136"/>
      <w:bookmarkEnd w:id="137"/>
      <w:bookmarkEnd w:id="138"/>
      <w:bookmarkEnd w:id="139"/>
      <w:bookmarkEnd w:id="140"/>
      <w:bookmarkEnd w:id="141"/>
      <w:bookmarkEnd w:id="142"/>
      <w:bookmarkEnd w:id="143"/>
      <w:r>
        <w:rPr>
          <w:rFonts w:hint="eastAsia"/>
        </w:rPr>
        <w:t>南向开放门户。乐山市位于四川盆地西南部，坐落在岷江、青衣江、大渡河三江交汇处，北与眉山接壤，东与自贡、宜宾毗邻，南与凉山相接，西与雅安连界。乐山处于“成-绵-乐”发展轴线和成都平原城镇连绵区，在全省经济发展格局中具有重要地位；在外向开放上，乐山是四川南向出川的重要大通道，是南向开放合作的“桥头堡”。2021年10月，党中央、国务院印发《成渝地区双城经济圈建设规划纲要》，指出要“强化都市圈辐射作用，带动成都平原一体化发展，把绵阳、乐山打造为成都平原区域中心城市”。</w:t>
      </w:r>
    </w:p>
    <w:p>
      <w:pPr>
        <w:adjustRightInd w:val="0"/>
        <w:snapToGrid w:val="0"/>
        <w:spacing w:line="580" w:lineRule="exact"/>
        <w:ind w:firstLine="640" w:firstLineChars="200"/>
        <w:rPr>
          <w:rFonts w:hint="eastAsia"/>
        </w:rPr>
      </w:pPr>
    </w:p>
    <w:tbl>
      <w:tblPr>
        <w:tblStyle w:val="5"/>
        <w:tblW w:w="88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8843" w:type="dxa"/>
            <w:shd w:val="clear" w:color="auto" w:fill="auto"/>
            <w:noWrap w:val="0"/>
            <w:vAlign w:val="center"/>
          </w:tcPr>
          <w:p>
            <w:pPr>
              <w:adjustRightInd w:val="0"/>
              <w:snapToGrid w:val="0"/>
              <w:spacing w:after="0" w:line="580" w:lineRule="exact"/>
              <w:jc w:val="center"/>
              <w:rPr>
                <w:rFonts w:ascii="黑体" w:hAnsi="黑体" w:eastAsia="黑体"/>
                <w:sz w:val="28"/>
                <w:szCs w:val="28"/>
              </w:rPr>
            </w:pPr>
            <w:r>
              <w:rPr>
                <w:rFonts w:ascii="黑体" w:hAnsi="黑体" w:eastAsia="黑体"/>
                <w:sz w:val="28"/>
                <w:szCs w:val="28"/>
              </w:rPr>
              <w:t>专栏2：乐山市地理区位图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9" w:hRule="atLeast"/>
        </w:trPr>
        <w:tc>
          <w:tcPr>
            <w:tcW w:w="8843" w:type="dxa"/>
            <w:shd w:val="clear" w:color="auto" w:fill="auto"/>
            <w:noWrap w:val="0"/>
            <w:vAlign w:val="top"/>
          </w:tcPr>
          <w:p>
            <w:r>
              <w:drawing>
                <wp:anchor distT="0" distB="0" distL="114300" distR="114300" simplePos="0" relativeHeight="251659264" behindDoc="0" locked="0" layoutInCell="1" allowOverlap="1">
                  <wp:simplePos x="0" y="0"/>
                  <wp:positionH relativeFrom="column">
                    <wp:posOffset>-41910</wp:posOffset>
                  </wp:positionH>
                  <wp:positionV relativeFrom="paragraph">
                    <wp:posOffset>108585</wp:posOffset>
                  </wp:positionV>
                  <wp:extent cx="5509260" cy="2755900"/>
                  <wp:effectExtent l="0" t="0" r="15240" b="635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1"/>
                          <a:stretch>
                            <a:fillRect/>
                          </a:stretch>
                        </pic:blipFill>
                        <pic:spPr>
                          <a:xfrm>
                            <a:off x="0" y="0"/>
                            <a:ext cx="5509260" cy="2755900"/>
                          </a:xfrm>
                          <a:prstGeom prst="rect">
                            <a:avLst/>
                          </a:prstGeom>
                          <a:noFill/>
                          <a:ln>
                            <a:noFill/>
                          </a:ln>
                        </pic:spPr>
                      </pic:pic>
                    </a:graphicData>
                  </a:graphic>
                </wp:anchor>
              </w:drawing>
            </w:r>
          </w:p>
          <w:p/>
        </w:tc>
      </w:tr>
    </w:tbl>
    <w:p>
      <w:pPr>
        <w:adjustRightInd w:val="0"/>
        <w:snapToGrid w:val="0"/>
        <w:spacing w:line="540" w:lineRule="exact"/>
        <w:ind w:firstLine="640" w:firstLineChars="200"/>
        <w:rPr>
          <w:rFonts w:hint="eastAsia" w:ascii="黑体" w:hAnsi="黑体" w:eastAsia="黑体"/>
        </w:rPr>
      </w:pPr>
      <w:bookmarkStart w:id="144" w:name="_Toc25267"/>
      <w:bookmarkStart w:id="145" w:name="_Toc117"/>
      <w:bookmarkStart w:id="146" w:name="_Toc89531844"/>
      <w:bookmarkStart w:id="147" w:name="_Toc8949"/>
      <w:bookmarkStart w:id="148" w:name="_Toc30010"/>
      <w:bookmarkStart w:id="149" w:name="_Toc19612"/>
      <w:bookmarkStart w:id="150" w:name="_Toc15124"/>
      <w:bookmarkStart w:id="151" w:name="_Toc19325"/>
      <w:bookmarkStart w:id="152" w:name="_Toc31606"/>
      <w:bookmarkStart w:id="153" w:name="_Toc27192"/>
      <w:bookmarkStart w:id="154" w:name="_Toc18938"/>
      <w:bookmarkStart w:id="155" w:name="_Toc18392"/>
      <w:r>
        <w:rPr>
          <w:rFonts w:hint="eastAsia" w:ascii="黑体" w:hAnsi="黑体" w:eastAsia="黑体"/>
        </w:rPr>
        <w:t>二、交通条件</w:t>
      </w:r>
      <w:bookmarkEnd w:id="144"/>
      <w:bookmarkEnd w:id="145"/>
      <w:bookmarkEnd w:id="146"/>
      <w:bookmarkEnd w:id="147"/>
      <w:bookmarkEnd w:id="148"/>
      <w:bookmarkEnd w:id="149"/>
      <w:bookmarkEnd w:id="150"/>
      <w:bookmarkEnd w:id="151"/>
      <w:bookmarkEnd w:id="152"/>
      <w:bookmarkEnd w:id="153"/>
      <w:bookmarkEnd w:id="154"/>
      <w:bookmarkEnd w:id="155"/>
      <w:bookmarkStart w:id="156" w:name="_Toc25397"/>
      <w:bookmarkStart w:id="157" w:name="_Toc7934"/>
      <w:bookmarkStart w:id="158" w:name="_Toc11051"/>
      <w:bookmarkStart w:id="159" w:name="_Toc7918"/>
      <w:bookmarkStart w:id="160" w:name="_Toc11718"/>
      <w:bookmarkStart w:id="161" w:name="_Toc5340"/>
      <w:bookmarkStart w:id="162" w:name="_Toc22719"/>
      <w:bookmarkStart w:id="163" w:name="_Toc18224"/>
      <w:bookmarkStart w:id="164" w:name="_Toc9232"/>
      <w:bookmarkStart w:id="165" w:name="_Toc137"/>
      <w:bookmarkStart w:id="166" w:name="_Toc7200"/>
      <w:bookmarkStart w:id="167" w:name="_Toc89531845"/>
    </w:p>
    <w:p>
      <w:pPr>
        <w:adjustRightInd w:val="0"/>
        <w:snapToGrid w:val="0"/>
        <w:spacing w:line="580" w:lineRule="exact"/>
        <w:ind w:firstLine="640" w:firstLineChars="200"/>
        <w:rPr>
          <w:rFonts w:hint="eastAsia"/>
        </w:rPr>
      </w:pPr>
      <w:r>
        <w:rPr>
          <w:rFonts w:hint="eastAsia"/>
        </w:rPr>
        <w:t>陆运铁运重要枢纽</w:t>
      </w:r>
      <w:bookmarkEnd w:id="156"/>
      <w:bookmarkEnd w:id="157"/>
      <w:bookmarkEnd w:id="158"/>
      <w:bookmarkEnd w:id="159"/>
      <w:bookmarkEnd w:id="160"/>
      <w:bookmarkEnd w:id="161"/>
      <w:bookmarkEnd w:id="162"/>
      <w:bookmarkEnd w:id="163"/>
      <w:bookmarkEnd w:id="164"/>
      <w:bookmarkEnd w:id="165"/>
      <w:bookmarkEnd w:id="166"/>
      <w:bookmarkEnd w:id="167"/>
      <w:r>
        <w:rPr>
          <w:rFonts w:hint="eastAsia"/>
        </w:rPr>
        <w:t>。已建成成乐、乐宜、乐雅、乐自4条高速公路，形成纵贯南北、连接东西的高速公路“十字”骨架，成绵乐高铁、成贵高铁、成昆铁路纵贯全境，与周边城市实现高速相通。成昆铁路复线、连乐铁路、岷江航电、仁沐新高速、乐西高速等项目正在加快建设。“十三五”期间，实施两轮交通攻坚大会战，成绵乐客专公交化运行，所有乡镇和建制村100%通硬化路、通客车，基本实现县县通高速，基本建成乐北城市群“半小时交通圈”和市域县城“1小时交通圈”。</w:t>
      </w:r>
    </w:p>
    <w:p>
      <w:pPr>
        <w:adjustRightInd w:val="0"/>
        <w:snapToGrid w:val="0"/>
        <w:spacing w:line="580" w:lineRule="exact"/>
        <w:ind w:firstLine="640" w:firstLineChars="200"/>
        <w:rPr>
          <w:rFonts w:hint="eastAsia"/>
        </w:rPr>
      </w:pPr>
      <w:bookmarkStart w:id="168" w:name="_Toc11478"/>
      <w:bookmarkStart w:id="169" w:name="_Toc89531846"/>
      <w:bookmarkStart w:id="170" w:name="_Toc15735"/>
      <w:bookmarkStart w:id="171" w:name="_Toc4068"/>
      <w:bookmarkStart w:id="172" w:name="_Toc2932"/>
      <w:bookmarkStart w:id="173" w:name="_Toc5855"/>
      <w:bookmarkStart w:id="174" w:name="_Toc32400"/>
      <w:bookmarkStart w:id="175" w:name="_Toc32257"/>
      <w:bookmarkStart w:id="176" w:name="_Toc1616"/>
      <w:bookmarkStart w:id="177" w:name="_Toc382"/>
      <w:bookmarkStart w:id="178" w:name="_Toc22202"/>
      <w:bookmarkStart w:id="179" w:name="_Toc8795"/>
      <w:bookmarkStart w:id="180" w:name="_Toc23012"/>
      <w:bookmarkStart w:id="181" w:name="_Toc2745"/>
      <w:r>
        <w:rPr>
          <w:rFonts w:hint="eastAsia"/>
        </w:rPr>
        <w:t>水运空运重要通道</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Pr>
          <w:rFonts w:hint="eastAsia"/>
        </w:rPr>
        <w:t>。乐山是四川重要的交通枢纽。乐山港是成都平原经济区水路出川、大件运输的唯一通道，位于五通桥区冠英新区，距乐山市区10公里，距成都120公里。“十三五”期间，岷江犍为航电枢纽通航发电，龙溪口枢纽加快建设。乐山中心城区距天府国际机场、双流国际机场各100公里。乐山机场已经在2021年开工，场址位于乐山市五通桥区冠英新区，规划乐山机场定位为4C级军民共用机场，“十四五”时期，乐山将开辟对外开放交流“空中走廊”，打造成渝地区重要国际旅游机场。</w:t>
      </w:r>
    </w:p>
    <w:p>
      <w:pPr>
        <w:rPr>
          <w:rFonts w:hint="eastAsia"/>
        </w:rPr>
      </w:pPr>
    </w:p>
    <w:tbl>
      <w:tblPr>
        <w:tblStyle w:val="6"/>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720" w:type="dxa"/>
            <w:shd w:val="clear" w:color="auto" w:fill="auto"/>
            <w:noWrap w:val="0"/>
            <w:vAlign w:val="top"/>
          </w:tcPr>
          <w:p>
            <w:pPr>
              <w:spacing w:line="560" w:lineRule="exact"/>
              <w:jc w:val="center"/>
              <w:rPr>
                <w:rFonts w:ascii="黑体" w:hAnsi="黑体" w:eastAsia="黑体"/>
                <w:bCs/>
                <w:sz w:val="28"/>
                <w:szCs w:val="28"/>
              </w:rPr>
            </w:pPr>
            <w:r>
              <w:rPr>
                <w:rFonts w:ascii="黑体" w:hAnsi="黑体" w:eastAsia="黑体"/>
                <w:bCs/>
                <w:sz w:val="28"/>
                <w:szCs w:val="28"/>
              </w:rPr>
              <w:t>专栏3：乐山市交通情况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8" w:hRule="atLeast"/>
          <w:jc w:val="center"/>
        </w:trPr>
        <w:tc>
          <w:tcPr>
            <w:tcW w:w="8720" w:type="dxa"/>
            <w:tcBorders>
              <w:bottom w:val="single" w:color="auto" w:sz="4" w:space="0"/>
            </w:tcBorders>
            <w:noWrap w:val="0"/>
            <w:vAlign w:val="top"/>
          </w:tcPr>
          <w:p>
            <w:pPr>
              <w:jc w:val="center"/>
              <w:rPr>
                <w:rFonts w:ascii="Times New Roman"/>
                <w:color w:val="000000"/>
              </w:rPr>
            </w:pPr>
            <w:r>
              <w:rPr>
                <w:rFonts w:ascii="Times New Roman"/>
                <w:color w:val="000000"/>
              </w:rPr>
              <w:drawing>
                <wp:inline distT="0" distB="0" distL="114300" distR="114300">
                  <wp:extent cx="3782695" cy="42418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rcRect b="2727"/>
                          <a:stretch>
                            <a:fillRect/>
                          </a:stretch>
                        </pic:blipFill>
                        <pic:spPr>
                          <a:xfrm>
                            <a:off x="0" y="0"/>
                            <a:ext cx="3782695" cy="4241800"/>
                          </a:xfrm>
                          <a:prstGeom prst="rect">
                            <a:avLst/>
                          </a:prstGeom>
                          <a:noFill/>
                          <a:ln>
                            <a:noFill/>
                          </a:ln>
                        </pic:spPr>
                      </pic:pic>
                    </a:graphicData>
                  </a:graphic>
                </wp:inline>
              </w:drawing>
            </w:r>
          </w:p>
        </w:tc>
      </w:tr>
    </w:tbl>
    <w:p>
      <w:pPr>
        <w:adjustRightInd w:val="0"/>
        <w:snapToGrid w:val="0"/>
        <w:spacing w:line="540" w:lineRule="exact"/>
        <w:ind w:firstLine="640" w:firstLineChars="200"/>
        <w:rPr>
          <w:rFonts w:hint="eastAsia" w:ascii="黑体" w:hAnsi="黑体" w:eastAsia="黑体"/>
        </w:rPr>
      </w:pPr>
      <w:bookmarkStart w:id="182" w:name="_Toc89531847"/>
      <w:bookmarkStart w:id="183" w:name="_Toc9740"/>
      <w:bookmarkStart w:id="184" w:name="_Toc31218"/>
      <w:bookmarkStart w:id="185" w:name="_Toc27175"/>
      <w:bookmarkStart w:id="186" w:name="_Toc25441"/>
      <w:bookmarkStart w:id="187" w:name="_Toc30451"/>
      <w:bookmarkStart w:id="188" w:name="_Toc25101"/>
      <w:bookmarkStart w:id="189" w:name="_Toc26495"/>
      <w:bookmarkStart w:id="190" w:name="_Toc567"/>
      <w:bookmarkStart w:id="191" w:name="_Toc1074"/>
      <w:bookmarkStart w:id="192" w:name="_Toc27678"/>
      <w:bookmarkStart w:id="193" w:name="_Toc28084"/>
      <w:r>
        <w:rPr>
          <w:rFonts w:hint="eastAsia" w:ascii="黑体" w:hAnsi="黑体" w:eastAsia="黑体"/>
        </w:rPr>
        <w:t>三、经济条件</w:t>
      </w:r>
      <w:bookmarkEnd w:id="182"/>
      <w:bookmarkEnd w:id="183"/>
      <w:bookmarkEnd w:id="184"/>
      <w:bookmarkEnd w:id="185"/>
      <w:bookmarkEnd w:id="186"/>
      <w:bookmarkEnd w:id="187"/>
      <w:bookmarkEnd w:id="188"/>
      <w:bookmarkEnd w:id="189"/>
      <w:bookmarkEnd w:id="190"/>
      <w:bookmarkEnd w:id="191"/>
      <w:bookmarkEnd w:id="192"/>
      <w:bookmarkEnd w:id="193"/>
      <w:bookmarkStart w:id="194" w:name="_Toc1501"/>
      <w:bookmarkStart w:id="195" w:name="_Toc84"/>
      <w:bookmarkStart w:id="196" w:name="_Toc28817"/>
      <w:bookmarkStart w:id="197" w:name="_Toc29638"/>
      <w:bookmarkStart w:id="198" w:name="_Toc89531848"/>
      <w:bookmarkStart w:id="199" w:name="_Toc24266"/>
      <w:bookmarkStart w:id="200" w:name="_Toc9310"/>
      <w:bookmarkStart w:id="201" w:name="_Toc9282"/>
      <w:bookmarkStart w:id="202" w:name="_Toc505"/>
      <w:bookmarkStart w:id="203" w:name="_Toc26497"/>
      <w:bookmarkStart w:id="204" w:name="_Toc3171"/>
      <w:bookmarkStart w:id="205" w:name="_Toc17847"/>
    </w:p>
    <w:p>
      <w:pPr>
        <w:adjustRightInd w:val="0"/>
        <w:snapToGrid w:val="0"/>
        <w:spacing w:line="540" w:lineRule="exact"/>
        <w:ind w:firstLine="640" w:firstLineChars="200"/>
        <w:rPr>
          <w:rFonts w:hint="eastAsia"/>
        </w:rPr>
      </w:pPr>
      <w:r>
        <w:rPr>
          <w:rFonts w:hint="eastAsia"/>
        </w:rPr>
        <w:t>全省对外交往交汇点</w:t>
      </w:r>
      <w:bookmarkEnd w:id="194"/>
      <w:bookmarkEnd w:id="195"/>
      <w:bookmarkEnd w:id="196"/>
      <w:bookmarkEnd w:id="197"/>
      <w:bookmarkEnd w:id="198"/>
      <w:bookmarkEnd w:id="199"/>
      <w:bookmarkEnd w:id="200"/>
      <w:bookmarkEnd w:id="201"/>
      <w:bookmarkEnd w:id="202"/>
      <w:bookmarkEnd w:id="203"/>
      <w:bookmarkEnd w:id="204"/>
      <w:bookmarkEnd w:id="205"/>
      <w:r>
        <w:rPr>
          <w:rFonts w:hint="eastAsia"/>
        </w:rPr>
        <w:t>。乐山处于南北丝绸之路、长江经济带交汇点，是成渝地区双城经济圈、成都平原经济区重要的枢纽城市，是川南和攀西经济区的结合部，是国家历史文化名城、国家首批对外开放城市、区域性贸易、服务中心和港口城市。“十三五”期间，累计到位市外资金超过3000亿元，“乐山造”出口到110个国家和地区，国际友好城市（景区）从9个增至24个，成功争取实施部分国家外国人144小时过境免签政策。</w:t>
      </w:r>
    </w:p>
    <w:p>
      <w:pPr>
        <w:adjustRightInd w:val="0"/>
        <w:snapToGrid w:val="0"/>
        <w:spacing w:line="540" w:lineRule="exact"/>
        <w:ind w:firstLine="640" w:firstLineChars="200"/>
        <w:rPr>
          <w:rFonts w:hint="eastAsia"/>
        </w:rPr>
      </w:pPr>
      <w:bookmarkStart w:id="206" w:name="_Toc31682"/>
      <w:bookmarkStart w:id="207" w:name="_Toc28790"/>
      <w:bookmarkStart w:id="208" w:name="_Toc4938"/>
      <w:bookmarkStart w:id="209" w:name="_Toc24736"/>
      <w:bookmarkStart w:id="210" w:name="_Toc26959"/>
      <w:bookmarkStart w:id="211" w:name="_Toc4954"/>
      <w:bookmarkStart w:id="212" w:name="_Toc89531849"/>
      <w:bookmarkStart w:id="213" w:name="_Toc19818"/>
      <w:bookmarkStart w:id="214" w:name="_Toc19749"/>
      <w:bookmarkStart w:id="215" w:name="_Toc2821"/>
      <w:bookmarkStart w:id="216" w:name="_Toc12178"/>
      <w:bookmarkStart w:id="217" w:name="_Toc11357"/>
      <w:r>
        <w:rPr>
          <w:rFonts w:hint="eastAsia"/>
        </w:rPr>
        <w:t>区域经济中心城市</w:t>
      </w:r>
      <w:bookmarkEnd w:id="206"/>
      <w:bookmarkEnd w:id="207"/>
      <w:bookmarkEnd w:id="208"/>
      <w:bookmarkEnd w:id="209"/>
      <w:bookmarkEnd w:id="210"/>
      <w:bookmarkEnd w:id="211"/>
      <w:bookmarkEnd w:id="212"/>
      <w:bookmarkEnd w:id="213"/>
      <w:bookmarkEnd w:id="214"/>
      <w:bookmarkEnd w:id="215"/>
      <w:bookmarkEnd w:id="216"/>
      <w:bookmarkEnd w:id="217"/>
      <w:r>
        <w:rPr>
          <w:rFonts w:hint="eastAsia"/>
        </w:rPr>
        <w:t>。乐山为成都平原经济区内的区域中心城市，向南发展大通道，位于成德绵眉乐发展中轴，被定位为新能源、新材料、冶金建材产业基地。乐山市是国家智慧城市试点市、国家科技进步先进市，积极建设国家级高新技术产业开发区、国家级农业科技园区、中国西部瓷都陶瓷总部基地，积极发展智能电网管理系统及技术、新材料，推进国家级旅游业改革创新先行区建设。“十三五”期间，盐磷化工、冶金建材等产业不断调整优化，高纯晶硅产能进入全球第一方阵，乐山被授予“中国绿色硅谷”称号。现代农业提质增效，建成国家级、省级现代农业（林业）园区6个，茶产业综合实力全省领先。乐山创新能力持续提升，研究与试验发展经费投入实现倍增，成为国家知识产权试点城市。</w:t>
      </w:r>
      <w:bookmarkStart w:id="218" w:name="_Toc16306"/>
      <w:bookmarkStart w:id="219" w:name="_Toc4628"/>
      <w:bookmarkStart w:id="220" w:name="_Toc89531850"/>
      <w:bookmarkStart w:id="221" w:name="_Toc27638"/>
      <w:bookmarkStart w:id="222" w:name="_Toc26863"/>
      <w:bookmarkStart w:id="223" w:name="_Toc10257"/>
      <w:bookmarkStart w:id="224" w:name="_Toc27172"/>
      <w:bookmarkStart w:id="225" w:name="_Toc9510"/>
      <w:bookmarkStart w:id="226" w:name="_Toc26919"/>
      <w:bookmarkStart w:id="227" w:name="_Toc30420"/>
      <w:bookmarkStart w:id="228" w:name="_Toc13694"/>
      <w:bookmarkStart w:id="229" w:name="_Toc26865"/>
    </w:p>
    <w:p>
      <w:pPr>
        <w:adjustRightInd w:val="0"/>
        <w:snapToGrid w:val="0"/>
        <w:spacing w:line="540" w:lineRule="exact"/>
        <w:ind w:firstLine="640" w:firstLineChars="200"/>
        <w:rPr>
          <w:rFonts w:hint="eastAsia"/>
        </w:rPr>
      </w:pPr>
      <w:r>
        <w:rPr>
          <w:rFonts w:hint="eastAsia"/>
        </w:rPr>
        <w:t>世界重要旅游目的地。</w:t>
      </w:r>
      <w:bookmarkEnd w:id="218"/>
      <w:bookmarkEnd w:id="219"/>
      <w:bookmarkEnd w:id="220"/>
      <w:bookmarkEnd w:id="221"/>
      <w:bookmarkEnd w:id="222"/>
      <w:bookmarkEnd w:id="223"/>
      <w:bookmarkEnd w:id="224"/>
      <w:bookmarkEnd w:id="225"/>
      <w:bookmarkEnd w:id="226"/>
      <w:bookmarkEnd w:id="227"/>
      <w:bookmarkEnd w:id="228"/>
      <w:bookmarkEnd w:id="229"/>
      <w:r>
        <w:rPr>
          <w:rFonts w:hint="eastAsia"/>
        </w:rPr>
        <w:t>乐山旅游资源丰富。拥有世界级遗产3处、全国重点文物保护单位10处、国家级非物质文化遗产4个、国家级风景名胜区3处、自然保护区2处、湿地公园2处、国家级森林公园3处、国家级地质公园1处、矿山公园1处、国家级水利风景区4处、5A级景区2处、4A级景区13处。近年来，乐山坚持旅游兴市发展思路，以国际化、品牌化、特色化、全域化为发展方向，围绕建设世界重要旅游目的地总体目标，加快形成“一域两圈”的现代文旅发展格局。按照“两核两圈两带九组团”的空间布局，持续提升峨眉山、乐山大佛两个世界遗产景区品牌影响力，精心打造大峨眉旅游圈、小凉山旅游圈，重点开发岷江文化旅游带、大渡河研学旅游产业带。实现更有质量、更高效益、更可持续地发展，建设中国优秀旅游城市、山水园林宜居城、世界重要旅游目的地。“十三五”期间，旅游兴市成果丰硕，峨眉山市、市中区成功创建天府旅游名县和国家全域旅游示范区，全市旅游经济总量保持全省地级市第1位。</w:t>
      </w:r>
    </w:p>
    <w:tbl>
      <w:tblPr>
        <w:tblStyle w:val="5"/>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8960" w:type="dxa"/>
            <w:shd w:val="clear" w:color="auto" w:fill="auto"/>
            <w:noWrap w:val="0"/>
            <w:vAlign w:val="center"/>
          </w:tcPr>
          <w:p>
            <w:pPr>
              <w:spacing w:after="0" w:line="400" w:lineRule="exact"/>
              <w:jc w:val="center"/>
              <w:rPr>
                <w:rFonts w:ascii="黑体" w:hAnsi="黑体" w:eastAsia="黑体"/>
                <w:sz w:val="28"/>
                <w:szCs w:val="28"/>
              </w:rPr>
            </w:pPr>
            <w:r>
              <w:rPr>
                <w:rFonts w:ascii="黑体" w:hAnsi="黑体" w:eastAsia="黑体"/>
                <w:sz w:val="28"/>
                <w:szCs w:val="28"/>
              </w:rPr>
              <w:t>专栏4：乐山市经济格局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2" w:hRule="atLeast"/>
        </w:trPr>
        <w:tc>
          <w:tcPr>
            <w:tcW w:w="8960" w:type="dxa"/>
            <w:shd w:val="clear" w:color="auto" w:fill="auto"/>
            <w:noWrap w:val="0"/>
            <w:vAlign w:val="top"/>
          </w:tcPr>
          <w:p>
            <w:pPr>
              <w:rPr>
                <w:rFonts w:ascii="黑体" w:hAnsi="黑体" w:eastAsia="黑体"/>
                <w:sz w:val="28"/>
                <w:szCs w:val="28"/>
              </w:rPr>
            </w:pPr>
            <w:r>
              <w:rPr>
                <w:rFonts w:ascii="黑体" w:hAnsi="黑体" w:eastAsia="黑体"/>
                <w:sz w:val="28"/>
                <w:szCs w:val="28"/>
              </w:rPr>
              <w:drawing>
                <wp:anchor distT="0" distB="0" distL="0" distR="0" simplePos="0" relativeHeight="251660288" behindDoc="1" locked="0" layoutInCell="1" allowOverlap="1">
                  <wp:simplePos x="0" y="0"/>
                  <wp:positionH relativeFrom="column">
                    <wp:posOffset>-80010</wp:posOffset>
                  </wp:positionH>
                  <wp:positionV relativeFrom="paragraph">
                    <wp:posOffset>27305</wp:posOffset>
                  </wp:positionV>
                  <wp:extent cx="5666105" cy="3828415"/>
                  <wp:effectExtent l="0" t="0" r="10795" b="635"/>
                  <wp:wrapTight wrapText="bothSides">
                    <wp:wrapPolygon>
                      <wp:start x="0" y="0"/>
                      <wp:lineTo x="0" y="21496"/>
                      <wp:lineTo x="21496" y="21496"/>
                      <wp:lineTo x="21496" y="0"/>
                      <wp:lineTo x="0" y="0"/>
                    </wp:wrapPolygon>
                  </wp:wrapTight>
                  <wp:docPr id="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1"/>
                          </pic:cNvPicPr>
                        </pic:nvPicPr>
                        <pic:blipFill>
                          <a:blip r:embed="rId13"/>
                          <a:stretch>
                            <a:fillRect/>
                          </a:stretch>
                        </pic:blipFill>
                        <pic:spPr>
                          <a:xfrm>
                            <a:off x="0" y="0"/>
                            <a:ext cx="5666105" cy="3828415"/>
                          </a:xfrm>
                          <a:prstGeom prst="rect">
                            <a:avLst/>
                          </a:prstGeom>
                          <a:noFill/>
                          <a:ln>
                            <a:noFill/>
                          </a:ln>
                        </pic:spPr>
                      </pic:pic>
                    </a:graphicData>
                  </a:graphic>
                </wp:anchor>
              </w:drawing>
            </w:r>
          </w:p>
        </w:tc>
      </w:tr>
    </w:tbl>
    <w:p>
      <w:pPr>
        <w:adjustRightInd w:val="0"/>
        <w:snapToGrid w:val="0"/>
        <w:spacing w:line="540" w:lineRule="exact"/>
        <w:ind w:firstLine="640" w:firstLineChars="200"/>
        <w:rPr>
          <w:rFonts w:hint="eastAsia" w:ascii="黑体" w:hAnsi="黑体" w:eastAsia="黑体"/>
        </w:rPr>
      </w:pPr>
      <w:r>
        <w:rPr>
          <w:rFonts w:hint="eastAsia" w:ascii="黑体" w:hAnsi="黑体" w:eastAsia="黑体"/>
        </w:rPr>
        <w:t>四、文化条件</w:t>
      </w:r>
    </w:p>
    <w:p>
      <w:pPr>
        <w:adjustRightInd w:val="0"/>
        <w:snapToGrid w:val="0"/>
        <w:spacing w:line="580" w:lineRule="exact"/>
        <w:ind w:firstLine="640" w:firstLineChars="200"/>
        <w:rPr>
          <w:rFonts w:hint="eastAsia"/>
        </w:rPr>
      </w:pPr>
      <w:bookmarkStart w:id="230" w:name="_Toc13349"/>
      <w:bookmarkStart w:id="231" w:name="_Toc9278"/>
      <w:bookmarkStart w:id="232" w:name="_Toc31285"/>
      <w:bookmarkStart w:id="233" w:name="_Toc25588"/>
      <w:bookmarkStart w:id="234" w:name="_Toc23734"/>
      <w:bookmarkStart w:id="235" w:name="_Toc9980"/>
      <w:bookmarkStart w:id="236" w:name="_Toc23078"/>
      <w:bookmarkStart w:id="237" w:name="_Toc25001"/>
      <w:bookmarkStart w:id="238" w:name="_Toc89531852"/>
      <w:bookmarkStart w:id="239" w:name="_Toc11754"/>
      <w:bookmarkStart w:id="240" w:name="_Toc1815"/>
      <w:bookmarkStart w:id="241" w:name="_Toc4852"/>
      <w:bookmarkStart w:id="242" w:name="_Toc7340"/>
      <w:bookmarkStart w:id="243" w:name="_Toc24576"/>
      <w:r>
        <w:rPr>
          <w:rFonts w:hint="eastAsia"/>
        </w:rPr>
        <w:t>佛教文化重要代表</w:t>
      </w:r>
      <w:bookmarkEnd w:id="230"/>
      <w:bookmarkEnd w:id="231"/>
      <w:bookmarkEnd w:id="232"/>
      <w:bookmarkEnd w:id="233"/>
      <w:bookmarkEnd w:id="234"/>
      <w:bookmarkEnd w:id="235"/>
      <w:bookmarkEnd w:id="236"/>
      <w:bookmarkEnd w:id="237"/>
      <w:bookmarkEnd w:id="238"/>
      <w:bookmarkEnd w:id="239"/>
      <w:bookmarkEnd w:id="240"/>
      <w:bookmarkEnd w:id="241"/>
      <w:r>
        <w:rPr>
          <w:rFonts w:hint="eastAsia"/>
        </w:rPr>
        <w:t>。</w:t>
      </w:r>
      <w:bookmarkEnd w:id="242"/>
      <w:bookmarkEnd w:id="243"/>
      <w:r>
        <w:rPr>
          <w:rFonts w:hint="eastAsia"/>
        </w:rPr>
        <w:t>四川位于中国佛文化中汉传佛教、藏传佛教、南传佛教交汇处。乐山是中国佛文化发展的核心代表。东汉时期，佛教开始传入乐山。东晋以后，佛教寺庙与日俱增，香火日趋旺盛。乐山市中区、峨眉山市和夹江县的佛教寺庙以及传统文化资源较为集中。唐宋时期，乐山是中国西南佛教文化的重要所在地，峨眉山成为中国四大佛教圣地之一，还有夹江千佛岩石窟、大佛禅院、东方佛都等佛文化资源。</w:t>
      </w:r>
    </w:p>
    <w:p>
      <w:pPr>
        <w:adjustRightInd w:val="0"/>
        <w:snapToGrid w:val="0"/>
        <w:spacing w:line="580" w:lineRule="exact"/>
        <w:ind w:firstLine="640" w:firstLineChars="200"/>
        <w:rPr>
          <w:rFonts w:hint="eastAsia"/>
        </w:rPr>
      </w:pPr>
      <w:bookmarkStart w:id="244" w:name="_Toc20345"/>
      <w:bookmarkStart w:id="245" w:name="_Toc523"/>
      <w:bookmarkStart w:id="246" w:name="_Toc31160"/>
      <w:bookmarkStart w:id="247" w:name="_Toc14416"/>
      <w:bookmarkStart w:id="248" w:name="_Toc19024"/>
      <w:bookmarkStart w:id="249" w:name="_Toc24925"/>
      <w:bookmarkStart w:id="250" w:name="_Toc21638"/>
      <w:bookmarkStart w:id="251" w:name="_Toc89531853"/>
      <w:bookmarkStart w:id="252" w:name="_Toc7647"/>
      <w:bookmarkStart w:id="253" w:name="_Toc240"/>
      <w:bookmarkStart w:id="254" w:name="_Toc31872"/>
      <w:bookmarkStart w:id="255" w:name="_Toc14562"/>
      <w:r>
        <w:rPr>
          <w:rFonts w:hint="eastAsia"/>
        </w:rPr>
        <w:t>世界级遗产汇集地</w:t>
      </w:r>
      <w:bookmarkEnd w:id="244"/>
      <w:bookmarkEnd w:id="245"/>
      <w:bookmarkEnd w:id="246"/>
      <w:bookmarkEnd w:id="247"/>
      <w:bookmarkEnd w:id="248"/>
      <w:bookmarkEnd w:id="249"/>
      <w:bookmarkEnd w:id="250"/>
      <w:bookmarkEnd w:id="251"/>
      <w:bookmarkEnd w:id="252"/>
      <w:bookmarkEnd w:id="253"/>
      <w:bookmarkEnd w:id="254"/>
      <w:bookmarkEnd w:id="255"/>
      <w:r>
        <w:rPr>
          <w:rFonts w:hint="eastAsia"/>
        </w:rPr>
        <w:t>。拥有乐山大佛、峨眉山、东风堰三处世界遗产，也是南方丝绸之路的重要枢纽。南方丝绸之路以成都平原为起点，向南分为东、中、西三线。西线又分东、西两路，东路称“五尺道”，经四川乐山、犍为、宜宾、云南大关、昭通、曲靖，西折经昆明、楚雄至大理。自宋以来的川茶易马贸易以乐山为茶船汇集点。到清末，乐山已成为重要商贸城市，民国《乐山县志》总结道：“商埠之盛，甲于川南”</w:t>
      </w:r>
      <w:bookmarkStart w:id="256" w:name="_Toc19946"/>
      <w:bookmarkStart w:id="257" w:name="_Toc14495"/>
      <w:bookmarkStart w:id="258" w:name="_Toc3900"/>
      <w:bookmarkStart w:id="259" w:name="_Toc11689"/>
      <w:bookmarkStart w:id="260" w:name="_Toc8007"/>
      <w:bookmarkStart w:id="261" w:name="_Toc89531854"/>
      <w:bookmarkStart w:id="262" w:name="_Toc422"/>
      <w:bookmarkStart w:id="263" w:name="_Toc18305"/>
      <w:bookmarkStart w:id="264" w:name="_Toc24839"/>
      <w:bookmarkStart w:id="265" w:name="_Toc14671"/>
      <w:bookmarkStart w:id="266" w:name="_Toc28249"/>
      <w:bookmarkStart w:id="267" w:name="_Toc12144"/>
      <w:r>
        <w:rPr>
          <w:rFonts w:hint="eastAsia"/>
        </w:rPr>
        <w:t>。作为中国高山绿茶典型代表</w:t>
      </w:r>
      <w:bookmarkEnd w:id="256"/>
      <w:bookmarkEnd w:id="257"/>
      <w:bookmarkEnd w:id="258"/>
      <w:bookmarkEnd w:id="259"/>
      <w:bookmarkEnd w:id="260"/>
      <w:bookmarkEnd w:id="261"/>
      <w:bookmarkEnd w:id="262"/>
      <w:bookmarkEnd w:id="263"/>
      <w:bookmarkEnd w:id="264"/>
      <w:bookmarkEnd w:id="265"/>
      <w:bookmarkEnd w:id="266"/>
      <w:bookmarkEnd w:id="267"/>
      <w:r>
        <w:rPr>
          <w:rFonts w:hint="eastAsia"/>
        </w:rPr>
        <w:t>，乐山市荣获“中国绿茶之都”称号。龙头企业竹叶青、峨眉雪芽建成全国领先的名优绿茶生产线，“竹叶青”“论道”“峨眉雪芽”获得“中国驰名商标”，其中竹叶青年产值达12.6亿元，成为2020年迪拜世博会中国馆指定绿茶，连续13年全国高端绿茶销量第一。“峨眉山茶”产品出口乌兹别克斯坦、哈萨克斯坦、摩洛哥、阿尔及利亚等非洲、中亚、东欧地区。独特的高山绿茶形成了特有的种植、加工工艺，特别是佛茶文化源远流长，影响深远。</w:t>
      </w:r>
    </w:p>
    <w:p>
      <w:pPr>
        <w:adjustRightInd w:val="0"/>
        <w:snapToGrid w:val="0"/>
        <w:spacing w:line="580" w:lineRule="exact"/>
        <w:ind w:firstLine="640" w:firstLineChars="200"/>
        <w:rPr>
          <w:rFonts w:hint="eastAsia"/>
        </w:rPr>
      </w:pPr>
      <w:bookmarkStart w:id="268" w:name="_Toc11309"/>
      <w:bookmarkStart w:id="269" w:name="_Toc10488"/>
      <w:bookmarkStart w:id="270" w:name="_Toc4649"/>
      <w:bookmarkStart w:id="271" w:name="_Toc26159"/>
      <w:bookmarkStart w:id="272" w:name="_Toc7331"/>
      <w:bookmarkStart w:id="273" w:name="_Toc25899"/>
      <w:bookmarkStart w:id="274" w:name="_Toc21773"/>
      <w:bookmarkStart w:id="275" w:name="_Toc20157"/>
      <w:bookmarkStart w:id="276" w:name="_Toc25287"/>
      <w:bookmarkStart w:id="277" w:name="_Toc25053"/>
      <w:bookmarkStart w:id="278" w:name="_Toc89531855"/>
      <w:bookmarkStart w:id="279" w:name="_Toc6393"/>
      <w:r>
        <w:rPr>
          <w:rFonts w:hint="eastAsia"/>
        </w:rPr>
        <w:t>中国传统武术发祥地</w:t>
      </w:r>
      <w:bookmarkEnd w:id="268"/>
      <w:bookmarkEnd w:id="269"/>
      <w:bookmarkEnd w:id="270"/>
      <w:bookmarkEnd w:id="271"/>
      <w:bookmarkEnd w:id="272"/>
      <w:bookmarkEnd w:id="273"/>
      <w:bookmarkEnd w:id="274"/>
      <w:bookmarkEnd w:id="275"/>
      <w:bookmarkEnd w:id="276"/>
      <w:bookmarkEnd w:id="277"/>
      <w:bookmarkEnd w:id="278"/>
      <w:bookmarkEnd w:id="279"/>
      <w:r>
        <w:rPr>
          <w:rFonts w:hint="eastAsia"/>
        </w:rPr>
        <w:t>。峨眉武术是中国传统武术流派之一，以中国名山峨眉山为发祥地。峨眉武术有“一树开五花，五花八叶扶”的总结，一树指的是峨眉武术，五花指的是五个地区，即丰都的青牛、通江的铁佛、开县的黄陵、涪陵的点易、灌县的青城。峨眉派与少林、武当共为中土武功的三大宗，是一个范围很广泛的门派，尤其在西南一带独占鳌头。</w:t>
      </w:r>
      <w:bookmarkStart w:id="280" w:name="_Toc9229"/>
      <w:bookmarkStart w:id="281" w:name="_Toc89531856"/>
      <w:bookmarkStart w:id="282" w:name="_Toc31661"/>
      <w:bookmarkStart w:id="283" w:name="_Toc8725"/>
      <w:bookmarkStart w:id="284" w:name="_Toc190"/>
      <w:bookmarkStart w:id="285" w:name="_Toc17334"/>
      <w:bookmarkStart w:id="286" w:name="_Toc16538"/>
      <w:bookmarkStart w:id="287" w:name="_Toc9963"/>
      <w:bookmarkStart w:id="288" w:name="_Toc17511"/>
      <w:bookmarkStart w:id="289" w:name="_Toc18248"/>
      <w:bookmarkStart w:id="290" w:name="_Toc2321"/>
      <w:bookmarkStart w:id="291" w:name="_Toc14996"/>
    </w:p>
    <w:p>
      <w:pPr>
        <w:adjustRightInd w:val="0"/>
        <w:snapToGrid w:val="0"/>
        <w:spacing w:line="580" w:lineRule="exact"/>
        <w:ind w:firstLine="640" w:firstLineChars="200"/>
        <w:rPr>
          <w:rFonts w:hint="eastAsia"/>
        </w:rPr>
      </w:pPr>
      <w:r>
        <w:rPr>
          <w:rFonts w:hint="eastAsia"/>
        </w:rPr>
        <w:t>上河帮川菜发源地</w:t>
      </w:r>
      <w:bookmarkEnd w:id="280"/>
      <w:bookmarkEnd w:id="281"/>
      <w:bookmarkEnd w:id="282"/>
      <w:bookmarkEnd w:id="283"/>
      <w:bookmarkEnd w:id="284"/>
      <w:bookmarkEnd w:id="285"/>
      <w:bookmarkEnd w:id="286"/>
      <w:bookmarkEnd w:id="287"/>
      <w:bookmarkEnd w:id="288"/>
      <w:bookmarkEnd w:id="289"/>
      <w:bookmarkEnd w:id="290"/>
      <w:bookmarkEnd w:id="291"/>
      <w:r>
        <w:rPr>
          <w:rFonts w:hint="eastAsia"/>
        </w:rPr>
        <w:t>。“吃在中国，味在四川；食在四川，味在乐山”。乐山是传统的以甜辣味为主的正宗上河帮川菜发源地之一，也叫蓉派川菜。乐山市知名美食品牌如甜皮鸭、钵钵鸡、麻辣烫、尽膳口福、全牛道等，已经在国内多个城市及缅甸、泰国等地发展连锁和直营店，成为乐山美食向外展示的窗口。《舌尖上的中国》《味道》等具有全国影响力的知名媒体多次宣传报道乐山特色食材、美食单位和美食街区，成功将乐山美食向全国推广。同时确定乐山美食品牌标志并进行注册保护，打造出“乐山味道”区域公共品牌，知名度不断提高。2021年，乐山市获评中国“特色美食地标城市”。</w:t>
      </w:r>
      <w:bookmarkStart w:id="292" w:name="_Toc1568"/>
      <w:bookmarkStart w:id="293" w:name="_Toc89531857"/>
      <w:bookmarkStart w:id="294" w:name="_Toc15676"/>
      <w:bookmarkStart w:id="295" w:name="_Toc12169"/>
      <w:bookmarkStart w:id="296" w:name="_Toc1796"/>
      <w:bookmarkStart w:id="297" w:name="_Toc18950"/>
      <w:bookmarkStart w:id="298" w:name="_Toc6148"/>
      <w:bookmarkStart w:id="299" w:name="_Toc29848"/>
      <w:bookmarkStart w:id="300" w:name="_Toc22999"/>
      <w:bookmarkStart w:id="301" w:name="_Toc13559"/>
      <w:bookmarkStart w:id="302" w:name="_Toc29672"/>
      <w:bookmarkStart w:id="303" w:name="_Toc7616"/>
      <w:r>
        <w:rPr>
          <w:rFonts w:hint="eastAsia"/>
        </w:rPr>
        <w:t>市中区被确定为全省川派餐饮创新发展先行区。</w:t>
      </w:r>
    </w:p>
    <w:p>
      <w:pPr>
        <w:adjustRightInd w:val="0"/>
        <w:snapToGrid w:val="0"/>
        <w:spacing w:line="580" w:lineRule="exact"/>
        <w:ind w:firstLine="640" w:firstLineChars="200"/>
        <w:rPr>
          <w:rFonts w:hint="eastAsia"/>
        </w:rPr>
      </w:pPr>
      <w:r>
        <w:rPr>
          <w:rFonts w:hint="eastAsia"/>
        </w:rPr>
        <w:t>长江上游生态屏障</w:t>
      </w:r>
      <w:bookmarkEnd w:id="292"/>
      <w:bookmarkEnd w:id="293"/>
      <w:bookmarkEnd w:id="294"/>
      <w:bookmarkEnd w:id="295"/>
      <w:bookmarkEnd w:id="296"/>
      <w:bookmarkEnd w:id="297"/>
      <w:bookmarkEnd w:id="298"/>
      <w:bookmarkEnd w:id="299"/>
      <w:bookmarkEnd w:id="300"/>
      <w:bookmarkEnd w:id="301"/>
      <w:bookmarkEnd w:id="302"/>
      <w:bookmarkEnd w:id="303"/>
      <w:r>
        <w:rPr>
          <w:rFonts w:hint="eastAsia"/>
        </w:rPr>
        <w:t>。“半城山水半城绿”描述了乐山城市面貌，全市森林覆盖率达到58.63%，峨眉山风景名胜区实现“零工业”。通过大力推进生态文明建设，大规模开展绿秀嘉州行动，加速推进森林质量精准提升示范项目，深入实施天然林保护、退耕还林、自然保护区建设等重点生态工程，2018年乐山获得四川省政府授予的建设长江上游生态屏障先进表彰。</w:t>
      </w:r>
    </w:p>
    <w:p>
      <w:pPr>
        <w:adjustRightInd w:val="0"/>
        <w:snapToGrid w:val="0"/>
        <w:spacing w:line="580" w:lineRule="exact"/>
        <w:ind w:firstLine="640" w:firstLineChars="200"/>
        <w:rPr>
          <w:rFonts w:hint="eastAsia"/>
        </w:rPr>
      </w:pPr>
      <w:bookmarkStart w:id="304" w:name="_Toc89531858"/>
      <w:bookmarkStart w:id="305" w:name="_Toc21296"/>
      <w:bookmarkStart w:id="306" w:name="_Toc22636"/>
      <w:bookmarkStart w:id="307" w:name="_Toc25698"/>
      <w:bookmarkStart w:id="308" w:name="_Toc11278"/>
      <w:bookmarkStart w:id="309" w:name="_Toc28160"/>
      <w:bookmarkStart w:id="310" w:name="_Toc2071"/>
      <w:bookmarkStart w:id="311" w:name="_Toc31749"/>
      <w:bookmarkStart w:id="312" w:name="_Toc1224"/>
      <w:bookmarkStart w:id="313" w:name="_Toc18363"/>
      <w:bookmarkStart w:id="314" w:name="_Toc27546"/>
      <w:bookmarkStart w:id="315" w:name="_Toc4395"/>
      <w:bookmarkStart w:id="316" w:name="_Toc10943"/>
      <w:bookmarkStart w:id="317" w:name="_Toc21153"/>
      <w:r>
        <w:rPr>
          <w:rFonts w:hint="eastAsia"/>
        </w:rPr>
        <w:t>汉彝回苗聚居地</w:t>
      </w:r>
      <w:bookmarkEnd w:id="304"/>
      <w:bookmarkEnd w:id="305"/>
      <w:bookmarkEnd w:id="306"/>
      <w:bookmarkEnd w:id="307"/>
      <w:bookmarkEnd w:id="308"/>
      <w:bookmarkEnd w:id="309"/>
      <w:bookmarkEnd w:id="310"/>
      <w:bookmarkEnd w:id="311"/>
      <w:bookmarkEnd w:id="312"/>
      <w:bookmarkEnd w:id="313"/>
      <w:bookmarkEnd w:id="314"/>
      <w:bookmarkEnd w:id="315"/>
      <w:r>
        <w:rPr>
          <w:rFonts w:hint="eastAsia"/>
        </w:rPr>
        <w:t>。</w:t>
      </w:r>
      <w:bookmarkEnd w:id="316"/>
      <w:bookmarkEnd w:id="317"/>
      <w:r>
        <w:rPr>
          <w:rFonts w:hint="eastAsia"/>
        </w:rPr>
        <w:t>乐山市有41个民族，汉、彝、回、苗是世居民族，小凉山是重要的民族聚居地，包括峨边、马边两个彝族自治县和享受民族县待遇的金口河区，以彝族为主的少数民族人口17.8万人，全市少数民族人口近21万人。有小凉山马边彝族火把节、采茶节、转转花节、彝历新年等重要文化节庆。</w:t>
      </w:r>
    </w:p>
    <w:p>
      <w:pPr>
        <w:adjustRightInd w:val="0"/>
        <w:snapToGrid w:val="0"/>
        <w:spacing w:line="580" w:lineRule="exact"/>
        <w:ind w:firstLine="640" w:firstLineChars="200"/>
        <w:rPr>
          <w:rFonts w:hint="eastAsia"/>
        </w:rPr>
      </w:pPr>
    </w:p>
    <w:tbl>
      <w:tblPr>
        <w:tblStyle w:val="5"/>
        <w:tblW w:w="8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8960" w:type="dxa"/>
            <w:shd w:val="clear" w:color="auto" w:fill="auto"/>
            <w:noWrap w:val="0"/>
            <w:vAlign w:val="top"/>
          </w:tcPr>
          <w:p>
            <w:pPr>
              <w:spacing w:after="0" w:line="580" w:lineRule="exact"/>
              <w:jc w:val="center"/>
              <w:rPr>
                <w:rFonts w:ascii="黑体" w:hAnsi="黑体" w:eastAsia="黑体"/>
                <w:sz w:val="28"/>
                <w:szCs w:val="28"/>
              </w:rPr>
            </w:pPr>
            <w:r>
              <w:rPr>
                <w:rFonts w:ascii="黑体" w:hAnsi="黑体" w:eastAsia="黑体"/>
                <w:sz w:val="28"/>
                <w:szCs w:val="28"/>
              </w:rPr>
              <w:t>专栏5：乐山市文化情况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6" w:hRule="atLeast"/>
        </w:trPr>
        <w:tc>
          <w:tcPr>
            <w:tcW w:w="8960" w:type="dxa"/>
            <w:shd w:val="clear" w:color="auto" w:fill="auto"/>
            <w:noWrap w:val="0"/>
            <w:vAlign w:val="top"/>
          </w:tcPr>
          <w:p>
            <w:pPr>
              <w:spacing w:after="0" w:line="400" w:lineRule="exact"/>
              <w:rPr>
                <w:rFonts w:ascii="黑体" w:hAnsi="黑体" w:eastAsia="黑体"/>
                <w:sz w:val="28"/>
                <w:szCs w:val="28"/>
              </w:rPr>
            </w:pPr>
            <w:r>
              <w:rPr>
                <w:rFonts w:ascii="黑体" w:hAnsi="黑体" w:eastAsia="黑体"/>
                <w:sz w:val="28"/>
                <w:szCs w:val="28"/>
              </w:rPr>
              <w:drawing>
                <wp:anchor distT="0" distB="0" distL="0" distR="0" simplePos="0" relativeHeight="251661312" behindDoc="1" locked="0" layoutInCell="1" allowOverlap="1">
                  <wp:simplePos x="0" y="0"/>
                  <wp:positionH relativeFrom="column">
                    <wp:posOffset>493395</wp:posOffset>
                  </wp:positionH>
                  <wp:positionV relativeFrom="paragraph">
                    <wp:posOffset>94615</wp:posOffset>
                  </wp:positionV>
                  <wp:extent cx="4801235" cy="4066540"/>
                  <wp:effectExtent l="0" t="0" r="18415" b="10160"/>
                  <wp:wrapTight wrapText="bothSides">
                    <wp:wrapPolygon>
                      <wp:start x="16198" y="0"/>
                      <wp:lineTo x="15684" y="304"/>
                      <wp:lineTo x="15427" y="809"/>
                      <wp:lineTo x="15427" y="1619"/>
                      <wp:lineTo x="5999" y="2327"/>
                      <wp:lineTo x="3942" y="2530"/>
                      <wp:lineTo x="3942" y="3238"/>
                      <wp:lineTo x="2914" y="4047"/>
                      <wp:lineTo x="2742" y="4250"/>
                      <wp:lineTo x="2828" y="4857"/>
                      <wp:lineTo x="857" y="5768"/>
                      <wp:lineTo x="0" y="6274"/>
                      <wp:lineTo x="0" y="7893"/>
                      <wp:lineTo x="171" y="8399"/>
                      <wp:lineTo x="771" y="9714"/>
                      <wp:lineTo x="686" y="11636"/>
                      <wp:lineTo x="1885" y="12952"/>
                      <wp:lineTo x="2143" y="13357"/>
                      <wp:lineTo x="3771" y="14571"/>
                      <wp:lineTo x="4285" y="14571"/>
                      <wp:lineTo x="3942" y="15077"/>
                      <wp:lineTo x="3257" y="16190"/>
                      <wp:lineTo x="2742" y="16696"/>
                      <wp:lineTo x="2914" y="16999"/>
                      <wp:lineTo x="4971" y="17809"/>
                      <wp:lineTo x="3257" y="18112"/>
                      <wp:lineTo x="3428" y="19225"/>
                      <wp:lineTo x="12941" y="19428"/>
                      <wp:lineTo x="12770" y="20035"/>
                      <wp:lineTo x="13027" y="20339"/>
                      <wp:lineTo x="15941" y="21047"/>
                      <wp:lineTo x="15941" y="21452"/>
                      <wp:lineTo x="21511" y="21452"/>
                      <wp:lineTo x="21511" y="18011"/>
                      <wp:lineTo x="18083" y="17809"/>
                      <wp:lineTo x="18855" y="17404"/>
                      <wp:lineTo x="18855" y="16190"/>
                      <wp:lineTo x="18512" y="15482"/>
                      <wp:lineTo x="17998" y="14571"/>
                      <wp:lineTo x="18340" y="14571"/>
                      <wp:lineTo x="19883" y="13255"/>
                      <wp:lineTo x="19969" y="12750"/>
                      <wp:lineTo x="19026" y="12041"/>
                      <wp:lineTo x="17569" y="11333"/>
                      <wp:lineTo x="17312" y="9714"/>
                      <wp:lineTo x="17741" y="9613"/>
                      <wp:lineTo x="17912" y="8904"/>
                      <wp:lineTo x="17655" y="8095"/>
                      <wp:lineTo x="18855" y="6577"/>
                      <wp:lineTo x="19197" y="6476"/>
                      <wp:lineTo x="20312" y="5161"/>
                      <wp:lineTo x="20312" y="4857"/>
                      <wp:lineTo x="20654" y="3238"/>
                      <wp:lineTo x="20826" y="1619"/>
                      <wp:lineTo x="17398" y="0"/>
                      <wp:lineTo x="16198" y="0"/>
                    </wp:wrapPolygon>
                  </wp:wrapTight>
                  <wp:docPr id="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7"/>
                          <pic:cNvPicPr>
                            <a:picLocks noChangeAspect="1"/>
                          </pic:cNvPicPr>
                        </pic:nvPicPr>
                        <pic:blipFill>
                          <a:blip r:embed="rId14"/>
                          <a:stretch>
                            <a:fillRect/>
                          </a:stretch>
                        </pic:blipFill>
                        <pic:spPr>
                          <a:xfrm>
                            <a:off x="0" y="0"/>
                            <a:ext cx="4801235" cy="4066540"/>
                          </a:xfrm>
                          <a:prstGeom prst="rect">
                            <a:avLst/>
                          </a:prstGeom>
                          <a:noFill/>
                          <a:ln>
                            <a:noFill/>
                          </a:ln>
                        </pic:spPr>
                      </pic:pic>
                    </a:graphicData>
                  </a:graphic>
                </wp:anchor>
              </w:drawing>
            </w:r>
          </w:p>
          <w:p>
            <w:pPr>
              <w:spacing w:after="0" w:line="400" w:lineRule="exact"/>
              <w:rPr>
                <w:rFonts w:ascii="黑体" w:hAnsi="黑体" w:eastAsia="黑体"/>
                <w:sz w:val="28"/>
                <w:szCs w:val="28"/>
              </w:rPr>
            </w:pPr>
          </w:p>
        </w:tc>
      </w:tr>
    </w:tbl>
    <w:p/>
    <w:p>
      <w:pPr>
        <w:adjustRightInd w:val="0"/>
        <w:snapToGrid w:val="0"/>
        <w:spacing w:line="580" w:lineRule="exact"/>
        <w:jc w:val="center"/>
        <w:rPr>
          <w:rFonts w:hint="eastAsia" w:ascii="黑体" w:hAnsi="黑体" w:eastAsia="黑体"/>
        </w:rPr>
      </w:pPr>
      <w:r>
        <w:br w:type="page"/>
      </w:r>
      <w:r>
        <w:rPr>
          <w:rFonts w:hint="eastAsia" w:ascii="黑体" w:hAnsi="黑体" w:eastAsia="黑体"/>
        </w:rPr>
        <w:t>第二章  发展趋势</w:t>
      </w:r>
    </w:p>
    <w:p>
      <w:pPr>
        <w:adjustRightInd w:val="0"/>
        <w:snapToGrid w:val="0"/>
        <w:spacing w:line="580" w:lineRule="exact"/>
        <w:ind w:firstLine="640" w:firstLineChars="200"/>
        <w:rPr>
          <w:rFonts w:hint="eastAsia"/>
        </w:rPr>
      </w:pPr>
      <w:bookmarkStart w:id="318" w:name="_Toc90812638"/>
      <w:bookmarkStart w:id="319" w:name="_Toc23031"/>
      <w:bookmarkStart w:id="320" w:name="_Toc2116"/>
      <w:bookmarkStart w:id="321" w:name="_Toc26366"/>
      <w:bookmarkStart w:id="322" w:name="_Toc23064"/>
      <w:bookmarkStart w:id="323" w:name="_Toc27367"/>
      <w:bookmarkStart w:id="324" w:name="_Toc18337"/>
      <w:bookmarkStart w:id="325" w:name="_Toc1962"/>
    </w:p>
    <w:p>
      <w:pPr>
        <w:adjustRightInd w:val="0"/>
        <w:snapToGrid w:val="0"/>
        <w:spacing w:line="540" w:lineRule="exact"/>
        <w:jc w:val="center"/>
        <w:rPr>
          <w:rFonts w:hint="eastAsia"/>
        </w:rPr>
      </w:pPr>
      <w:r>
        <w:rPr>
          <w:rFonts w:hint="eastAsia"/>
        </w:rPr>
        <w:t>第一节  发展阶段的演进</w:t>
      </w:r>
      <w:bookmarkEnd w:id="318"/>
      <w:bookmarkEnd w:id="319"/>
      <w:bookmarkEnd w:id="320"/>
      <w:bookmarkEnd w:id="321"/>
      <w:bookmarkEnd w:id="322"/>
      <w:bookmarkEnd w:id="323"/>
      <w:bookmarkEnd w:id="324"/>
      <w:bookmarkEnd w:id="325"/>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rPr>
      </w:pPr>
      <w:r>
        <w:rPr>
          <w:rFonts w:hint="eastAsia" w:ascii="黑体" w:hAnsi="黑体" w:eastAsia="黑体"/>
        </w:rPr>
        <w:t>一、会议和展览（M&amp;E）阶段。</w:t>
      </w:r>
      <w:r>
        <w:rPr>
          <w:rFonts w:hint="eastAsia"/>
        </w:rPr>
        <w:t>早期的会展是相对狭义的，被称为会议和展览C&amp;E（Convention and Exposition）或者M&amp;E（Meeting and Exposition）。会议一般指各种类型的专业会议；展览是指各种类型的交易博览会，如展览会、博览会、交易会、招商会、发布会及研讨会。</w:t>
      </w:r>
    </w:p>
    <w:p>
      <w:pPr>
        <w:adjustRightInd w:val="0"/>
        <w:snapToGrid w:val="0"/>
        <w:spacing w:line="580" w:lineRule="exact"/>
        <w:ind w:firstLine="640" w:firstLineChars="200"/>
        <w:rPr>
          <w:rFonts w:hint="eastAsia"/>
        </w:rPr>
      </w:pPr>
      <w:r>
        <w:rPr>
          <w:rFonts w:hint="eastAsia" w:ascii="黑体" w:hAnsi="黑体" w:eastAsia="黑体"/>
        </w:rPr>
        <w:t>二、会奖旅游（MICE）阶段。</w:t>
      </w:r>
      <w:r>
        <w:rPr>
          <w:rFonts w:hint="eastAsia"/>
        </w:rPr>
        <w:t>会展业经过不断发展和壮大，内容和概念在不断丰富和扩展，随后“会奖旅游（MICE）”的概念被提出，即会展及奖励旅游。MICE是指代会展业的四大产业分支：M（meeting）侧重指企业会议，I（incentive travel）是指奖励旅游，C（convention）侧重指行业或协会大型会议，E（exhibition/event）是指展览会或者博览会及节事活动。</w:t>
      </w:r>
    </w:p>
    <w:p>
      <w:pPr>
        <w:adjustRightInd w:val="0"/>
        <w:snapToGrid w:val="0"/>
        <w:spacing w:line="580" w:lineRule="exact"/>
        <w:ind w:firstLine="640" w:firstLineChars="200"/>
        <w:rPr>
          <w:rFonts w:hint="eastAsia"/>
        </w:rPr>
      </w:pPr>
      <w:r>
        <w:rPr>
          <w:rFonts w:hint="eastAsia" w:ascii="黑体" w:hAnsi="黑体" w:eastAsia="黑体"/>
        </w:rPr>
        <w:t>三、泛会展（METFSPMW）阶段。</w:t>
      </w:r>
      <w:r>
        <w:rPr>
          <w:rFonts w:hint="eastAsia"/>
        </w:rPr>
        <w:t>随着国家系列政策文件的出台，会展业与旅游业、商贸业、文化业等其他产业的融合发展不断深化，会展业的含义不断扩大，“MICE”已经不能全面涵盖会展行业的内涵，“泛会展（METFSPMW）”概念被提出。“泛会展”是会展行业适应经济发展态势，丰富壮大自身产业基础并不断与其他产业融合发展的结果，除了包括狭义会展中的会议（Meeting）和展览（Exhibition &amp; Exposition）外，还与其他产业结合形成了会展旅游（Tourism for Event）、节庆（Festival）、赛事（Sports Event）、演出（Performance）、博物馆活动（Museum Event）、婚庆（Wedding plan）等新型会展类型。“泛会展”发展的最终目标是建立起会展业与各行各业融合联系的桥梁，打造出一个成熟的、可持续发展的“会展生态”。</w:t>
      </w:r>
    </w:p>
    <w:p>
      <w:pPr>
        <w:adjustRightInd w:val="0"/>
        <w:snapToGrid w:val="0"/>
        <w:spacing w:line="580" w:lineRule="exact"/>
        <w:ind w:firstLine="640" w:firstLineChars="200"/>
        <w:rPr>
          <w:rFonts w:hint="eastAsia"/>
        </w:rPr>
      </w:pPr>
    </w:p>
    <w:p>
      <w:pPr>
        <w:adjustRightInd w:val="0"/>
        <w:snapToGrid w:val="0"/>
        <w:spacing w:line="540" w:lineRule="exact"/>
        <w:jc w:val="center"/>
        <w:rPr>
          <w:rFonts w:hint="eastAsia"/>
        </w:rPr>
      </w:pPr>
      <w:bookmarkStart w:id="326" w:name="_Toc10711"/>
      <w:bookmarkStart w:id="327" w:name="_Toc20000"/>
      <w:bookmarkStart w:id="328" w:name="_Toc14490"/>
      <w:bookmarkStart w:id="329" w:name="_Toc23270"/>
      <w:bookmarkStart w:id="330" w:name="_Toc22508"/>
      <w:bookmarkStart w:id="331" w:name="_Toc23508"/>
      <w:bookmarkStart w:id="332" w:name="_Toc22399"/>
      <w:bookmarkStart w:id="333" w:name="_Toc90812639"/>
      <w:r>
        <w:rPr>
          <w:rFonts w:hint="eastAsia"/>
        </w:rPr>
        <w:t>第二节  空间格局的</w:t>
      </w:r>
      <w:bookmarkEnd w:id="326"/>
      <w:bookmarkEnd w:id="327"/>
      <w:bookmarkEnd w:id="328"/>
      <w:bookmarkEnd w:id="329"/>
      <w:bookmarkEnd w:id="330"/>
      <w:bookmarkEnd w:id="331"/>
      <w:r>
        <w:rPr>
          <w:rFonts w:hint="eastAsia"/>
        </w:rPr>
        <w:t>分布</w:t>
      </w:r>
      <w:bookmarkEnd w:id="332"/>
      <w:bookmarkEnd w:id="333"/>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rPr>
      </w:pPr>
      <w:r>
        <w:rPr>
          <w:rFonts w:hint="eastAsia" w:ascii="黑体" w:hAnsi="黑体" w:eastAsia="黑体"/>
        </w:rPr>
        <w:t>一、国际层面：全球会展“东进”。</w:t>
      </w:r>
      <w:r>
        <w:rPr>
          <w:rFonts w:hint="eastAsia"/>
        </w:rPr>
        <w:t>根据全球展览业协会（UFI）最新报告显示，亚太地区会展市场成为世界会展业重要支撑。按照国际大会及会议协会（ICCA）统计，在中国举办国际会议的数量，已经连续多年位居亚洲首位，接待大型国际会议的能力和水平突出。最近出版的《中外会展业动态评估研究报告》从“展馆、展会、组展企业”三个维度进行评价，中国会展综合实力位居世界第二。中国不断以高新技术实现产业链创新，已初步形成万物互联的新展览业态。中国会展呈现国际化、市场化、品牌化、专业化趋势。</w:t>
      </w:r>
    </w:p>
    <w:p>
      <w:pPr>
        <w:adjustRightInd w:val="0"/>
        <w:snapToGrid w:val="0"/>
        <w:spacing w:line="580" w:lineRule="exact"/>
        <w:ind w:firstLine="640" w:firstLineChars="200"/>
        <w:rPr>
          <w:rFonts w:hint="eastAsia"/>
        </w:rPr>
      </w:pPr>
      <w:r>
        <w:rPr>
          <w:rFonts w:hint="eastAsia" w:ascii="黑体" w:hAnsi="黑体" w:eastAsia="黑体"/>
        </w:rPr>
        <w:t>二、国家层面：中国会展“西升”。</w:t>
      </w:r>
      <w:r>
        <w:rPr>
          <w:rFonts w:hint="eastAsia"/>
        </w:rPr>
        <w:t>根据最新的《中国会展产业年度报告》显示，四川省展会面积、数量以及收入显著增长，位列全国第五。以川渝两地为代表的西部地区借助“一带一路”汇聚新动能，资本市场有力激发了会展产业活力，促使川渝两地会展产业规模不断扩大，会展经济效益明显，品牌质量持续提升，全球展览业协会（UFI）认证展会数量增加。近年来，四川、湖北、重庆、陕西办展数量增长较快，国内会展业发展重心“西升”的趋势愈加明显，给乐山会展产业发展带来了新机遇。</w:t>
      </w:r>
    </w:p>
    <w:p>
      <w:pPr>
        <w:adjustRightInd w:val="0"/>
        <w:snapToGrid w:val="0"/>
        <w:spacing w:line="580" w:lineRule="exact"/>
        <w:ind w:firstLine="640" w:firstLineChars="200"/>
        <w:rPr>
          <w:rFonts w:hint="eastAsia"/>
        </w:rPr>
      </w:pPr>
      <w:r>
        <w:rPr>
          <w:rFonts w:hint="eastAsia" w:ascii="黑体" w:hAnsi="黑体" w:eastAsia="黑体"/>
        </w:rPr>
        <w:t>三、省级层面：聚焦四川“一干”。</w:t>
      </w:r>
      <w:r>
        <w:rPr>
          <w:rFonts w:hint="eastAsia"/>
        </w:rPr>
        <w:t>根据最新《四川省会展业发展报告》显示，成都市发挥产业核心带动作用，会展业竞争力指数居全国第四、中西部第一。目前，以成都为中心，已形成以绵阳、德阳、乐山等地为代表的会展区域中心城市结构，并已经形成了“西博会”“科博会”“酒博会”“旅博会”“糖酒会”“泡博会”等一批享誉国内外的知名会展品牌，其中“旅博会”举办地就在乐山的峨眉山市。成都平原经济区会展业受重视程度不断提升，产业配套环境逐渐完善。成都平原经济区国际会展数量快速增长，引进效果显著，境内外参展成绩突出。</w:t>
      </w:r>
    </w:p>
    <w:p>
      <w:pPr>
        <w:adjustRightInd w:val="0"/>
        <w:snapToGrid w:val="0"/>
        <w:spacing w:line="580" w:lineRule="exact"/>
        <w:ind w:firstLine="640" w:firstLineChars="200"/>
        <w:rPr>
          <w:rFonts w:hint="eastAsia"/>
        </w:rPr>
      </w:pPr>
      <w:bookmarkStart w:id="334" w:name="_Toc25650"/>
      <w:bookmarkStart w:id="335" w:name="_Toc5529"/>
      <w:bookmarkStart w:id="336" w:name="_Toc27174"/>
      <w:bookmarkStart w:id="337" w:name="_Toc20374"/>
      <w:bookmarkStart w:id="338" w:name="_Toc2049"/>
      <w:bookmarkStart w:id="339" w:name="_Toc12939"/>
      <w:bookmarkStart w:id="340" w:name="_Toc90812640"/>
      <w:bookmarkStart w:id="341" w:name="_Toc29828"/>
    </w:p>
    <w:p>
      <w:pPr>
        <w:adjustRightInd w:val="0"/>
        <w:snapToGrid w:val="0"/>
        <w:spacing w:line="540" w:lineRule="exact"/>
        <w:jc w:val="center"/>
        <w:rPr>
          <w:rFonts w:hint="eastAsia"/>
        </w:rPr>
      </w:pPr>
      <w:r>
        <w:rPr>
          <w:rFonts w:hint="eastAsia"/>
        </w:rPr>
        <w:t>第三节  未来发展的趋势</w:t>
      </w:r>
      <w:bookmarkEnd w:id="334"/>
      <w:bookmarkEnd w:id="335"/>
      <w:bookmarkEnd w:id="336"/>
      <w:bookmarkEnd w:id="337"/>
      <w:bookmarkEnd w:id="338"/>
      <w:bookmarkEnd w:id="339"/>
      <w:bookmarkEnd w:id="340"/>
      <w:bookmarkEnd w:id="341"/>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rPr>
      </w:pPr>
      <w:r>
        <w:rPr>
          <w:rFonts w:hint="eastAsia"/>
        </w:rPr>
        <w:t>在高质量发展的新要求，5G、VR/AR、人工智能等新技术革命的推动，新冠肺炎疫情的催化等背景下，会展产业发展呈现众多新模式、新场景、新业态，乐山市可积极借助新趋势带来的新机遇，推动会展产业加速发展，实现“弯道超车”，形成竞争优势。</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一、会展新模式</w:t>
      </w:r>
    </w:p>
    <w:p>
      <w:pPr>
        <w:adjustRightInd w:val="0"/>
        <w:snapToGrid w:val="0"/>
        <w:spacing w:line="580" w:lineRule="exact"/>
        <w:ind w:firstLine="640" w:firstLineChars="200"/>
        <w:rPr>
          <w:rFonts w:hint="eastAsia"/>
        </w:rPr>
      </w:pPr>
      <w:r>
        <w:rPr>
          <w:rFonts w:hint="eastAsia"/>
        </w:rPr>
        <w:t>双线办展。利用“互联网+”创新传统会展业发展模式，实现线下+线上会展的“双线融合”，为展馆方、组展商、参展商、服务商和专业观众提供线上会展整体解决方案和服务。双线会展将会展从一维扩展到了二维，打破了传统会展的时间、距离和空间限制，提高“目标受众”的覆盖范围，大大提升了品牌影响力，进而提升和延长会展效果，并有利于会展后的服务体系构建，同时，也解决了中小企业因实力和资金等原因难以参加大型展会的难题。对于专业观众群体，可以更清楚更全面地了解展会和参展企业及其产品信息，消除了各种时间、交通、地域等限制因素，并且多维度地参观效果和享受，可提升观众的参与度，有效地节约时间，更有针对性地搜索和定向了解自己所需产品。</w:t>
      </w:r>
    </w:p>
    <w:p>
      <w:pPr>
        <w:adjustRightInd w:val="0"/>
        <w:snapToGrid w:val="0"/>
        <w:spacing w:line="580" w:lineRule="exact"/>
        <w:ind w:firstLine="640" w:firstLineChars="200"/>
        <w:rPr>
          <w:rFonts w:hint="eastAsia"/>
        </w:rPr>
      </w:pPr>
      <w:r>
        <w:rPr>
          <w:rFonts w:hint="eastAsia"/>
        </w:rPr>
        <w:t>智慧办展。运用人工智能、5G、物联网、虚拟现实、可穿戴设备等现代信息技术，建立会展智慧管理平台，定期发布品牌会展活动信息、会展企业名录，提供宣传推介、业务咨询、酒店住宿、人才培训等在线查询、订单服务。设立智慧指挥平台，围绕组展、布展、物流、人流等，打造信息发布、客户管理、现场管理、展位分配、数据分析、室内导览、物流运输等管理服务系统，实现“展（会）前—展（会）中—展（会）后”全流程数字化管理。</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二、会展新场景</w:t>
      </w:r>
    </w:p>
    <w:p>
      <w:pPr>
        <w:adjustRightInd w:val="0"/>
        <w:snapToGrid w:val="0"/>
        <w:spacing w:line="580" w:lineRule="exact"/>
        <w:ind w:firstLine="640" w:firstLineChars="200"/>
        <w:rPr>
          <w:rFonts w:hint="eastAsia"/>
        </w:rPr>
      </w:pPr>
      <w:r>
        <w:rPr>
          <w:rFonts w:hint="eastAsia"/>
        </w:rPr>
        <w:t>创意消费。大力发展会展创意设计，引育时尚设计、工艺创造、展示设计等知识密集型、创意会展企业入驻发展，促进“会展＋文化”“会展＋旅游”“会展＋美食”“会展＋赛事”“会展＋音乐”发展，构建附加值高、成长性好的特色会展原创IP，更广泛地形成餐饮住宿、购物娱乐、交通物流等创意消费场景。</w:t>
      </w:r>
    </w:p>
    <w:p>
      <w:pPr>
        <w:adjustRightInd w:val="0"/>
        <w:snapToGrid w:val="0"/>
        <w:spacing w:line="580" w:lineRule="exact"/>
        <w:ind w:firstLine="640" w:firstLineChars="200"/>
        <w:rPr>
          <w:rFonts w:hint="eastAsia"/>
        </w:rPr>
      </w:pPr>
      <w:r>
        <w:rPr>
          <w:rFonts w:hint="eastAsia"/>
        </w:rPr>
        <w:t>夜间展览。通过夜间办展，拉长会展活动时长，打造夜游和网红打卡点，扩大夜间消费，改善城市中心区夜晚空巢现象，撬动夜间经济，形成城市文化特色。打造夜间展览，迎合年轻受众群体的休闲时间，增加互动体验多样化的活动，为参展观众打造一场兼具广度和深度的会展盛宴。</w:t>
      </w:r>
    </w:p>
    <w:p>
      <w:pPr>
        <w:adjustRightInd w:val="0"/>
        <w:snapToGrid w:val="0"/>
        <w:spacing w:line="580" w:lineRule="exact"/>
        <w:ind w:firstLine="640" w:firstLineChars="200"/>
        <w:rPr>
          <w:rFonts w:hint="eastAsia"/>
        </w:rPr>
      </w:pPr>
      <w:r>
        <w:rPr>
          <w:rFonts w:hint="eastAsia"/>
        </w:rPr>
        <w:t>沉浸式体验。沉浸式展览往往是让观众置身于一个特定空间内，运用数字化虚拟技术合成并重构世界，通过艺术情境的融合，为观众创造出一个全新的心灵场域。通过消除展览作品、展商和普通大众之间的隔阂，释放展品的各种潜能，使展品走向更广泛的领域，满足参与者在物质、智力和情感层面的需求。例如，沉浸式艺术展在一定程度上推动了部分当代艺术创作与流行文化合作的尝试，在这些展览中的当代艺术作品相对来说会更容易被“解读”，为作品被大众接受提供了更富余的空间。</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三、会展新业态</w:t>
      </w:r>
    </w:p>
    <w:p>
      <w:pPr>
        <w:adjustRightInd w:val="0"/>
        <w:snapToGrid w:val="0"/>
        <w:spacing w:line="580" w:lineRule="exact"/>
        <w:ind w:firstLine="640" w:firstLineChars="200"/>
        <w:rPr>
          <w:rFonts w:hint="eastAsia"/>
        </w:rPr>
      </w:pPr>
      <w:r>
        <w:rPr>
          <w:rFonts w:hint="eastAsia"/>
        </w:rPr>
        <w:t>智慧场馆。通过技术驱动对场馆设计、工程、管理、运营、服务以及全产业链资源作出智能配置，对各种需求作出智能响应。按照装配式设计理念，升级生产标准、优化制造工序，推进会展智慧场馆建设。通过定制化服务、标准化生产，形成“模块化、积木式、个性化”会展场馆智造模式，在展览设计、器材生产、组装搭建等方面提高生产效能。在智联万物时代，通过5G技术充分化解人与空间和距离的割据，实现会展场馆经营者在建筑、人、财、事、物全方面的链接。</w:t>
      </w:r>
    </w:p>
    <w:p>
      <w:pPr>
        <w:adjustRightInd w:val="0"/>
        <w:snapToGrid w:val="0"/>
        <w:spacing w:line="580" w:lineRule="exact"/>
        <w:ind w:firstLine="640" w:firstLineChars="200"/>
        <w:rPr>
          <w:rFonts w:hint="eastAsia"/>
        </w:rPr>
      </w:pPr>
      <w:r>
        <w:rPr>
          <w:rFonts w:hint="eastAsia"/>
        </w:rPr>
        <w:t>数字会展。以共享式仓储与物流及大数据运用等提升全产业价值链体系。鼓励会展设计、组展、搭建、场馆等企业应用3D打印技术、多点互动触摸、全息技术、裸眼3D技术、AR/VR、AI智能互动等新工艺新技术。</w:t>
      </w:r>
    </w:p>
    <w:p>
      <w:pPr>
        <w:adjustRightInd w:val="0"/>
        <w:snapToGrid w:val="0"/>
        <w:spacing w:line="580" w:lineRule="exact"/>
        <w:ind w:firstLine="640" w:firstLineChars="200"/>
        <w:rPr>
          <w:rFonts w:hint="eastAsia"/>
        </w:rPr>
      </w:pPr>
      <w:r>
        <w:rPr>
          <w:rFonts w:hint="eastAsia"/>
        </w:rPr>
        <w:t>绿色会展。积极倡导节能、环保、绿色办展办会，在场馆设施、会展组织、展示设计、展台搭建及会展服务、会展仓储与物流等价值链环节创新应用节能环保、可重复利用的会展材料和产品，推动绿色会展第三方认证，构建生态化、集约型的绿色会展体系，实现会展业绿色可持续发展。</w:t>
      </w:r>
    </w:p>
    <w:p>
      <w:pPr>
        <w:adjustRightInd w:val="0"/>
        <w:snapToGrid w:val="0"/>
        <w:spacing w:line="580" w:lineRule="exact"/>
        <w:ind w:firstLine="640" w:firstLineChars="200"/>
        <w:rPr>
          <w:rFonts w:hint="eastAsia"/>
        </w:rPr>
      </w:pPr>
    </w:p>
    <w:p>
      <w:pPr>
        <w:adjustRightInd w:val="0"/>
        <w:snapToGrid w:val="0"/>
        <w:spacing w:line="540" w:lineRule="exact"/>
        <w:jc w:val="center"/>
        <w:rPr>
          <w:rFonts w:hint="eastAsia"/>
        </w:rPr>
      </w:pPr>
      <w:r>
        <w:rPr>
          <w:rFonts w:hint="eastAsia"/>
        </w:rPr>
        <w:t>第四节  突破路径的定位</w:t>
      </w:r>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一、站位突破：建设国际旅游会展中心</w:t>
      </w:r>
    </w:p>
    <w:p>
      <w:pPr>
        <w:adjustRightInd w:val="0"/>
        <w:snapToGrid w:val="0"/>
        <w:spacing w:line="580" w:lineRule="exact"/>
        <w:ind w:firstLine="640" w:firstLineChars="200"/>
        <w:rPr>
          <w:rFonts w:hint="eastAsia"/>
        </w:rPr>
      </w:pPr>
      <w:r>
        <w:rPr>
          <w:rFonts w:hint="eastAsia"/>
        </w:rPr>
        <w:t>借助旅博会、茶博会、药博会等本地会展平台大力营销会奖旅游，制定以特色旅游商品、智慧旅游、精品旅游线路等为特征的专项参展方案，厘清参展目的，瞄准参展受众，撬动目标市场。加强与联合国世界旅游组织、亚太旅游协会、中国—东盟中心、中国旅游协会等国内外旅游组织的交流合作，打造文化和旅游博览会、旅游文创产品展、峨眉武术文化节、世界研学旅游论坛等会展产品，做大做强会展旅游品牌，建设国际旅游会展中心。</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二、错位突破：打造国际专业会展品牌聚集地</w:t>
      </w:r>
    </w:p>
    <w:p>
      <w:pPr>
        <w:adjustRightInd w:val="0"/>
        <w:snapToGrid w:val="0"/>
        <w:spacing w:line="580" w:lineRule="exact"/>
        <w:ind w:firstLine="640" w:firstLineChars="200"/>
        <w:rPr>
          <w:rFonts w:hint="eastAsia"/>
        </w:rPr>
      </w:pPr>
      <w:r>
        <w:rPr>
          <w:rFonts w:hint="eastAsia"/>
        </w:rPr>
        <w:t>聚焦差异化竞争，促进专业展会引领，提供专业展会服务，打造一流专业展会交流平台。强化展产深度融合发展，发挥乐山独特区位优势和特色产业优势，借助区域协同发展，确定专业展会发展方向。形成优势产业聚集，实现专业展会全产业链覆盖。通过出台系列政策引导、改善会展发展软硬环境，以“产地办展模式”“展贸合一模式”等模式创新办展促展，实现以贸兴展、以展促贸。充分发挥会展的产业带动作用，反哺增强产业实力，扩大特色优势，推动乐山特色会展品牌塑造，推动城市经济发展。</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三、补位突破：打造国际展贸商贸新平台</w:t>
      </w:r>
    </w:p>
    <w:p>
      <w:pPr>
        <w:adjustRightInd w:val="0"/>
        <w:snapToGrid w:val="0"/>
        <w:spacing w:line="580" w:lineRule="exact"/>
        <w:ind w:firstLine="640" w:firstLineChars="200"/>
        <w:rPr>
          <w:rFonts w:hint="eastAsia"/>
        </w:rPr>
      </w:pPr>
      <w:r>
        <w:rPr>
          <w:rFonts w:hint="eastAsia"/>
        </w:rPr>
        <w:t>培育会展新模式，激发增长新动能，搭建双线会展平台、智慧云展平台。打造会展新场景，创新开展体验型、沉浸式会展活动。塑造会展新业态，培育数字智慧会展、绿色环保会展。优化专业展会要素设施配套，健全功能服务，面对全产业链招商招展，形成优势产业聚集，降低交易成本，优化服务环境，提高交易效率。联通产业园区、基地，联动城市、景区休闲娱乐，丰富会、展、节、赛、演等互动体验配套活动。对人性化、规范化、标准化、国际化、智能化、生态化等进行全面提升。</w:t>
      </w:r>
    </w:p>
    <w:p>
      <w:pPr>
        <w:adjustRightInd w:val="0"/>
        <w:snapToGrid w:val="0"/>
        <w:spacing w:line="580" w:lineRule="exact"/>
        <w:ind w:firstLine="640" w:firstLineChars="200"/>
        <w:rPr>
          <w:rFonts w:hint="eastAsia"/>
        </w:rPr>
      </w:pPr>
    </w:p>
    <w:p>
      <w:pPr>
        <w:adjustRightInd w:val="0"/>
        <w:snapToGrid w:val="0"/>
        <w:spacing w:line="580" w:lineRule="exact"/>
        <w:jc w:val="center"/>
        <w:rPr>
          <w:rFonts w:hint="eastAsia" w:ascii="黑体" w:hAnsi="黑体" w:eastAsia="黑体"/>
        </w:rPr>
      </w:pPr>
      <w:r>
        <w:rPr>
          <w:rFonts w:hint="eastAsia"/>
        </w:rPr>
        <w:br w:type="page"/>
      </w:r>
      <w:bookmarkStart w:id="342" w:name="_Toc11950"/>
      <w:bookmarkStart w:id="343" w:name="_Toc16373"/>
      <w:bookmarkStart w:id="344" w:name="_Toc21180"/>
      <w:bookmarkStart w:id="345" w:name="_Toc30203"/>
      <w:bookmarkStart w:id="346" w:name="_Toc90005843"/>
      <w:bookmarkStart w:id="347" w:name="_Toc19487"/>
      <w:bookmarkStart w:id="348" w:name="_Toc90812641"/>
      <w:bookmarkStart w:id="349" w:name="_Toc32376"/>
      <w:r>
        <w:rPr>
          <w:rFonts w:hint="eastAsia" w:ascii="黑体" w:hAnsi="黑体" w:eastAsia="黑体"/>
        </w:rPr>
        <w:t>第三章    发展思路</w:t>
      </w:r>
      <w:bookmarkEnd w:id="342"/>
      <w:bookmarkEnd w:id="343"/>
      <w:bookmarkEnd w:id="344"/>
      <w:bookmarkEnd w:id="345"/>
      <w:bookmarkEnd w:id="346"/>
      <w:bookmarkEnd w:id="347"/>
      <w:bookmarkEnd w:id="348"/>
      <w:bookmarkEnd w:id="349"/>
    </w:p>
    <w:p>
      <w:pPr>
        <w:adjustRightInd w:val="0"/>
        <w:snapToGrid w:val="0"/>
        <w:spacing w:line="580" w:lineRule="exact"/>
        <w:ind w:firstLine="800" w:firstLineChars="250"/>
        <w:rPr>
          <w:rFonts w:hint="eastAsia"/>
        </w:rPr>
      </w:pPr>
      <w:bookmarkStart w:id="350" w:name="_Toc22446"/>
      <w:bookmarkStart w:id="351" w:name="_Toc17814"/>
      <w:bookmarkStart w:id="352" w:name="_Toc29137"/>
      <w:bookmarkStart w:id="353" w:name="_Toc18139"/>
      <w:bookmarkStart w:id="354" w:name="_Toc7012"/>
      <w:bookmarkStart w:id="355" w:name="_Toc89531889"/>
      <w:bookmarkStart w:id="356" w:name="_Toc5930"/>
      <w:bookmarkStart w:id="357" w:name="_Toc90005844"/>
      <w:bookmarkStart w:id="358" w:name="_Toc22924"/>
      <w:bookmarkStart w:id="359" w:name="_Toc16495"/>
      <w:bookmarkStart w:id="360" w:name="_Toc31230"/>
      <w:bookmarkStart w:id="361" w:name="_Toc7380"/>
      <w:bookmarkStart w:id="362" w:name="_Toc11732"/>
      <w:bookmarkStart w:id="363" w:name="_Toc21015"/>
      <w:bookmarkStart w:id="364" w:name="_Toc1038"/>
      <w:bookmarkStart w:id="365" w:name="_Toc31112"/>
      <w:bookmarkStart w:id="366" w:name="_Toc31087"/>
      <w:bookmarkStart w:id="367" w:name="_Toc23375"/>
      <w:bookmarkStart w:id="368" w:name="_Toc90812642"/>
      <w:bookmarkStart w:id="369" w:name="_Toc11737"/>
    </w:p>
    <w:p>
      <w:pPr>
        <w:adjustRightInd w:val="0"/>
        <w:snapToGrid w:val="0"/>
        <w:spacing w:line="540" w:lineRule="exact"/>
        <w:jc w:val="center"/>
        <w:rPr>
          <w:rFonts w:hint="eastAsia"/>
        </w:rPr>
      </w:pPr>
      <w:r>
        <w:rPr>
          <w:rFonts w:hint="eastAsia"/>
        </w:rPr>
        <w:t>第一节  总体要求</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rPr>
      </w:pPr>
      <w:r>
        <w:rPr>
          <w:rFonts w:hint="eastAsia"/>
        </w:rPr>
        <w:t>坚持以习近平新时代中国特色社会主义思想为指导，立足新发展阶段，贯彻新发展理念，构建新发展格局，推动会展产业高质量发展，坚持旅游兴市、产业强市战略，围绕市第八次党代会提出的“聚焦三大任务、优化四区布局、实现五个提升”工作思路，抢抓成渝双城经济圈建设重大战略机遇，围绕城市能级、产业支撑、资源禀赋三大会展业核心要素，聚焦品牌化、国际化、市场化、专业化、智慧化发展方向，主动承接和参与国家级、省级重大会展项目，全面提升现有品牌展会层级和影响力，加快构建集展览、会议、节庆、赛事、演艺于一体的大会展产业格局，促进会展产业扩大规模、提质增效、做大做强，充分发挥会展产业对经济发展的拉动效应，提高对外开放水平，建设国际旅游会展中心，打造成渝地区会展第三极，引领和带动乐山经济社会实现高质量发展。</w:t>
      </w:r>
    </w:p>
    <w:p>
      <w:pPr>
        <w:adjustRightInd w:val="0"/>
        <w:snapToGrid w:val="0"/>
        <w:spacing w:line="580" w:lineRule="exact"/>
        <w:ind w:firstLine="640" w:firstLineChars="200"/>
        <w:rPr>
          <w:rFonts w:hint="eastAsia"/>
        </w:rPr>
      </w:pPr>
    </w:p>
    <w:p>
      <w:pPr>
        <w:adjustRightInd w:val="0"/>
        <w:snapToGrid w:val="0"/>
        <w:spacing w:line="540" w:lineRule="exact"/>
        <w:jc w:val="center"/>
        <w:rPr>
          <w:rFonts w:hint="eastAsia"/>
        </w:rPr>
      </w:pPr>
      <w:bookmarkStart w:id="370" w:name="_Toc17330"/>
      <w:bookmarkStart w:id="371" w:name="_Toc5847"/>
      <w:bookmarkStart w:id="372" w:name="_Toc15034"/>
      <w:bookmarkStart w:id="373" w:name="_Toc16854"/>
      <w:bookmarkStart w:id="374" w:name="_Toc23986"/>
      <w:bookmarkStart w:id="375" w:name="_Toc32499"/>
      <w:bookmarkStart w:id="376" w:name="_Toc90812643"/>
      <w:bookmarkStart w:id="377" w:name="_Toc90005845"/>
      <w:bookmarkStart w:id="378" w:name="_Toc2733"/>
      <w:bookmarkStart w:id="379" w:name="_Toc24510"/>
      <w:bookmarkStart w:id="380" w:name="_Toc11148"/>
      <w:bookmarkStart w:id="381" w:name="_Toc11759"/>
      <w:bookmarkStart w:id="382" w:name="_Toc24339"/>
      <w:bookmarkStart w:id="383" w:name="_Toc4418"/>
      <w:bookmarkStart w:id="384" w:name="_Toc89531890"/>
      <w:bookmarkStart w:id="385" w:name="_Toc764"/>
      <w:bookmarkStart w:id="386" w:name="_Toc20817"/>
      <w:bookmarkStart w:id="387" w:name="_Toc25610"/>
      <w:bookmarkStart w:id="388" w:name="_Toc30156"/>
      <w:bookmarkStart w:id="389" w:name="_Toc18102"/>
      <w:r>
        <w:rPr>
          <w:rFonts w:hint="eastAsia"/>
        </w:rPr>
        <w:t>第二节  基本原则</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rPr>
      </w:pPr>
      <w:r>
        <w:rPr>
          <w:rFonts w:hint="eastAsia"/>
        </w:rPr>
        <w:t>坚持政府引导、市场运作的原则。强化政府的宏观管理、指导协调和公共服务作用，逐步减少政府直接主办和参与的展会数量。按照市场经济规律，大力培育市场主体，调动市场主体积极性，提升市场化展会比重，提高会展产业的市场化与专业化水平。</w:t>
      </w:r>
    </w:p>
    <w:p>
      <w:pPr>
        <w:adjustRightInd w:val="0"/>
        <w:snapToGrid w:val="0"/>
        <w:spacing w:line="580" w:lineRule="exact"/>
        <w:ind w:firstLine="640" w:firstLineChars="200"/>
        <w:rPr>
          <w:rFonts w:hint="eastAsia"/>
        </w:rPr>
      </w:pPr>
      <w:r>
        <w:rPr>
          <w:rFonts w:hint="eastAsia"/>
        </w:rPr>
        <w:t>坚持突出精品、品牌带动的原则。突出重大展会、精品展会带动作用，以展会品质提升和精品化打造为着力点，立足乐山比较优势和产业发展方向，坚持申办、引进与自办并举，造就一批具有自主知识产权的本地自主会展精品品牌。</w:t>
      </w:r>
    </w:p>
    <w:p>
      <w:pPr>
        <w:adjustRightInd w:val="0"/>
        <w:snapToGrid w:val="0"/>
        <w:spacing w:line="580" w:lineRule="exact"/>
        <w:ind w:firstLine="640" w:firstLineChars="200"/>
        <w:rPr>
          <w:rFonts w:hint="eastAsia"/>
        </w:rPr>
      </w:pPr>
      <w:r>
        <w:rPr>
          <w:rFonts w:hint="eastAsia"/>
        </w:rPr>
        <w:t>坚持展产融合、特色发展的原则。依托乐山产业优势，用好特色优势资源，坚持“以产带展”“以展促产”理念，运用“产地办展”“展贸合一”“线上线下”等模式，不断深化展产融合，发挥会展平台效应和带动作用，推动展、产、城融合发展，做大产业规模，做强做优品牌展会，促进会展产业提质增效。</w:t>
      </w:r>
    </w:p>
    <w:p>
      <w:pPr>
        <w:adjustRightInd w:val="0"/>
        <w:snapToGrid w:val="0"/>
        <w:spacing w:line="580" w:lineRule="exact"/>
        <w:ind w:firstLine="640" w:firstLineChars="200"/>
        <w:rPr>
          <w:rFonts w:hint="eastAsia"/>
        </w:rPr>
      </w:pPr>
      <w:r>
        <w:rPr>
          <w:rFonts w:hint="eastAsia"/>
        </w:rPr>
        <w:t>坚持内外结合、开放合作的原则。坚持“走出去”，积极参加国际国内重大展会，办好乐山品牌推介会，建好外部展示展览窗口平台，提升乐山会展品牌知名度。积极“引进来”，利用会展活动搭建平台，加强与成渝城市群相关城市的交流与合作，促进相互的协同发展。</w:t>
      </w:r>
    </w:p>
    <w:p>
      <w:pPr>
        <w:adjustRightInd w:val="0"/>
        <w:snapToGrid w:val="0"/>
        <w:spacing w:line="580" w:lineRule="exact"/>
        <w:ind w:firstLine="640" w:firstLineChars="200"/>
        <w:rPr>
          <w:rFonts w:hint="eastAsia"/>
        </w:rPr>
      </w:pPr>
      <w:r>
        <w:rPr>
          <w:rFonts w:hint="eastAsia"/>
        </w:rPr>
        <w:t>坚持市县联动、全域协同的原则。发挥好市县两级会展主管机构与部门功能，在明确分工的基础上，充分整合资源，处理好综合展和专业展、主办方和参展方的关系，做到广泛参与、全域办展。</w:t>
      </w:r>
    </w:p>
    <w:p>
      <w:pPr>
        <w:adjustRightInd w:val="0"/>
        <w:snapToGrid w:val="0"/>
        <w:spacing w:line="580" w:lineRule="exact"/>
        <w:ind w:firstLine="640" w:firstLineChars="200"/>
        <w:rPr>
          <w:rFonts w:hint="eastAsia"/>
        </w:rPr>
      </w:pPr>
    </w:p>
    <w:p>
      <w:pPr>
        <w:adjustRightInd w:val="0"/>
        <w:snapToGrid w:val="0"/>
        <w:spacing w:line="540" w:lineRule="exact"/>
        <w:jc w:val="center"/>
        <w:rPr>
          <w:rFonts w:hint="eastAsia"/>
        </w:rPr>
      </w:pPr>
      <w:bookmarkStart w:id="390" w:name="_Toc27320"/>
      <w:bookmarkStart w:id="391" w:name="_Toc90005846"/>
      <w:bookmarkStart w:id="392" w:name="_Toc5284"/>
      <w:bookmarkStart w:id="393" w:name="_Toc13448"/>
      <w:bookmarkStart w:id="394" w:name="_Toc24690"/>
      <w:bookmarkStart w:id="395" w:name="_Toc5214"/>
      <w:bookmarkStart w:id="396" w:name="_Toc31580"/>
      <w:bookmarkStart w:id="397" w:name="_Toc89531891"/>
      <w:bookmarkStart w:id="398" w:name="_Toc8047"/>
      <w:bookmarkStart w:id="399" w:name="_Toc7076"/>
      <w:bookmarkStart w:id="400" w:name="_Toc25964"/>
      <w:bookmarkStart w:id="401" w:name="_Toc23179"/>
      <w:bookmarkStart w:id="402" w:name="_Toc26352"/>
      <w:bookmarkStart w:id="403" w:name="_Toc90812644"/>
      <w:bookmarkStart w:id="404" w:name="_Toc15382"/>
      <w:bookmarkStart w:id="405" w:name="_Toc28844"/>
      <w:bookmarkStart w:id="406" w:name="_Toc22911"/>
      <w:bookmarkStart w:id="407" w:name="_Toc2199"/>
      <w:bookmarkStart w:id="408" w:name="_Toc4744"/>
      <w:bookmarkStart w:id="409" w:name="_Toc11313"/>
      <w:r>
        <w:rPr>
          <w:rFonts w:hint="eastAsia"/>
        </w:rPr>
        <w:t>第三节  发展目标</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adjustRightInd w:val="0"/>
        <w:snapToGrid w:val="0"/>
        <w:spacing w:line="580" w:lineRule="exact"/>
        <w:ind w:firstLine="640" w:firstLineChars="200"/>
        <w:rPr>
          <w:rFonts w:hint="eastAsia"/>
        </w:rPr>
      </w:pPr>
      <w:r>
        <w:rPr>
          <w:rFonts w:hint="eastAsia"/>
        </w:rPr>
        <w:t>围绕市委、市政府旅游兴市、产业强市战略，积极融入成渝地区双城经济圈建设，以“升级、扩展、聚焦”为会展产业发展主轴。升级就是以更有品质、更具影响、更大规模、更强品牌为目标，不断推进旅博会、茶博会、陶博会、药博会等重点品牌展会提质升级，科学谋划乐山旅游会展产业园区建设，加快推动会展产业全产业链条完善和升级。扩展就是以东盟、南亚、东亚经贸合作会议活动为主要依托，深化国际商贸交往交流，加速乐山“走出去”进程，不断扩展乐山会展产业的发展广度。聚焦就是以“会展+”为引领，围绕文旅、晶硅光伏、新材料、美食、林竹、佛禅文化等优势产业、特色产品和特色文化，策划举办新展会，以会展推动乐山重要产业发展。同时，完善会展产业发展规划和政策体系，加大对本土龙头会展企业和重大展会活动的支持力度，促进展产深度融合，努力实现乐山会展产业高质量发展。力争到“十四五”期末，把乐山建成国际旅游会展中心和成渝地区会展第三极。</w:t>
      </w:r>
    </w:p>
    <w:p>
      <w:pPr>
        <w:adjustRightInd w:val="0"/>
        <w:snapToGrid w:val="0"/>
        <w:spacing w:line="580" w:lineRule="exact"/>
        <w:ind w:firstLine="640" w:firstLineChars="200"/>
        <w:rPr>
          <w:rFonts w:hint="eastAsia"/>
        </w:rPr>
      </w:pPr>
      <w:r>
        <w:rPr>
          <w:rFonts w:hint="eastAsia"/>
        </w:rPr>
        <w:t>会展效益显著提升。全市会展产业规模加快扩大，会展产业对经济的拉动作用显著增强。到2025年，实现会展产业直接收入15亿元，带动综合收入130亿元，会展产业对经济的综合拉动系数接近1</w:t>
      </w:r>
      <w:r>
        <w:rPr>
          <w:rFonts w:hint="eastAsia" w:hAnsi="宋体" w:cs="宋体"/>
        </w:rPr>
        <w:t>∶</w:t>
      </w:r>
      <w:r>
        <w:rPr>
          <w:rFonts w:hint="eastAsia"/>
        </w:rPr>
        <w:t>9的行业标准。</w:t>
      </w:r>
    </w:p>
    <w:p>
      <w:pPr>
        <w:adjustRightInd w:val="0"/>
        <w:snapToGrid w:val="0"/>
        <w:spacing w:line="580" w:lineRule="exact"/>
        <w:ind w:firstLine="640" w:firstLineChars="200"/>
        <w:rPr>
          <w:rFonts w:hint="eastAsia"/>
        </w:rPr>
      </w:pPr>
      <w:r>
        <w:rPr>
          <w:rFonts w:hint="eastAsia"/>
        </w:rPr>
        <w:t>空间布局加快优化。加快构建“一带双核三组团四支点”的会展空间布局，全市会展综合承载能力显著增强。到2025年，力争建成并投运1个新的大型会展中心，全市总展览面积达到200万平方米。</w:t>
      </w:r>
    </w:p>
    <w:p>
      <w:pPr>
        <w:adjustRightInd w:val="0"/>
        <w:snapToGrid w:val="0"/>
        <w:spacing w:line="580" w:lineRule="exact"/>
        <w:ind w:firstLine="640" w:firstLineChars="200"/>
        <w:rPr>
          <w:rFonts w:hint="eastAsia"/>
        </w:rPr>
      </w:pPr>
      <w:r>
        <w:rPr>
          <w:rFonts w:hint="eastAsia"/>
        </w:rPr>
        <w:t>会展生态圈逐步构建。核心产业链、载体体系及会展配套政策措施得到完善，会展龙头企业培育成效初显，会展整体运营能力显著增强，形成全域会展的发展态势。到2025年，培育各类会展规模企业8家，全市各类规模展会活动累计开展30场（次）。</w:t>
      </w:r>
    </w:p>
    <w:p>
      <w:pPr>
        <w:adjustRightInd w:val="0"/>
        <w:snapToGrid w:val="0"/>
        <w:spacing w:line="580" w:lineRule="exact"/>
        <w:ind w:firstLine="640" w:firstLineChars="200"/>
        <w:rPr>
          <w:rFonts w:hint="eastAsia"/>
        </w:rPr>
      </w:pPr>
      <w:r>
        <w:rPr>
          <w:rFonts w:hint="eastAsia"/>
        </w:rPr>
        <w:t>展产融合进一步深化。推动乐山会展与优势产业进一步融合发展，形成城市会展经济名片，会展项目的国际权威认证取得突破。到2025年，取得UFI（全球展览业协会）认证的展会项目及成员达到2个。</w:t>
      </w:r>
    </w:p>
    <w:p/>
    <w:tbl>
      <w:tblPr>
        <w:tblStyle w:val="5"/>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6"/>
        <w:gridCol w:w="1438"/>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9400" w:type="dxa"/>
            <w:gridSpan w:val="3"/>
            <w:shd w:val="clear" w:color="auto" w:fill="auto"/>
            <w:noWrap w:val="0"/>
            <w:vAlign w:val="center"/>
          </w:tcPr>
          <w:p>
            <w:pPr>
              <w:adjustRightInd w:val="0"/>
              <w:snapToGrid w:val="0"/>
              <w:spacing w:line="520" w:lineRule="exact"/>
              <w:jc w:val="center"/>
              <w:rPr>
                <w:rFonts w:hint="eastAsia" w:ascii="黑体" w:hAnsi="黑体" w:eastAsia="黑体"/>
                <w:sz w:val="28"/>
                <w:szCs w:val="28"/>
              </w:rPr>
            </w:pPr>
            <w:r>
              <w:rPr>
                <w:rFonts w:hint="eastAsia" w:ascii="黑体" w:hAnsi="黑体" w:eastAsia="黑体"/>
                <w:sz w:val="28"/>
                <w:szCs w:val="28"/>
              </w:rPr>
              <w:t>专栏6：乐山市“十四五”会展产业主要量化目标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指标名称</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发展目标</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会展综合收入（亿元）</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130</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会展拉动收入（亿元）</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115</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会展直接收入（亿元）</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15</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会展业增加值占全市服务业增加值比重（%）</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10</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会展规模企业累计（家）</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8</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各类规模展会活动累计开展（场次）</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30</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bookmarkStart w:id="410" w:name="_Hlk87820882"/>
            <w:r>
              <w:rPr>
                <w:rFonts w:hint="eastAsia"/>
                <w:sz w:val="28"/>
                <w:szCs w:val="28"/>
              </w:rPr>
              <w:t>UFI（全球展览业协会）、ICCA（国际大会及会议协会）认证的展会项目</w:t>
            </w:r>
            <w:bookmarkEnd w:id="410"/>
            <w:r>
              <w:rPr>
                <w:rFonts w:hint="eastAsia"/>
                <w:sz w:val="28"/>
                <w:szCs w:val="28"/>
              </w:rPr>
              <w:t>（个）</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2</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国际展会数量比例（%）</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10</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境外参展商的参展面积比例（%）</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20</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81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境外观众比例（%）</w:t>
            </w:r>
          </w:p>
        </w:tc>
        <w:tc>
          <w:tcPr>
            <w:tcW w:w="1438"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10</w:t>
            </w:r>
          </w:p>
        </w:tc>
        <w:tc>
          <w:tcPr>
            <w:tcW w:w="2146" w:type="dxa"/>
            <w:shd w:val="clear" w:color="auto" w:fill="auto"/>
            <w:noWrap w:val="0"/>
            <w:vAlign w:val="center"/>
          </w:tcPr>
          <w:p>
            <w:pPr>
              <w:adjustRightInd w:val="0"/>
              <w:snapToGrid w:val="0"/>
              <w:spacing w:line="520" w:lineRule="exact"/>
              <w:jc w:val="center"/>
              <w:rPr>
                <w:rFonts w:hint="eastAsia"/>
                <w:sz w:val="28"/>
                <w:szCs w:val="28"/>
              </w:rPr>
            </w:pPr>
            <w:r>
              <w:rPr>
                <w:rFonts w:hint="eastAsia"/>
                <w:sz w:val="28"/>
                <w:szCs w:val="28"/>
              </w:rPr>
              <w:t>预期性</w:t>
            </w:r>
          </w:p>
        </w:tc>
      </w:tr>
    </w:tbl>
    <w:p>
      <w:pPr>
        <w:adjustRightInd w:val="0"/>
        <w:snapToGrid w:val="0"/>
        <w:spacing w:line="540" w:lineRule="exact"/>
        <w:jc w:val="center"/>
        <w:rPr>
          <w:rFonts w:hint="eastAsia"/>
        </w:rPr>
      </w:pPr>
      <w:bookmarkStart w:id="411" w:name="_Toc90812645"/>
      <w:bookmarkStart w:id="412" w:name="_Toc20248"/>
      <w:r>
        <w:rPr>
          <w:rFonts w:hint="eastAsia"/>
        </w:rPr>
        <w:t>第四节  空间布局</w:t>
      </w:r>
      <w:bookmarkEnd w:id="411"/>
      <w:bookmarkEnd w:id="412"/>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rPr>
      </w:pPr>
      <w:r>
        <w:rPr>
          <w:rFonts w:hint="eastAsia"/>
        </w:rPr>
        <w:t>按照大会展产业生态圈构建理念，全力推进乐山会展“一带双核三组团四支点”建设，完善会展产业空间布局。</w:t>
      </w:r>
    </w:p>
    <w:p>
      <w:pPr>
        <w:adjustRightInd w:val="0"/>
        <w:snapToGrid w:val="0"/>
        <w:spacing w:line="580" w:lineRule="exact"/>
        <w:ind w:firstLine="640" w:firstLineChars="200"/>
        <w:rPr>
          <w:rFonts w:hint="eastAsia"/>
        </w:rPr>
      </w:pPr>
      <w:r>
        <w:rPr>
          <w:rFonts w:hint="eastAsia"/>
        </w:rPr>
        <w:t>“一带”：构建由峨眉山市、市中区、乐山高新区、五通桥区组成的会展产业带。乐山高新区围绕先进制造创新发展大型展会；五通桥区围绕“中国绿色硅谷”核心区域打造展产融合主题展会。</w:t>
      </w:r>
    </w:p>
    <w:p>
      <w:pPr>
        <w:adjustRightInd w:val="0"/>
        <w:snapToGrid w:val="0"/>
        <w:spacing w:line="580" w:lineRule="exact"/>
        <w:ind w:firstLine="640" w:firstLineChars="200"/>
        <w:rPr>
          <w:rFonts w:hint="eastAsia"/>
        </w:rPr>
      </w:pPr>
      <w:r>
        <w:rPr>
          <w:rFonts w:hint="eastAsia"/>
        </w:rPr>
        <w:t>“双核”：形成市中区乐山国际博览城文旅会展聚集核心、峨眉山市四川国际旅游交易中心会展旅游双引领核心。</w:t>
      </w:r>
    </w:p>
    <w:p>
      <w:pPr>
        <w:adjustRightInd w:val="0"/>
        <w:snapToGrid w:val="0"/>
        <w:spacing w:line="580" w:lineRule="exact"/>
        <w:ind w:firstLine="640" w:firstLineChars="200"/>
        <w:rPr>
          <w:rFonts w:hint="eastAsia"/>
        </w:rPr>
      </w:pPr>
      <w:r>
        <w:rPr>
          <w:rFonts w:hint="eastAsia"/>
        </w:rPr>
        <w:t>“三组团”：建设夹江县新型建材会展组团、井研县农旅乡村会展组团、犍为县装备制造会展组团。</w:t>
      </w:r>
    </w:p>
    <w:p>
      <w:pPr>
        <w:adjustRightInd w:val="0"/>
        <w:snapToGrid w:val="0"/>
        <w:spacing w:line="580" w:lineRule="exact"/>
        <w:ind w:firstLine="640" w:firstLineChars="200"/>
        <w:rPr>
          <w:rFonts w:hint="eastAsia"/>
        </w:rPr>
      </w:pPr>
      <w:r>
        <w:rPr>
          <w:rFonts w:hint="eastAsia"/>
        </w:rPr>
        <w:t>“四支点”：构建沙湾区工旅融合微展支点、沐川县绿色产业微展支点、马边彝族自治县民俗生态微展支点、峨边彝族自治县—金口河区民族山地微展支点。</w:t>
      </w:r>
    </w:p>
    <w:p>
      <w:pPr>
        <w:adjustRightInd w:val="0"/>
        <w:snapToGrid w:val="0"/>
        <w:spacing w:line="580" w:lineRule="exact"/>
        <w:ind w:firstLine="640" w:firstLineChars="200"/>
        <w:rPr>
          <w:rFonts w:hint="eastAsia"/>
        </w:rPr>
      </w:pPr>
    </w:p>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bl>
      <w:tblPr>
        <w:tblStyle w:val="6"/>
        <w:tblpPr w:leftFromText="180" w:rightFromText="180" w:vertAnchor="text" w:horzAnchor="page" w:tblpX="1584" w:tblpY="24"/>
        <w:tblOverlap w:val="never"/>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941" w:type="dxa"/>
            <w:shd w:val="clear" w:color="auto" w:fill="auto"/>
            <w:noWrap w:val="0"/>
            <w:vAlign w:val="center"/>
          </w:tcPr>
          <w:p>
            <w:pPr>
              <w:jc w:val="center"/>
              <w:rPr>
                <w:rFonts w:ascii="黑体" w:hAnsi="黑体" w:eastAsia="黑体"/>
              </w:rPr>
            </w:pPr>
            <w:r>
              <w:rPr>
                <w:rFonts w:ascii="黑体" w:hAnsi="黑体" w:eastAsia="黑体"/>
                <w:bCs/>
                <w:sz w:val="28"/>
                <w:szCs w:val="28"/>
              </w:rPr>
              <w:t>专栏7：乐山市“十四五”会展产业空间结构布局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3" w:hRule="atLeast"/>
        </w:trPr>
        <w:tc>
          <w:tcPr>
            <w:tcW w:w="8941" w:type="dxa"/>
            <w:noWrap w:val="0"/>
            <w:vAlign w:val="top"/>
          </w:tcPr>
          <w:p>
            <w:pPr>
              <w:jc w:val="center"/>
              <w:rPr>
                <w:rFonts w:hint="eastAsia" w:ascii="Times New Roman"/>
                <w:color w:val="000000"/>
              </w:rPr>
            </w:pPr>
            <w:r>
              <w:rPr>
                <w:rFonts w:ascii="Times New Roman"/>
                <w:color w:val="000000"/>
              </w:rPr>
              <w:drawing>
                <wp:anchor distT="0" distB="0" distL="114300" distR="114300" simplePos="0" relativeHeight="251662336" behindDoc="0" locked="0" layoutInCell="1" allowOverlap="1">
                  <wp:simplePos x="0" y="0"/>
                  <wp:positionH relativeFrom="column">
                    <wp:posOffset>-35560</wp:posOffset>
                  </wp:positionH>
                  <wp:positionV relativeFrom="paragraph">
                    <wp:posOffset>22860</wp:posOffset>
                  </wp:positionV>
                  <wp:extent cx="5610225" cy="7534275"/>
                  <wp:effectExtent l="0" t="0" r="9525" b="9525"/>
                  <wp:wrapNone/>
                  <wp:docPr id="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1"/>
                          <pic:cNvPicPr>
                            <a:picLocks noChangeAspect="1"/>
                          </pic:cNvPicPr>
                        </pic:nvPicPr>
                        <pic:blipFill>
                          <a:blip r:embed="rId15"/>
                          <a:stretch>
                            <a:fillRect/>
                          </a:stretch>
                        </pic:blipFill>
                        <pic:spPr>
                          <a:xfrm>
                            <a:off x="0" y="0"/>
                            <a:ext cx="5610225" cy="7534275"/>
                          </a:xfrm>
                          <a:prstGeom prst="rect">
                            <a:avLst/>
                          </a:prstGeom>
                          <a:noFill/>
                          <a:ln>
                            <a:noFill/>
                          </a:ln>
                        </pic:spPr>
                      </pic:pic>
                    </a:graphicData>
                  </a:graphic>
                </wp:anchor>
              </w:drawing>
            </w:r>
            <w:r>
              <w:rPr>
                <w:rFonts w:ascii="Times New Roman"/>
                <w:color w:val="000000"/>
              </w:rPr>
              <mc:AlternateContent>
                <mc:Choice Requires="wpg">
                  <w:drawing>
                    <wp:anchor distT="0" distB="0" distL="114300" distR="114300" simplePos="0" relativeHeight="251671552" behindDoc="0" locked="0" layoutInCell="1" allowOverlap="1">
                      <wp:simplePos x="0" y="0"/>
                      <wp:positionH relativeFrom="column">
                        <wp:posOffset>2470150</wp:posOffset>
                      </wp:positionH>
                      <wp:positionV relativeFrom="paragraph">
                        <wp:posOffset>4694555</wp:posOffset>
                      </wp:positionV>
                      <wp:extent cx="284480" cy="275590"/>
                      <wp:effectExtent l="0" t="0" r="1270" b="10160"/>
                      <wp:wrapNone/>
                      <wp:docPr id="7" name="组合 7"/>
                      <wp:cNvGraphicFramePr/>
                      <a:graphic xmlns:a="http://schemas.openxmlformats.org/drawingml/2006/main">
                        <a:graphicData uri="http://schemas.microsoft.com/office/word/2010/wordprocessingGroup">
                          <wpg:wgp>
                            <wpg:cNvGrpSpPr/>
                            <wpg:grpSpPr>
                              <a:xfrm flipV="1">
                                <a:off x="0" y="0"/>
                                <a:ext cx="284480" cy="275590"/>
                                <a:chOff x="102488" y="29762"/>
                                <a:chExt cx="7247" cy="7247"/>
                              </a:xfrm>
                              <a:effectLst/>
                            </wpg:grpSpPr>
                            <wps:wsp>
                              <wps:cNvPr id="8" name="椭圆 86"/>
                              <wps:cNvSpPr/>
                              <wps:spPr>
                                <a:xfrm>
                                  <a:off x="102488" y="29762"/>
                                  <a:ext cx="7248" cy="7248"/>
                                </a:xfrm>
                                <a:prstGeom prst="ellipse">
                                  <a:avLst/>
                                </a:prstGeom>
                                <a:solidFill>
                                  <a:srgbClr val="376092">
                                    <a:alpha val="79999"/>
                                  </a:srgbClr>
                                </a:solidFill>
                                <a:ln w="25400">
                                  <a:noFill/>
                                </a:ln>
                                <a:effectLst/>
                              </wps:spPr>
                              <wps:bodyPr vert="horz" wrap="square" anchor="ctr" anchorCtr="0" upright="1"/>
                            </wps:wsp>
                            <wps:wsp>
                              <wps:cNvPr id="9" name="椭圆 87"/>
                              <wps:cNvSpPr/>
                              <wps:spPr>
                                <a:xfrm>
                                  <a:off x="103601" y="30874"/>
                                  <a:ext cx="5023" cy="5023"/>
                                </a:xfrm>
                                <a:prstGeom prst="ellipse">
                                  <a:avLst/>
                                </a:prstGeom>
                                <a:solidFill>
                                  <a:srgbClr val="376092"/>
                                </a:solidFill>
                                <a:ln w="38100" cap="flat" cmpd="sng">
                                  <a:solidFill>
                                    <a:srgbClr val="FFFFFF"/>
                                  </a:solidFill>
                                  <a:prstDash val="solid"/>
                                  <a:round/>
                                  <a:headEnd type="none" w="med" len="med"/>
                                  <a:tailEnd type="none" w="med" len="med"/>
                                </a:ln>
                                <a:effectLst/>
                              </wps:spPr>
                              <wps:bodyPr vert="horz" wrap="square" anchor="ctr" anchorCtr="0" upright="1"/>
                            </wps:wsp>
                          </wpg:wgp>
                        </a:graphicData>
                      </a:graphic>
                    </wp:anchor>
                  </w:drawing>
                </mc:Choice>
                <mc:Fallback>
                  <w:pict>
                    <v:group id="_x0000_s1026" o:spid="_x0000_s1026" o:spt="203" style="position:absolute;left:0pt;flip:y;margin-left:194.5pt;margin-top:369.65pt;height:21.7pt;width:22.4pt;z-index:251671552;mso-width-relative:page;mso-height-relative:page;" coordorigin="102488,29762" coordsize="7247,7247" o:gfxdata="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Cc5KrO2gAAAAsBAAAPAAAAAAAAAAEA&#10;IAAAACIAAABkcnMvZG93bnJldi54bWxQSwECFAAUAAAACACHTuJAj1ZlLPECAACrBwAADgAAAAAA&#10;AAABACAAAAApAQAAZHJzL2Uyb0RvYy54bWxQSwUGAAAAAAYABgBZAQAAjAYAAAAA&#10;">
                      <o:lock v:ext="edit" aspectratio="f"/>
                      <v:shape id="椭圆 86" o:spid="_x0000_s1026" o:spt="3" type="#_x0000_t3" style="position:absolute;left:102488;top:29762;height:7248;width:7248;v-text-anchor:middle;" fillcolor="#376092" filled="t" stroked="f" coordsize="21600,21600" o:gfxdata="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4IlbsAAADa&#10;AAAADwAAAAAAAAABACAAAAAiAAAAZHJzL2Rvd25yZXYueG1sUEsBAhQAFAAAAAgAh07iQDMvBZ47&#10;AAAAOQAAABAAAAAAAAAAAQAgAAAACgEAAGRycy9zaGFwZXhtbC54bWxQSwUGAAAAAAYABgBbAQAA&#10;tAMAAAAA&#10;">
                        <v:path/>
                        <v:fill on="t" opacity="52428f" focussize="0,0"/>
                        <v:stroke on="f" weight="2pt"/>
                        <v:imagedata o:title=""/>
                        <o:lock v:ext="edit" aspectratio="f"/>
                      </v:shape>
                      <v:shape id="椭圆 87" o:spid="_x0000_s1026" o:spt="3" type="#_x0000_t3" style="position:absolute;left:103601;top:30874;height:5023;width:5023;v-text-anchor:middle;" fillcolor="#376092" filled="t" stroked="t" coordsize="21600,21600" o:gfxdata="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6/osLsAAADa&#10;AAAADwAAAAAAAAABACAAAAAiAAAAZHJzL2Rvd25yZXYueG1sUEsBAhQAFAAAAAgAh07iQDMvBZ47&#10;AAAAOQAAABAAAAAAAAAAAQAgAAAACgEAAGRycy9zaGFwZXhtbC54bWxQSwUGAAAAAAYABgBbAQAA&#10;tAMAAAAA&#10;">
                        <v:path/>
                        <v:fill on="t" focussize="0,0"/>
                        <v:stroke weight="3pt" color="#FFFFFF"/>
                        <v:imagedata o:title=""/>
                        <o:lock v:ext="edit" aspectratio="f"/>
                      </v:shape>
                    </v:group>
                  </w:pict>
                </mc:Fallback>
              </mc:AlternateContent>
            </w:r>
            <w:r>
              <w:rPr>
                <w:rFonts w:ascii="Times New Roman"/>
                <w:color w:val="000000"/>
              </w:rPr>
              <mc:AlternateContent>
                <mc:Choice Requires="wps">
                  <w:drawing>
                    <wp:anchor distT="0" distB="0" distL="114300" distR="114300" simplePos="0" relativeHeight="251674624" behindDoc="0" locked="0" layoutInCell="1" allowOverlap="1">
                      <wp:simplePos x="0" y="0"/>
                      <wp:positionH relativeFrom="column">
                        <wp:posOffset>2082165</wp:posOffset>
                      </wp:positionH>
                      <wp:positionV relativeFrom="paragraph">
                        <wp:posOffset>5013960</wp:posOffset>
                      </wp:positionV>
                      <wp:extent cx="1037590" cy="41148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037590" cy="544195"/>
                              </a:xfrm>
                              <a:prstGeom prst="rect">
                                <a:avLst/>
                              </a:prstGeom>
                              <a:noFill/>
                              <a:ln>
                                <a:noFill/>
                              </a:ln>
                              <a:effectLst/>
                            </wps:spPr>
                            <wps:txbx>
                              <w:txbxContent>
                                <w:p>
                                  <w:pPr>
                                    <w:jc w:val="center"/>
                                    <w:textAlignment w:val="top"/>
                                    <w:rPr>
                                      <w:rFonts w:ascii="Times New Roman"/>
                                      <w:color w:val="000000"/>
                                      <w:sz w:val="36"/>
                                    </w:rPr>
                                  </w:pPr>
                                  <w:r>
                                    <w:rPr>
                                      <w:rFonts w:ascii="微软雅黑" w:eastAsia="微软雅黑"/>
                                      <w:b/>
                                      <w:color w:val="000000"/>
                                      <w:kern w:val="24"/>
                                      <w:sz w:val="18"/>
                                      <w:szCs w:val="18"/>
                                    </w:rPr>
                                    <w:t>马边彝族自治县</w:t>
                                  </w:r>
                                </w:p>
                                <w:p>
                                  <w:pPr>
                                    <w:jc w:val="center"/>
                                    <w:textAlignment w:val="top"/>
                                    <w:rPr>
                                      <w:rFonts w:ascii="Times New Roman"/>
                                      <w:color w:val="000000"/>
                                      <w:sz w:val="36"/>
                                    </w:rPr>
                                  </w:pPr>
                                  <w:r>
                                    <w:rPr>
                                      <w:rFonts w:ascii="微软雅黑" w:eastAsia="微软雅黑"/>
                                      <w:b/>
                                      <w:color w:val="000000"/>
                                      <w:kern w:val="24"/>
                                      <w:sz w:val="16"/>
                                      <w:szCs w:val="16"/>
                                    </w:rPr>
                                    <w:t>民</w:t>
                                  </w:r>
                                  <w:r>
                                    <w:rPr>
                                      <w:rFonts w:hint="eastAsia" w:ascii="微软雅黑" w:eastAsia="微软雅黑"/>
                                      <w:b/>
                                      <w:color w:val="000000"/>
                                      <w:kern w:val="24"/>
                                      <w:sz w:val="16"/>
                                      <w:szCs w:val="16"/>
                                    </w:rPr>
                                    <w:t>俗</w:t>
                                  </w:r>
                                  <w:r>
                                    <w:rPr>
                                      <w:rFonts w:ascii="微软雅黑" w:eastAsia="微软雅黑"/>
                                      <w:b/>
                                      <w:color w:val="000000"/>
                                      <w:kern w:val="24"/>
                                      <w:sz w:val="16"/>
                                      <w:szCs w:val="16"/>
                                    </w:rPr>
                                    <w:t>生态微展支点</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163.95pt;margin-top:394.8pt;height:32.4pt;width:81.7pt;z-index:251674624;mso-width-relative:page;mso-height-relative:page;" filled="f" stroked="f" coordsize="21600,21600" o:gfxdata="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6zXbbAAAACwEAAA8AAAAAAAAAAQAgAAAAIgAAAGRycy9kb3ducmV2LnhtbFBLAQIUABQAAAAI&#10;AIdO4kB5ZNA16gEAAM4DAAAOAAAAAAAAAAEAIAAAACoBAABkcnMvZTJvRG9jLnhtbFBLBQYAAAAA&#10;BgAGAFkBAACGBQAAAAA=&#10;">
                      <v:path/>
                      <v:fill on="f" focussize="0,0"/>
                      <v:stroke on="f"/>
                      <v:imagedata o:title=""/>
                      <o:lock v:ext="edit" aspectratio="f"/>
                      <v:textbox inset="0mm,0mm,0mm,0mm">
                        <w:txbxContent>
                          <w:p>
                            <w:pPr>
                              <w:jc w:val="center"/>
                              <w:textAlignment w:val="top"/>
                              <w:rPr>
                                <w:rFonts w:ascii="Times New Roman"/>
                                <w:color w:val="000000"/>
                                <w:sz w:val="36"/>
                              </w:rPr>
                            </w:pPr>
                            <w:r>
                              <w:rPr>
                                <w:rFonts w:ascii="微软雅黑" w:eastAsia="微软雅黑"/>
                                <w:b/>
                                <w:color w:val="000000"/>
                                <w:kern w:val="24"/>
                                <w:sz w:val="18"/>
                                <w:szCs w:val="18"/>
                              </w:rPr>
                              <w:t>马边彝族自治县</w:t>
                            </w:r>
                          </w:p>
                          <w:p>
                            <w:pPr>
                              <w:jc w:val="center"/>
                              <w:textAlignment w:val="top"/>
                              <w:rPr>
                                <w:rFonts w:ascii="Times New Roman"/>
                                <w:color w:val="000000"/>
                                <w:sz w:val="36"/>
                              </w:rPr>
                            </w:pPr>
                            <w:r>
                              <w:rPr>
                                <w:rFonts w:ascii="微软雅黑" w:eastAsia="微软雅黑"/>
                                <w:b/>
                                <w:color w:val="000000"/>
                                <w:kern w:val="24"/>
                                <w:sz w:val="16"/>
                                <w:szCs w:val="16"/>
                              </w:rPr>
                              <w:t>民</w:t>
                            </w:r>
                            <w:r>
                              <w:rPr>
                                <w:rFonts w:hint="eastAsia" w:ascii="微软雅黑" w:eastAsia="微软雅黑"/>
                                <w:b/>
                                <w:color w:val="000000"/>
                                <w:kern w:val="24"/>
                                <w:sz w:val="16"/>
                                <w:szCs w:val="16"/>
                              </w:rPr>
                              <w:t>俗</w:t>
                            </w:r>
                            <w:r>
                              <w:rPr>
                                <w:rFonts w:ascii="微软雅黑" w:eastAsia="微软雅黑"/>
                                <w:b/>
                                <w:color w:val="000000"/>
                                <w:kern w:val="24"/>
                                <w:sz w:val="16"/>
                                <w:szCs w:val="16"/>
                              </w:rPr>
                              <w:t>生态微展支点</w:t>
                            </w:r>
                          </w:p>
                        </w:txbxContent>
                      </v:textbox>
                    </v:shape>
                  </w:pict>
                </mc:Fallback>
              </mc:AlternateContent>
            </w:r>
            <w:r>
              <w:rPr>
                <w:rFonts w:ascii="Times New Roman"/>
                <w:color w:val="000000"/>
              </w:rPr>
              <mc:AlternateContent>
                <mc:Choice Requires="wps">
                  <w:drawing>
                    <wp:anchor distT="0" distB="0" distL="114300" distR="114300" simplePos="0" relativeHeight="251689984" behindDoc="0" locked="0" layoutInCell="1" allowOverlap="1">
                      <wp:simplePos x="0" y="0"/>
                      <wp:positionH relativeFrom="column">
                        <wp:posOffset>2343150</wp:posOffset>
                      </wp:positionH>
                      <wp:positionV relativeFrom="paragraph">
                        <wp:posOffset>5647690</wp:posOffset>
                      </wp:positionV>
                      <wp:extent cx="694055" cy="238125"/>
                      <wp:effectExtent l="0" t="0" r="0" b="0"/>
                      <wp:wrapNone/>
                      <wp:docPr id="10" name="文本框 10"/>
                      <wp:cNvGraphicFramePr/>
                      <a:graphic xmlns:a="http://schemas.openxmlformats.org/drawingml/2006/main">
                        <a:graphicData uri="http://schemas.microsoft.com/office/word/2010/wordprocessingShape">
                          <wps:wsp>
                            <wps:cNvSpPr txBox="1"/>
                            <wps:spPr>
                              <a:xfrm flipV="1">
                                <a:off x="0" y="0"/>
                                <a:ext cx="694055" cy="238125"/>
                              </a:xfrm>
                              <a:prstGeom prst="rect">
                                <a:avLst/>
                              </a:prstGeom>
                              <a:noFill/>
                              <a:ln>
                                <a:noFill/>
                              </a:ln>
                              <a:effectLst/>
                            </wps:spPr>
                            <wps:txbx>
                              <w:txbxContent>
                                <w:p>
                                  <w:pPr>
                                    <w:jc w:val="left"/>
                                    <w:textAlignment w:val="baseline"/>
                                    <w:rPr>
                                      <w:rFonts w:ascii="Times New Roman"/>
                                      <w:color w:val="000000"/>
                                      <w:sz w:val="36"/>
                                    </w:rPr>
                                  </w:pPr>
                                  <w:r>
                                    <w:rPr>
                                      <w:rFonts w:ascii="宋体"/>
                                      <w:b/>
                                      <w:color w:val="000000"/>
                                      <w:kern w:val="24"/>
                                      <w:sz w:val="12"/>
                                      <w:szCs w:val="12"/>
                                    </w:rPr>
                                    <w:t>马边彝族自治县</w:t>
                                  </w:r>
                                </w:p>
                              </w:txbxContent>
                            </wps:txbx>
                            <wps:bodyPr vert="horz" wrap="square" lIns="0" tIns="0" rIns="0" bIns="0" anchor="t" anchorCtr="0" upright="1"/>
                          </wps:wsp>
                        </a:graphicData>
                      </a:graphic>
                    </wp:anchor>
                  </w:drawing>
                </mc:Choice>
                <mc:Fallback>
                  <w:pict>
                    <v:shape id="_x0000_s1026" o:spid="_x0000_s1026" o:spt="202" type="#_x0000_t202" style="position:absolute;left:0pt;flip:y;margin-left:184.5pt;margin-top:444.7pt;height:18.75pt;width:54.65pt;z-index:251689984;mso-width-relative:page;mso-height-relative:page;" filled="f" stroked="f" coordsize="21600,21600" o:gfxdata="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k/R19oA&#10;AAALAQAADwAAAAAAAAABACAAAAAiAAAAZHJzL2Rvd25yZXYueG1sUEsBAhQAFAAAAAgAh07iQFIf&#10;RcDkAQAAvgMAAA4AAAAAAAAAAQAgAAAAKQEAAGRycy9lMm9Eb2MueG1sUEsFBgAAAAAGAAYAWQEA&#10;AH8FAAAAAA==&#10;">
                      <v:path/>
                      <v:fill on="f" focussize="0,0"/>
                      <v:stroke on="f"/>
                      <v:imagedata o:title=""/>
                      <o:lock v:ext="edit" aspectratio="f"/>
                      <v:textbox inset="0mm,0mm,0mm,0mm">
                        <w:txbxContent>
                          <w:p>
                            <w:pPr>
                              <w:jc w:val="left"/>
                              <w:textAlignment w:val="baseline"/>
                              <w:rPr>
                                <w:rFonts w:ascii="Times New Roman"/>
                                <w:color w:val="000000"/>
                                <w:sz w:val="36"/>
                              </w:rPr>
                            </w:pPr>
                            <w:r>
                              <w:rPr>
                                <w:rFonts w:ascii="宋体"/>
                                <w:b/>
                                <w:color w:val="000000"/>
                                <w:kern w:val="24"/>
                                <w:sz w:val="12"/>
                                <w:szCs w:val="12"/>
                              </w:rPr>
                              <w:t>马边彝族自治县</w:t>
                            </w:r>
                          </w:p>
                        </w:txbxContent>
                      </v:textbox>
                    </v:shape>
                  </w:pict>
                </mc:Fallback>
              </mc:AlternateContent>
            </w:r>
            <w:r>
              <w:rPr>
                <w:rFonts w:ascii="Times New Roman"/>
                <w:color w:val="000000"/>
              </w:rPr>
              <mc:AlternateContent>
                <mc:Choice Requires="wpg">
                  <w:drawing>
                    <wp:anchor distT="0" distB="0" distL="114300" distR="114300" simplePos="0" relativeHeight="251670528" behindDoc="0" locked="0" layoutInCell="1" allowOverlap="1">
                      <wp:simplePos x="0" y="0"/>
                      <wp:positionH relativeFrom="column">
                        <wp:posOffset>1332230</wp:posOffset>
                      </wp:positionH>
                      <wp:positionV relativeFrom="paragraph">
                        <wp:posOffset>3344545</wp:posOffset>
                      </wp:positionV>
                      <wp:extent cx="291465" cy="288925"/>
                      <wp:effectExtent l="0" t="0" r="13335" b="15875"/>
                      <wp:wrapNone/>
                      <wp:docPr id="21" name="组合 21"/>
                      <wp:cNvGraphicFramePr/>
                      <a:graphic xmlns:a="http://schemas.openxmlformats.org/drawingml/2006/main">
                        <a:graphicData uri="http://schemas.microsoft.com/office/word/2010/wordprocessingGroup">
                          <wpg:wgp>
                            <wpg:cNvGrpSpPr/>
                            <wpg:grpSpPr>
                              <a:xfrm>
                                <a:off x="0" y="0"/>
                                <a:ext cx="291465" cy="288925"/>
                                <a:chOff x="102488" y="29762"/>
                                <a:chExt cx="7247" cy="7247"/>
                              </a:xfrm>
                              <a:effectLst/>
                            </wpg:grpSpPr>
                            <wps:wsp>
                              <wps:cNvPr id="66" name="椭圆 83"/>
                              <wps:cNvSpPr/>
                              <wps:spPr>
                                <a:xfrm>
                                  <a:off x="102488" y="29762"/>
                                  <a:ext cx="7248" cy="7248"/>
                                </a:xfrm>
                                <a:prstGeom prst="ellipse">
                                  <a:avLst/>
                                </a:prstGeom>
                                <a:solidFill>
                                  <a:srgbClr val="376092">
                                    <a:alpha val="79999"/>
                                  </a:srgbClr>
                                </a:solidFill>
                                <a:ln w="25400">
                                  <a:noFill/>
                                </a:ln>
                                <a:effectLst/>
                              </wps:spPr>
                              <wps:bodyPr vert="horz" wrap="square" anchor="ctr" anchorCtr="0" upright="1"/>
                            </wps:wsp>
                            <wps:wsp>
                              <wps:cNvPr id="67" name="椭圆 84"/>
                              <wps:cNvSpPr/>
                              <wps:spPr>
                                <a:xfrm>
                                  <a:off x="103601" y="30874"/>
                                  <a:ext cx="5023" cy="5023"/>
                                </a:xfrm>
                                <a:prstGeom prst="ellipse">
                                  <a:avLst/>
                                </a:prstGeom>
                                <a:solidFill>
                                  <a:srgbClr val="376092"/>
                                </a:solidFill>
                                <a:ln w="38100" cap="flat" cmpd="sng">
                                  <a:solidFill>
                                    <a:srgbClr val="FFFFFF"/>
                                  </a:solidFill>
                                  <a:prstDash val="solid"/>
                                  <a:headEnd type="none" w="med" len="med"/>
                                  <a:tailEnd type="none" w="med" len="med"/>
                                </a:ln>
                                <a:effectLst/>
                              </wps:spPr>
                              <wps:bodyPr vert="horz" wrap="square" anchor="ctr" anchorCtr="0" upright="1"/>
                            </wps:wsp>
                          </wpg:wgp>
                        </a:graphicData>
                      </a:graphic>
                    </wp:anchor>
                  </w:drawing>
                </mc:Choice>
                <mc:Fallback>
                  <w:pict>
                    <v:group id="_x0000_s1026" o:spid="_x0000_s1026" o:spt="203" style="position:absolute;left:0pt;margin-left:104.9pt;margin-top:263.35pt;height:22.75pt;width:22.95pt;z-index:251670528;mso-width-relative:page;mso-height-relative:page;" coordorigin="102488,29762" coordsize="7247,7247" o:gfxdata="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B72lp3bAAAACwEAAA8AAAAAAAAAAQAgAAAAIgAAAGRycy9kb3du&#10;cmV2LnhtbFBLAQIUABQAAAAIAIdO4kAOCBVZ4AIAAJsHAAAOAAAAAAAAAAEAIAAAACoBAABkcnMv&#10;ZTJvRG9jLnhtbFBLBQYAAAAABgAGAFkBAAB8BgAAAAA=&#10;">
                      <o:lock v:ext="edit" aspectratio="f"/>
                      <v:shape id="椭圆 83" o:spid="_x0000_s1026" o:spt="3" type="#_x0000_t3" style="position:absolute;left:102488;top:29762;height:7248;width:7248;v-text-anchor:middle;" fillcolor="#376092" filled="t" stroked="f" coordsize="21600,21600" o:gfxdata="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NXZu8AAAA&#10;2wAAAA8AAAAAAAAAAQAgAAAAIgAAAGRycy9kb3ducmV2LnhtbFBLAQIUABQAAAAIAIdO4kAzLwWe&#10;OwAAADkAAAAQAAAAAAAAAAEAIAAAAAsBAABkcnMvc2hhcGV4bWwueG1sUEsFBgAAAAAGAAYAWwEA&#10;ALUDAAAAAA==&#10;">
                        <v:path/>
                        <v:fill on="t" opacity="52428f" focussize="0,0"/>
                        <v:stroke on="f" weight="2pt"/>
                        <v:imagedata o:title=""/>
                        <o:lock v:ext="edit" aspectratio="f"/>
                      </v:shape>
                      <v:shape id="椭圆 84" o:spid="_x0000_s1026" o:spt="3" type="#_x0000_t3" style="position:absolute;left:103601;top:30874;height:5023;width:5023;v-text-anchor:middle;" fillcolor="#376092" filled="t" stroked="t" coordsize="21600,21600" o:gfxdata="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Md2i8AAAA&#10;2wAAAA8AAAAAAAAAAQAgAAAAIgAAAGRycy9kb3ducmV2LnhtbFBLAQIUABQAAAAIAIdO4kAzLwWe&#10;OwAAADkAAAAQAAAAAAAAAAEAIAAAAAsBAABkcnMvc2hhcGV4bWwueG1sUEsFBgAAAAAGAAYAWwEA&#10;ALUDAAAAAA==&#10;">
                        <v:path/>
                        <v:fill on="t" focussize="0,0"/>
                        <v:stroke weight="3pt" color="#FFFFFF"/>
                        <v:imagedata o:title=""/>
                        <o:lock v:ext="edit" aspectratio="f"/>
                      </v:shape>
                    </v:group>
                  </w:pict>
                </mc:Fallback>
              </mc:AlternateContent>
            </w:r>
            <w:r>
              <w:rPr>
                <w:rFonts w:ascii="Times New Roman"/>
                <w:color w:val="000000"/>
              </w:rPr>
              <mc:AlternateContent>
                <mc:Choice Requires="wps">
                  <w:drawing>
                    <wp:anchor distT="0" distB="0" distL="114300" distR="114300" simplePos="0" relativeHeight="251675648" behindDoc="0" locked="0" layoutInCell="1" allowOverlap="1">
                      <wp:simplePos x="0" y="0"/>
                      <wp:positionH relativeFrom="column">
                        <wp:posOffset>639445</wp:posOffset>
                      </wp:positionH>
                      <wp:positionV relativeFrom="paragraph">
                        <wp:posOffset>3629660</wp:posOffset>
                      </wp:positionV>
                      <wp:extent cx="1577975" cy="86296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577975" cy="435610"/>
                              </a:xfrm>
                              <a:prstGeom prst="rect">
                                <a:avLst/>
                              </a:prstGeom>
                              <a:noFill/>
                              <a:ln>
                                <a:noFill/>
                              </a:ln>
                              <a:effectLst/>
                            </wps:spPr>
                            <wps:txbx>
                              <w:txbxContent>
                                <w:p>
                                  <w:pPr>
                                    <w:jc w:val="center"/>
                                    <w:textAlignment w:val="top"/>
                                    <w:rPr>
                                      <w:rFonts w:ascii="Times New Roman"/>
                                      <w:color w:val="000000"/>
                                      <w:sz w:val="36"/>
                                    </w:rPr>
                                  </w:pPr>
                                  <w:r>
                                    <w:rPr>
                                      <w:rFonts w:ascii="微软雅黑" w:eastAsia="微软雅黑"/>
                                      <w:b/>
                                      <w:color w:val="000000"/>
                                      <w:kern w:val="24"/>
                                      <w:sz w:val="18"/>
                                      <w:szCs w:val="18"/>
                                    </w:rPr>
                                    <w:t>峨边彝族自治县-金口河区</w:t>
                                  </w:r>
                                </w:p>
                                <w:p>
                                  <w:pPr>
                                    <w:jc w:val="center"/>
                                    <w:textAlignment w:val="top"/>
                                    <w:rPr>
                                      <w:rFonts w:ascii="Times New Roman"/>
                                      <w:color w:val="000000"/>
                                      <w:sz w:val="36"/>
                                    </w:rPr>
                                  </w:pPr>
                                  <w:r>
                                    <w:rPr>
                                      <w:rFonts w:hint="eastAsia" w:ascii="微软雅黑" w:eastAsia="微软雅黑"/>
                                      <w:b/>
                                      <w:color w:val="000000"/>
                                      <w:kern w:val="24"/>
                                      <w:sz w:val="16"/>
                                      <w:szCs w:val="16"/>
                                    </w:rPr>
                                    <w:t>民族山地</w:t>
                                  </w:r>
                                  <w:r>
                                    <w:rPr>
                                      <w:rFonts w:ascii="微软雅黑" w:eastAsia="微软雅黑"/>
                                      <w:b/>
                                      <w:color w:val="000000"/>
                                      <w:kern w:val="24"/>
                                      <w:sz w:val="16"/>
                                      <w:szCs w:val="16"/>
                                    </w:rPr>
                                    <w:t>微展支点</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50.35pt;margin-top:285.8pt;height:67.95pt;width:124.25pt;z-index:251675648;mso-width-relative:page;mso-height-relative:page;" filled="f" stroked="f" coordsize="21600,21600" o:gfxdata="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C7c2QAAAAsBAAAPAAAAAAAAAAEAIAAAACIAAABkcnMvZG93bnJldi54bWxQSwECFAAUAAAACACH&#10;TuJARDyO6+oBAADOAwAADgAAAAAAAAABACAAAAAoAQAAZHJzL2Uyb0RvYy54bWxQSwUGAAAAAAYA&#10;BgBZAQAAhAUAAAAA&#10;">
                      <v:path/>
                      <v:fill on="f" focussize="0,0"/>
                      <v:stroke on="f"/>
                      <v:imagedata o:title=""/>
                      <o:lock v:ext="edit" aspectratio="f"/>
                      <v:textbox inset="0mm,0mm,0mm,0mm">
                        <w:txbxContent>
                          <w:p>
                            <w:pPr>
                              <w:jc w:val="center"/>
                              <w:textAlignment w:val="top"/>
                              <w:rPr>
                                <w:rFonts w:ascii="Times New Roman"/>
                                <w:color w:val="000000"/>
                                <w:sz w:val="36"/>
                              </w:rPr>
                            </w:pPr>
                            <w:r>
                              <w:rPr>
                                <w:rFonts w:ascii="微软雅黑" w:eastAsia="微软雅黑"/>
                                <w:b/>
                                <w:color w:val="000000"/>
                                <w:kern w:val="24"/>
                                <w:sz w:val="18"/>
                                <w:szCs w:val="18"/>
                              </w:rPr>
                              <w:t>峨边彝族自治县-金口河区</w:t>
                            </w:r>
                          </w:p>
                          <w:p>
                            <w:pPr>
                              <w:jc w:val="center"/>
                              <w:textAlignment w:val="top"/>
                              <w:rPr>
                                <w:rFonts w:ascii="Times New Roman"/>
                                <w:color w:val="000000"/>
                                <w:sz w:val="36"/>
                              </w:rPr>
                            </w:pPr>
                            <w:r>
                              <w:rPr>
                                <w:rFonts w:hint="eastAsia" w:ascii="微软雅黑" w:eastAsia="微软雅黑"/>
                                <w:b/>
                                <w:color w:val="000000"/>
                                <w:kern w:val="24"/>
                                <w:sz w:val="16"/>
                                <w:szCs w:val="16"/>
                              </w:rPr>
                              <w:t>民族山地</w:t>
                            </w:r>
                            <w:r>
                              <w:rPr>
                                <w:rFonts w:ascii="微软雅黑" w:eastAsia="微软雅黑"/>
                                <w:b/>
                                <w:color w:val="000000"/>
                                <w:kern w:val="24"/>
                                <w:sz w:val="16"/>
                                <w:szCs w:val="16"/>
                              </w:rPr>
                              <w:t>微展支点</w:t>
                            </w:r>
                          </w:p>
                        </w:txbxContent>
                      </v:textbox>
                    </v:shape>
                  </w:pict>
                </mc:Fallback>
              </mc:AlternateContent>
            </w:r>
            <w:r>
              <w:rPr>
                <w:rFonts w:ascii="Times New Roman"/>
                <w:color w:val="000000"/>
              </w:rPr>
              <mc:AlternateContent>
                <mc:Choice Requires="wps">
                  <w:drawing>
                    <wp:anchor distT="0" distB="0" distL="114300" distR="114300" simplePos="0" relativeHeight="251696128" behindDoc="0" locked="0" layoutInCell="1" allowOverlap="1">
                      <wp:simplePos x="0" y="0"/>
                      <wp:positionH relativeFrom="column">
                        <wp:posOffset>1295400</wp:posOffset>
                      </wp:positionH>
                      <wp:positionV relativeFrom="paragraph">
                        <wp:posOffset>4123690</wp:posOffset>
                      </wp:positionV>
                      <wp:extent cx="694055" cy="28765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94055" cy="201295"/>
                              </a:xfrm>
                              <a:prstGeom prst="rect">
                                <a:avLst/>
                              </a:prstGeom>
                              <a:noFill/>
                              <a:ln w="9525">
                                <a:noFill/>
                              </a:ln>
                              <a:effectLst/>
                            </wps:spPr>
                            <wps:txbx>
                              <w:txbxContent>
                                <w:p>
                                  <w:pPr>
                                    <w:jc w:val="left"/>
                                    <w:textAlignment w:val="baseline"/>
                                    <w:rPr>
                                      <w:rFonts w:ascii="Times New Roman"/>
                                      <w:color w:val="000000"/>
                                      <w:sz w:val="36"/>
                                    </w:rPr>
                                  </w:pPr>
                                  <w:r>
                                    <w:rPr>
                                      <w:rFonts w:hint="eastAsia" w:ascii="宋体"/>
                                      <w:b/>
                                      <w:color w:val="000000"/>
                                      <w:kern w:val="24"/>
                                      <w:sz w:val="12"/>
                                      <w:szCs w:val="12"/>
                                    </w:rPr>
                                    <w:t>峨边</w:t>
                                  </w:r>
                                  <w:r>
                                    <w:rPr>
                                      <w:rFonts w:ascii="宋体"/>
                                      <w:b/>
                                      <w:color w:val="000000"/>
                                      <w:kern w:val="24"/>
                                      <w:sz w:val="12"/>
                                      <w:szCs w:val="12"/>
                                    </w:rPr>
                                    <w:t>彝族自治县</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102pt;margin-top:324.7pt;height:22.65pt;width:54.65pt;z-index:251696128;mso-width-relative:page;mso-height-relative:page;" filled="f" stroked="f" coordsize="21600,21600" o:gfxdata="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l5gCtoAAAALAQAADwAAAAAAAAABACAAAAAiAAAAZHJzL2Rvd25yZXYueG1sUEsBAhQAFAAAAAgA&#10;h07iQGUmiPTqAQAAywMAAA4AAAAAAAAAAQAgAAAAKQEAAGRycy9lMm9Eb2MueG1sUEsFBgAAAAAG&#10;AAYAWQEAAIUFAAAAAA==&#10;">
                      <v:path/>
                      <v:fill on="f" focussize="0,0"/>
                      <v:stroke on="f"/>
                      <v:imagedata o:title=""/>
                      <o:lock v:ext="edit" aspectratio="f"/>
                      <v:textbox inset="0mm,0mm,0mm,0mm">
                        <w:txbxContent>
                          <w:p>
                            <w:pPr>
                              <w:jc w:val="left"/>
                              <w:textAlignment w:val="baseline"/>
                              <w:rPr>
                                <w:rFonts w:ascii="Times New Roman"/>
                                <w:color w:val="000000"/>
                                <w:sz w:val="36"/>
                              </w:rPr>
                            </w:pPr>
                            <w:r>
                              <w:rPr>
                                <w:rFonts w:hint="eastAsia" w:ascii="宋体"/>
                                <w:b/>
                                <w:color w:val="000000"/>
                                <w:kern w:val="24"/>
                                <w:sz w:val="12"/>
                                <w:szCs w:val="12"/>
                              </w:rPr>
                              <w:t>峨边</w:t>
                            </w:r>
                            <w:r>
                              <w:rPr>
                                <w:rFonts w:ascii="宋体"/>
                                <w:b/>
                                <w:color w:val="000000"/>
                                <w:kern w:val="24"/>
                                <w:sz w:val="12"/>
                                <w:szCs w:val="12"/>
                              </w:rPr>
                              <w:t>彝族自治县</w:t>
                            </w:r>
                          </w:p>
                        </w:txbxContent>
                      </v:textbox>
                    </v:shape>
                  </w:pict>
                </mc:Fallback>
              </mc:AlternateContent>
            </w:r>
            <w:r>
              <w:rPr>
                <w:rFonts w:ascii="Times New Roman"/>
                <w:color w:val="000000"/>
              </w:rPr>
              <mc:AlternateContent>
                <mc:Choice Requires="wps">
                  <w:drawing>
                    <wp:anchor distT="0" distB="0" distL="114300" distR="114300" simplePos="0" relativeHeight="251687936" behindDoc="0" locked="0" layoutInCell="1" allowOverlap="1">
                      <wp:simplePos x="0" y="0"/>
                      <wp:positionH relativeFrom="column">
                        <wp:posOffset>1029970</wp:posOffset>
                      </wp:positionH>
                      <wp:positionV relativeFrom="paragraph">
                        <wp:posOffset>2916555</wp:posOffset>
                      </wp:positionV>
                      <wp:extent cx="456565" cy="2286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465455" cy="265430"/>
                              </a:xfrm>
                              <a:prstGeom prst="rect">
                                <a:avLst/>
                              </a:prstGeom>
                              <a:noFill/>
                              <a:ln w="9525">
                                <a:noFill/>
                              </a:ln>
                              <a:effectLst/>
                            </wps:spPr>
                            <wps:txbx>
                              <w:txbxContent>
                                <w:p>
                                  <w:pPr>
                                    <w:jc w:val="left"/>
                                    <w:textAlignment w:val="baseline"/>
                                    <w:rPr>
                                      <w:rFonts w:ascii="Times New Roman"/>
                                      <w:color w:val="000000"/>
                                      <w:sz w:val="36"/>
                                    </w:rPr>
                                  </w:pPr>
                                  <w:r>
                                    <w:rPr>
                                      <w:rFonts w:ascii="宋体"/>
                                      <w:b/>
                                      <w:color w:val="000000"/>
                                      <w:kern w:val="24"/>
                                      <w:sz w:val="12"/>
                                      <w:szCs w:val="12"/>
                                    </w:rPr>
                                    <w:t>金口河区</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81.1pt;margin-top:229.65pt;height:18pt;width:35.95pt;z-index:251687936;mso-width-relative:page;mso-height-relative:page;" filled="f" stroked="f" coordsize="21600,21600" o:gfxdata="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ArnkTZAAAACwEAAA8AAAAAAAAAAQAgAAAAIgAAAGRycy9kb3ducmV2LnhtbFBLAQIUABQAAAAI&#10;AIdO4kBdfB/t7AEAAM0DAAAOAAAAAAAAAAEAIAAAACgBAABkcnMvZTJvRG9jLnhtbFBLBQYAAAAA&#10;BgAGAFkBAACGBQAAAAA=&#10;">
                      <v:path/>
                      <v:fill on="f" focussize="0,0"/>
                      <v:stroke on="f"/>
                      <v:imagedata o:title=""/>
                      <o:lock v:ext="edit" aspectratio="f"/>
                      <v:textbox inset="0mm,0mm,0mm,0mm">
                        <w:txbxContent>
                          <w:p>
                            <w:pPr>
                              <w:jc w:val="left"/>
                              <w:textAlignment w:val="baseline"/>
                              <w:rPr>
                                <w:rFonts w:ascii="Times New Roman"/>
                                <w:color w:val="000000"/>
                                <w:sz w:val="36"/>
                              </w:rPr>
                            </w:pPr>
                            <w:r>
                              <w:rPr>
                                <w:rFonts w:ascii="宋体"/>
                                <w:b/>
                                <w:color w:val="000000"/>
                                <w:kern w:val="24"/>
                                <w:sz w:val="12"/>
                                <w:szCs w:val="12"/>
                              </w:rPr>
                              <w:t>金口河区</w:t>
                            </w:r>
                          </w:p>
                        </w:txbxContent>
                      </v:textbox>
                    </v:shape>
                  </w:pict>
                </mc:Fallback>
              </mc:AlternateContent>
            </w:r>
            <w:r>
              <w:rPr>
                <w:rFonts w:ascii="Times New Roman"/>
                <w:color w:val="000000"/>
              </w:rPr>
              <mc:AlternateContent>
                <mc:Choice Requires="wps">
                  <w:drawing>
                    <wp:anchor distT="0" distB="0" distL="114300" distR="114300" simplePos="0" relativeHeight="251681792" behindDoc="0" locked="0" layoutInCell="1" allowOverlap="1">
                      <wp:simplePos x="0" y="0"/>
                      <wp:positionH relativeFrom="column">
                        <wp:posOffset>2452370</wp:posOffset>
                      </wp:positionH>
                      <wp:positionV relativeFrom="paragraph">
                        <wp:posOffset>1596390</wp:posOffset>
                      </wp:positionV>
                      <wp:extent cx="1260475" cy="50609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260475" cy="506095"/>
                              </a:xfrm>
                              <a:prstGeom prst="rect">
                                <a:avLst/>
                              </a:prstGeom>
                              <a:noFill/>
                              <a:ln w="19050">
                                <a:noFill/>
                              </a:ln>
                              <a:effectLst/>
                            </wps:spPr>
                            <wps:txbx>
                              <w:txbxContent>
                                <w:p>
                                  <w:pPr>
                                    <w:widowControl/>
                                    <w:spacing w:before="100" w:beforeAutospacing="1" w:after="100" w:afterAutospacing="1"/>
                                    <w:jc w:val="left"/>
                                    <w:textAlignment w:val="top"/>
                                    <w:rPr>
                                      <w:rFonts w:ascii="宋体" w:hAnsi="宋体" w:cs="宋体"/>
                                      <w:color w:val="000000"/>
                                      <w:kern w:val="0"/>
                                      <w:sz w:val="24"/>
                                      <w:highlight w:val="lightGray"/>
                                    </w:rPr>
                                  </w:pPr>
                                  <w:r>
                                    <w:rPr>
                                      <w:rFonts w:ascii="宋体" w:hAnsi="宋体" w:cs="宋体"/>
                                      <w:b/>
                                      <w:color w:val="000000"/>
                                      <w:kern w:val="24"/>
                                      <w:sz w:val="18"/>
                                      <w:szCs w:val="18"/>
                                      <w:highlight w:val="lightGray"/>
                                    </w:rPr>
                                    <w:t>会展经济发展带</w:t>
                                  </w:r>
                                </w:p>
                              </w:txbxContent>
                            </wps:txbx>
                            <wps:bodyPr vert="horz" wrap="square" lIns="0" tIns="0" rIns="0" bIns="0" anchor="ctr" anchorCtr="0" upright="1"/>
                          </wps:wsp>
                        </a:graphicData>
                      </a:graphic>
                    </wp:anchor>
                  </w:drawing>
                </mc:Choice>
                <mc:Fallback>
                  <w:pict>
                    <v:shape id="_x0000_s1026" o:spid="_x0000_s1026" o:spt="202" type="#_x0000_t202" style="position:absolute;left:0pt;margin-left:193.1pt;margin-top:125.7pt;height:39.85pt;width:99.25pt;z-index:251681792;v-text-anchor:middle;mso-width-relative:page;mso-height-relative:page;" filled="f" stroked="f" coordsize="21600,21600" o:gfxdata="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Rlv&#10;sdoAAAALAQAADwAAAAAAAAABACAAAAAiAAAAZHJzL2Rvd25yZXYueG1sUEsBAhQAFAAAAAgAh07i&#10;QEP8XS7nAQAAwQMAAA4AAAAAAAAAAQAgAAAAKQEAAGRycy9lMm9Eb2MueG1sUEsFBgAAAAAGAAYA&#10;WQEAAIIFAAAAAA==&#10;">
                      <v:path/>
                      <v:fill on="f" focussize="0,0"/>
                      <v:stroke on="f" weight="1.5pt"/>
                      <v:imagedata o:title=""/>
                      <o:lock v:ext="edit" aspectratio="f"/>
                      <v:textbox inset="0mm,0mm,0mm,0mm">
                        <w:txbxContent>
                          <w:p>
                            <w:pPr>
                              <w:widowControl/>
                              <w:spacing w:before="100" w:beforeAutospacing="1" w:after="100" w:afterAutospacing="1"/>
                              <w:jc w:val="left"/>
                              <w:textAlignment w:val="top"/>
                              <w:rPr>
                                <w:rFonts w:ascii="宋体" w:hAnsi="宋体" w:cs="宋体"/>
                                <w:color w:val="000000"/>
                                <w:kern w:val="0"/>
                                <w:sz w:val="24"/>
                                <w:highlight w:val="lightGray"/>
                              </w:rPr>
                            </w:pPr>
                            <w:r>
                              <w:rPr>
                                <w:rFonts w:ascii="宋体" w:hAnsi="宋体" w:cs="宋体"/>
                                <w:b/>
                                <w:color w:val="000000"/>
                                <w:kern w:val="24"/>
                                <w:sz w:val="18"/>
                                <w:szCs w:val="18"/>
                                <w:highlight w:val="lightGray"/>
                              </w:rPr>
                              <w:t>会展经济发展带</w:t>
                            </w:r>
                          </w:p>
                        </w:txbxContent>
                      </v:textbox>
                    </v:shape>
                  </w:pict>
                </mc:Fallback>
              </mc:AlternateContent>
            </w:r>
            <w:r>
              <w:rPr>
                <w:rFonts w:ascii="Times New Roman"/>
                <w:color w:val="000000"/>
              </w:rPr>
              <mc:AlternateContent>
                <mc:Choice Requires="wps">
                  <w:drawing>
                    <wp:anchor distT="0" distB="0" distL="114300" distR="114300" simplePos="0" relativeHeight="251685888" behindDoc="0" locked="0" layoutInCell="1" allowOverlap="1">
                      <wp:simplePos x="0" y="0"/>
                      <wp:positionH relativeFrom="column">
                        <wp:posOffset>3576320</wp:posOffset>
                      </wp:positionH>
                      <wp:positionV relativeFrom="paragraph">
                        <wp:posOffset>2879090</wp:posOffset>
                      </wp:positionV>
                      <wp:extent cx="462915" cy="212725"/>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462915" cy="212783"/>
                              </a:xfrm>
                              <a:prstGeom prst="rect">
                                <a:avLst/>
                              </a:prstGeom>
                              <a:noFill/>
                              <a:ln w="9525">
                                <a:noFill/>
                              </a:ln>
                              <a:effectLst/>
                            </wps:spPr>
                            <wps:txbx>
                              <w:txbxContent>
                                <w:p>
                                  <w:pPr>
                                    <w:jc w:val="center"/>
                                    <w:textAlignment w:val="baseline"/>
                                    <w:rPr>
                                      <w:rFonts w:ascii="Times New Roman"/>
                                      <w:color w:val="000000"/>
                                      <w:sz w:val="36"/>
                                    </w:rPr>
                                  </w:pPr>
                                  <w:r>
                                    <w:rPr>
                                      <w:rFonts w:hint="eastAsia" w:ascii="宋体"/>
                                      <w:b/>
                                      <w:color w:val="000000"/>
                                      <w:kern w:val="24"/>
                                      <w:sz w:val="12"/>
                                      <w:szCs w:val="12"/>
                                    </w:rPr>
                                    <w:t>犍</w:t>
                                  </w:r>
                                  <w:r>
                                    <w:rPr>
                                      <w:rFonts w:ascii="宋体"/>
                                      <w:b/>
                                      <w:color w:val="000000"/>
                                      <w:kern w:val="24"/>
                                      <w:sz w:val="12"/>
                                      <w:szCs w:val="12"/>
                                    </w:rPr>
                                    <w:t>为县</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281.6pt;margin-top:226.7pt;height:16.75pt;width:36.45pt;z-index:251685888;mso-width-relative:page;mso-height-relative:page;" filled="f" stroked="f" coordsize="21600,21600" o:gfxdata="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jzRjtsAAAALAQAADwAAAAAAAAABACAAAAAiAAAAZHJzL2Rvd25yZXYueG1sUEsBAhQAFAAA&#10;AAgAh07iQPjLkFrsAQAAzQMAAA4AAAAAAAAAAQAgAAAAKgEAAGRycy9lMm9Eb2MueG1sUEsFBgAA&#10;AAAGAAYAWQEAAIgFAAAAAA==&#10;">
                      <v:path/>
                      <v:fill on="f" focussize="0,0"/>
                      <v:stroke on="f"/>
                      <v:imagedata o:title=""/>
                      <o:lock v:ext="edit" aspectratio="f"/>
                      <v:textbox inset="0mm,0mm,0mm,0mm">
                        <w:txbxContent>
                          <w:p>
                            <w:pPr>
                              <w:jc w:val="center"/>
                              <w:textAlignment w:val="baseline"/>
                              <w:rPr>
                                <w:rFonts w:ascii="Times New Roman"/>
                                <w:color w:val="000000"/>
                                <w:sz w:val="36"/>
                              </w:rPr>
                            </w:pPr>
                            <w:r>
                              <w:rPr>
                                <w:rFonts w:hint="eastAsia" w:ascii="宋体"/>
                                <w:b/>
                                <w:color w:val="000000"/>
                                <w:kern w:val="24"/>
                                <w:sz w:val="12"/>
                                <w:szCs w:val="12"/>
                              </w:rPr>
                              <w:t>犍</w:t>
                            </w:r>
                            <w:r>
                              <w:rPr>
                                <w:rFonts w:ascii="宋体"/>
                                <w:b/>
                                <w:color w:val="000000"/>
                                <w:kern w:val="24"/>
                                <w:sz w:val="12"/>
                                <w:szCs w:val="12"/>
                              </w:rPr>
                              <w:t>为县</w:t>
                            </w:r>
                          </w:p>
                        </w:txbxContent>
                      </v:textbox>
                    </v:shape>
                  </w:pict>
                </mc:Fallback>
              </mc:AlternateContent>
            </w:r>
            <w:r>
              <w:rPr>
                <w:rFonts w:ascii="Times New Roman"/>
                <w:color w:val="000000"/>
              </w:rPr>
              <mc:AlternateContent>
                <mc:Choice Requires="wps">
                  <w:drawing>
                    <wp:anchor distT="0" distB="0" distL="114300" distR="114300" simplePos="0" relativeHeight="251697152" behindDoc="0" locked="0" layoutInCell="1" allowOverlap="1">
                      <wp:simplePos x="0" y="0"/>
                      <wp:positionH relativeFrom="column">
                        <wp:posOffset>3402965</wp:posOffset>
                      </wp:positionH>
                      <wp:positionV relativeFrom="paragraph">
                        <wp:posOffset>2120900</wp:posOffset>
                      </wp:positionV>
                      <wp:extent cx="463550" cy="1905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63550" cy="190500"/>
                              </a:xfrm>
                              <a:prstGeom prst="rect">
                                <a:avLst/>
                              </a:prstGeom>
                              <a:noFill/>
                              <a:ln w="9525">
                                <a:noFill/>
                              </a:ln>
                              <a:effectLst/>
                            </wps:spPr>
                            <wps:txbx>
                              <w:txbxContent>
                                <w:p>
                                  <w:pPr>
                                    <w:jc w:val="left"/>
                                    <w:textAlignment w:val="baseline"/>
                                    <w:rPr>
                                      <w:rFonts w:ascii="Times New Roman"/>
                                      <w:color w:val="000000"/>
                                      <w:sz w:val="36"/>
                                    </w:rPr>
                                  </w:pPr>
                                  <w:r>
                                    <w:rPr>
                                      <w:rFonts w:hint="eastAsia" w:ascii="宋体"/>
                                      <w:b/>
                                      <w:color w:val="000000"/>
                                      <w:kern w:val="24"/>
                                      <w:sz w:val="12"/>
                                      <w:szCs w:val="12"/>
                                    </w:rPr>
                                    <w:t>高新</w:t>
                                  </w:r>
                                  <w:r>
                                    <w:rPr>
                                      <w:rFonts w:ascii="宋体"/>
                                      <w:b/>
                                      <w:color w:val="000000"/>
                                      <w:kern w:val="24"/>
                                      <w:sz w:val="12"/>
                                      <w:szCs w:val="12"/>
                                    </w:rPr>
                                    <w:t>区</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267.95pt;margin-top:167pt;height:15pt;width:36.5pt;z-index:251697152;mso-width-relative:page;mso-height-relative:page;" filled="f" stroked="f" coordsize="21600,21600" o:gfxdata="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9EbQvZAAAACwEAAA8AAAAAAAAAAQAgAAAAIgAAAGRycy9kb3ducmV2LnhtbFBLAQIUABQAAAAI&#10;AIdO4kDNonEf7AEAAMsDAAAOAAAAAAAAAAEAIAAAACgBAABkcnMvZTJvRG9jLnhtbFBLBQYAAAAA&#10;BgAGAFkBAACGBQAAAAA=&#10;">
                      <v:path/>
                      <v:fill on="f" focussize="0,0"/>
                      <v:stroke on="f"/>
                      <v:imagedata o:title=""/>
                      <o:lock v:ext="edit" aspectratio="f"/>
                      <v:textbox inset="0mm,0mm,0mm,0mm">
                        <w:txbxContent>
                          <w:p>
                            <w:pPr>
                              <w:jc w:val="left"/>
                              <w:textAlignment w:val="baseline"/>
                              <w:rPr>
                                <w:rFonts w:ascii="Times New Roman"/>
                                <w:color w:val="000000"/>
                                <w:sz w:val="36"/>
                              </w:rPr>
                            </w:pPr>
                            <w:r>
                              <w:rPr>
                                <w:rFonts w:hint="eastAsia" w:ascii="宋体"/>
                                <w:b/>
                                <w:color w:val="000000"/>
                                <w:kern w:val="24"/>
                                <w:sz w:val="12"/>
                                <w:szCs w:val="12"/>
                              </w:rPr>
                              <w:t>高新</w:t>
                            </w:r>
                            <w:r>
                              <w:rPr>
                                <w:rFonts w:ascii="宋体"/>
                                <w:b/>
                                <w:color w:val="000000"/>
                                <w:kern w:val="24"/>
                                <w:sz w:val="12"/>
                                <w:szCs w:val="12"/>
                              </w:rPr>
                              <w:t>区</w:t>
                            </w:r>
                          </w:p>
                        </w:txbxContent>
                      </v:textbox>
                    </v:shape>
                  </w:pict>
                </mc:Fallback>
              </mc:AlternateContent>
            </w:r>
            <w:r>
              <w:rPr>
                <w:rFonts w:ascii="Times New Roman"/>
                <w:color w:val="000000"/>
              </w:rPr>
              <mc:AlternateContent>
                <mc:Choice Requires="wps">
                  <w:drawing>
                    <wp:anchor distT="0" distB="0" distL="114300" distR="114300" simplePos="0" relativeHeight="251682816" behindDoc="0" locked="0" layoutInCell="1" allowOverlap="1">
                      <wp:simplePos x="0" y="0"/>
                      <wp:positionH relativeFrom="column">
                        <wp:posOffset>3564890</wp:posOffset>
                      </wp:positionH>
                      <wp:positionV relativeFrom="paragraph">
                        <wp:posOffset>1349375</wp:posOffset>
                      </wp:positionV>
                      <wp:extent cx="463550" cy="1905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463550" cy="190500"/>
                              </a:xfrm>
                              <a:prstGeom prst="rect">
                                <a:avLst/>
                              </a:prstGeom>
                              <a:noFill/>
                              <a:ln w="9525">
                                <a:noFill/>
                              </a:ln>
                              <a:effectLst/>
                            </wps:spPr>
                            <wps:txbx>
                              <w:txbxContent>
                                <w:p>
                                  <w:pPr>
                                    <w:jc w:val="left"/>
                                    <w:textAlignment w:val="baseline"/>
                                    <w:rPr>
                                      <w:rFonts w:ascii="Times New Roman"/>
                                      <w:color w:val="000000"/>
                                      <w:sz w:val="36"/>
                                    </w:rPr>
                                  </w:pPr>
                                  <w:r>
                                    <w:rPr>
                                      <w:rFonts w:ascii="宋体"/>
                                      <w:b/>
                                      <w:color w:val="000000"/>
                                      <w:kern w:val="24"/>
                                      <w:sz w:val="12"/>
                                      <w:szCs w:val="12"/>
                                    </w:rPr>
                                    <w:t>市中区</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280.7pt;margin-top:106.25pt;height:15pt;width:36.5pt;z-index:251682816;mso-width-relative:page;mso-height-relative:page;" filled="f" stroked="f" coordsize="21600,21600" o:gfxdata="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wQAU2AAAAAsBAAAPAAAAAAAAAAEAIAAAACIAAABkcnMvZG93bnJldi54bWxQSwECFAAUAAAACACH&#10;TuJAecJINOsBAADLAwAADgAAAAAAAAABACAAAAAnAQAAZHJzL2Uyb0RvYy54bWxQSwUGAAAAAAYA&#10;BgBZAQAAhAUAAAAA&#10;">
                      <v:path/>
                      <v:fill on="f" focussize="0,0"/>
                      <v:stroke on="f"/>
                      <v:imagedata o:title=""/>
                      <o:lock v:ext="edit" aspectratio="f"/>
                      <v:textbox inset="0mm,0mm,0mm,0mm">
                        <w:txbxContent>
                          <w:p>
                            <w:pPr>
                              <w:jc w:val="left"/>
                              <w:textAlignment w:val="baseline"/>
                              <w:rPr>
                                <w:rFonts w:ascii="Times New Roman"/>
                                <w:color w:val="000000"/>
                                <w:sz w:val="36"/>
                              </w:rPr>
                            </w:pPr>
                            <w:r>
                              <w:rPr>
                                <w:rFonts w:ascii="宋体"/>
                                <w:b/>
                                <w:color w:val="000000"/>
                                <w:kern w:val="24"/>
                                <w:sz w:val="12"/>
                                <w:szCs w:val="12"/>
                              </w:rPr>
                              <w:t>市中区</w:t>
                            </w:r>
                          </w:p>
                        </w:txbxContent>
                      </v:textbox>
                    </v:shape>
                  </w:pict>
                </mc:Fallback>
              </mc:AlternateContent>
            </w:r>
            <w:r>
              <w:rPr>
                <w:rFonts w:ascii="Times New Roman"/>
                <w:color w:val="000000"/>
              </w:rPr>
              <mc:AlternateContent>
                <mc:Choice Requires="wps">
                  <w:drawing>
                    <wp:anchor distT="0" distB="0" distL="114300" distR="114300" simplePos="0" relativeHeight="251683840" behindDoc="0" locked="0" layoutInCell="1" allowOverlap="1">
                      <wp:simplePos x="0" y="0"/>
                      <wp:positionH relativeFrom="column">
                        <wp:posOffset>2416810</wp:posOffset>
                      </wp:positionH>
                      <wp:positionV relativeFrom="paragraph">
                        <wp:posOffset>821055</wp:posOffset>
                      </wp:positionV>
                      <wp:extent cx="290830" cy="19875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290513" cy="198522"/>
                              </a:xfrm>
                              <a:prstGeom prst="rect">
                                <a:avLst/>
                              </a:prstGeom>
                              <a:noFill/>
                              <a:ln w="9525">
                                <a:noFill/>
                              </a:ln>
                              <a:effectLst/>
                            </wps:spPr>
                            <wps:txbx>
                              <w:txbxContent>
                                <w:p>
                                  <w:pPr>
                                    <w:numPr>
                                      <w:ilvl w:val="0"/>
                                      <w:numId w:val="1"/>
                                    </w:numPr>
                                    <w:jc w:val="left"/>
                                    <w:textAlignment w:val="baseline"/>
                                    <w:rPr>
                                      <w:rFonts w:ascii="Times New Roman"/>
                                      <w:color w:val="000000"/>
                                      <w:sz w:val="36"/>
                                    </w:rPr>
                                  </w:pPr>
                                  <w:r>
                                    <w:rPr>
                                      <w:rFonts w:ascii="宋体"/>
                                      <w:b/>
                                      <w:color w:val="000000"/>
                                      <w:kern w:val="24"/>
                                      <w:sz w:val="12"/>
                                      <w:szCs w:val="12"/>
                                    </w:rPr>
                                    <w:t>夹江县</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190.3pt;margin-top:64.65pt;height:15.65pt;width:22.9pt;z-index:251683840;mso-width-relative:page;mso-height-relative:page;" filled="f" stroked="f" coordsize="21600,21600" o:gfxdata="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1qSNkAAAALAQAADwAAAAAAAAABACAAAAAiAAAAZHJzL2Rvd25yZXYueG1sUEsBAhQAFAAAAAgA&#10;h07iQNsLEhbrAQAAywMAAA4AAAAAAAAAAQAgAAAAKAEAAGRycy9lMm9Eb2MueG1sUEsFBgAAAAAG&#10;AAYAWQEAAIUFAAAAAA==&#10;">
                      <v:path/>
                      <v:fill on="f" focussize="0,0"/>
                      <v:stroke on="f"/>
                      <v:imagedata o:title=""/>
                      <o:lock v:ext="edit" aspectratio="f"/>
                      <v:textbox inset="0mm,0mm,0mm,0mm">
                        <w:txbxContent>
                          <w:p>
                            <w:pPr>
                              <w:numPr>
                                <w:ilvl w:val="0"/>
                                <w:numId w:val="1"/>
                              </w:numPr>
                              <w:jc w:val="left"/>
                              <w:textAlignment w:val="baseline"/>
                              <w:rPr>
                                <w:rFonts w:ascii="Times New Roman"/>
                                <w:color w:val="000000"/>
                                <w:sz w:val="36"/>
                              </w:rPr>
                            </w:pPr>
                            <w:r>
                              <w:rPr>
                                <w:rFonts w:ascii="宋体"/>
                                <w:b/>
                                <w:color w:val="000000"/>
                                <w:kern w:val="24"/>
                                <w:sz w:val="12"/>
                                <w:szCs w:val="12"/>
                              </w:rPr>
                              <w:t>夹江县</w:t>
                            </w:r>
                          </w:p>
                        </w:txbxContent>
                      </v:textbox>
                    </v:shape>
                  </w:pict>
                </mc:Fallback>
              </mc:AlternateContent>
            </w:r>
            <w:r>
              <w:rPr>
                <w:rFonts w:ascii="Times New Roman"/>
                <w:color w:val="000000"/>
              </w:rPr>
              <mc:AlternateContent>
                <mc:Choice Requires="wps">
                  <w:drawing>
                    <wp:anchor distT="0" distB="0" distL="114300" distR="114300" simplePos="0" relativeHeight="251684864" behindDoc="0" locked="0" layoutInCell="1" allowOverlap="1">
                      <wp:simplePos x="0" y="0"/>
                      <wp:positionH relativeFrom="column">
                        <wp:posOffset>4280535</wp:posOffset>
                      </wp:positionH>
                      <wp:positionV relativeFrom="paragraph">
                        <wp:posOffset>798195</wp:posOffset>
                      </wp:positionV>
                      <wp:extent cx="300990" cy="15875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300990" cy="158800"/>
                              </a:xfrm>
                              <a:prstGeom prst="rect">
                                <a:avLst/>
                              </a:prstGeom>
                              <a:noFill/>
                              <a:ln w="9525">
                                <a:noFill/>
                              </a:ln>
                              <a:effectLst/>
                            </wps:spPr>
                            <wps:txbx>
                              <w:txbxContent>
                                <w:p>
                                  <w:pPr>
                                    <w:numPr>
                                      <w:ilvl w:val="0"/>
                                      <w:numId w:val="2"/>
                                    </w:numPr>
                                    <w:jc w:val="left"/>
                                    <w:textAlignment w:val="baseline"/>
                                    <w:rPr>
                                      <w:rFonts w:ascii="Times New Roman"/>
                                      <w:color w:val="000000"/>
                                      <w:sz w:val="36"/>
                                    </w:rPr>
                                  </w:pPr>
                                  <w:r>
                                    <w:rPr>
                                      <w:rFonts w:ascii="宋体"/>
                                      <w:b/>
                                      <w:color w:val="000000"/>
                                      <w:kern w:val="24"/>
                                      <w:sz w:val="12"/>
                                      <w:szCs w:val="12"/>
                                    </w:rPr>
                                    <w:t>井研县</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337.05pt;margin-top:62.85pt;height:12.5pt;width:23.7pt;z-index:251684864;mso-width-relative:page;mso-height-relative:page;" filled="f" stroked="f" coordsize="21600,21600" o:gfxdata="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4zcF2QAAAAsBAAAPAAAAAAAAAAEAIAAAACIAAABkcnMvZG93bnJldi54bWxQSwECFAAUAAAACACH&#10;TuJAi1ESNeoBAADLAwAADgAAAAAAAAABACAAAAAoAQAAZHJzL2Uyb0RvYy54bWxQSwUGAAAAAAYA&#10;BgBZAQAAhAUAAAAA&#10;">
                      <v:path/>
                      <v:fill on="f" focussize="0,0"/>
                      <v:stroke on="f"/>
                      <v:imagedata o:title=""/>
                      <o:lock v:ext="edit" aspectratio="f"/>
                      <v:textbox inset="0mm,0mm,0mm,0mm">
                        <w:txbxContent>
                          <w:p>
                            <w:pPr>
                              <w:numPr>
                                <w:ilvl w:val="0"/>
                                <w:numId w:val="2"/>
                              </w:numPr>
                              <w:jc w:val="left"/>
                              <w:textAlignment w:val="baseline"/>
                              <w:rPr>
                                <w:rFonts w:ascii="Times New Roman"/>
                                <w:color w:val="000000"/>
                                <w:sz w:val="36"/>
                              </w:rPr>
                            </w:pPr>
                            <w:r>
                              <w:rPr>
                                <w:rFonts w:ascii="宋体"/>
                                <w:b/>
                                <w:color w:val="000000"/>
                                <w:kern w:val="24"/>
                                <w:sz w:val="12"/>
                                <w:szCs w:val="12"/>
                              </w:rPr>
                              <w:t>井研县</w:t>
                            </w:r>
                          </w:p>
                        </w:txbxContent>
                      </v:textbox>
                    </v:shape>
                  </w:pict>
                </mc:Fallback>
              </mc:AlternateContent>
            </w:r>
            <w:r>
              <w:rPr>
                <w:rFonts w:ascii="Times New Roman"/>
                <w:color w:val="000000"/>
              </w:rPr>
              <w:drawing>
                <wp:anchor distT="0" distB="0" distL="114300" distR="114300" simplePos="0" relativeHeight="251677696" behindDoc="1" locked="0" layoutInCell="1" allowOverlap="1">
                  <wp:simplePos x="0" y="0"/>
                  <wp:positionH relativeFrom="column">
                    <wp:posOffset>873760</wp:posOffset>
                  </wp:positionH>
                  <wp:positionV relativeFrom="paragraph">
                    <wp:posOffset>1017270</wp:posOffset>
                  </wp:positionV>
                  <wp:extent cx="3953510" cy="1737995"/>
                  <wp:effectExtent l="0" t="0" r="0" b="0"/>
                  <wp:wrapSquare wrapText="bothSides"/>
                  <wp:docPr id="1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2"/>
                          <pic:cNvPicPr>
                            <a:picLocks noChangeAspect="1"/>
                          </pic:cNvPicPr>
                        </pic:nvPicPr>
                        <pic:blipFill>
                          <a:blip r:embed="rId16"/>
                          <a:stretch>
                            <a:fillRect/>
                          </a:stretch>
                        </pic:blipFill>
                        <pic:spPr>
                          <a:xfrm>
                            <a:off x="0" y="0"/>
                            <a:ext cx="3953510" cy="1737995"/>
                          </a:xfrm>
                          <a:prstGeom prst="rect">
                            <a:avLst/>
                          </a:prstGeom>
                          <a:noFill/>
                          <a:ln>
                            <a:noFill/>
                          </a:ln>
                        </pic:spPr>
                      </pic:pic>
                    </a:graphicData>
                  </a:graphic>
                </wp:anchor>
              </w:drawing>
            </w:r>
            <w:r>
              <w:rPr>
                <w:rFonts w:ascii="Times New Roman"/>
                <w:color w:val="000000"/>
              </w:rPr>
              <mc:AlternateContent>
                <mc:Choice Requires="wps">
                  <w:drawing>
                    <wp:anchor distT="0" distB="0" distL="114300" distR="114300" simplePos="0" relativeHeight="251695104" behindDoc="0" locked="0" layoutInCell="1" allowOverlap="1">
                      <wp:simplePos x="0" y="0"/>
                      <wp:positionH relativeFrom="column">
                        <wp:posOffset>3327400</wp:posOffset>
                      </wp:positionH>
                      <wp:positionV relativeFrom="paragraph">
                        <wp:posOffset>1954530</wp:posOffset>
                      </wp:positionV>
                      <wp:extent cx="1693545" cy="3556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693545" cy="355781"/>
                              </a:xfrm>
                              <a:prstGeom prst="rect">
                                <a:avLst/>
                              </a:prstGeom>
                              <a:noFill/>
                              <a:ln>
                                <a:noFill/>
                              </a:ln>
                              <a:effectLst/>
                            </wps:spPr>
                            <wps:txbx>
                              <w:txbxContent>
                                <w:p>
                                  <w:pPr>
                                    <w:jc w:val="center"/>
                                    <w:textAlignment w:val="top"/>
                                    <w:rPr>
                                      <w:rFonts w:ascii="Times New Roman"/>
                                      <w:color w:val="000000"/>
                                      <w:szCs w:val="21"/>
                                    </w:rPr>
                                  </w:pPr>
                                  <w:r>
                                    <w:rPr>
                                      <w:rFonts w:hint="eastAsia" w:ascii="微软雅黑" w:eastAsia="微软雅黑"/>
                                      <w:b/>
                                      <w:color w:val="C00000"/>
                                      <w:kern w:val="24"/>
                                      <w:szCs w:val="21"/>
                                    </w:rPr>
                                    <w:t>及辐射区</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262pt;margin-top:153.9pt;height:28pt;width:133.35pt;z-index:251695104;mso-width-relative:page;mso-height-relative:page;" filled="f" stroked="f" coordsize="21600,21600" o:gfxdata="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19TMbtoAAAALAQAADwAAAAAAAAABACAAAAAiAAAAZHJzL2Rvd25yZXYueG1sUEsBAhQAFAAAAAgA&#10;h07iQBAol3rqAQAAzgMAAA4AAAAAAAAAAQAgAAAAKQEAAGRycy9lMm9Eb2MueG1sUEsFBgAAAAAG&#10;AAYAWQEAAIUFAAAAAA==&#10;">
                      <v:path/>
                      <v:fill on="f" focussize="0,0"/>
                      <v:stroke on="f"/>
                      <v:imagedata o:title=""/>
                      <o:lock v:ext="edit" aspectratio="f"/>
                      <v:textbox inset="0mm,0mm,0mm,0mm">
                        <w:txbxContent>
                          <w:p>
                            <w:pPr>
                              <w:jc w:val="center"/>
                              <w:textAlignment w:val="top"/>
                              <w:rPr>
                                <w:rFonts w:ascii="Times New Roman"/>
                                <w:color w:val="000000"/>
                                <w:szCs w:val="21"/>
                              </w:rPr>
                            </w:pPr>
                            <w:r>
                              <w:rPr>
                                <w:rFonts w:hint="eastAsia" w:ascii="微软雅黑" w:eastAsia="微软雅黑"/>
                                <w:b/>
                                <w:color w:val="C00000"/>
                                <w:kern w:val="24"/>
                                <w:szCs w:val="21"/>
                              </w:rPr>
                              <w:t>及辐射区</w:t>
                            </w:r>
                          </w:p>
                        </w:txbxContent>
                      </v:textbox>
                    </v:shape>
                  </w:pict>
                </mc:Fallback>
              </mc:AlternateContent>
            </w:r>
            <w:r>
              <w:rPr>
                <w:rFonts w:ascii="Times New Roman"/>
                <w:color w:val="000000"/>
              </w:rPr>
              <mc:AlternateContent>
                <mc:Choice Requires="wps">
                  <w:drawing>
                    <wp:anchor distT="0" distB="0" distL="114300" distR="114300" simplePos="0" relativeHeight="251693056" behindDoc="0" locked="0" layoutInCell="1" allowOverlap="1">
                      <wp:simplePos x="0" y="0"/>
                      <wp:positionH relativeFrom="column">
                        <wp:posOffset>3655060</wp:posOffset>
                      </wp:positionH>
                      <wp:positionV relativeFrom="paragraph">
                        <wp:posOffset>1780540</wp:posOffset>
                      </wp:positionV>
                      <wp:extent cx="1020445" cy="61087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020486" cy="610870"/>
                              </a:xfrm>
                              <a:prstGeom prst="rect">
                                <a:avLst/>
                              </a:prstGeom>
                              <a:noFill/>
                              <a:ln>
                                <a:noFill/>
                              </a:ln>
                              <a:effectLst/>
                            </wps:spPr>
                            <wps:txbx>
                              <w:txbxContent>
                                <w:p>
                                  <w:pPr>
                                    <w:jc w:val="center"/>
                                    <w:textAlignment w:val="top"/>
                                    <w:rPr>
                                      <w:rFonts w:ascii="Times New Roman"/>
                                      <w:color w:val="000000"/>
                                      <w:sz w:val="36"/>
                                    </w:rPr>
                                  </w:pPr>
                                  <w:r>
                                    <w:rPr>
                                      <w:rFonts w:hint="eastAsia" w:ascii="微软雅黑" w:eastAsia="微软雅黑"/>
                                      <w:b/>
                                      <w:color w:val="C00000"/>
                                      <w:kern w:val="24"/>
                                      <w:szCs w:val="21"/>
                                    </w:rPr>
                                    <w:t>乐山国际博览城</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287.8pt;margin-top:140.2pt;height:48.1pt;width:80.35pt;z-index:251693056;mso-width-relative:page;mso-height-relative:page;" filled="f" stroked="f" coordsize="21600,21600" o:gfxdata="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lGfLbAAAACwEAAA8AAAAAAAAAAQAgAAAAIgAAAGRycy9kb3ducmV2LnhtbFBLAQIUABQAAAAI&#10;AIdO4kCIYmmN6gEAANADAAAOAAAAAAAAAAEAIAAAACoBAABkcnMvZTJvRG9jLnhtbFBLBQYAAAAA&#10;BgAGAFkBAACGBQAAAAA=&#10;">
                      <v:path/>
                      <v:fill on="f" focussize="0,0"/>
                      <v:stroke on="f"/>
                      <v:imagedata o:title=""/>
                      <o:lock v:ext="edit" aspectratio="f"/>
                      <v:textbox inset="0mm,0mm,0mm,0mm">
                        <w:txbxContent>
                          <w:p>
                            <w:pPr>
                              <w:jc w:val="center"/>
                              <w:textAlignment w:val="top"/>
                              <w:rPr>
                                <w:rFonts w:ascii="Times New Roman"/>
                                <w:color w:val="000000"/>
                                <w:sz w:val="36"/>
                              </w:rPr>
                            </w:pPr>
                            <w:r>
                              <w:rPr>
                                <w:rFonts w:hint="eastAsia" w:ascii="微软雅黑" w:eastAsia="微软雅黑"/>
                                <w:b/>
                                <w:color w:val="C00000"/>
                                <w:kern w:val="24"/>
                                <w:szCs w:val="21"/>
                              </w:rPr>
                              <w:t>乐山国际博览城</w:t>
                            </w:r>
                          </w:p>
                        </w:txbxContent>
                      </v:textbox>
                    </v:shape>
                  </w:pict>
                </mc:Fallback>
              </mc:AlternateContent>
            </w:r>
            <w:r>
              <w:rPr>
                <w:rFonts w:ascii="Times New Roman"/>
                <w:color w:val="000000"/>
              </w:rPr>
              <mc:AlternateContent>
                <mc:Choice Requires="wps">
                  <w:drawing>
                    <wp:anchor distT="0" distB="0" distL="114300" distR="114300" simplePos="0" relativeHeight="251694080" behindDoc="0" locked="0" layoutInCell="1" allowOverlap="1">
                      <wp:simplePos x="0" y="0"/>
                      <wp:positionH relativeFrom="column">
                        <wp:posOffset>194945</wp:posOffset>
                      </wp:positionH>
                      <wp:positionV relativeFrom="paragraph">
                        <wp:posOffset>1544955</wp:posOffset>
                      </wp:positionV>
                      <wp:extent cx="1693545" cy="3556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93545" cy="355781"/>
                              </a:xfrm>
                              <a:prstGeom prst="rect">
                                <a:avLst/>
                              </a:prstGeom>
                              <a:noFill/>
                              <a:ln>
                                <a:noFill/>
                              </a:ln>
                              <a:effectLst/>
                            </wps:spPr>
                            <wps:txbx>
                              <w:txbxContent>
                                <w:p>
                                  <w:pPr>
                                    <w:jc w:val="center"/>
                                    <w:textAlignment w:val="top"/>
                                    <w:rPr>
                                      <w:rFonts w:ascii="Times New Roman"/>
                                      <w:color w:val="000000"/>
                                      <w:szCs w:val="21"/>
                                    </w:rPr>
                                  </w:pPr>
                                  <w:r>
                                    <w:rPr>
                                      <w:rFonts w:hint="eastAsia" w:ascii="微软雅黑" w:eastAsia="微软雅黑"/>
                                      <w:b/>
                                      <w:color w:val="C00000"/>
                                      <w:kern w:val="24"/>
                                      <w:szCs w:val="21"/>
                                    </w:rPr>
                                    <w:t>及辐射区</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15.35pt;margin-top:121.65pt;height:28pt;width:133.35pt;z-index:251694080;mso-width-relative:page;mso-height-relative:page;" filled="f" stroked="f" coordsize="21600,21600" o:gfxdata="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hfRKNoAAAAKAQAADwAAAAAAAAABACAAAAAiAAAAZHJzL2Rvd25yZXYueG1sUEsBAhQAFAAAAAgA&#10;h07iQGB536zqAQAAzgMAAA4AAAAAAAAAAQAgAAAAKQEAAGRycy9lMm9Eb2MueG1sUEsFBgAAAAAG&#10;AAYAWQEAAIUFAAAAAA==&#10;">
                      <v:path/>
                      <v:fill on="f" focussize="0,0"/>
                      <v:stroke on="f"/>
                      <v:imagedata o:title=""/>
                      <o:lock v:ext="edit" aspectratio="f"/>
                      <v:textbox inset="0mm,0mm,0mm,0mm">
                        <w:txbxContent>
                          <w:p>
                            <w:pPr>
                              <w:jc w:val="center"/>
                              <w:textAlignment w:val="top"/>
                              <w:rPr>
                                <w:rFonts w:ascii="Times New Roman"/>
                                <w:color w:val="000000"/>
                                <w:szCs w:val="21"/>
                              </w:rPr>
                            </w:pPr>
                            <w:r>
                              <w:rPr>
                                <w:rFonts w:hint="eastAsia" w:ascii="微软雅黑" w:eastAsia="微软雅黑"/>
                                <w:b/>
                                <w:color w:val="C00000"/>
                                <w:kern w:val="24"/>
                                <w:szCs w:val="21"/>
                              </w:rPr>
                              <w:t>及辐射区</w:t>
                            </w:r>
                          </w:p>
                        </w:txbxContent>
                      </v:textbox>
                    </v:shape>
                  </w:pict>
                </mc:Fallback>
              </mc:AlternateContent>
            </w:r>
            <w:r>
              <w:rPr>
                <w:rFonts w:ascii="Times New Roman"/>
                <w:color w:val="000000"/>
              </w:rPr>
              <mc:AlternateContent>
                <mc:Choice Requires="wps">
                  <w:drawing>
                    <wp:anchor distT="0" distB="0" distL="114300" distR="114300" simplePos="0" relativeHeight="251663360" behindDoc="0" locked="0" layoutInCell="1" allowOverlap="1">
                      <wp:simplePos x="0" y="0"/>
                      <wp:positionH relativeFrom="column">
                        <wp:posOffset>240665</wp:posOffset>
                      </wp:positionH>
                      <wp:positionV relativeFrom="paragraph">
                        <wp:posOffset>1352550</wp:posOffset>
                      </wp:positionV>
                      <wp:extent cx="1693545" cy="3556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693545" cy="355781"/>
                              </a:xfrm>
                              <a:prstGeom prst="rect">
                                <a:avLst/>
                              </a:prstGeom>
                              <a:noFill/>
                              <a:ln>
                                <a:noFill/>
                              </a:ln>
                              <a:effectLst/>
                            </wps:spPr>
                            <wps:txbx>
                              <w:txbxContent>
                                <w:p>
                                  <w:pPr>
                                    <w:jc w:val="center"/>
                                    <w:textAlignment w:val="top"/>
                                    <w:rPr>
                                      <w:rFonts w:ascii="Times New Roman"/>
                                      <w:color w:val="000000"/>
                                      <w:szCs w:val="21"/>
                                    </w:rPr>
                                  </w:pPr>
                                  <w:r>
                                    <w:rPr>
                                      <w:rFonts w:ascii="微软雅黑" w:eastAsia="微软雅黑"/>
                                      <w:b/>
                                      <w:color w:val="C00000"/>
                                      <w:kern w:val="24"/>
                                      <w:szCs w:val="21"/>
                                    </w:rPr>
                                    <w:t>四川国际旅游</w:t>
                                  </w:r>
                                  <w:r>
                                    <w:rPr>
                                      <w:rFonts w:hint="eastAsia" w:ascii="微软雅黑" w:eastAsia="微软雅黑"/>
                                      <w:b/>
                                      <w:color w:val="C00000"/>
                                      <w:kern w:val="24"/>
                                      <w:szCs w:val="21"/>
                                    </w:rPr>
                                    <w:t>交易</w:t>
                                  </w:r>
                                  <w:r>
                                    <w:rPr>
                                      <w:rFonts w:ascii="微软雅黑" w:eastAsia="微软雅黑"/>
                                      <w:b/>
                                      <w:color w:val="C00000"/>
                                      <w:kern w:val="24"/>
                                      <w:szCs w:val="21"/>
                                    </w:rPr>
                                    <w:t>博览中心</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18.95pt;margin-top:106.5pt;height:28pt;width:133.35pt;z-index:251663360;mso-width-relative:page;mso-height-relative:page;" filled="f" stroked="f" coordsize="21600,21600" o:gfxdata="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c&#10;P8nI2AAAAAoBAAAPAAAAAAAAAAEAIAAAACIAAABkcnMvZG93bnJldi54bWxQSwECFAAUAAAACACH&#10;TuJAp2Pii+sBAADOAwAADgAAAAAAAAABACAAAAAnAQAAZHJzL2Uyb0RvYy54bWxQSwUGAAAAAAYA&#10;BgBZAQAAhAUAAAAA&#10;">
                      <v:path/>
                      <v:fill on="f" focussize="0,0"/>
                      <v:stroke on="f"/>
                      <v:imagedata o:title=""/>
                      <o:lock v:ext="edit" aspectratio="f"/>
                      <v:textbox inset="0mm,0mm,0mm,0mm">
                        <w:txbxContent>
                          <w:p>
                            <w:pPr>
                              <w:jc w:val="center"/>
                              <w:textAlignment w:val="top"/>
                              <w:rPr>
                                <w:rFonts w:ascii="Times New Roman"/>
                                <w:color w:val="000000"/>
                                <w:szCs w:val="21"/>
                              </w:rPr>
                            </w:pPr>
                            <w:r>
                              <w:rPr>
                                <w:rFonts w:ascii="微软雅黑" w:eastAsia="微软雅黑"/>
                                <w:b/>
                                <w:color w:val="C00000"/>
                                <w:kern w:val="24"/>
                                <w:szCs w:val="21"/>
                              </w:rPr>
                              <w:t>四川国际旅游</w:t>
                            </w:r>
                            <w:r>
                              <w:rPr>
                                <w:rFonts w:hint="eastAsia" w:ascii="微软雅黑" w:eastAsia="微软雅黑"/>
                                <w:b/>
                                <w:color w:val="C00000"/>
                                <w:kern w:val="24"/>
                                <w:szCs w:val="21"/>
                              </w:rPr>
                              <w:t>交易</w:t>
                            </w:r>
                            <w:r>
                              <w:rPr>
                                <w:rFonts w:ascii="微软雅黑" w:eastAsia="微软雅黑"/>
                                <w:b/>
                                <w:color w:val="C00000"/>
                                <w:kern w:val="24"/>
                                <w:szCs w:val="21"/>
                              </w:rPr>
                              <w:t>博览中心</w:t>
                            </w:r>
                          </w:p>
                        </w:txbxContent>
                      </v:textbox>
                    </v:shape>
                  </w:pict>
                </mc:Fallback>
              </mc:AlternateContent>
            </w:r>
            <w:r>
              <w:rPr>
                <w:rFonts w:ascii="Times New Roman"/>
                <w:color w:val="000000"/>
              </w:rPr>
              <mc:AlternateContent>
                <mc:Choice Requires="wps">
                  <w:drawing>
                    <wp:anchor distT="0" distB="0" distL="114300" distR="114300" simplePos="0" relativeHeight="251678720" behindDoc="0" locked="0" layoutInCell="1" allowOverlap="1">
                      <wp:simplePos x="0" y="0"/>
                      <wp:positionH relativeFrom="column">
                        <wp:posOffset>2232025</wp:posOffset>
                      </wp:positionH>
                      <wp:positionV relativeFrom="paragraph">
                        <wp:posOffset>2322195</wp:posOffset>
                      </wp:positionV>
                      <wp:extent cx="949960" cy="39624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949960" cy="396240"/>
                              </a:xfrm>
                              <a:prstGeom prst="rect">
                                <a:avLst/>
                              </a:prstGeom>
                              <a:noFill/>
                              <a:ln>
                                <a:noFill/>
                              </a:ln>
                              <a:effectLst/>
                            </wps:spPr>
                            <wps:txbx>
                              <w:txbxContent>
                                <w:p>
                                  <w:pPr>
                                    <w:jc w:val="center"/>
                                    <w:textAlignment w:val="top"/>
                                    <w:rPr>
                                      <w:rFonts w:ascii="Times New Roman"/>
                                      <w:color w:val="000000"/>
                                      <w:sz w:val="36"/>
                                    </w:rPr>
                                  </w:pPr>
                                  <w:r>
                                    <w:rPr>
                                      <w:rFonts w:ascii="微软雅黑" w:eastAsia="微软雅黑"/>
                                      <w:b/>
                                      <w:color w:val="000000"/>
                                      <w:kern w:val="24"/>
                                      <w:sz w:val="18"/>
                                      <w:szCs w:val="18"/>
                                    </w:rPr>
                                    <w:t>沙湾区</w:t>
                                  </w:r>
                                </w:p>
                                <w:p>
                                  <w:pPr>
                                    <w:jc w:val="center"/>
                                    <w:textAlignment w:val="top"/>
                                    <w:rPr>
                                      <w:rFonts w:ascii="Times New Roman"/>
                                      <w:color w:val="000000"/>
                                      <w:sz w:val="36"/>
                                    </w:rPr>
                                  </w:pPr>
                                  <w:r>
                                    <w:rPr>
                                      <w:rFonts w:ascii="微软雅黑" w:eastAsia="微软雅黑"/>
                                      <w:b/>
                                      <w:color w:val="000000"/>
                                      <w:kern w:val="24"/>
                                      <w:sz w:val="16"/>
                                      <w:szCs w:val="16"/>
                                    </w:rPr>
                                    <w:t>工旅</w:t>
                                  </w:r>
                                  <w:r>
                                    <w:rPr>
                                      <w:rFonts w:hint="eastAsia" w:ascii="微软雅黑" w:eastAsia="微软雅黑"/>
                                      <w:b/>
                                      <w:color w:val="000000"/>
                                      <w:kern w:val="24"/>
                                      <w:sz w:val="16"/>
                                      <w:szCs w:val="16"/>
                                    </w:rPr>
                                    <w:t>融合</w:t>
                                  </w:r>
                                  <w:r>
                                    <w:rPr>
                                      <w:rFonts w:ascii="微软雅黑" w:eastAsia="微软雅黑"/>
                                      <w:b/>
                                      <w:color w:val="000000"/>
                                      <w:kern w:val="24"/>
                                      <w:sz w:val="16"/>
                                      <w:szCs w:val="16"/>
                                    </w:rPr>
                                    <w:t>微展支点</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175.75pt;margin-top:182.85pt;height:31.2pt;width:74.8pt;z-index:251678720;mso-width-relative:page;mso-height-relative:page;" filled="f" stroked="f" coordsize="21600,21600" o:gfxdata="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a5Zt9oAAAALAQAADwAAAAAAAAABACAAAAAiAAAAZHJzL2Rvd25yZXYueG1sUEsBAhQAFAAAAAgA&#10;h07iQIAxzQzqAQAAzQMAAA4AAAAAAAAAAQAgAAAAKQEAAGRycy9lMm9Eb2MueG1sUEsFBgAAAAAG&#10;AAYAWQEAAIUFAAAAAA==&#10;">
                      <v:path/>
                      <v:fill on="f" focussize="0,0"/>
                      <v:stroke on="f"/>
                      <v:imagedata o:title=""/>
                      <o:lock v:ext="edit" aspectratio="f"/>
                      <v:textbox inset="0mm,0mm,0mm,0mm">
                        <w:txbxContent>
                          <w:p>
                            <w:pPr>
                              <w:jc w:val="center"/>
                              <w:textAlignment w:val="top"/>
                              <w:rPr>
                                <w:rFonts w:ascii="Times New Roman"/>
                                <w:color w:val="000000"/>
                                <w:sz w:val="36"/>
                              </w:rPr>
                            </w:pPr>
                            <w:r>
                              <w:rPr>
                                <w:rFonts w:ascii="微软雅黑" w:eastAsia="微软雅黑"/>
                                <w:b/>
                                <w:color w:val="000000"/>
                                <w:kern w:val="24"/>
                                <w:sz w:val="18"/>
                                <w:szCs w:val="18"/>
                              </w:rPr>
                              <w:t>沙湾区</w:t>
                            </w:r>
                          </w:p>
                          <w:p>
                            <w:pPr>
                              <w:jc w:val="center"/>
                              <w:textAlignment w:val="top"/>
                              <w:rPr>
                                <w:rFonts w:ascii="Times New Roman"/>
                                <w:color w:val="000000"/>
                                <w:sz w:val="36"/>
                              </w:rPr>
                            </w:pPr>
                            <w:r>
                              <w:rPr>
                                <w:rFonts w:ascii="微软雅黑" w:eastAsia="微软雅黑"/>
                                <w:b/>
                                <w:color w:val="000000"/>
                                <w:kern w:val="24"/>
                                <w:sz w:val="16"/>
                                <w:szCs w:val="16"/>
                              </w:rPr>
                              <w:t>工旅</w:t>
                            </w:r>
                            <w:r>
                              <w:rPr>
                                <w:rFonts w:hint="eastAsia" w:ascii="微软雅黑" w:eastAsia="微软雅黑"/>
                                <w:b/>
                                <w:color w:val="000000"/>
                                <w:kern w:val="24"/>
                                <w:sz w:val="16"/>
                                <w:szCs w:val="16"/>
                              </w:rPr>
                              <w:t>融合</w:t>
                            </w:r>
                            <w:r>
                              <w:rPr>
                                <w:rFonts w:ascii="微软雅黑" w:eastAsia="微软雅黑"/>
                                <w:b/>
                                <w:color w:val="000000"/>
                                <w:kern w:val="24"/>
                                <w:sz w:val="16"/>
                                <w:szCs w:val="16"/>
                              </w:rPr>
                              <w:t>微展支点</w:t>
                            </w:r>
                          </w:p>
                        </w:txbxContent>
                      </v:textbox>
                    </v:shape>
                  </w:pict>
                </mc:Fallback>
              </mc:AlternateContent>
            </w:r>
            <w:r>
              <w:rPr>
                <w:rFonts w:ascii="Times New Roman"/>
                <w:color w:val="000000"/>
              </w:rPr>
              <mc:AlternateContent>
                <mc:Choice Requires="wps">
                  <w:drawing>
                    <wp:anchor distT="0" distB="0" distL="114300" distR="114300" simplePos="0" relativeHeight="251673600" behindDoc="0" locked="0" layoutInCell="1" allowOverlap="1">
                      <wp:simplePos x="0" y="0"/>
                      <wp:positionH relativeFrom="column">
                        <wp:posOffset>3410585</wp:posOffset>
                      </wp:positionH>
                      <wp:positionV relativeFrom="paragraph">
                        <wp:posOffset>4041140</wp:posOffset>
                      </wp:positionV>
                      <wp:extent cx="934720" cy="46545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934720" cy="465455"/>
                              </a:xfrm>
                              <a:prstGeom prst="rect">
                                <a:avLst/>
                              </a:prstGeom>
                              <a:noFill/>
                              <a:ln>
                                <a:noFill/>
                              </a:ln>
                              <a:effectLst/>
                            </wps:spPr>
                            <wps:txbx>
                              <w:txbxContent>
                                <w:p>
                                  <w:pPr>
                                    <w:jc w:val="center"/>
                                    <w:textAlignment w:val="top"/>
                                    <w:rPr>
                                      <w:rFonts w:ascii="Times New Roman"/>
                                      <w:color w:val="000000"/>
                                      <w:sz w:val="36"/>
                                    </w:rPr>
                                  </w:pPr>
                                  <w:r>
                                    <w:rPr>
                                      <w:rFonts w:ascii="微软雅黑" w:eastAsia="微软雅黑"/>
                                      <w:b/>
                                      <w:color w:val="000000"/>
                                      <w:kern w:val="24"/>
                                      <w:sz w:val="18"/>
                                      <w:szCs w:val="18"/>
                                    </w:rPr>
                                    <w:t>沐川县</w:t>
                                  </w:r>
                                </w:p>
                                <w:p>
                                  <w:pPr>
                                    <w:jc w:val="center"/>
                                    <w:textAlignment w:val="top"/>
                                    <w:rPr>
                                      <w:rFonts w:ascii="Times New Roman"/>
                                      <w:color w:val="000000"/>
                                      <w:sz w:val="36"/>
                                    </w:rPr>
                                  </w:pPr>
                                  <w:r>
                                    <w:rPr>
                                      <w:rFonts w:hint="eastAsia" w:ascii="微软雅黑" w:eastAsia="微软雅黑"/>
                                      <w:b/>
                                      <w:color w:val="000000"/>
                                      <w:kern w:val="24"/>
                                      <w:sz w:val="16"/>
                                      <w:szCs w:val="16"/>
                                    </w:rPr>
                                    <w:t>绿色产业</w:t>
                                  </w:r>
                                  <w:r>
                                    <w:rPr>
                                      <w:rFonts w:ascii="微软雅黑" w:eastAsia="微软雅黑"/>
                                      <w:b/>
                                      <w:color w:val="000000"/>
                                      <w:kern w:val="24"/>
                                      <w:sz w:val="16"/>
                                      <w:szCs w:val="16"/>
                                    </w:rPr>
                                    <w:t>微展支点</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268.55pt;margin-top:318.2pt;height:36.65pt;width:73.6pt;z-index:251673600;mso-width-relative:page;mso-height-relative:page;" filled="f" stroked="f" coordsize="21600,21600" o:gfxdata="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1INNnbAAAACwEAAA8AAAAAAAAAAQAgAAAAIgAAAGRycy9kb3ducmV2LnhtbFBLAQIUABQAAAAI&#10;AIdO4kBOIkAQ6gEAAM0DAAAOAAAAAAAAAAEAIAAAACoBAABkcnMvZTJvRG9jLnhtbFBLBQYAAAAA&#10;BgAGAFkBAACGBQAAAAA=&#10;">
                      <v:path/>
                      <v:fill on="f" focussize="0,0"/>
                      <v:stroke on="f"/>
                      <v:imagedata o:title=""/>
                      <o:lock v:ext="edit" aspectratio="f"/>
                      <v:textbox inset="0mm,0mm,0mm,0mm">
                        <w:txbxContent>
                          <w:p>
                            <w:pPr>
                              <w:jc w:val="center"/>
                              <w:textAlignment w:val="top"/>
                              <w:rPr>
                                <w:rFonts w:ascii="Times New Roman"/>
                                <w:color w:val="000000"/>
                                <w:sz w:val="36"/>
                              </w:rPr>
                            </w:pPr>
                            <w:r>
                              <w:rPr>
                                <w:rFonts w:ascii="微软雅黑" w:eastAsia="微软雅黑"/>
                                <w:b/>
                                <w:color w:val="000000"/>
                                <w:kern w:val="24"/>
                                <w:sz w:val="18"/>
                                <w:szCs w:val="18"/>
                              </w:rPr>
                              <w:t>沐川县</w:t>
                            </w:r>
                          </w:p>
                          <w:p>
                            <w:pPr>
                              <w:jc w:val="center"/>
                              <w:textAlignment w:val="top"/>
                              <w:rPr>
                                <w:rFonts w:ascii="Times New Roman"/>
                                <w:color w:val="000000"/>
                                <w:sz w:val="36"/>
                              </w:rPr>
                            </w:pPr>
                            <w:r>
                              <w:rPr>
                                <w:rFonts w:hint="eastAsia" w:ascii="微软雅黑" w:eastAsia="微软雅黑"/>
                                <w:b/>
                                <w:color w:val="000000"/>
                                <w:kern w:val="24"/>
                                <w:sz w:val="16"/>
                                <w:szCs w:val="16"/>
                              </w:rPr>
                              <w:t>绿色产业</w:t>
                            </w:r>
                            <w:r>
                              <w:rPr>
                                <w:rFonts w:ascii="微软雅黑" w:eastAsia="微软雅黑"/>
                                <w:b/>
                                <w:color w:val="000000"/>
                                <w:kern w:val="24"/>
                                <w:sz w:val="16"/>
                                <w:szCs w:val="16"/>
                              </w:rPr>
                              <w:t>微展支点</w:t>
                            </w:r>
                          </w:p>
                        </w:txbxContent>
                      </v:textbox>
                    </v:shape>
                  </w:pict>
                </mc:Fallback>
              </mc:AlternateContent>
            </w:r>
            <w:r>
              <w:rPr>
                <w:rFonts w:ascii="Times New Roman"/>
                <w:color w:val="000000"/>
              </w:rPr>
              <mc:AlternateContent>
                <mc:Choice Requires="wpg">
                  <w:drawing>
                    <wp:anchor distT="0" distB="0" distL="114300" distR="114300" simplePos="0" relativeHeight="251666432" behindDoc="0" locked="0" layoutInCell="1" allowOverlap="1">
                      <wp:simplePos x="0" y="0"/>
                      <wp:positionH relativeFrom="column">
                        <wp:posOffset>3976370</wp:posOffset>
                      </wp:positionH>
                      <wp:positionV relativeFrom="paragraph">
                        <wp:posOffset>2676525</wp:posOffset>
                      </wp:positionV>
                      <wp:extent cx="486410" cy="473075"/>
                      <wp:effectExtent l="0" t="0" r="8890" b="3175"/>
                      <wp:wrapNone/>
                      <wp:docPr id="17" name="组合 17"/>
                      <wp:cNvGraphicFramePr/>
                      <a:graphic xmlns:a="http://schemas.openxmlformats.org/drawingml/2006/main">
                        <a:graphicData uri="http://schemas.microsoft.com/office/word/2010/wordprocessingGroup">
                          <wpg:wgp>
                            <wpg:cNvGrpSpPr/>
                            <wpg:grpSpPr>
                              <a:xfrm>
                                <a:off x="0" y="0"/>
                                <a:ext cx="486410" cy="473075"/>
                                <a:chOff x="101355" y="28628"/>
                                <a:chExt cx="9514" cy="9514"/>
                              </a:xfrm>
                              <a:effectLst/>
                            </wpg:grpSpPr>
                            <wps:wsp>
                              <wps:cNvPr id="57" name="椭圆 75"/>
                              <wps:cNvSpPr/>
                              <wps:spPr>
                                <a:xfrm>
                                  <a:off x="101355" y="28628"/>
                                  <a:ext cx="9515" cy="9515"/>
                                </a:xfrm>
                                <a:prstGeom prst="ellipse">
                                  <a:avLst/>
                                </a:prstGeom>
                                <a:solidFill>
                                  <a:srgbClr val="ED7D31">
                                    <a:alpha val="50195"/>
                                  </a:srgbClr>
                                </a:solidFill>
                                <a:ln w="25400">
                                  <a:noFill/>
                                </a:ln>
                                <a:effectLst/>
                              </wps:spPr>
                              <wps:bodyPr vert="horz" wrap="square" anchor="ctr" anchorCtr="0" upright="1"/>
                            </wps:wsp>
                            <wpg:grpSp>
                              <wpg:cNvPr id="18" name="组合 76"/>
                              <wpg:cNvGrpSpPr/>
                              <wpg:grpSpPr>
                                <a:xfrm>
                                  <a:off x="102952" y="30226"/>
                                  <a:ext cx="6321" cy="6320"/>
                                  <a:chOff x="102489" y="29762"/>
                                  <a:chExt cx="7247" cy="7247"/>
                                </a:xfrm>
                                <a:effectLst/>
                              </wpg:grpSpPr>
                              <wps:wsp>
                                <wps:cNvPr id="58" name="椭圆 77"/>
                                <wps:cNvSpPr/>
                                <wps:spPr>
                                  <a:xfrm>
                                    <a:off x="102489" y="29762"/>
                                    <a:ext cx="7247" cy="7248"/>
                                  </a:xfrm>
                                  <a:prstGeom prst="ellipse">
                                    <a:avLst/>
                                  </a:prstGeom>
                                  <a:solidFill>
                                    <a:srgbClr val="ED7D31"/>
                                  </a:solidFill>
                                  <a:ln w="25400">
                                    <a:noFill/>
                                  </a:ln>
                                  <a:effectLst/>
                                </wps:spPr>
                                <wps:bodyPr vert="horz" wrap="square" anchor="ctr" anchorCtr="0" upright="1"/>
                              </wps:wsp>
                              <wps:wsp>
                                <wps:cNvPr id="59" name="椭圆 78"/>
                                <wps:cNvSpPr/>
                                <wps:spPr>
                                  <a:xfrm>
                                    <a:off x="103292" y="30565"/>
                                    <a:ext cx="5641" cy="5641"/>
                                  </a:xfrm>
                                  <a:prstGeom prst="ellipse">
                                    <a:avLst/>
                                  </a:prstGeom>
                                  <a:solidFill>
                                    <a:srgbClr val="ED7D31"/>
                                  </a:solidFill>
                                  <a:ln w="76200" cap="flat" cmpd="dbl">
                                    <a:solidFill>
                                      <a:srgbClr val="FFFFFF"/>
                                    </a:solidFill>
                                    <a:prstDash val="solid"/>
                                    <a:headEnd type="none" w="med" len="med"/>
                                    <a:tailEnd type="none" w="med" len="med"/>
                                  </a:ln>
                                  <a:effectLst/>
                                </wps:spPr>
                                <wps:bodyPr vert="horz" wrap="square" anchor="ctr" anchorCtr="0" upright="1"/>
                              </wps:wsp>
                            </wpg:grpSp>
                          </wpg:wgp>
                        </a:graphicData>
                      </a:graphic>
                    </wp:anchor>
                  </w:drawing>
                </mc:Choice>
                <mc:Fallback>
                  <w:pict>
                    <v:group id="_x0000_s1026" o:spid="_x0000_s1026" o:spt="203" style="position:absolute;left:0pt;margin-left:313.1pt;margin-top:210.75pt;height:37.25pt;width:38.3pt;z-index:251666432;mso-width-relative:page;mso-height-relative:page;" coordorigin="101355,28628" coordsize="9514,9514" o:gfxdata="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sutnp9sAAAALAQAADwAAAAAAAAABACAAAAAiAAAAZHJzL2Rvd25y&#10;ZXYueG1sUEsBAhQAFAAAAAgAh07iQKmY0SNRAwAAvQoAAA4AAAAAAAAAAQAgAAAAKgEAAGRycy9l&#10;Mm9Eb2MueG1sUEsFBgAAAAAGAAYAWQEAAO0GAAAAAA==&#10;">
                      <o:lock v:ext="edit" aspectratio="f"/>
                      <v:shape id="椭圆 75" o:spid="_x0000_s1026" o:spt="3" type="#_x0000_t3" style="position:absolute;left:101355;top:28628;height:9515;width:9515;v-text-anchor:middle;" fillcolor="#ED7D31" filled="t" stroked="f" coordsize="21600,21600" o:gfxdata="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BMTO/&#10;AAAA2wAAAA8AAAAAAAAAAQAgAAAAIgAAAGRycy9kb3ducmV2LnhtbFBLAQIUABQAAAAIAIdO4kAz&#10;LwWeOwAAADkAAAAQAAAAAAAAAAEAIAAAAA4BAABkcnMvc2hhcGV4bWwueG1sUEsFBgAAAAAGAAYA&#10;WwEAALgDAAAAAA==&#10;">
                        <v:path/>
                        <v:fill on="t" opacity="32895f" focussize="0,0"/>
                        <v:stroke on="f" weight="2pt"/>
                        <v:imagedata o:title=""/>
                        <o:lock v:ext="edit" aspectratio="f"/>
                      </v:shape>
                      <v:group id="组合 76" o:spid="_x0000_s1026" o:spt="203" style="position:absolute;left:102952;top:30226;height:6320;width:6321;" coordorigin="102489,29762" coordsize="7247,7247"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椭圆 77" o:spid="_x0000_s1026" o:spt="3" type="#_x0000_t3" style="position:absolute;left:102489;top:29762;height:7248;width:7247;v-text-anchor:middle;" fillcolor="#ED7D31" filled="t" stroked="f" coordsize="21600,21600" o:gfxdata="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2MMBugAAANsA&#10;AAAPAAAAAAAAAAEAIAAAACIAAABkcnMvZG93bnJldi54bWxQSwECFAAUAAAACACHTuJAMy8FnjsA&#10;AAA5AAAAEAAAAAAAAAABACAAAAAJAQAAZHJzL3NoYXBleG1sLnhtbFBLBQYAAAAABgAGAFsBAACz&#10;AwAAAAA=&#10;">
                          <v:path/>
                          <v:fill on="t" focussize="0,0"/>
                          <v:stroke on="f" weight="2pt"/>
                          <v:imagedata o:title=""/>
                          <o:lock v:ext="edit" aspectratio="f"/>
                        </v:shape>
                        <v:shape id="椭圆 78" o:spid="_x0000_s1026" o:spt="3" type="#_x0000_t3" style="position:absolute;left:103292;top:30565;height:5641;width:5641;v-text-anchor:middle;" fillcolor="#ED7D31" filled="t" stroked="t" coordsize="21600,21600" o:gfxdata="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aYx74A&#10;AADbAAAADwAAAAAAAAABACAAAAAiAAAAZHJzL2Rvd25yZXYueG1sUEsBAhQAFAAAAAgAh07iQDMv&#10;BZ47AAAAOQAAABAAAAAAAAAAAQAgAAAADQEAAGRycy9zaGFwZXhtbC54bWxQSwUGAAAAAAYABgBb&#10;AQAAtwMAAAAA&#10;">
                          <v:path/>
                          <v:fill on="t" focussize="0,0"/>
                          <v:stroke weight="6pt" color="#FFFFFF" linestyle="thinThin"/>
                          <v:imagedata o:title=""/>
                          <o:lock v:ext="edit" aspectratio="f"/>
                        </v:shape>
                      </v:group>
                    </v:group>
                  </w:pict>
                </mc:Fallback>
              </mc:AlternateContent>
            </w:r>
            <w:r>
              <w:rPr>
                <w:rFonts w:ascii="Times New Roman"/>
                <w:color w:val="000000"/>
              </w:rPr>
              <mc:AlternateContent>
                <mc:Choice Requires="wps">
                  <w:drawing>
                    <wp:anchor distT="0" distB="0" distL="114300" distR="114300" simplePos="0" relativeHeight="251669504" behindDoc="0" locked="0" layoutInCell="1" allowOverlap="1">
                      <wp:simplePos x="0" y="0"/>
                      <wp:positionH relativeFrom="column">
                        <wp:posOffset>3792220</wp:posOffset>
                      </wp:positionH>
                      <wp:positionV relativeFrom="paragraph">
                        <wp:posOffset>3146425</wp:posOffset>
                      </wp:positionV>
                      <wp:extent cx="883920" cy="56261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883920" cy="562610"/>
                              </a:xfrm>
                              <a:prstGeom prst="rect">
                                <a:avLst/>
                              </a:prstGeom>
                              <a:noFill/>
                              <a:ln>
                                <a:noFill/>
                              </a:ln>
                              <a:effectLst/>
                            </wps:spPr>
                            <wps:txbx>
                              <w:txbxContent>
                                <w:p>
                                  <w:pPr>
                                    <w:jc w:val="center"/>
                                    <w:textAlignment w:val="top"/>
                                    <w:rPr>
                                      <w:rFonts w:ascii="Times New Roman"/>
                                      <w:color w:val="000000"/>
                                      <w:sz w:val="36"/>
                                    </w:rPr>
                                  </w:pPr>
                                  <w:r>
                                    <w:rPr>
                                      <w:rFonts w:ascii="微软雅黑" w:eastAsia="微软雅黑"/>
                                      <w:b/>
                                      <w:color w:val="000000"/>
                                      <w:kern w:val="24"/>
                                      <w:sz w:val="18"/>
                                      <w:szCs w:val="18"/>
                                    </w:rPr>
                                    <w:t>犍为县</w:t>
                                  </w:r>
                                </w:p>
                                <w:p>
                                  <w:pPr>
                                    <w:jc w:val="center"/>
                                    <w:textAlignment w:val="top"/>
                                    <w:rPr>
                                      <w:rFonts w:ascii="Times New Roman"/>
                                      <w:color w:val="000000"/>
                                      <w:sz w:val="36"/>
                                    </w:rPr>
                                  </w:pPr>
                                  <w:r>
                                    <w:rPr>
                                      <w:rFonts w:hint="eastAsia" w:ascii="微软雅黑" w:eastAsia="微软雅黑"/>
                                      <w:b/>
                                      <w:color w:val="000000"/>
                                      <w:kern w:val="24"/>
                                      <w:sz w:val="16"/>
                                      <w:szCs w:val="16"/>
                                    </w:rPr>
                                    <w:t>装备制造会展</w:t>
                                  </w:r>
                                  <w:r>
                                    <w:rPr>
                                      <w:rFonts w:ascii="微软雅黑" w:eastAsia="微软雅黑"/>
                                      <w:b/>
                                      <w:color w:val="000000"/>
                                      <w:kern w:val="24"/>
                                      <w:sz w:val="16"/>
                                      <w:szCs w:val="16"/>
                                    </w:rPr>
                                    <w:t>组团</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298.6pt;margin-top:247.75pt;height:44.3pt;width:69.6pt;z-index:251669504;mso-width-relative:page;mso-height-relative:page;" filled="f" stroked="f" coordsize="21600,21600" o:gfxdata="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HfDSNsAAAALAQAADwAAAAAAAAABACAAAAAiAAAAZHJzL2Rvd25yZXYueG1sUEsBAhQAFAAAAAgA&#10;h07iQP9Cg9LpAQAAzQMAAA4AAAAAAAAAAQAgAAAAKgEAAGRycy9lMm9Eb2MueG1sUEsFBgAAAAAG&#10;AAYAWQEAAIUFAAAAAA==&#10;">
                      <v:path/>
                      <v:fill on="f" focussize="0,0"/>
                      <v:stroke on="f"/>
                      <v:imagedata o:title=""/>
                      <o:lock v:ext="edit" aspectratio="f"/>
                      <v:textbox inset="0mm,0mm,0mm,0mm">
                        <w:txbxContent>
                          <w:p>
                            <w:pPr>
                              <w:jc w:val="center"/>
                              <w:textAlignment w:val="top"/>
                              <w:rPr>
                                <w:rFonts w:ascii="Times New Roman"/>
                                <w:color w:val="000000"/>
                                <w:sz w:val="36"/>
                              </w:rPr>
                            </w:pPr>
                            <w:r>
                              <w:rPr>
                                <w:rFonts w:ascii="微软雅黑" w:eastAsia="微软雅黑"/>
                                <w:b/>
                                <w:color w:val="000000"/>
                                <w:kern w:val="24"/>
                                <w:sz w:val="18"/>
                                <w:szCs w:val="18"/>
                              </w:rPr>
                              <w:t>犍为县</w:t>
                            </w:r>
                          </w:p>
                          <w:p>
                            <w:pPr>
                              <w:jc w:val="center"/>
                              <w:textAlignment w:val="top"/>
                              <w:rPr>
                                <w:rFonts w:ascii="Times New Roman"/>
                                <w:color w:val="000000"/>
                                <w:sz w:val="36"/>
                              </w:rPr>
                            </w:pPr>
                            <w:r>
                              <w:rPr>
                                <w:rFonts w:hint="eastAsia" w:ascii="微软雅黑" w:eastAsia="微软雅黑"/>
                                <w:b/>
                                <w:color w:val="000000"/>
                                <w:kern w:val="24"/>
                                <w:sz w:val="16"/>
                                <w:szCs w:val="16"/>
                              </w:rPr>
                              <w:t>装备制造会展</w:t>
                            </w:r>
                            <w:r>
                              <w:rPr>
                                <w:rFonts w:ascii="微软雅黑" w:eastAsia="微软雅黑"/>
                                <w:b/>
                                <w:color w:val="000000"/>
                                <w:kern w:val="24"/>
                                <w:sz w:val="16"/>
                                <w:szCs w:val="16"/>
                              </w:rPr>
                              <w:t>组团</w:t>
                            </w:r>
                          </w:p>
                        </w:txbxContent>
                      </v:textbox>
                    </v:shape>
                  </w:pict>
                </mc:Fallback>
              </mc:AlternateContent>
            </w:r>
            <w:r>
              <w:rPr>
                <w:rFonts w:ascii="Times New Roman"/>
                <w:color w:val="000000"/>
              </w:rPr>
              <mc:AlternateContent>
                <mc:Choice Requires="wps">
                  <w:drawing>
                    <wp:anchor distT="0" distB="0" distL="114300" distR="114300" simplePos="0" relativeHeight="251691008" behindDoc="0" locked="0" layoutInCell="1" allowOverlap="1">
                      <wp:simplePos x="0" y="0"/>
                      <wp:positionH relativeFrom="column">
                        <wp:posOffset>3441700</wp:posOffset>
                      </wp:positionH>
                      <wp:positionV relativeFrom="paragraph">
                        <wp:posOffset>3427095</wp:posOffset>
                      </wp:positionV>
                      <wp:extent cx="352425" cy="20955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352425" cy="209550"/>
                              </a:xfrm>
                              <a:prstGeom prst="rect">
                                <a:avLst/>
                              </a:prstGeom>
                              <a:noFill/>
                              <a:ln w="9525">
                                <a:noFill/>
                              </a:ln>
                              <a:effectLst/>
                            </wps:spPr>
                            <wps:txbx>
                              <w:txbxContent>
                                <w:p>
                                  <w:pPr>
                                    <w:jc w:val="left"/>
                                    <w:textAlignment w:val="baseline"/>
                                    <w:rPr>
                                      <w:rFonts w:ascii="Times New Roman"/>
                                      <w:color w:val="000000"/>
                                      <w:sz w:val="36"/>
                                    </w:rPr>
                                  </w:pPr>
                                  <w:r>
                                    <w:rPr>
                                      <w:rFonts w:ascii="宋体"/>
                                      <w:b/>
                                      <w:color w:val="000000"/>
                                      <w:kern w:val="24"/>
                                      <w:sz w:val="12"/>
                                      <w:szCs w:val="12"/>
                                    </w:rPr>
                                    <w:t>沐川县</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271pt;margin-top:269.85pt;height:16.5pt;width:27.75pt;z-index:251691008;mso-width-relative:page;mso-height-relative:page;" filled="f" stroked="f" coordsize="21600,21600" o:gfxdata="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GW2SraAAAACwEAAA8AAAAAAAAAAQAgAAAAIgAAAGRycy9kb3ducmV2LnhtbFBLAQIUABQAAAAI&#10;AIdO4kDilqXM6wEAAM0DAAAOAAAAAAAAAAEAIAAAACkBAABkcnMvZTJvRG9jLnhtbFBLBQYAAAAA&#10;BgAGAFkBAACGBQAAAAA=&#10;">
                      <v:path/>
                      <v:fill on="f" focussize="0,0"/>
                      <v:stroke on="f"/>
                      <v:imagedata o:title=""/>
                      <o:lock v:ext="edit" aspectratio="f"/>
                      <v:textbox inset="0mm,0mm,0mm,0mm">
                        <w:txbxContent>
                          <w:p>
                            <w:pPr>
                              <w:jc w:val="left"/>
                              <w:textAlignment w:val="baseline"/>
                              <w:rPr>
                                <w:rFonts w:ascii="Times New Roman"/>
                                <w:color w:val="000000"/>
                                <w:sz w:val="36"/>
                              </w:rPr>
                            </w:pPr>
                            <w:r>
                              <w:rPr>
                                <w:rFonts w:ascii="宋体"/>
                                <w:b/>
                                <w:color w:val="000000"/>
                                <w:kern w:val="24"/>
                                <w:sz w:val="12"/>
                                <w:szCs w:val="12"/>
                              </w:rPr>
                              <w:t>沐川县</w:t>
                            </w:r>
                          </w:p>
                        </w:txbxContent>
                      </v:textbox>
                    </v:shape>
                  </w:pict>
                </mc:Fallback>
              </mc:AlternateContent>
            </w:r>
            <w:r>
              <w:rPr>
                <w:rFonts w:ascii="Times New Roman"/>
                <w:color w:val="000000"/>
              </w:rPr>
              <mc:AlternateContent>
                <mc:Choice Requires="wps">
                  <w:drawing>
                    <wp:anchor distT="0" distB="0" distL="114300" distR="114300" simplePos="0" relativeHeight="251692032" behindDoc="0" locked="0" layoutInCell="1" allowOverlap="1">
                      <wp:simplePos x="0" y="0"/>
                      <wp:positionH relativeFrom="column">
                        <wp:posOffset>2842895</wp:posOffset>
                      </wp:positionH>
                      <wp:positionV relativeFrom="paragraph">
                        <wp:posOffset>1901825</wp:posOffset>
                      </wp:positionV>
                      <wp:extent cx="508000" cy="25781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508000" cy="257810"/>
                              </a:xfrm>
                              <a:prstGeom prst="rect">
                                <a:avLst/>
                              </a:prstGeom>
                              <a:noFill/>
                              <a:ln w="9525">
                                <a:noFill/>
                              </a:ln>
                              <a:effectLst/>
                            </wps:spPr>
                            <wps:txbx>
                              <w:txbxContent>
                                <w:p>
                                  <w:pPr>
                                    <w:jc w:val="left"/>
                                    <w:textAlignment w:val="baseline"/>
                                    <w:rPr>
                                      <w:rFonts w:ascii="Times New Roman"/>
                                      <w:color w:val="000000"/>
                                      <w:sz w:val="36"/>
                                    </w:rPr>
                                  </w:pPr>
                                  <w:r>
                                    <w:rPr>
                                      <w:rFonts w:hint="eastAsia" w:ascii="宋体"/>
                                      <w:b/>
                                      <w:color w:val="000000"/>
                                      <w:kern w:val="24"/>
                                      <w:sz w:val="12"/>
                                      <w:szCs w:val="12"/>
                                    </w:rPr>
                                    <w:t>沙湾区</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223.85pt;margin-top:149.75pt;height:20.3pt;width:40pt;z-index:251692032;mso-width-relative:page;mso-height-relative:page;" filled="f" stroked="f" coordsize="21600,21600" o:gfxdata="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UokST2gAAAAsBAAAPAAAAAAAAAAEAIAAAACIAAABkcnMvZG93bnJldi54bWxQSwECFAAUAAAA&#10;CACHTuJAwn78XewBAADNAwAADgAAAAAAAAABACAAAAApAQAAZHJzL2Uyb0RvYy54bWxQSwUGAAAA&#10;AAYABgBZAQAAhwUAAAAA&#10;">
                      <v:path/>
                      <v:fill on="f" focussize="0,0"/>
                      <v:stroke on="f"/>
                      <v:imagedata o:title=""/>
                      <o:lock v:ext="edit" aspectratio="f"/>
                      <v:textbox inset="0mm,0mm,0mm,0mm">
                        <w:txbxContent>
                          <w:p>
                            <w:pPr>
                              <w:jc w:val="left"/>
                              <w:textAlignment w:val="baseline"/>
                              <w:rPr>
                                <w:rFonts w:ascii="Times New Roman"/>
                                <w:color w:val="000000"/>
                                <w:sz w:val="36"/>
                              </w:rPr>
                            </w:pPr>
                            <w:r>
                              <w:rPr>
                                <w:rFonts w:hint="eastAsia" w:ascii="宋体"/>
                                <w:b/>
                                <w:color w:val="000000"/>
                                <w:kern w:val="24"/>
                                <w:sz w:val="12"/>
                                <w:szCs w:val="12"/>
                              </w:rPr>
                              <w:t>沙湾区</w:t>
                            </w:r>
                          </w:p>
                        </w:txbxContent>
                      </v:textbox>
                    </v:shape>
                  </w:pict>
                </mc:Fallback>
              </mc:AlternateContent>
            </w:r>
            <w:r>
              <w:rPr>
                <w:rFonts w:ascii="Times New Roman"/>
                <w:color w:val="000000"/>
              </w:rPr>
              <mc:AlternateContent>
                <mc:Choice Requires="wps">
                  <w:drawing>
                    <wp:anchor distT="0" distB="0" distL="114300" distR="114300" simplePos="0" relativeHeight="251667456" behindDoc="0" locked="0" layoutInCell="1" allowOverlap="1">
                      <wp:simplePos x="0" y="0"/>
                      <wp:positionH relativeFrom="column">
                        <wp:posOffset>2443480</wp:posOffset>
                      </wp:positionH>
                      <wp:positionV relativeFrom="paragraph">
                        <wp:posOffset>955675</wp:posOffset>
                      </wp:positionV>
                      <wp:extent cx="1024890" cy="45148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024890" cy="451485"/>
                              </a:xfrm>
                              <a:prstGeom prst="rect">
                                <a:avLst/>
                              </a:prstGeom>
                              <a:noFill/>
                              <a:ln>
                                <a:noFill/>
                              </a:ln>
                              <a:effectLst/>
                            </wps:spPr>
                            <wps:txbx>
                              <w:txbxContent>
                                <w:p>
                                  <w:pPr>
                                    <w:jc w:val="center"/>
                                    <w:textAlignment w:val="top"/>
                                    <w:rPr>
                                      <w:rFonts w:ascii="Times New Roman"/>
                                      <w:color w:val="000000"/>
                                      <w:sz w:val="36"/>
                                    </w:rPr>
                                  </w:pPr>
                                  <w:r>
                                    <w:rPr>
                                      <w:rFonts w:ascii="微软雅黑" w:eastAsia="微软雅黑"/>
                                      <w:b/>
                                      <w:color w:val="000000"/>
                                      <w:kern w:val="24"/>
                                      <w:sz w:val="18"/>
                                      <w:szCs w:val="18"/>
                                    </w:rPr>
                                    <w:t>夹江县</w:t>
                                  </w:r>
                                </w:p>
                                <w:p>
                                  <w:pPr>
                                    <w:jc w:val="center"/>
                                    <w:textAlignment w:val="top"/>
                                    <w:rPr>
                                      <w:rFonts w:ascii="Times New Roman"/>
                                      <w:color w:val="000000"/>
                                      <w:sz w:val="36"/>
                                    </w:rPr>
                                  </w:pPr>
                                  <w:r>
                                    <w:rPr>
                                      <w:rFonts w:hint="eastAsia" w:ascii="微软雅黑" w:eastAsia="微软雅黑"/>
                                      <w:b/>
                                      <w:color w:val="000000"/>
                                      <w:kern w:val="24"/>
                                      <w:sz w:val="16"/>
                                      <w:szCs w:val="16"/>
                                    </w:rPr>
                                    <w:t>新型建材</w:t>
                                  </w:r>
                                  <w:r>
                                    <w:rPr>
                                      <w:rFonts w:ascii="微软雅黑" w:eastAsia="微软雅黑"/>
                                      <w:b/>
                                      <w:color w:val="000000"/>
                                      <w:kern w:val="24"/>
                                      <w:sz w:val="16"/>
                                      <w:szCs w:val="16"/>
                                    </w:rPr>
                                    <w:t>会展组团</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192.4pt;margin-top:75.25pt;height:35.55pt;width:80.7pt;z-index:251667456;mso-width-relative:page;mso-height-relative:page;" filled="f" stroked="f" coordsize="21600,21600" o:gfxdata="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zqP1doAAAALAQAADwAAAAAAAAABACAAAAAiAAAAZHJzL2Rvd25yZXYueG1sUEsBAhQAFAAAAAgA&#10;h07iQLbFTKPqAQAAzgMAAA4AAAAAAAAAAQAgAAAAKQEAAGRycy9lMm9Eb2MueG1sUEsFBgAAAAAG&#10;AAYAWQEAAIUFAAAAAA==&#10;">
                      <v:path/>
                      <v:fill on="f" focussize="0,0"/>
                      <v:stroke on="f"/>
                      <v:imagedata o:title=""/>
                      <o:lock v:ext="edit" aspectratio="f"/>
                      <v:textbox inset="0mm,0mm,0mm,0mm">
                        <w:txbxContent>
                          <w:p>
                            <w:pPr>
                              <w:jc w:val="center"/>
                              <w:textAlignment w:val="top"/>
                              <w:rPr>
                                <w:rFonts w:ascii="Times New Roman"/>
                                <w:color w:val="000000"/>
                                <w:sz w:val="36"/>
                              </w:rPr>
                            </w:pPr>
                            <w:r>
                              <w:rPr>
                                <w:rFonts w:ascii="微软雅黑" w:eastAsia="微软雅黑"/>
                                <w:b/>
                                <w:color w:val="000000"/>
                                <w:kern w:val="24"/>
                                <w:sz w:val="18"/>
                                <w:szCs w:val="18"/>
                              </w:rPr>
                              <w:t>夹江县</w:t>
                            </w:r>
                          </w:p>
                          <w:p>
                            <w:pPr>
                              <w:jc w:val="center"/>
                              <w:textAlignment w:val="top"/>
                              <w:rPr>
                                <w:rFonts w:ascii="Times New Roman"/>
                                <w:color w:val="000000"/>
                                <w:sz w:val="36"/>
                              </w:rPr>
                            </w:pPr>
                            <w:r>
                              <w:rPr>
                                <w:rFonts w:hint="eastAsia" w:ascii="微软雅黑" w:eastAsia="微软雅黑"/>
                                <w:b/>
                                <w:color w:val="000000"/>
                                <w:kern w:val="24"/>
                                <w:sz w:val="16"/>
                                <w:szCs w:val="16"/>
                              </w:rPr>
                              <w:t>新型建材</w:t>
                            </w:r>
                            <w:r>
                              <w:rPr>
                                <w:rFonts w:ascii="微软雅黑" w:eastAsia="微软雅黑"/>
                                <w:b/>
                                <w:color w:val="000000"/>
                                <w:kern w:val="24"/>
                                <w:sz w:val="16"/>
                                <w:szCs w:val="16"/>
                              </w:rPr>
                              <w:t>会展组团</w:t>
                            </w:r>
                          </w:p>
                        </w:txbxContent>
                      </v:textbox>
                    </v:shape>
                  </w:pict>
                </mc:Fallback>
              </mc:AlternateContent>
            </w:r>
            <w:r>
              <w:rPr>
                <w:rFonts w:ascii="Times New Roman"/>
                <w:color w:val="000000"/>
              </w:rPr>
              <mc:AlternateContent>
                <mc:Choice Requires="wps">
                  <w:drawing>
                    <wp:anchor distT="0" distB="0" distL="114300" distR="114300" simplePos="0" relativeHeight="251668480" behindDoc="0" locked="0" layoutInCell="1" allowOverlap="1">
                      <wp:simplePos x="0" y="0"/>
                      <wp:positionH relativeFrom="column">
                        <wp:posOffset>4000500</wp:posOffset>
                      </wp:positionH>
                      <wp:positionV relativeFrom="paragraph">
                        <wp:posOffset>1447165</wp:posOffset>
                      </wp:positionV>
                      <wp:extent cx="939165" cy="56261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939165" cy="562610"/>
                              </a:xfrm>
                              <a:prstGeom prst="rect">
                                <a:avLst/>
                              </a:prstGeom>
                              <a:noFill/>
                              <a:ln>
                                <a:noFill/>
                              </a:ln>
                              <a:effectLst/>
                            </wps:spPr>
                            <wps:txbx>
                              <w:txbxContent>
                                <w:p>
                                  <w:pPr>
                                    <w:jc w:val="center"/>
                                    <w:textAlignment w:val="top"/>
                                    <w:rPr>
                                      <w:rFonts w:ascii="Times New Roman"/>
                                      <w:color w:val="000000"/>
                                      <w:sz w:val="36"/>
                                    </w:rPr>
                                  </w:pPr>
                                  <w:r>
                                    <w:rPr>
                                      <w:rFonts w:ascii="微软雅黑" w:eastAsia="微软雅黑"/>
                                      <w:b/>
                                      <w:color w:val="000000"/>
                                      <w:kern w:val="24"/>
                                      <w:sz w:val="18"/>
                                      <w:szCs w:val="18"/>
                                    </w:rPr>
                                    <w:t>井研县</w:t>
                                  </w:r>
                                </w:p>
                                <w:p>
                                  <w:pPr>
                                    <w:jc w:val="center"/>
                                    <w:textAlignment w:val="top"/>
                                    <w:rPr>
                                      <w:rFonts w:ascii="Times New Roman"/>
                                      <w:color w:val="000000"/>
                                      <w:sz w:val="36"/>
                                    </w:rPr>
                                  </w:pPr>
                                  <w:r>
                                    <w:rPr>
                                      <w:rFonts w:ascii="微软雅黑" w:eastAsia="微软雅黑"/>
                                      <w:b/>
                                      <w:color w:val="000000"/>
                                      <w:kern w:val="24"/>
                                      <w:sz w:val="16"/>
                                      <w:szCs w:val="16"/>
                                    </w:rPr>
                                    <w:t>农旅</w:t>
                                  </w:r>
                                  <w:r>
                                    <w:rPr>
                                      <w:rFonts w:hint="eastAsia" w:ascii="微软雅黑" w:eastAsia="微软雅黑"/>
                                      <w:b/>
                                      <w:color w:val="000000"/>
                                      <w:kern w:val="24"/>
                                      <w:sz w:val="16"/>
                                      <w:szCs w:val="16"/>
                                    </w:rPr>
                                    <w:t>乡村</w:t>
                                  </w:r>
                                  <w:r>
                                    <w:rPr>
                                      <w:rFonts w:ascii="微软雅黑" w:eastAsia="微软雅黑"/>
                                      <w:b/>
                                      <w:color w:val="000000"/>
                                      <w:kern w:val="24"/>
                                      <w:sz w:val="16"/>
                                      <w:szCs w:val="16"/>
                                    </w:rPr>
                                    <w:t>会展组团</w:t>
                                  </w:r>
                                </w:p>
                              </w:txbxContent>
                            </wps:txbx>
                            <wps:bodyPr vert="horz" wrap="square" lIns="0" tIns="0" rIns="0" bIns="0" rtlCol="0" anchor="t" anchorCtr="0">
                              <a:noAutofit/>
                            </wps:bodyPr>
                          </wps:wsp>
                        </a:graphicData>
                      </a:graphic>
                    </wp:anchor>
                  </w:drawing>
                </mc:Choice>
                <mc:Fallback>
                  <w:pict>
                    <v:shape id="_x0000_s1026" o:spid="_x0000_s1026" o:spt="202" type="#_x0000_t202" style="position:absolute;left:0pt;margin-left:315pt;margin-top:113.95pt;height:44.3pt;width:73.95pt;z-index:251668480;mso-width-relative:page;mso-height-relative:page;" filled="f" stroked="f" coordsize="21600,21600" o:gfxdata="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ovQ69oAAAALAQAADwAAAAAAAAABACAAAAAiAAAAZHJzL2Rvd25yZXYueG1sUEsBAhQAFAAAAAgA&#10;h07iQIHnRO/qAQAAzQMAAA4AAAAAAAAAAQAgAAAAKQEAAGRycy9lMm9Eb2MueG1sUEsFBgAAAAAG&#10;AAYAWQEAAIUFAAAAAA==&#10;">
                      <v:path/>
                      <v:fill on="f" focussize="0,0"/>
                      <v:stroke on="f"/>
                      <v:imagedata o:title=""/>
                      <o:lock v:ext="edit" aspectratio="f"/>
                      <v:textbox inset="0mm,0mm,0mm,0mm">
                        <w:txbxContent>
                          <w:p>
                            <w:pPr>
                              <w:jc w:val="center"/>
                              <w:textAlignment w:val="top"/>
                              <w:rPr>
                                <w:rFonts w:ascii="Times New Roman"/>
                                <w:color w:val="000000"/>
                                <w:sz w:val="36"/>
                              </w:rPr>
                            </w:pPr>
                            <w:r>
                              <w:rPr>
                                <w:rFonts w:ascii="微软雅黑" w:eastAsia="微软雅黑"/>
                                <w:b/>
                                <w:color w:val="000000"/>
                                <w:kern w:val="24"/>
                                <w:sz w:val="18"/>
                                <w:szCs w:val="18"/>
                              </w:rPr>
                              <w:t>井研县</w:t>
                            </w:r>
                          </w:p>
                          <w:p>
                            <w:pPr>
                              <w:jc w:val="center"/>
                              <w:textAlignment w:val="top"/>
                              <w:rPr>
                                <w:rFonts w:ascii="Times New Roman"/>
                                <w:color w:val="000000"/>
                                <w:sz w:val="36"/>
                              </w:rPr>
                            </w:pPr>
                            <w:r>
                              <w:rPr>
                                <w:rFonts w:ascii="微软雅黑" w:eastAsia="微软雅黑"/>
                                <w:b/>
                                <w:color w:val="000000"/>
                                <w:kern w:val="24"/>
                                <w:sz w:val="16"/>
                                <w:szCs w:val="16"/>
                              </w:rPr>
                              <w:t>农旅</w:t>
                            </w:r>
                            <w:r>
                              <w:rPr>
                                <w:rFonts w:hint="eastAsia" w:ascii="微软雅黑" w:eastAsia="微软雅黑"/>
                                <w:b/>
                                <w:color w:val="000000"/>
                                <w:kern w:val="24"/>
                                <w:sz w:val="16"/>
                                <w:szCs w:val="16"/>
                              </w:rPr>
                              <w:t>乡村</w:t>
                            </w:r>
                            <w:r>
                              <w:rPr>
                                <w:rFonts w:ascii="微软雅黑" w:eastAsia="微软雅黑"/>
                                <w:b/>
                                <w:color w:val="000000"/>
                                <w:kern w:val="24"/>
                                <w:sz w:val="16"/>
                                <w:szCs w:val="16"/>
                              </w:rPr>
                              <w:t>会展组团</w:t>
                            </w:r>
                          </w:p>
                        </w:txbxContent>
                      </v:textbox>
                    </v:shape>
                  </w:pict>
                </mc:Fallback>
              </mc:AlternateContent>
            </w:r>
            <w:r>
              <w:rPr>
                <w:rFonts w:ascii="Times New Roman"/>
                <w:color w:val="000000"/>
              </w:rPr>
              <mc:AlternateContent>
                <mc:Choice Requires="wpg">
                  <w:drawing>
                    <wp:anchor distT="0" distB="0" distL="114300" distR="114300" simplePos="0" relativeHeight="251665408" behindDoc="0" locked="0" layoutInCell="1" allowOverlap="1">
                      <wp:simplePos x="0" y="0"/>
                      <wp:positionH relativeFrom="column">
                        <wp:posOffset>4241165</wp:posOffset>
                      </wp:positionH>
                      <wp:positionV relativeFrom="paragraph">
                        <wp:posOffset>983615</wp:posOffset>
                      </wp:positionV>
                      <wp:extent cx="478790" cy="473075"/>
                      <wp:effectExtent l="0" t="0" r="16510" b="3175"/>
                      <wp:wrapNone/>
                      <wp:docPr id="19" name="组合 19"/>
                      <wp:cNvGraphicFramePr/>
                      <a:graphic xmlns:a="http://schemas.openxmlformats.org/drawingml/2006/main">
                        <a:graphicData uri="http://schemas.microsoft.com/office/word/2010/wordprocessingGroup">
                          <wpg:wgp>
                            <wpg:cNvGrpSpPr/>
                            <wpg:grpSpPr>
                              <a:xfrm>
                                <a:off x="0" y="0"/>
                                <a:ext cx="478790" cy="473075"/>
                                <a:chOff x="101355" y="28628"/>
                                <a:chExt cx="9514" cy="9514"/>
                              </a:xfrm>
                              <a:effectLst/>
                            </wpg:grpSpPr>
                            <wps:wsp>
                              <wps:cNvPr id="52" name="椭圆 70"/>
                              <wps:cNvSpPr/>
                              <wps:spPr>
                                <a:xfrm>
                                  <a:off x="101355" y="28628"/>
                                  <a:ext cx="9515" cy="9515"/>
                                </a:xfrm>
                                <a:prstGeom prst="ellipse">
                                  <a:avLst/>
                                </a:prstGeom>
                                <a:solidFill>
                                  <a:srgbClr val="ED7D31">
                                    <a:alpha val="50195"/>
                                  </a:srgbClr>
                                </a:solidFill>
                                <a:ln w="25400">
                                  <a:noFill/>
                                </a:ln>
                                <a:effectLst/>
                              </wps:spPr>
                              <wps:bodyPr vert="horz" wrap="square" anchor="ctr" anchorCtr="0" upright="1"/>
                            </wps:wsp>
                            <wpg:grpSp>
                              <wpg:cNvPr id="20" name="组合 71"/>
                              <wpg:cNvGrpSpPr/>
                              <wpg:grpSpPr>
                                <a:xfrm>
                                  <a:off x="102952" y="30226"/>
                                  <a:ext cx="6321" cy="6320"/>
                                  <a:chOff x="102489" y="29762"/>
                                  <a:chExt cx="7247" cy="7247"/>
                                </a:xfrm>
                                <a:effectLst/>
                              </wpg:grpSpPr>
                              <wps:wsp>
                                <wps:cNvPr id="53" name="椭圆 72"/>
                                <wps:cNvSpPr/>
                                <wps:spPr>
                                  <a:xfrm>
                                    <a:off x="102489" y="29762"/>
                                    <a:ext cx="7247" cy="7248"/>
                                  </a:xfrm>
                                  <a:prstGeom prst="ellipse">
                                    <a:avLst/>
                                  </a:prstGeom>
                                  <a:solidFill>
                                    <a:srgbClr val="ED7D31"/>
                                  </a:solidFill>
                                  <a:ln w="25400">
                                    <a:noFill/>
                                  </a:ln>
                                  <a:effectLst/>
                                </wps:spPr>
                                <wps:bodyPr vert="horz" wrap="square" anchor="ctr" anchorCtr="0" upright="1"/>
                              </wps:wsp>
                              <wps:wsp>
                                <wps:cNvPr id="54" name="椭圆 73"/>
                                <wps:cNvSpPr/>
                                <wps:spPr>
                                  <a:xfrm>
                                    <a:off x="103292" y="30565"/>
                                    <a:ext cx="5641" cy="5641"/>
                                  </a:xfrm>
                                  <a:prstGeom prst="ellipse">
                                    <a:avLst/>
                                  </a:prstGeom>
                                  <a:solidFill>
                                    <a:srgbClr val="ED7D31"/>
                                  </a:solidFill>
                                  <a:ln w="76200" cap="flat" cmpd="dbl">
                                    <a:solidFill>
                                      <a:srgbClr val="FFFFFF"/>
                                    </a:solidFill>
                                    <a:prstDash val="solid"/>
                                    <a:headEnd type="none" w="med" len="med"/>
                                    <a:tailEnd type="none" w="med" len="med"/>
                                  </a:ln>
                                  <a:effectLst/>
                                </wps:spPr>
                                <wps:bodyPr vert="horz" wrap="square" anchor="ctr" anchorCtr="0" upright="1"/>
                              </wps:wsp>
                            </wpg:grpSp>
                          </wpg:wgp>
                        </a:graphicData>
                      </a:graphic>
                    </wp:anchor>
                  </w:drawing>
                </mc:Choice>
                <mc:Fallback>
                  <w:pict>
                    <v:group id="_x0000_s1026" o:spid="_x0000_s1026" o:spt="203" style="position:absolute;left:0pt;margin-left:333.95pt;margin-top:77.45pt;height:37.25pt;width:37.7pt;z-index:251665408;mso-width-relative:page;mso-height-relative:page;" coordorigin="101355,28628" coordsize="9514,9514" o:gfxdata="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yf0/dsAAAALAQAADwAAAAAAAAABACAAAAAiAAAAZHJzL2Rvd25y&#10;ZXYueG1sUEsBAhQAFAAAAAgAh07iQLBXg+FRAwAAvQoAAA4AAAAAAAAAAQAgAAAAKgEAAGRycy9l&#10;Mm9Eb2MueG1sUEsFBgAAAAAGAAYAWQEAAO0GAAAAAA==&#10;">
                      <o:lock v:ext="edit" aspectratio="f"/>
                      <v:shape id="椭圆 70" o:spid="_x0000_s1026" o:spt="3" type="#_x0000_t3" style="position:absolute;left:101355;top:28628;height:9515;width:9515;v-text-anchor:middle;" fillcolor="#ED7D31" filled="t" stroked="f" coordsize="21600,21600" o:gfxdata="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9pKrvQAA&#10;ANsAAAAPAAAAAAAAAAEAIAAAACIAAABkcnMvZG93bnJldi54bWxQSwECFAAUAAAACACHTuJAMy8F&#10;njsAAAA5AAAAEAAAAAAAAAABACAAAAAMAQAAZHJzL3NoYXBleG1sLnhtbFBLBQYAAAAABgAGAFsB&#10;AAC2AwAAAAA=&#10;">
                        <v:path/>
                        <v:fill on="t" opacity="32895f" focussize="0,0"/>
                        <v:stroke on="f" weight="2pt"/>
                        <v:imagedata o:title=""/>
                        <o:lock v:ext="edit" aspectratio="f"/>
                      </v:shape>
                      <v:group id="组合 71" o:spid="_x0000_s1026" o:spt="203" style="position:absolute;left:102952;top:30226;height:6320;width:6321;" coordorigin="102489,29762" coordsize="7247,7247"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椭圆 72" o:spid="_x0000_s1026" o:spt="3" type="#_x0000_t3" style="position:absolute;left:102489;top:29762;height:7248;width:7247;v-text-anchor:middle;" fillcolor="#ED7D31" filled="t" stroked="f" coordsize="21600,21600" o:gfxdata="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xRcL4A&#10;AADbAAAADwAAAAAAAAABACAAAAAiAAAAZHJzL2Rvd25yZXYueG1sUEsBAhQAFAAAAAgAh07iQDMv&#10;BZ47AAAAOQAAABAAAAAAAAAAAQAgAAAADQEAAGRycy9zaGFwZXhtbC54bWxQSwUGAAAAAAYABgBb&#10;AQAAtwMAAAAA&#10;">
                          <v:path/>
                          <v:fill on="t" focussize="0,0"/>
                          <v:stroke on="f" weight="2pt"/>
                          <v:imagedata o:title=""/>
                          <o:lock v:ext="edit" aspectratio="f"/>
                        </v:shape>
                        <v:shape id="椭圆 73" o:spid="_x0000_s1026" o:spt="3" type="#_x0000_t3" style="position:absolute;left:103292;top:30565;height:5641;width:5641;v-text-anchor:middle;" fillcolor="#ED7D31" filled="t" stroked="t" coordsize="21600,21600" o:gfxdata="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XN1m/&#10;AAAA2wAAAA8AAAAAAAAAAQAgAAAAIgAAAGRycy9kb3ducmV2LnhtbFBLAQIUABQAAAAIAIdO4kAz&#10;LwWeOwAAADkAAAAQAAAAAAAAAAEAIAAAAA4BAABkcnMvc2hhcGV4bWwueG1sUEsFBgAAAAAGAAYA&#10;WwEAALgDAAAAAA==&#10;">
                          <v:path/>
                          <v:fill on="t" focussize="0,0"/>
                          <v:stroke weight="6pt" color="#FFFFFF" linestyle="thinThin"/>
                          <v:imagedata o:title=""/>
                          <o:lock v:ext="edit" aspectratio="f"/>
                        </v:shape>
                      </v:group>
                    </v:group>
                  </w:pict>
                </mc:Fallback>
              </mc:AlternateContent>
            </w:r>
            <w:r>
              <w:rPr>
                <w:rFonts w:ascii="Times New Roman"/>
                <w:color w:val="000000"/>
              </w:rPr>
              <mc:AlternateContent>
                <mc:Choice Requires="wps">
                  <w:drawing>
                    <wp:anchor distT="0" distB="0" distL="114300" distR="114300" simplePos="0" relativeHeight="251688960" behindDoc="0" locked="0" layoutInCell="1" allowOverlap="1">
                      <wp:simplePos x="0" y="0"/>
                      <wp:positionH relativeFrom="column">
                        <wp:posOffset>1832610</wp:posOffset>
                      </wp:positionH>
                      <wp:positionV relativeFrom="paragraph">
                        <wp:posOffset>2019300</wp:posOffset>
                      </wp:positionV>
                      <wp:extent cx="650875" cy="3841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650875" cy="384175"/>
                              </a:xfrm>
                              <a:prstGeom prst="rect">
                                <a:avLst/>
                              </a:prstGeom>
                              <a:noFill/>
                              <a:ln w="9525">
                                <a:noFill/>
                              </a:ln>
                              <a:effectLst/>
                            </wps:spPr>
                            <wps:txbx>
                              <w:txbxContent>
                                <w:p>
                                  <w:pPr>
                                    <w:jc w:val="left"/>
                                    <w:textAlignment w:val="baseline"/>
                                    <w:rPr>
                                      <w:rFonts w:ascii="Times New Roman"/>
                                      <w:color w:val="000000"/>
                                      <w:sz w:val="36"/>
                                    </w:rPr>
                                  </w:pPr>
                                  <w:r>
                                    <w:rPr>
                                      <w:rFonts w:ascii="宋体"/>
                                      <w:b/>
                                      <w:color w:val="000000"/>
                                      <w:kern w:val="24"/>
                                      <w:sz w:val="12"/>
                                      <w:szCs w:val="12"/>
                                    </w:rPr>
                                    <w:t>峨眉山市</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144.3pt;margin-top:159pt;height:30.25pt;width:51.25pt;z-index:251688960;mso-width-relative:page;mso-height-relative:page;" filled="f" stroked="f" coordsize="21600,21600" o:gfxdata="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LxldoAAAALAQAADwAAAAAAAAABACAAAAAiAAAAZHJzL2Rvd25yZXYueG1sUEsBAhQAFAAA&#10;AAgAh07iQDuhfqvtAQAAzQMAAA4AAAAAAAAAAQAgAAAAKQEAAGRycy9lMm9Eb2MueG1sUEsFBgAA&#10;AAAGAAYAWQEAAIgFAAAAAA==&#10;">
                      <v:path/>
                      <v:fill on="f" focussize="0,0"/>
                      <v:stroke on="f"/>
                      <v:imagedata o:title=""/>
                      <o:lock v:ext="edit" aspectratio="f"/>
                      <v:textbox inset="0mm,0mm,0mm,0mm">
                        <w:txbxContent>
                          <w:p>
                            <w:pPr>
                              <w:jc w:val="left"/>
                              <w:textAlignment w:val="baseline"/>
                              <w:rPr>
                                <w:rFonts w:ascii="Times New Roman"/>
                                <w:color w:val="000000"/>
                                <w:sz w:val="36"/>
                              </w:rPr>
                            </w:pPr>
                            <w:r>
                              <w:rPr>
                                <w:rFonts w:ascii="宋体"/>
                                <w:b/>
                                <w:color w:val="000000"/>
                                <w:kern w:val="24"/>
                                <w:sz w:val="12"/>
                                <w:szCs w:val="12"/>
                              </w:rPr>
                              <w:t>峨眉山市</w:t>
                            </w:r>
                          </w:p>
                        </w:txbxContent>
                      </v:textbox>
                    </v:shape>
                  </w:pict>
                </mc:Fallback>
              </mc:AlternateContent>
            </w:r>
            <w:r>
              <w:rPr>
                <w:rFonts w:ascii="Times New Roman"/>
                <w:color w:val="000000"/>
              </w:rPr>
              <mc:AlternateContent>
                <mc:Choice Requires="wpg">
                  <w:drawing>
                    <wp:anchor distT="0" distB="0" distL="114300" distR="114300" simplePos="0" relativeHeight="251672576" behindDoc="0" locked="0" layoutInCell="1" allowOverlap="1">
                      <wp:simplePos x="0" y="0"/>
                      <wp:positionH relativeFrom="column">
                        <wp:posOffset>3756660</wp:posOffset>
                      </wp:positionH>
                      <wp:positionV relativeFrom="paragraph">
                        <wp:posOffset>3725545</wp:posOffset>
                      </wp:positionV>
                      <wp:extent cx="283210" cy="288925"/>
                      <wp:effectExtent l="0" t="0" r="2540" b="15875"/>
                      <wp:wrapNone/>
                      <wp:docPr id="22" name="组合 22"/>
                      <wp:cNvGraphicFramePr/>
                      <a:graphic xmlns:a="http://schemas.openxmlformats.org/drawingml/2006/main">
                        <a:graphicData uri="http://schemas.microsoft.com/office/word/2010/wordprocessingGroup">
                          <wpg:wgp>
                            <wpg:cNvGrpSpPr/>
                            <wpg:grpSpPr>
                              <a:xfrm>
                                <a:off x="0" y="0"/>
                                <a:ext cx="283210" cy="288925"/>
                                <a:chOff x="102488" y="29762"/>
                                <a:chExt cx="7247" cy="7247"/>
                              </a:xfrm>
                              <a:effectLst/>
                            </wpg:grpSpPr>
                            <wps:wsp>
                              <wps:cNvPr id="72" name="椭圆 89"/>
                              <wps:cNvSpPr/>
                              <wps:spPr>
                                <a:xfrm>
                                  <a:off x="102488" y="29762"/>
                                  <a:ext cx="7248" cy="7248"/>
                                </a:xfrm>
                                <a:prstGeom prst="ellipse">
                                  <a:avLst/>
                                </a:prstGeom>
                                <a:solidFill>
                                  <a:srgbClr val="376092">
                                    <a:alpha val="79999"/>
                                  </a:srgbClr>
                                </a:solidFill>
                                <a:ln w="25400">
                                  <a:noFill/>
                                </a:ln>
                                <a:effectLst/>
                              </wps:spPr>
                              <wps:bodyPr vert="horz" wrap="square" anchor="ctr" anchorCtr="0" upright="1"/>
                            </wps:wsp>
                            <wps:wsp>
                              <wps:cNvPr id="73" name="椭圆 90"/>
                              <wps:cNvSpPr/>
                              <wps:spPr>
                                <a:xfrm>
                                  <a:off x="103601" y="30874"/>
                                  <a:ext cx="5023" cy="5023"/>
                                </a:xfrm>
                                <a:prstGeom prst="ellipse">
                                  <a:avLst/>
                                </a:prstGeom>
                                <a:solidFill>
                                  <a:srgbClr val="376092"/>
                                </a:solidFill>
                                <a:ln w="38100" cap="flat" cmpd="sng">
                                  <a:solidFill>
                                    <a:srgbClr val="FFFFFF"/>
                                  </a:solidFill>
                                  <a:prstDash val="solid"/>
                                  <a:headEnd type="none" w="med" len="med"/>
                                  <a:tailEnd type="none" w="med" len="med"/>
                                </a:ln>
                                <a:effectLst/>
                              </wps:spPr>
                              <wps:bodyPr vert="horz" wrap="square" anchor="ctr" anchorCtr="0" upright="1"/>
                            </wps:wsp>
                          </wpg:wgp>
                        </a:graphicData>
                      </a:graphic>
                    </wp:anchor>
                  </w:drawing>
                </mc:Choice>
                <mc:Fallback>
                  <w:pict>
                    <v:group id="_x0000_s1026" o:spid="_x0000_s1026" o:spt="203" style="position:absolute;left:0pt;margin-left:295.8pt;margin-top:293.35pt;height:22.75pt;width:22.3pt;z-index:251672576;mso-width-relative:page;mso-height-relative:page;" coordorigin="102488,29762" coordsize="7247,7247" o:gfxdata="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QAQxd2gAAAAsBAAAPAAAAAAAAAAEAIAAAACIAAABkcnMv&#10;ZG93bnJldi54bWxQSwECFAAUAAAACACHTuJAmnO6S+UCAACbBwAADgAAAAAAAAABACAAAAApAQAA&#10;ZHJzL2Uyb0RvYy54bWxQSwUGAAAAAAYABgBZAQAAgAYAAAAA&#10;">
                      <o:lock v:ext="edit" aspectratio="f"/>
                      <v:shape id="椭圆 89" o:spid="_x0000_s1026" o:spt="3" type="#_x0000_t3" style="position:absolute;left:102488;top:29762;height:7248;width:7248;v-text-anchor:middle;" fillcolor="#376092" filled="t" stroked="f" coordsize="21600,21600" o:gfxdata="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vzUW8AAAA&#10;2wAAAA8AAAAAAAAAAQAgAAAAIgAAAGRycy9kb3ducmV2LnhtbFBLAQIUABQAAAAIAIdO4kAzLwWe&#10;OwAAADkAAAAQAAAAAAAAAAEAIAAAAAsBAABkcnMvc2hhcGV4bWwueG1sUEsFBgAAAAAGAAYAWwEA&#10;ALUDAAAAAA==&#10;">
                        <v:path/>
                        <v:fill on="t" opacity="52428f" focussize="0,0"/>
                        <v:stroke on="f" weight="2pt"/>
                        <v:imagedata o:title=""/>
                        <o:lock v:ext="edit" aspectratio="f"/>
                      </v:shape>
                      <v:shape id="椭圆 90" o:spid="_x0000_s1026" o:spt="3" type="#_x0000_t3" style="position:absolute;left:103601;top:30874;height:5023;width:5023;v-text-anchor:middle;" fillcolor="#376092" filled="t" stroked="t" coordsize="21600,21600" o:gfxdata="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7ntr4A&#10;AADbAAAADwAAAAAAAAABACAAAAAiAAAAZHJzL2Rvd25yZXYueG1sUEsBAhQAFAAAAAgAh07iQDMv&#10;BZ47AAAAOQAAABAAAAAAAAAAAQAgAAAADQEAAGRycy9zaGFwZXhtbC54bWxQSwUGAAAAAAYABgBb&#10;AQAAtwMAAAAA&#10;">
                        <v:path/>
                        <v:fill on="t" focussize="0,0"/>
                        <v:stroke weight="3pt" color="#FFFFFF"/>
                        <v:imagedata o:title=""/>
                        <o:lock v:ext="edit" aspectratio="f"/>
                      </v:shape>
                    </v:group>
                  </w:pict>
                </mc:Fallback>
              </mc:AlternateContent>
            </w:r>
            <w:r>
              <w:rPr>
                <w:rFonts w:ascii="Times New Roman"/>
                <w:color w:val="000000"/>
              </w:rPr>
              <mc:AlternateContent>
                <mc:Choice Requires="wpg">
                  <w:drawing>
                    <wp:anchor distT="0" distB="0" distL="114300" distR="114300" simplePos="0" relativeHeight="251676672" behindDoc="0" locked="0" layoutInCell="1" allowOverlap="1">
                      <wp:simplePos x="0" y="0"/>
                      <wp:positionH relativeFrom="column">
                        <wp:posOffset>2580640</wp:posOffset>
                      </wp:positionH>
                      <wp:positionV relativeFrom="paragraph">
                        <wp:posOffset>2022475</wp:posOffset>
                      </wp:positionV>
                      <wp:extent cx="292100" cy="288925"/>
                      <wp:effectExtent l="0" t="0" r="12700" b="15875"/>
                      <wp:wrapNone/>
                      <wp:docPr id="23" name="组合 23"/>
                      <wp:cNvGraphicFramePr/>
                      <a:graphic xmlns:a="http://schemas.openxmlformats.org/drawingml/2006/main">
                        <a:graphicData uri="http://schemas.microsoft.com/office/word/2010/wordprocessingGroup">
                          <wpg:wgp>
                            <wpg:cNvGrpSpPr/>
                            <wpg:grpSpPr>
                              <a:xfrm>
                                <a:off x="0" y="0"/>
                                <a:ext cx="292100" cy="288925"/>
                                <a:chOff x="102488" y="29762"/>
                                <a:chExt cx="7247" cy="7247"/>
                              </a:xfrm>
                              <a:effectLst/>
                            </wpg:grpSpPr>
                            <wps:wsp>
                              <wps:cNvPr id="78" name="椭圆 95"/>
                              <wps:cNvSpPr/>
                              <wps:spPr>
                                <a:xfrm>
                                  <a:off x="102488" y="29762"/>
                                  <a:ext cx="7248" cy="7248"/>
                                </a:xfrm>
                                <a:prstGeom prst="ellipse">
                                  <a:avLst/>
                                </a:prstGeom>
                                <a:solidFill>
                                  <a:srgbClr val="376092">
                                    <a:alpha val="79999"/>
                                  </a:srgbClr>
                                </a:solidFill>
                                <a:ln w="25400">
                                  <a:noFill/>
                                </a:ln>
                                <a:effectLst/>
                              </wps:spPr>
                              <wps:bodyPr vert="horz" wrap="square" anchor="ctr" anchorCtr="0" upright="1"/>
                            </wps:wsp>
                            <wps:wsp>
                              <wps:cNvPr id="79" name="椭圆 96"/>
                              <wps:cNvSpPr/>
                              <wps:spPr>
                                <a:xfrm>
                                  <a:off x="103601" y="30874"/>
                                  <a:ext cx="5023" cy="5023"/>
                                </a:xfrm>
                                <a:prstGeom prst="ellipse">
                                  <a:avLst/>
                                </a:prstGeom>
                                <a:solidFill>
                                  <a:srgbClr val="376092"/>
                                </a:solidFill>
                                <a:ln w="38100" cap="flat" cmpd="sng">
                                  <a:solidFill>
                                    <a:srgbClr val="FFFFFF"/>
                                  </a:solidFill>
                                  <a:prstDash val="solid"/>
                                  <a:headEnd type="none" w="med" len="med"/>
                                  <a:tailEnd type="none" w="med" len="med"/>
                                </a:ln>
                                <a:effectLst/>
                              </wps:spPr>
                              <wps:bodyPr vert="horz" wrap="square" anchor="ctr" anchorCtr="0" upright="1"/>
                            </wps:wsp>
                          </wpg:wgp>
                        </a:graphicData>
                      </a:graphic>
                    </wp:anchor>
                  </w:drawing>
                </mc:Choice>
                <mc:Fallback>
                  <w:pict>
                    <v:group id="_x0000_s1026" o:spid="_x0000_s1026" o:spt="203" style="position:absolute;left:0pt;margin-left:203.2pt;margin-top:159.25pt;height:22.75pt;width:23pt;z-index:251676672;mso-width-relative:page;mso-height-relative:page;" coordorigin="102488,29762" coordsize="7247,7247" o:gfxdata="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LtQ/+faAAAACwEAAA8AAAAAAAAAAQAgAAAAIgAAAGRycy9kb3ducmV2&#10;LnhtbFBLAQIUABQAAAAIAIdO4kAUzLfW3gIAAJsHAAAOAAAAAAAAAAEAIAAAACkBAABkcnMvZTJv&#10;RG9jLnhtbFBLBQYAAAAABgAGAFkBAAB5BgAAAAA=&#10;">
                      <o:lock v:ext="edit" aspectratio="f"/>
                      <v:shape id="椭圆 95" o:spid="_x0000_s1026" o:spt="3" type="#_x0000_t3" style="position:absolute;left:102488;top:29762;height:7248;width:7248;v-text-anchor:middle;" fillcolor="#376092" filled="t" stroked="f" coordsize="21600,21600" o:gfxdata="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4f6r7gAAADbAAAA&#10;DwAAAAAAAAABACAAAAAiAAAAZHJzL2Rvd25yZXYueG1sUEsBAhQAFAAAAAgAh07iQDMvBZ47AAAA&#10;OQAAABAAAAAAAAAAAQAgAAAABwEAAGRycy9zaGFwZXhtbC54bWxQSwUGAAAAAAYABgBbAQAAsQMA&#10;AAAA&#10;">
                        <v:path/>
                        <v:fill on="t" opacity="52428f" focussize="0,0"/>
                        <v:stroke on="f" weight="2pt"/>
                        <v:imagedata o:title=""/>
                        <o:lock v:ext="edit" aspectratio="f"/>
                      </v:shape>
                      <v:shape id="椭圆 96" o:spid="_x0000_s1026" o:spt="3" type="#_x0000_t3" style="position:absolute;left:103601;top:30874;height:5023;width:5023;v-text-anchor:middle;" fillcolor="#376092" filled="t" stroked="t" coordsize="21600,21600" o:gfxdata="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bQXL4A&#10;AADbAAAADwAAAAAAAAABACAAAAAiAAAAZHJzL2Rvd25yZXYueG1sUEsBAhQAFAAAAAgAh07iQDMv&#10;BZ47AAAAOQAAABAAAAAAAAAAAQAgAAAADQEAAGRycy9zaGFwZXhtbC54bWxQSwUGAAAAAAYABgBb&#10;AQAAtwMAAAAA&#10;">
                        <v:path/>
                        <v:fill on="t" focussize="0,0"/>
                        <v:stroke weight="3pt" color="#FFFFFF"/>
                        <v:imagedata o:title=""/>
                        <o:lock v:ext="edit" aspectratio="f"/>
                      </v:shape>
                    </v:group>
                  </w:pict>
                </mc:Fallback>
              </mc:AlternateContent>
            </w:r>
            <w:r>
              <w:rPr>
                <w:rFonts w:ascii="Times New Roman"/>
                <w:color w:val="000000"/>
              </w:rPr>
              <mc:AlternateContent>
                <mc:Choice Requires="wpg">
                  <w:drawing>
                    <wp:anchor distT="0" distB="0" distL="114300" distR="114300" simplePos="0" relativeHeight="251679744" behindDoc="0" locked="0" layoutInCell="1" allowOverlap="1">
                      <wp:simplePos x="0" y="0"/>
                      <wp:positionH relativeFrom="column">
                        <wp:posOffset>1935480</wp:posOffset>
                      </wp:positionH>
                      <wp:positionV relativeFrom="paragraph">
                        <wp:posOffset>1355725</wp:posOffset>
                      </wp:positionV>
                      <wp:extent cx="445135" cy="443230"/>
                      <wp:effectExtent l="26670" t="27305" r="42545" b="43815"/>
                      <wp:wrapNone/>
                      <wp:docPr id="24" name="组合 24"/>
                      <wp:cNvGraphicFramePr/>
                      <a:graphic xmlns:a="http://schemas.openxmlformats.org/drawingml/2006/main">
                        <a:graphicData uri="http://schemas.microsoft.com/office/word/2010/wordprocessingGroup">
                          <wpg:wgp>
                            <wpg:cNvGrpSpPr/>
                            <wpg:grpSpPr>
                              <a:xfrm>
                                <a:off x="0" y="0"/>
                                <a:ext cx="445135" cy="443230"/>
                                <a:chOff x="102489" y="29762"/>
                                <a:chExt cx="7247" cy="7247"/>
                              </a:xfrm>
                              <a:effectLst/>
                            </wpg:grpSpPr>
                            <wps:wsp>
                              <wps:cNvPr id="85" name="椭圆 99"/>
                              <wps:cNvSpPr/>
                              <wps:spPr>
                                <a:xfrm>
                                  <a:off x="102489" y="29762"/>
                                  <a:ext cx="7247" cy="7248"/>
                                </a:xfrm>
                                <a:prstGeom prst="ellipse">
                                  <a:avLst/>
                                </a:prstGeom>
                                <a:solidFill>
                                  <a:srgbClr val="C00000"/>
                                </a:solidFill>
                                <a:ln w="25400">
                                  <a:noFill/>
                                </a:ln>
                                <a:effectLst/>
                              </wps:spPr>
                              <wps:bodyPr vert="horz" wrap="square" anchor="ctr" anchorCtr="0" upright="1"/>
                            </wps:wsp>
                            <wps:wsp>
                              <wps:cNvPr id="86" name="椭圆 100"/>
                              <wps:cNvSpPr/>
                              <wps:spPr>
                                <a:xfrm>
                                  <a:off x="103292" y="30565"/>
                                  <a:ext cx="5641" cy="5641"/>
                                </a:xfrm>
                                <a:prstGeom prst="ellipse">
                                  <a:avLst/>
                                </a:prstGeom>
                                <a:solidFill>
                                  <a:srgbClr val="C00000">
                                    <a:alpha val="50195"/>
                                  </a:srgbClr>
                                </a:solidFill>
                                <a:ln w="152400" cap="flat" cmpd="dbl">
                                  <a:solidFill>
                                    <a:srgbClr val="FFFFFF">
                                      <a:alpha val="50195"/>
                                    </a:srgbClr>
                                  </a:solidFill>
                                  <a:prstDash val="solid"/>
                                  <a:headEnd type="none" w="med" len="med"/>
                                  <a:tailEnd type="none" w="med" len="med"/>
                                </a:ln>
                                <a:effectLst/>
                              </wps:spPr>
                              <wps:bodyPr vert="horz" wrap="square" anchor="ctr" anchorCtr="0" upright="1"/>
                            </wps:wsp>
                          </wpg:wgp>
                        </a:graphicData>
                      </a:graphic>
                    </wp:anchor>
                  </w:drawing>
                </mc:Choice>
                <mc:Fallback>
                  <w:pict>
                    <v:group id="_x0000_s1026" o:spid="_x0000_s1026" o:spt="203" style="position:absolute;left:0pt;margin-left:152.4pt;margin-top:106.75pt;height:34.9pt;width:35.05pt;z-index:251679744;mso-width-relative:page;mso-height-relative:page;" coordorigin="102489,29762" coordsize="7247,7247" o:gfxdata="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ecnxb2wAAAAsBAAAPAAAAAAAAAAEAIAAAACIAAABkcnMv&#10;ZG93bnJldi54bWxQSwECFAAUAAAACACHTuJA297FJOQCAAC+BwAADgAAAAAAAAABACAAAAAqAQAA&#10;ZHJzL2Uyb0RvYy54bWxQSwUGAAAAAAYABgBZAQAAgAYAAAAA&#10;">
                      <o:lock v:ext="edit" aspectratio="f"/>
                      <v:shape id="椭圆 99" o:spid="_x0000_s1026" o:spt="3" type="#_x0000_t3" style="position:absolute;left:102489;top:29762;height:7248;width:7247;v-text-anchor:middle;" fillcolor="#C00000" filled="t" stroked="f" coordsize="21600,21600" o:gfxdata="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Ykar4A&#10;AADbAAAADwAAAAAAAAABACAAAAAiAAAAZHJzL2Rvd25yZXYueG1sUEsBAhQAFAAAAAgAh07iQDMv&#10;BZ47AAAAOQAAABAAAAAAAAAAAQAgAAAADQEAAGRycy9zaGFwZXhtbC54bWxQSwUGAAAAAAYABgBb&#10;AQAAtwMAAAAA&#10;">
                        <v:path/>
                        <v:fill on="t" focussize="0,0"/>
                        <v:stroke on="f" weight="2pt"/>
                        <v:imagedata o:title=""/>
                        <o:lock v:ext="edit" aspectratio="f"/>
                      </v:shape>
                      <v:shape id="椭圆 100" o:spid="_x0000_s1026" o:spt="3" type="#_x0000_t3" style="position:absolute;left:103292;top:30565;height:5641;width:5641;v-text-anchor:middle;" fillcolor="#C00000" filled="t" stroked="t" coordsize="21600,21600" o:gfxdata="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EbKKvQAA&#10;ANsAAAAPAAAAAAAAAAEAIAAAACIAAABkcnMvZG93bnJldi54bWxQSwECFAAUAAAACACHTuJAMy8F&#10;njsAAAA5AAAAEAAAAAAAAAABACAAAAAMAQAAZHJzL3NoYXBleG1sLnhtbFBLBQYAAAAABgAGAFsB&#10;AAC2AwAAAAA=&#10;">
                        <v:path/>
                        <v:fill on="t" opacity="32895f" focussize="0,0"/>
                        <v:stroke weight="12pt" color="#FFFFFF" opacity="32895f" linestyle="thinThin"/>
                        <v:imagedata o:title=""/>
                        <o:lock v:ext="edit" aspectratio="f"/>
                      </v:shape>
                    </v:group>
                  </w:pict>
                </mc:Fallback>
              </mc:AlternateContent>
            </w:r>
            <w:r>
              <w:rPr>
                <w:rFonts w:ascii="Times New Roman"/>
                <w:color w:val="000000"/>
              </w:rPr>
              <mc:AlternateContent>
                <mc:Choice Requires="wpg">
                  <w:drawing>
                    <wp:anchor distT="0" distB="0" distL="114300" distR="114300" simplePos="0" relativeHeight="251664384" behindDoc="0" locked="0" layoutInCell="1" allowOverlap="1">
                      <wp:simplePos x="0" y="0"/>
                      <wp:positionH relativeFrom="column">
                        <wp:posOffset>2679700</wp:posOffset>
                      </wp:positionH>
                      <wp:positionV relativeFrom="paragraph">
                        <wp:posOffset>492125</wp:posOffset>
                      </wp:positionV>
                      <wp:extent cx="486410" cy="473075"/>
                      <wp:effectExtent l="0" t="0" r="8890" b="3175"/>
                      <wp:wrapNone/>
                      <wp:docPr id="25" name="组合 25"/>
                      <wp:cNvGraphicFramePr/>
                      <a:graphic xmlns:a="http://schemas.openxmlformats.org/drawingml/2006/main">
                        <a:graphicData uri="http://schemas.microsoft.com/office/word/2010/wordprocessingGroup">
                          <wpg:wgp>
                            <wpg:cNvGrpSpPr/>
                            <wpg:grpSpPr>
                              <a:xfrm>
                                <a:off x="0" y="0"/>
                                <a:ext cx="486410" cy="473075"/>
                                <a:chOff x="101355" y="28628"/>
                                <a:chExt cx="9514" cy="9514"/>
                              </a:xfrm>
                              <a:effectLst/>
                            </wpg:grpSpPr>
                            <wps:wsp>
                              <wps:cNvPr id="47" name="椭圆 65"/>
                              <wps:cNvSpPr/>
                              <wps:spPr>
                                <a:xfrm>
                                  <a:off x="101355" y="28628"/>
                                  <a:ext cx="9515" cy="9515"/>
                                </a:xfrm>
                                <a:prstGeom prst="ellipse">
                                  <a:avLst/>
                                </a:prstGeom>
                                <a:solidFill>
                                  <a:srgbClr val="ED7D31">
                                    <a:alpha val="50195"/>
                                  </a:srgbClr>
                                </a:solidFill>
                                <a:ln w="25400">
                                  <a:noFill/>
                                </a:ln>
                                <a:effectLst/>
                              </wps:spPr>
                              <wps:bodyPr vert="horz" wrap="square" anchor="ctr" anchorCtr="0" upright="1"/>
                            </wps:wsp>
                            <wpg:grpSp>
                              <wpg:cNvPr id="26" name="组合 66"/>
                              <wpg:cNvGrpSpPr/>
                              <wpg:grpSpPr>
                                <a:xfrm>
                                  <a:off x="102952" y="30226"/>
                                  <a:ext cx="6321" cy="6320"/>
                                  <a:chOff x="102489" y="29762"/>
                                  <a:chExt cx="7247" cy="7247"/>
                                </a:xfrm>
                                <a:effectLst/>
                              </wpg:grpSpPr>
                              <wps:wsp>
                                <wps:cNvPr id="48" name="椭圆 67"/>
                                <wps:cNvSpPr/>
                                <wps:spPr>
                                  <a:xfrm>
                                    <a:off x="102489" y="29762"/>
                                    <a:ext cx="7247" cy="7248"/>
                                  </a:xfrm>
                                  <a:prstGeom prst="ellipse">
                                    <a:avLst/>
                                  </a:prstGeom>
                                  <a:solidFill>
                                    <a:srgbClr val="ED7D31"/>
                                  </a:solidFill>
                                  <a:ln w="25400">
                                    <a:noFill/>
                                  </a:ln>
                                  <a:effectLst/>
                                </wps:spPr>
                                <wps:bodyPr vert="horz" wrap="square" anchor="ctr" anchorCtr="0" upright="1"/>
                              </wps:wsp>
                              <wps:wsp>
                                <wps:cNvPr id="49" name="椭圆 68"/>
                                <wps:cNvSpPr/>
                                <wps:spPr>
                                  <a:xfrm>
                                    <a:off x="103063" y="30337"/>
                                    <a:ext cx="6098" cy="6098"/>
                                  </a:xfrm>
                                  <a:prstGeom prst="ellipse">
                                    <a:avLst/>
                                  </a:prstGeom>
                                  <a:solidFill>
                                    <a:srgbClr val="ED7D31"/>
                                  </a:solidFill>
                                  <a:ln w="76200" cap="flat" cmpd="dbl">
                                    <a:solidFill>
                                      <a:srgbClr val="FFFFFF"/>
                                    </a:solidFill>
                                    <a:prstDash val="solid"/>
                                    <a:headEnd type="none" w="med" len="med"/>
                                    <a:tailEnd type="none" w="med" len="med"/>
                                  </a:ln>
                                  <a:effectLst/>
                                </wps:spPr>
                                <wps:bodyPr vert="horz" wrap="square" anchor="ctr" anchorCtr="0" upright="1"/>
                              </wps:wsp>
                            </wpg:grpSp>
                          </wpg:wgp>
                        </a:graphicData>
                      </a:graphic>
                    </wp:anchor>
                  </w:drawing>
                </mc:Choice>
                <mc:Fallback>
                  <w:pict>
                    <v:group id="_x0000_s1026" o:spid="_x0000_s1026" o:spt="203" style="position:absolute;left:0pt;margin-left:211pt;margin-top:38.75pt;height:37.25pt;width:38.3pt;z-index:251664384;mso-width-relative:page;mso-height-relative:page;" coordorigin="101355,28628" coordsize="9514,9514" o:gfxdata="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BB8z72wAAAAoBAAAPAAAAAAAAAAEAIAAAACIAAABkcnMv&#10;ZG93bnJldi54bWxQSwECFAAUAAAACACHTuJAQ65C4FYDAAC9CgAADgAAAAAAAAABACAAAAAqAQAA&#10;ZHJzL2Uyb0RvYy54bWxQSwUGAAAAAAYABgBZAQAA8gYAAAAA&#10;">
                      <o:lock v:ext="edit" aspectratio="f"/>
                      <v:shape id="椭圆 65" o:spid="_x0000_s1026" o:spt="3" type="#_x0000_t3" style="position:absolute;left:101355;top:28628;height:9515;width:9515;v-text-anchor:middle;" fillcolor="#ED7D31" filled="t" stroked="f" coordsize="21600,21600" o:gfxdata="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in7r4A&#10;AADbAAAADwAAAAAAAAABACAAAAAiAAAAZHJzL2Rvd25yZXYueG1sUEsBAhQAFAAAAAgAh07iQDMv&#10;BZ47AAAAOQAAABAAAAAAAAAAAQAgAAAADQEAAGRycy9zaGFwZXhtbC54bWxQSwUGAAAAAAYABgBb&#10;AQAAtwMAAAAA&#10;">
                        <v:path/>
                        <v:fill on="t" opacity="32895f" focussize="0,0"/>
                        <v:stroke on="f" weight="2pt"/>
                        <v:imagedata o:title=""/>
                        <o:lock v:ext="edit" aspectratio="f"/>
                      </v:shape>
                      <v:group id="组合 66" o:spid="_x0000_s1026" o:spt="203" style="position:absolute;left:102952;top:30226;height:6320;width:6321;" coordorigin="102489,29762" coordsize="7247,7247"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椭圆 67" o:spid="_x0000_s1026" o:spt="3" type="#_x0000_t3" style="position:absolute;left:102489;top:29762;height:7248;width:7247;v-text-anchor:middle;" fillcolor="#ED7D31" filled="t" stroked="f" coordsize="21600,21600" o:gfxdata="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BVdy8AAAA&#10;2wAAAA8AAAAAAAAAAQAgAAAAIgAAAGRycy9kb3ducmV2LnhtbFBLAQIUABQAAAAIAIdO4kAzLwWe&#10;OwAAADkAAAAQAAAAAAAAAAEAIAAAAAsBAABkcnMvc2hhcGV4bWwueG1sUEsFBgAAAAAGAAYAWwEA&#10;ALUDAAAAAA==&#10;">
                          <v:path/>
                          <v:fill on="t" focussize="0,0"/>
                          <v:stroke on="f" weight="2pt"/>
                          <v:imagedata o:title=""/>
                          <o:lock v:ext="edit" aspectratio="f"/>
                        </v:shape>
                        <v:shape id="椭圆 68" o:spid="_x0000_s1026" o:spt="3" type="#_x0000_t3" style="position:absolute;left:103063;top:30337;height:6098;width:6098;v-text-anchor:middle;" fillcolor="#ED7D31" filled="t" stroked="t" coordsize="21600,21600" o:gfxdata="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PDhq/&#10;AAAA2wAAAA8AAAAAAAAAAQAgAAAAIgAAAGRycy9kb3ducmV2LnhtbFBLAQIUABQAAAAIAIdO4kAz&#10;LwWeOwAAADkAAAAQAAAAAAAAAAEAIAAAAA4BAABkcnMvc2hhcGV4bWwueG1sUEsFBgAAAAAGAAYA&#10;WwEAALgDAAAAAA==&#10;">
                          <v:path/>
                          <v:fill on="t" focussize="0,0"/>
                          <v:stroke weight="6pt" color="#FFFFFF" linestyle="thinThin"/>
                          <v:imagedata o:title=""/>
                          <o:lock v:ext="edit" aspectratio="f"/>
                        </v:shape>
                      </v:group>
                    </v:group>
                  </w:pict>
                </mc:Fallback>
              </mc:AlternateContent>
            </w:r>
            <w:r>
              <w:rPr>
                <w:rFonts w:ascii="Times New Roman"/>
                <w:color w:val="000000"/>
              </w:rPr>
              <mc:AlternateContent>
                <mc:Choice Requires="wpg">
                  <w:drawing>
                    <wp:anchor distT="0" distB="0" distL="114300" distR="114300" simplePos="0" relativeHeight="251680768" behindDoc="0" locked="0" layoutInCell="1" allowOverlap="1">
                      <wp:simplePos x="0" y="0"/>
                      <wp:positionH relativeFrom="column">
                        <wp:posOffset>3252470</wp:posOffset>
                      </wp:positionH>
                      <wp:positionV relativeFrom="paragraph">
                        <wp:posOffset>1706245</wp:posOffset>
                      </wp:positionV>
                      <wp:extent cx="437515" cy="426720"/>
                      <wp:effectExtent l="27940" t="29210" r="29845" b="39370"/>
                      <wp:wrapNone/>
                      <wp:docPr id="29" name="组合 29"/>
                      <wp:cNvGraphicFramePr/>
                      <a:graphic xmlns:a="http://schemas.openxmlformats.org/drawingml/2006/main">
                        <a:graphicData uri="http://schemas.microsoft.com/office/word/2010/wordprocessingGroup">
                          <wpg:wgp>
                            <wpg:cNvGrpSpPr/>
                            <wpg:grpSpPr>
                              <a:xfrm>
                                <a:off x="0" y="0"/>
                                <a:ext cx="437515" cy="426720"/>
                                <a:chOff x="102489" y="29762"/>
                                <a:chExt cx="7247" cy="7247"/>
                              </a:xfrm>
                              <a:effectLst/>
                            </wpg:grpSpPr>
                            <wps:wsp>
                              <wps:cNvPr id="88" name="椭圆 102"/>
                              <wps:cNvSpPr/>
                              <wps:spPr>
                                <a:xfrm>
                                  <a:off x="102489" y="29762"/>
                                  <a:ext cx="7247" cy="7248"/>
                                </a:xfrm>
                                <a:prstGeom prst="ellipse">
                                  <a:avLst/>
                                </a:prstGeom>
                                <a:solidFill>
                                  <a:srgbClr val="C00000"/>
                                </a:solidFill>
                                <a:ln w="25400">
                                  <a:noFill/>
                                </a:ln>
                                <a:effectLst/>
                              </wps:spPr>
                              <wps:bodyPr vert="horz" wrap="square" anchor="ctr" anchorCtr="0" upright="1"/>
                            </wps:wsp>
                            <wps:wsp>
                              <wps:cNvPr id="89" name="椭圆 103"/>
                              <wps:cNvSpPr/>
                              <wps:spPr>
                                <a:xfrm>
                                  <a:off x="103292" y="30565"/>
                                  <a:ext cx="5641" cy="5641"/>
                                </a:xfrm>
                                <a:prstGeom prst="ellipse">
                                  <a:avLst/>
                                </a:prstGeom>
                                <a:solidFill>
                                  <a:srgbClr val="C00000">
                                    <a:alpha val="50195"/>
                                  </a:srgbClr>
                                </a:solidFill>
                                <a:ln w="152400" cap="flat" cmpd="dbl">
                                  <a:solidFill>
                                    <a:srgbClr val="FFFFFF">
                                      <a:alpha val="50195"/>
                                    </a:srgbClr>
                                  </a:solidFill>
                                  <a:prstDash val="solid"/>
                                  <a:headEnd type="none" w="med" len="med"/>
                                  <a:tailEnd type="none" w="med" len="med"/>
                                </a:ln>
                                <a:effectLst/>
                              </wps:spPr>
                              <wps:bodyPr vert="horz" wrap="square" anchor="ctr" anchorCtr="0" upright="1"/>
                            </wps:wsp>
                          </wpg:wgp>
                        </a:graphicData>
                      </a:graphic>
                    </wp:anchor>
                  </w:drawing>
                </mc:Choice>
                <mc:Fallback>
                  <w:pict>
                    <v:group id="_x0000_s1026" o:spid="_x0000_s1026" o:spt="203" style="position:absolute;left:0pt;margin-left:256.1pt;margin-top:134.35pt;height:33.6pt;width:34.45pt;z-index:251680768;mso-width-relative:page;mso-height-relative:page;" coordorigin="102489,29762" coordsize="7247,7247" o:gfxdata="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O+zQ9jbAAAACwEAAA8AAAAAAAAAAQAgAAAAIgAAAGRycy9kb3du&#10;cmV2LnhtbFBLAQIUABQAAAAIAIdO4kCCDn4M4AIAAL8HAAAOAAAAAAAAAAEAIAAAACoBAABkcnMv&#10;ZTJvRG9jLnhtbFBLBQYAAAAABgAGAFkBAAB8BgAAAAA=&#10;">
                      <o:lock v:ext="edit" aspectratio="f"/>
                      <v:shape id="椭圆 102" o:spid="_x0000_s1026" o:spt="3" type="#_x0000_t3" style="position:absolute;left:102489;top:29762;height:7248;width:7247;v-text-anchor:middle;" fillcolor="#C00000" filled="t" stroked="f" coordsize="21600,21600" o:gfxdata="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B4v0ugAAANsA&#10;AAAPAAAAAAAAAAEAIAAAACIAAABkcnMvZG93bnJldi54bWxQSwECFAAUAAAACACHTuJAMy8FnjsA&#10;AAA5AAAAEAAAAAAAAAABACAAAAAJAQAAZHJzL3NoYXBleG1sLnhtbFBLBQYAAAAABgAGAFsBAACz&#10;AwAAAAA=&#10;">
                        <v:path/>
                        <v:fill on="t" focussize="0,0"/>
                        <v:stroke on="f" weight="2pt"/>
                        <v:imagedata o:title=""/>
                        <o:lock v:ext="edit" aspectratio="f"/>
                      </v:shape>
                      <v:shape id="椭圆 103" o:spid="_x0000_s1026" o:spt="3" type="#_x0000_t3" style="position:absolute;left:103292;top:30565;height:5641;width:5641;v-text-anchor:middle;" fillcolor="#C00000" filled="t" stroked="t" coordsize="21600,21600" o:gfxdata="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OJvi8AAAA&#10;2wAAAA8AAAAAAAAAAQAgAAAAIgAAAGRycy9kb3ducmV2LnhtbFBLAQIUABQAAAAIAIdO4kAzLwWe&#10;OwAAADkAAAAQAAAAAAAAAAEAIAAAAAsBAABkcnMvc2hhcGV4bWwueG1sUEsFBgAAAAAGAAYAWwEA&#10;ALUDAAAAAA==&#10;">
                        <v:path/>
                        <v:fill on="t" opacity="32895f" focussize="0,0"/>
                        <v:stroke weight="12pt" color="#FFFFFF" opacity="32895f" linestyle="thinThin"/>
                        <v:imagedata o:title=""/>
                        <o:lock v:ext="edit" aspectratio="f"/>
                      </v:shape>
                    </v:group>
                  </w:pict>
                </mc:Fallback>
              </mc:AlternateContent>
            </w:r>
            <w:r>
              <w:rPr>
                <w:rFonts w:ascii="Times New Roman"/>
                <w:color w:val="000000"/>
              </w:rPr>
              <mc:AlternateContent>
                <mc:Choice Requires="wps">
                  <w:drawing>
                    <wp:anchor distT="0" distB="0" distL="114300" distR="114300" simplePos="0" relativeHeight="251686912" behindDoc="0" locked="0" layoutInCell="1" allowOverlap="1">
                      <wp:simplePos x="0" y="0"/>
                      <wp:positionH relativeFrom="column">
                        <wp:posOffset>3400425</wp:posOffset>
                      </wp:positionH>
                      <wp:positionV relativeFrom="paragraph">
                        <wp:posOffset>2185670</wp:posOffset>
                      </wp:positionV>
                      <wp:extent cx="1089025" cy="38417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089025" cy="384175"/>
                              </a:xfrm>
                              <a:prstGeom prst="rect">
                                <a:avLst/>
                              </a:prstGeom>
                              <a:noFill/>
                              <a:ln w="9525">
                                <a:noFill/>
                              </a:ln>
                              <a:effectLst/>
                            </wps:spPr>
                            <wps:txbx>
                              <w:txbxContent>
                                <w:p>
                                  <w:pPr>
                                    <w:numPr>
                                      <w:ilvl w:val="0"/>
                                      <w:numId w:val="3"/>
                                    </w:numPr>
                                    <w:ind w:firstLine="420"/>
                                    <w:jc w:val="left"/>
                                    <w:textAlignment w:val="baseline"/>
                                    <w:rPr>
                                      <w:rFonts w:ascii="Times New Roman"/>
                                      <w:color w:val="000000"/>
                                      <w:sz w:val="36"/>
                                    </w:rPr>
                                  </w:pPr>
                                  <w:r>
                                    <w:rPr>
                                      <w:rFonts w:ascii="宋体"/>
                                      <w:b/>
                                      <w:color w:val="000000"/>
                                      <w:kern w:val="24"/>
                                      <w:sz w:val="12"/>
                                      <w:szCs w:val="12"/>
                                    </w:rPr>
                                    <w:t>五通桥区</w:t>
                                  </w:r>
                                </w:p>
                              </w:txbxContent>
                            </wps:txbx>
                            <wps:bodyPr vert="horz" wrap="square" lIns="0" tIns="0" rIns="0" bIns="0" anchor="t" anchorCtr="0">
                              <a:noAutofit/>
                            </wps:bodyPr>
                          </wps:wsp>
                        </a:graphicData>
                      </a:graphic>
                    </wp:anchor>
                  </w:drawing>
                </mc:Choice>
                <mc:Fallback>
                  <w:pict>
                    <v:shape id="_x0000_s1026" o:spid="_x0000_s1026" o:spt="202" type="#_x0000_t202" style="position:absolute;left:0pt;margin-left:267.75pt;margin-top:172.1pt;height:30.25pt;width:85.75pt;z-index:251686912;mso-width-relative:page;mso-height-relative:page;" filled="f" stroked="f" coordsize="21600,21600" o:gfxdata="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2FWCNsAAAALAQAADwAAAAAAAAABACAAAAAiAAAAZHJzL2Rvd25yZXYueG1sUEsBAhQAFAAA&#10;AAgAh07iQDWmfP/sAQAAzgMAAA4AAAAAAAAAAQAgAAAAKgEAAGRycy9lMm9Eb2MueG1sUEsFBgAA&#10;AAAGAAYAWQEAAIgFAAAAAA==&#10;">
                      <v:path/>
                      <v:fill on="f" focussize="0,0"/>
                      <v:stroke on="f"/>
                      <v:imagedata o:title=""/>
                      <o:lock v:ext="edit" aspectratio="f"/>
                      <v:textbox inset="0mm,0mm,0mm,0mm">
                        <w:txbxContent>
                          <w:p>
                            <w:pPr>
                              <w:numPr>
                                <w:ilvl w:val="0"/>
                                <w:numId w:val="3"/>
                              </w:numPr>
                              <w:ind w:firstLine="420"/>
                              <w:jc w:val="left"/>
                              <w:textAlignment w:val="baseline"/>
                              <w:rPr>
                                <w:rFonts w:ascii="Times New Roman"/>
                                <w:color w:val="000000"/>
                                <w:sz w:val="36"/>
                              </w:rPr>
                            </w:pPr>
                            <w:r>
                              <w:rPr>
                                <w:rFonts w:ascii="宋体"/>
                                <w:b/>
                                <w:color w:val="000000"/>
                                <w:kern w:val="24"/>
                                <w:sz w:val="12"/>
                                <w:szCs w:val="12"/>
                              </w:rPr>
                              <w:t>五通桥区</w:t>
                            </w:r>
                          </w:p>
                        </w:txbxContent>
                      </v:textbox>
                    </v:shape>
                  </w:pict>
                </mc:Fallback>
              </mc:AlternateContent>
            </w:r>
            <w:r>
              <w:rPr>
                <w:rFonts w:hint="eastAsia" w:ascii="Times New Roman"/>
                <w:color w:val="000000"/>
              </w:rPr>
              <w:t>啤酒美食音乐周</w:t>
            </w:r>
          </w:p>
          <w:p>
            <w:pPr>
              <w:pStyle w:val="2"/>
            </w:pPr>
          </w:p>
        </w:tc>
      </w:tr>
    </w:tbl>
    <w:p>
      <w:pPr>
        <w:rPr>
          <w:rFonts w:hint="eastAsia"/>
        </w:rPr>
      </w:pPr>
    </w:p>
    <w:tbl>
      <w:tblPr>
        <w:tblStyle w:val="6"/>
        <w:tblpPr w:leftFromText="180" w:rightFromText="180" w:vertAnchor="text" w:horzAnchor="page" w:tblpXSpec="center" w:tblpY="45"/>
        <w:tblOverlap w:val="never"/>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8948" w:type="dxa"/>
            <w:shd w:val="clear" w:color="auto" w:fill="auto"/>
            <w:noWrap w:val="0"/>
            <w:vAlign w:val="center"/>
          </w:tcPr>
          <w:p>
            <w:pPr>
              <w:spacing w:line="400" w:lineRule="exact"/>
              <w:jc w:val="center"/>
              <w:rPr>
                <w:rFonts w:ascii="黑体" w:hAnsi="黑体" w:eastAsia="黑体"/>
                <w:bCs/>
                <w:sz w:val="28"/>
                <w:szCs w:val="28"/>
              </w:rPr>
            </w:pPr>
            <w:bookmarkStart w:id="413" w:name="_Toc90812646"/>
            <w:bookmarkStart w:id="414" w:name="_Toc64"/>
            <w:bookmarkStart w:id="415" w:name="_Toc5158"/>
            <w:bookmarkStart w:id="416" w:name="_Toc25153"/>
            <w:bookmarkStart w:id="417" w:name="_Toc90005848"/>
            <w:bookmarkStart w:id="418" w:name="_Toc31949"/>
            <w:bookmarkStart w:id="419" w:name="_Toc18529"/>
            <w:bookmarkStart w:id="420" w:name="_Toc23112"/>
            <w:r>
              <w:rPr>
                <w:rFonts w:ascii="黑体" w:hAnsi="黑体" w:eastAsia="黑体"/>
                <w:bCs/>
                <w:sz w:val="28"/>
                <w:szCs w:val="28"/>
              </w:rPr>
              <w:t>专栏8：乐山市“十四五”会展产业发展方向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8" w:type="dxa"/>
            <w:noWrap w:val="0"/>
            <w:vAlign w:val="top"/>
          </w:tcPr>
          <w:p>
            <w:pPr>
              <w:spacing w:line="430" w:lineRule="exact"/>
              <w:ind w:firstLine="560" w:firstLineChars="200"/>
              <w:rPr>
                <w:rFonts w:ascii="黑体" w:hAnsi="黑体" w:eastAsia="黑体"/>
                <w:bCs/>
                <w:sz w:val="28"/>
                <w:szCs w:val="28"/>
              </w:rPr>
            </w:pPr>
            <w:r>
              <w:rPr>
                <w:rFonts w:ascii="黑体" w:hAnsi="黑体" w:eastAsia="黑体"/>
                <w:bCs/>
                <w:sz w:val="28"/>
                <w:szCs w:val="28"/>
              </w:rPr>
              <w:t>一带</w:t>
            </w:r>
          </w:p>
          <w:p>
            <w:pPr>
              <w:spacing w:line="430" w:lineRule="exact"/>
              <w:ind w:firstLine="560" w:firstLineChars="200"/>
              <w:rPr>
                <w:rFonts w:ascii="Times New Roman"/>
                <w:b/>
                <w:bCs/>
                <w:sz w:val="28"/>
                <w:szCs w:val="28"/>
              </w:rPr>
            </w:pPr>
            <w:r>
              <w:rPr>
                <w:rFonts w:ascii="Times New Roman"/>
                <w:sz w:val="28"/>
                <w:szCs w:val="28"/>
              </w:rPr>
              <w:t>从峨眉山市城区沿市中区、乐山高新区至五通桥区布局会展产业带，发挥示范效应，完善泛会展载体、配套设施及消费场景，推动展会节赛演互动发展。</w:t>
            </w:r>
          </w:p>
          <w:p>
            <w:pPr>
              <w:spacing w:line="430" w:lineRule="exact"/>
              <w:ind w:firstLine="560" w:firstLineChars="200"/>
              <w:rPr>
                <w:rFonts w:ascii="黑体" w:hAnsi="黑体" w:eastAsia="黑体"/>
                <w:bCs/>
                <w:sz w:val="28"/>
                <w:szCs w:val="28"/>
              </w:rPr>
            </w:pPr>
            <w:r>
              <w:rPr>
                <w:rFonts w:ascii="黑体" w:hAnsi="黑体" w:eastAsia="黑体"/>
                <w:bCs/>
                <w:sz w:val="28"/>
                <w:szCs w:val="28"/>
              </w:rPr>
              <w:t>双核</w:t>
            </w:r>
          </w:p>
          <w:p>
            <w:pPr>
              <w:spacing w:line="430" w:lineRule="exact"/>
              <w:ind w:firstLine="560" w:firstLineChars="200"/>
              <w:rPr>
                <w:rFonts w:ascii="Times New Roman"/>
                <w:sz w:val="28"/>
                <w:szCs w:val="28"/>
              </w:rPr>
            </w:pPr>
            <w:r>
              <w:rPr>
                <w:rFonts w:ascii="Times New Roman"/>
                <w:sz w:val="28"/>
                <w:szCs w:val="28"/>
              </w:rPr>
              <w:t>以乐山国际博览城及辐射区、四川国际旅游交易博览中心及辐射区为核心，重点发展主题展会、大型展会等，发挥核心带动和发展引擎作用，积极承办、举办国际级与国家级的展会节赛活动。</w:t>
            </w:r>
          </w:p>
          <w:p>
            <w:pPr>
              <w:spacing w:line="430" w:lineRule="exact"/>
              <w:ind w:firstLine="560" w:firstLineChars="200"/>
              <w:rPr>
                <w:rFonts w:ascii="黑体" w:hAnsi="黑体" w:eastAsia="黑体"/>
                <w:bCs/>
                <w:sz w:val="28"/>
                <w:szCs w:val="28"/>
              </w:rPr>
            </w:pPr>
            <w:r>
              <w:rPr>
                <w:rFonts w:ascii="黑体" w:hAnsi="黑体" w:eastAsia="黑体"/>
                <w:bCs/>
                <w:sz w:val="28"/>
                <w:szCs w:val="28"/>
              </w:rPr>
              <w:t>三组团</w:t>
            </w:r>
          </w:p>
          <w:p>
            <w:pPr>
              <w:spacing w:line="430" w:lineRule="exact"/>
              <w:ind w:firstLine="560" w:firstLineChars="200"/>
              <w:rPr>
                <w:rFonts w:ascii="Times New Roman"/>
                <w:sz w:val="28"/>
                <w:szCs w:val="28"/>
              </w:rPr>
            </w:pPr>
            <w:r>
              <w:rPr>
                <w:rFonts w:ascii="Times New Roman"/>
                <w:sz w:val="28"/>
                <w:szCs w:val="28"/>
              </w:rPr>
              <w:t>夹江县新型建材会展组团：主要依托东风堰世界灌溉工程遗产、夹江年画、陶瓷产业、传统造纸、民用核技术、茶旅融合等特色开展会展活动。</w:t>
            </w:r>
          </w:p>
          <w:p>
            <w:pPr>
              <w:spacing w:line="430" w:lineRule="exact"/>
              <w:ind w:firstLine="560" w:firstLineChars="200"/>
              <w:rPr>
                <w:rFonts w:ascii="Times New Roman"/>
                <w:sz w:val="28"/>
                <w:szCs w:val="28"/>
              </w:rPr>
            </w:pPr>
            <w:r>
              <w:rPr>
                <w:rFonts w:ascii="Times New Roman"/>
                <w:sz w:val="28"/>
                <w:szCs w:val="28"/>
              </w:rPr>
              <w:t>井研县农旅乡村会展组团：主要依托中国柑桔之乡的百里产业环线、井研农民画、特色养殖加工产品交易等特色开展会展活动。</w:t>
            </w:r>
          </w:p>
          <w:p>
            <w:pPr>
              <w:spacing w:line="430" w:lineRule="exact"/>
              <w:ind w:firstLine="560" w:firstLineChars="200"/>
              <w:rPr>
                <w:rFonts w:ascii="Times New Roman"/>
                <w:sz w:val="28"/>
                <w:szCs w:val="28"/>
              </w:rPr>
            </w:pPr>
            <w:r>
              <w:rPr>
                <w:rFonts w:ascii="Times New Roman"/>
                <w:sz w:val="28"/>
                <w:szCs w:val="28"/>
              </w:rPr>
              <w:t>犍为县装备制造组团：主要依托世界茉莉博览园打造和全省临港产业示范区打造，在先进装备、特色轻工、特色农产品等方面开展会展活动。</w:t>
            </w:r>
          </w:p>
          <w:p>
            <w:pPr>
              <w:spacing w:line="430" w:lineRule="exact"/>
              <w:ind w:firstLine="560" w:firstLineChars="200"/>
              <w:rPr>
                <w:rFonts w:hint="eastAsia" w:ascii="黑体" w:hAnsi="黑体" w:eastAsia="黑体"/>
                <w:bCs/>
                <w:sz w:val="28"/>
                <w:szCs w:val="28"/>
              </w:rPr>
            </w:pPr>
            <w:r>
              <w:rPr>
                <w:rFonts w:ascii="黑体" w:hAnsi="黑体" w:eastAsia="黑体"/>
                <w:bCs/>
                <w:sz w:val="28"/>
                <w:szCs w:val="28"/>
              </w:rPr>
              <w:t>四支点</w:t>
            </w:r>
          </w:p>
          <w:p>
            <w:pPr>
              <w:spacing w:line="430" w:lineRule="exact"/>
              <w:ind w:firstLine="560" w:firstLineChars="200"/>
              <w:rPr>
                <w:rFonts w:ascii="Times New Roman"/>
                <w:sz w:val="28"/>
                <w:szCs w:val="28"/>
              </w:rPr>
            </w:pPr>
            <w:r>
              <w:rPr>
                <w:rFonts w:ascii="Times New Roman"/>
                <w:sz w:val="28"/>
                <w:szCs w:val="28"/>
              </w:rPr>
              <w:t>沙湾区工旅融合微展支点：主要依托钒钛产业、峨沙休闲康养旅游带建设、水上运动、半程马拉松赛事的举办，借助“一带双核”会展的波及效应开展会展活动。</w:t>
            </w:r>
          </w:p>
          <w:p>
            <w:pPr>
              <w:spacing w:line="430" w:lineRule="exact"/>
              <w:ind w:firstLine="560" w:firstLineChars="200"/>
              <w:rPr>
                <w:rFonts w:ascii="Times New Roman"/>
                <w:sz w:val="28"/>
                <w:szCs w:val="28"/>
              </w:rPr>
            </w:pPr>
            <w:r>
              <w:rPr>
                <w:rFonts w:ascii="Times New Roman"/>
                <w:sz w:val="28"/>
                <w:szCs w:val="28"/>
              </w:rPr>
              <w:t>沐川县绿色产业微展支点：主要依托生态产业、康养旅游、民俗</w:t>
            </w:r>
            <w:r>
              <w:rPr>
                <w:rFonts w:hint="eastAsia" w:ascii="Times New Roman"/>
                <w:sz w:val="28"/>
                <w:szCs w:val="28"/>
              </w:rPr>
              <w:t>风情</w:t>
            </w:r>
            <w:r>
              <w:rPr>
                <w:rFonts w:ascii="Times New Roman"/>
                <w:sz w:val="28"/>
                <w:szCs w:val="28"/>
              </w:rPr>
              <w:t>等开展会展活动。</w:t>
            </w:r>
          </w:p>
          <w:p>
            <w:pPr>
              <w:spacing w:line="430" w:lineRule="exact"/>
              <w:ind w:firstLine="560" w:firstLineChars="200"/>
              <w:rPr>
                <w:rFonts w:ascii="Times New Roman"/>
                <w:sz w:val="28"/>
                <w:szCs w:val="28"/>
              </w:rPr>
            </w:pPr>
            <w:r>
              <w:rPr>
                <w:rFonts w:ascii="Times New Roman"/>
                <w:sz w:val="28"/>
                <w:szCs w:val="28"/>
              </w:rPr>
              <w:t>马边彝族自治县民俗生态微展支点：主要依托小凉山民族地区的民族文化特色优势等开展会展活动。</w:t>
            </w:r>
          </w:p>
          <w:p>
            <w:pPr>
              <w:spacing w:line="430" w:lineRule="exact"/>
              <w:ind w:firstLine="560" w:firstLineChars="200"/>
              <w:rPr>
                <w:rFonts w:ascii="Times New Roman"/>
              </w:rPr>
            </w:pPr>
            <w:r>
              <w:rPr>
                <w:rFonts w:ascii="Times New Roman"/>
                <w:sz w:val="28"/>
                <w:szCs w:val="28"/>
              </w:rPr>
              <w:t>峨边彝族自治县-金口河区民族山地微展支点：主要依托小凉山民族地区的自然资源、高山农业等开展会展活动，错位错时开展会展活动。</w:t>
            </w:r>
          </w:p>
        </w:tc>
      </w:tr>
    </w:tbl>
    <w:p>
      <w:pPr>
        <w:rPr>
          <w:rFonts w:hint="eastAsia"/>
        </w:rPr>
      </w:pPr>
    </w:p>
    <w:p>
      <w:pPr>
        <w:adjustRightInd w:val="0"/>
        <w:snapToGrid w:val="0"/>
        <w:spacing w:line="540" w:lineRule="exact"/>
        <w:jc w:val="center"/>
        <w:rPr>
          <w:rFonts w:hint="eastAsia" w:ascii="黑体" w:hAnsi="黑体" w:eastAsia="黑体"/>
        </w:rPr>
      </w:pPr>
      <w:r>
        <w:rPr>
          <w:rFonts w:hint="eastAsia" w:ascii="黑体" w:hAnsi="黑体" w:eastAsia="黑体"/>
        </w:rPr>
        <w:t>第四章  构建会展产业新格局</w:t>
      </w:r>
      <w:bookmarkEnd w:id="413"/>
      <w:bookmarkEnd w:id="414"/>
      <w:bookmarkEnd w:id="415"/>
      <w:bookmarkEnd w:id="416"/>
      <w:bookmarkEnd w:id="417"/>
      <w:bookmarkEnd w:id="418"/>
      <w:bookmarkEnd w:id="419"/>
      <w:bookmarkEnd w:id="420"/>
    </w:p>
    <w:p>
      <w:pPr>
        <w:adjustRightInd w:val="0"/>
        <w:snapToGrid w:val="0"/>
        <w:spacing w:line="540" w:lineRule="exact"/>
        <w:ind w:firstLine="640" w:firstLineChars="200"/>
        <w:rPr>
          <w:rFonts w:hint="eastAsia"/>
        </w:rPr>
      </w:pPr>
      <w:bookmarkStart w:id="421" w:name="_Toc90005849"/>
      <w:bookmarkStart w:id="422" w:name="_Toc90812647"/>
      <w:bookmarkStart w:id="423" w:name="_Toc20233"/>
      <w:bookmarkStart w:id="424" w:name="_Toc30178"/>
      <w:bookmarkStart w:id="425" w:name="_Toc22691"/>
      <w:bookmarkStart w:id="426" w:name="_Toc15058"/>
      <w:bookmarkStart w:id="427" w:name="_Toc82"/>
      <w:bookmarkStart w:id="428" w:name="_Toc18404"/>
    </w:p>
    <w:p>
      <w:pPr>
        <w:adjustRightInd w:val="0"/>
        <w:snapToGrid w:val="0"/>
        <w:spacing w:line="540" w:lineRule="exact"/>
        <w:jc w:val="center"/>
        <w:rPr>
          <w:rFonts w:hint="eastAsia"/>
        </w:rPr>
      </w:pPr>
      <w:r>
        <w:rPr>
          <w:rFonts w:hint="eastAsia"/>
        </w:rPr>
        <w:t>第一节  提升“品牌展”能级</w:t>
      </w:r>
      <w:bookmarkEnd w:id="421"/>
      <w:bookmarkEnd w:id="422"/>
      <w:bookmarkEnd w:id="423"/>
      <w:bookmarkEnd w:id="424"/>
      <w:bookmarkEnd w:id="425"/>
      <w:bookmarkEnd w:id="426"/>
      <w:bookmarkEnd w:id="427"/>
      <w:bookmarkEnd w:id="428"/>
    </w:p>
    <w:p>
      <w:pPr>
        <w:adjustRightInd w:val="0"/>
        <w:snapToGrid w:val="0"/>
        <w:spacing w:line="54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一、重点打造核心展会体系</w:t>
      </w:r>
    </w:p>
    <w:p>
      <w:pPr>
        <w:adjustRightInd w:val="0"/>
        <w:snapToGrid w:val="0"/>
        <w:spacing w:line="540" w:lineRule="exact"/>
        <w:ind w:firstLine="640" w:firstLineChars="200"/>
        <w:rPr>
          <w:rFonts w:hint="eastAsia"/>
        </w:rPr>
      </w:pPr>
      <w:r>
        <w:rPr>
          <w:rFonts w:hint="eastAsia"/>
        </w:rPr>
        <w:t>抢抓国内国际双循环新发展格局机遇，发挥峨眉山市被确定为全省会展创新发展引领区作用，打造乐山市“五展四会三节三赛两演”核心展会体系，积极争取国家相关部委或省直部门对乐山现有重大展会的支持，广泛邀请国内外相关企业、知名人士参展参会，将其提升为国家级、省级重大展会平台和对外经贸交流平台。推动四川国际旅游交易博览会通过全球展览业协会（UFI）项目认证，实现展会专业化程度更高、规模化效应更强、特色化优势更亮。</w:t>
      </w:r>
    </w:p>
    <w:tbl>
      <w:tblPr>
        <w:tblStyle w:val="5"/>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968" w:type="dxa"/>
            <w:shd w:val="clear" w:color="auto" w:fill="auto"/>
            <w:noWrap w:val="0"/>
            <w:vAlign w:val="top"/>
          </w:tcPr>
          <w:p>
            <w:pPr>
              <w:adjustRightInd w:val="0"/>
              <w:snapToGrid w:val="0"/>
              <w:spacing w:after="0" w:line="500" w:lineRule="exact"/>
              <w:jc w:val="center"/>
              <w:rPr>
                <w:rFonts w:hint="eastAsia" w:ascii="黑体" w:hAnsi="黑体" w:eastAsia="黑体"/>
                <w:sz w:val="28"/>
                <w:szCs w:val="28"/>
              </w:rPr>
            </w:pPr>
            <w:r>
              <w:rPr>
                <w:rFonts w:hint="eastAsia" w:ascii="黑体" w:hAnsi="黑体" w:eastAsia="黑体"/>
                <w:sz w:val="28"/>
                <w:szCs w:val="28"/>
              </w:rPr>
              <w:t>专栏9：“五展四会三节三赛两演”核心展会体系重大工程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8968" w:type="dxa"/>
            <w:noWrap w:val="0"/>
            <w:vAlign w:val="top"/>
          </w:tcPr>
          <w:p>
            <w:pPr>
              <w:adjustRightInd w:val="0"/>
              <w:snapToGrid w:val="0"/>
              <w:spacing w:after="0" w:line="500" w:lineRule="exact"/>
              <w:ind w:firstLine="560" w:firstLineChars="200"/>
              <w:rPr>
                <w:rFonts w:hint="eastAsia" w:hAnsi="仿宋"/>
                <w:sz w:val="28"/>
                <w:szCs w:val="28"/>
              </w:rPr>
            </w:pPr>
            <w:r>
              <w:rPr>
                <w:rFonts w:hint="eastAsia" w:hAnsi="仿宋"/>
                <w:sz w:val="28"/>
                <w:szCs w:val="28"/>
              </w:rPr>
              <w:t>五展</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1.四川国际旅游交易博览会。积极争取四川国际旅游交易博览会为四川省人民政府主办，扩大办展规模，提升展会层级，取得UFI认证。</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2.中国茶乡峨眉山国际茶文化博览交易会。围绕科技、环保、安全、互动四个方面做进一步提升，争取升级为由四川省人民政府、国家农业农村部主办，四川省农业农村厅、乐山市人民政府共同承办的国家级展会。</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3.中国西部瓷都陶瓷交易博览会。加强与省住建厅合作，持续举办中国西部瓷都陶瓷交易博览会，通过“主场馆+分会场”办展模式，将主展场从夹江县移入峨眉山旅博中心，提升展会专业化水平和参展便利化程度。</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4.中国（乐山）国际中医药博览会。进一步扩大展会规模，以“中医药+”为核心，覆盖中医药全产业链，以“展览+会议+体验区”的形式构建中医药产销贸易对接平台。</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5.</w:t>
            </w:r>
            <w:bookmarkStart w:id="429" w:name="_Hlk90808205"/>
            <w:r>
              <w:rPr>
                <w:rFonts w:hint="eastAsia" w:hAnsi="仿宋"/>
                <w:sz w:val="28"/>
                <w:szCs w:val="28"/>
              </w:rPr>
              <w:t>中国（乐山）国际光伏产业博览会</w:t>
            </w:r>
            <w:bookmarkEnd w:id="429"/>
            <w:r>
              <w:rPr>
                <w:rFonts w:hint="eastAsia" w:hAnsi="仿宋"/>
                <w:sz w:val="28"/>
                <w:szCs w:val="28"/>
              </w:rPr>
              <w:t>。培育举办中国（乐山）国际光伏产业博览会，内容覆盖光伏产业各个领域。以乐山多晶硅光伏人才产、教、研联盟为基础，聚焦太阳能光伏新能源人才培养培训，举办系列论坛活动。</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四会</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1.峨眉山康养论坛。依托峨眉山优良的自然资源禀赋和康养产业基础，以“乐山乐水、康养胜地”特色康养度假为品牌，整合中国老年保健医学研究会、国家老年医学中心、四川大学华西医院等机构论坛资源，建设中国峨眉山国际康养中心。</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2.中日韩（乐山）经贸交流合作会。以成功举办中日韩（乐山）经贸交流合作会为契机，积极争取相关国家部委、省直部门联合主办，同时配套举办中日韩企业家高峰论坛、中日韩特色商品展览。</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3.中国乐山—南亚东南亚经贸合作洽谈会。持续办好南亚东南亚经洽会，并向上争取成为国家级对外经贸交流平台，将其提升为乐山核心会议品牌，促进乐山与南亚东南亚国家之间全方位、深层次、多领域的贸易、投资、合作，提升乐山南向开放水平、发展外向型经济。</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4.中国企业家峨眉山论坛。突出乐山融入成渝地区双城经济圈，建设全省区域中心城市的新路径，新机遇。吸引中国政商学界等各路精英对乐山发展的关注，汇聚多方资源，群策群力，建言献策，为有志于在乐山发展的市场主体、政策性机构、智库等提供创新合作的平台。</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三节</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1.峨眉山音乐节。广泛邀请更多音乐家、明星参演，提供更多类型音乐表演，增加音乐文化交流论坛等方式，进一步扩大节事规模，提高活动规格，丰富专业化内容。</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2.乐山国际美食文化节。邀请米其林星级大厨、知名美食评论家、明星、名人、网红等共同参与；同期举办美食文化展、美食评选赛、大胃王赛、美食形象大使选美比赛、老字号传承表演活动、美食歌舞表演等活动；开启广播电视、网络媒体、自媒体等宣传营销矩阵；邀请专业策划、制作，打造四川美食综艺。</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3.非物质文化遗产节。依托乐山国家级非遗代表项目和省级非遗代表性项目，推动中国成都国际非物质文化遗产节乐山市分会场独立办展。</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三赛</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1.中国（四川）国际峨眉武术节。加强与国内外武术团体合作交流，通过协办、支持等方式，逐步在国内外举办国际武术节，或将其开发为分会场。</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2.乐山超级越野跑。以乐山承接“跑遍四川”UTSC越野系列赛省级联动IP为契机，启动“大峨眉”山地户外系列赛事活动，串联乐山自然胜景、珍稀景观、乡味主题、知名美食，打造国际级山地户外运动赛事自主品牌。</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3.乐山国际半程马拉松赛。加强马拉松赛的国际合作与国际认证，继续丰富赛事活动内容，提升赛事规模层级。</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两演</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1.实景剧《只有峨眉山》。适当增加演出项目，延长演出时间，健全基础设施与配套服务设施，提升服务水平，搭建消费场景，形成产业集聚，带动周边村镇发展。</w:t>
            </w:r>
          </w:p>
          <w:p>
            <w:pPr>
              <w:adjustRightInd w:val="0"/>
              <w:snapToGrid w:val="0"/>
              <w:spacing w:after="0" w:line="500" w:lineRule="exact"/>
              <w:ind w:firstLine="560" w:firstLineChars="200"/>
              <w:rPr>
                <w:rFonts w:hint="eastAsia" w:hAnsi="仿宋"/>
                <w:sz w:val="28"/>
                <w:szCs w:val="28"/>
              </w:rPr>
            </w:pPr>
            <w:r>
              <w:rPr>
                <w:rFonts w:hint="eastAsia" w:hAnsi="仿宋"/>
                <w:sz w:val="28"/>
                <w:szCs w:val="28"/>
              </w:rPr>
              <w:t>2.山水实景剧《乌蒙沐歌》。深挖区域文化内涵，深度结合前沿科技，创新演艺内容、演艺形式、演艺道具，扩大演员阵容、提升演艺品质、增强演艺效果。联合区域景区景点、酒店、餐饮、购物、娱乐等旅游接待服务商整体营销推广。</w:t>
            </w:r>
          </w:p>
        </w:tc>
      </w:tr>
    </w:tbl>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二、引进举办高端品牌展会</w:t>
      </w:r>
    </w:p>
    <w:p>
      <w:pPr>
        <w:spacing w:line="580" w:lineRule="exact"/>
        <w:ind w:firstLine="640" w:firstLineChars="200"/>
        <w:rPr>
          <w:rFonts w:hint="eastAsia"/>
        </w:rPr>
      </w:pPr>
      <w:r>
        <w:rPr>
          <w:rFonts w:hint="eastAsia"/>
        </w:rPr>
        <w:t>加强与涉外商协会、“553”企业对接联系，依托乐山旅游资源、产业优势、人文特色，支持以专业办展企业、相关行业协会等为主体引进申（举）办一批高层级品牌展会。抢抓成渝地区双城经济圈建设机遇，借助成都与重庆市场引进一批与乐山资源和产业关联度高的国际性、全国性优质品牌展会。对接国内外会展相关组织机构，积极引进举办中外企业家峨眉山论坛、亚洲文化旅游展、中国国际商务及会奖旅游展览会、中国硅产业大会、中国大健康产业论坛、世界佛教论坛、UCI世界长距离自行车赛等展会。</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三、创新重大展会办展模式</w:t>
      </w:r>
    </w:p>
    <w:p>
      <w:pPr>
        <w:spacing w:line="580" w:lineRule="exact"/>
        <w:ind w:firstLine="640" w:firstLineChars="200"/>
        <w:rPr>
          <w:rFonts w:hint="eastAsia"/>
        </w:rPr>
      </w:pPr>
      <w:r>
        <w:rPr>
          <w:rFonts w:hint="eastAsia"/>
        </w:rPr>
        <w:t>积极融入成渝双城经济圈建设，抢抓成渝共建“一带一路”对外交往中心机遇，用好成都全国会展“第四城”优势，加强与成都、重庆会展行业对接，用好会展溢出效应，承接重大展会。积极与西博会、糖酒会、世界文化名城论坛等高水平会展活动开展联办、协办合作，争做主题市，承接分会场、分论坛活动，大力推进四川会展成乐“双子星”发展格局。加强与成都、重庆会展相关机构联动，共同挖掘策划展会项目，联合举办国际公路自行车大赛、国际山地户外比赛等重大赛事活动。积极支持产地办展，探索“展贸研学一体化”发展。</w:t>
      </w:r>
    </w:p>
    <w:p>
      <w:pPr>
        <w:spacing w:line="580" w:lineRule="exact"/>
        <w:ind w:firstLine="640" w:firstLineChars="200"/>
        <w:rPr>
          <w:rFonts w:hint="eastAsia"/>
        </w:rPr>
      </w:pPr>
      <w:bookmarkStart w:id="430" w:name="_Toc29610"/>
      <w:bookmarkStart w:id="431" w:name="_Toc19653"/>
      <w:bookmarkStart w:id="432" w:name="_Toc9524"/>
      <w:bookmarkStart w:id="433" w:name="_Toc90005850"/>
      <w:bookmarkStart w:id="434" w:name="_Toc10593"/>
      <w:bookmarkStart w:id="435" w:name="_Toc25893"/>
      <w:bookmarkStart w:id="436" w:name="_Toc2915"/>
      <w:bookmarkStart w:id="437" w:name="_Toc90812648"/>
    </w:p>
    <w:p>
      <w:pPr>
        <w:adjustRightInd w:val="0"/>
        <w:snapToGrid w:val="0"/>
        <w:spacing w:line="540" w:lineRule="exact"/>
        <w:jc w:val="center"/>
        <w:rPr>
          <w:rFonts w:hint="eastAsia"/>
        </w:rPr>
      </w:pPr>
      <w:r>
        <w:rPr>
          <w:rFonts w:hint="eastAsia"/>
        </w:rPr>
        <w:t>第二节  注重“精品展”质量</w:t>
      </w:r>
      <w:bookmarkEnd w:id="430"/>
      <w:bookmarkEnd w:id="431"/>
      <w:bookmarkEnd w:id="432"/>
      <w:bookmarkEnd w:id="433"/>
      <w:bookmarkEnd w:id="434"/>
      <w:bookmarkEnd w:id="435"/>
      <w:bookmarkEnd w:id="436"/>
      <w:bookmarkEnd w:id="437"/>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一、围绕“小而精”打造精品展会</w:t>
      </w:r>
    </w:p>
    <w:p>
      <w:pPr>
        <w:spacing w:line="580" w:lineRule="exact"/>
        <w:ind w:firstLine="640" w:firstLineChars="200"/>
        <w:rPr>
          <w:rFonts w:hint="eastAsia"/>
        </w:rPr>
      </w:pPr>
      <w:r>
        <w:rPr>
          <w:rFonts w:hint="eastAsia"/>
        </w:rPr>
        <w:t>深挖本土特色产业、特色产品、特色文化，集中优势资源，按照“小而精”的理念，以“一区一品牌”为方向打造“精品展”。着力提升峨眉大庙会、嘉州大庙会、茉莉花文化艺术节、金口河转转花文化旅游节、沐川庖汤节、小凉山非遗文化节等现有展会活动品质，提升会展专业化水平和品牌建设综合竞争力，进一步增强会展业对区域经济的带动力。加强对县（市、区）重点会展活动的专业指导，支持围绕重要产业链、绿色生态等举办“专而精”的推介、对接会，提升展会活动举办的专业化水平，彰显经贸交易交流更加活跃、精品办展理念更加突出的乐山会展靓丽新名片。</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二、围绕“会展+”培育精品展会</w:t>
      </w:r>
    </w:p>
    <w:p>
      <w:pPr>
        <w:spacing w:line="580" w:lineRule="exact"/>
        <w:ind w:firstLine="640" w:firstLineChars="200"/>
        <w:rPr>
          <w:rFonts w:hint="eastAsia"/>
        </w:rPr>
      </w:pPr>
      <w:r>
        <w:rPr>
          <w:rFonts w:hint="eastAsia"/>
        </w:rPr>
        <w:t>以“会展+”引领展产融合发展，发挥产业优势、突出专业展会、吸引专业观众，实现会展与产业高效联动、高质发展，打造“展产利益共同体”。“会展+现代农业”：依托乐山茶、林竹、道地中药材等优势农业产业，策划举办特色农产品交易博览会、推介会、采摘节等展会活动。“会展+现代工业”：依托乐山市光电信息、民用核技术、先进建材、绿色化工、食品饮料、数字经济等优势工业产业，引进培育四川（乐山）高新技术高峰会议、中国国际钒产业高峰论坛、四川乐山数字科技生活节等展会活动，搭建资源聚集、展示交流、经贸合作的平台。“会展+体育”：以举办2022年省运会为契机，大力提升全市体育场馆建设水平，积极申办国际级、国家级、省级体育赛事活动，举办好市级体育竞赛，争创成渝双城经济圈赛事经济副中心。“会展+美食”：抓住市中区被确定为全省川派餐饮创新发展先行区机遇，大力发扬乐山川菜起源地的食文化优势，擦亮“食在四川、味在乐山”民俗招牌，办好国际美食节、嘉州美食文化节、“乐山味道·嘉州菜”厨艺大赛、张公桥好吃街美食文化节等美食节赛活动。</w:t>
      </w:r>
    </w:p>
    <w:p>
      <w:pPr>
        <w:spacing w:line="300" w:lineRule="exact"/>
        <w:ind w:firstLine="640" w:firstLineChars="200"/>
        <w:rPr>
          <w:rFonts w:hint="eastAsia"/>
        </w:rPr>
      </w:pPr>
    </w:p>
    <w:tbl>
      <w:tblPr>
        <w:tblStyle w:val="5"/>
        <w:tblW w:w="9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794"/>
        <w:gridCol w:w="6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668" w:type="dxa"/>
            <w:gridSpan w:val="3"/>
            <w:shd w:val="clear" w:color="auto" w:fill="auto"/>
            <w:noWrap w:val="0"/>
            <w:vAlign w:val="center"/>
          </w:tcPr>
          <w:p>
            <w:pPr>
              <w:spacing w:after="0" w:line="400" w:lineRule="exact"/>
              <w:jc w:val="center"/>
              <w:rPr>
                <w:rFonts w:hint="eastAsia" w:ascii="黑体" w:hAnsi="黑体" w:eastAsia="黑体"/>
                <w:sz w:val="28"/>
                <w:szCs w:val="28"/>
              </w:rPr>
            </w:pPr>
            <w:bookmarkStart w:id="438" w:name="_Hlk89999163"/>
            <w:r>
              <w:rPr>
                <w:rFonts w:hint="eastAsia" w:ascii="黑体" w:hAnsi="黑体" w:eastAsia="黑体"/>
                <w:sz w:val="28"/>
                <w:szCs w:val="28"/>
              </w:rPr>
              <w:t>专栏10：精品展会重大工程</w:t>
            </w:r>
          </w:p>
        </w:tc>
      </w:tr>
      <w:bookmarkEnd w:id="43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序号</w:t>
            </w:r>
          </w:p>
        </w:tc>
        <w:tc>
          <w:tcPr>
            <w:tcW w:w="2794" w:type="dxa"/>
            <w:shd w:val="clear" w:color="auto" w:fill="auto"/>
            <w:noWrap w:val="0"/>
            <w:vAlign w:val="center"/>
          </w:tcPr>
          <w:p>
            <w:pPr>
              <w:spacing w:after="0" w:line="400" w:lineRule="exact"/>
              <w:jc w:val="center"/>
              <w:rPr>
                <w:rFonts w:hint="eastAsia"/>
                <w:sz w:val="28"/>
                <w:szCs w:val="28"/>
              </w:rPr>
            </w:pPr>
            <w:r>
              <w:rPr>
                <w:rFonts w:hint="eastAsia"/>
                <w:sz w:val="28"/>
                <w:szCs w:val="28"/>
              </w:rPr>
              <w:t>项目名称</w:t>
            </w:r>
          </w:p>
        </w:tc>
        <w:tc>
          <w:tcPr>
            <w:tcW w:w="6034" w:type="dxa"/>
            <w:shd w:val="clear" w:color="auto" w:fill="auto"/>
            <w:noWrap w:val="0"/>
            <w:vAlign w:val="center"/>
          </w:tcPr>
          <w:p>
            <w:pPr>
              <w:spacing w:after="0" w:line="400" w:lineRule="exact"/>
              <w:jc w:val="center"/>
              <w:rPr>
                <w:rFonts w:hint="eastAsia"/>
                <w:sz w:val="28"/>
                <w:szCs w:val="28"/>
              </w:rPr>
            </w:pPr>
            <w:r>
              <w:rPr>
                <w:rFonts w:hint="eastAsia"/>
                <w:sz w:val="28"/>
                <w:szCs w:val="28"/>
              </w:rPr>
              <w:t>培育路径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1</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中国（峨眉山）国际佛事用品博览会</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汇集中西部佛事用品企业，举办全产业链的佛事用品展会和佛文化交流论坛，同期举办乐山素食展、禅意空间展、禅茶表演、佛教音乐会等。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2</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乐山特色农产品交易博览会</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依托乐山现代农业产业，培育乐山特色农产品交易会、博览会，同期举办丰收节，以“1+N”的办展模式或一展多地的办展模式，结合井研柑橘、犍为茉莉、沐川林竹等特色产业发展基础设置分会场。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3</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中国（乐山）光伏产业发展高峰论坛</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依托乐山光伏产业发展基础及国内市场占位，举办中国（乐山）光伏产业发展高峰论坛，交流讨论前沿产业发展，完善产业发展政策与基础配套，加强产业链与生态圈建设，引领产业国际化发展，抢占高端、前端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4</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中国川菜创业高峰论坛</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坚持育人才、传技艺、促改革、重交流等方向，探讨川菜创新发展、人才建设、产业升级等重要课题，为中国川菜传承与创新、走出国门走向世界、创业项目孵化转化提供重要的交流展示平台。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5</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国际山地户外比赛</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利用乐山丰富多彩的山地旅游资源，自带流量的“大峨眉”超级IP，以及经由一线城市、便捷可达的交通路网，整合峨眉山系五个区（市、县）山地旅游资源，打造山地户外赛事IP矩阵—“大峨眉”超级山地户外系列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6</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中国·峨眉国际养生旅游节</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以峨眉山温泉、绿茶、佛教等特色资源，滑雪、登山等特色运动为依托，联动大峨眉范围各市县，打造佛教参禅养心、冰雪运动修身、旅游大健康为一体的国际养生旅游节，打造大峨眉国际养生品牌。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7</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中国·乐山国际电商购物节</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开展线上线下联动的会展活动，以“乐山造”为特色产品，发展会展+电子商务新模式，刺激内部需求，抢占线上会展市场，推广乐山产品品牌。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8</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四季同心·田园音乐生活秀</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依托犍为茉莉博览园，打造茉莉山河、花好月圆、高山流水、游园鲸梦、花花世界五大展团，融合举办特色灯展、中国乡村茉莉音乐节、田园热气球、主题烟花秀、水上表演等项目，打造网红打卡目的地。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840" w:type="dxa"/>
            <w:shd w:val="clear" w:color="auto" w:fill="auto"/>
            <w:noWrap w:val="0"/>
            <w:vAlign w:val="center"/>
          </w:tcPr>
          <w:p>
            <w:pPr>
              <w:spacing w:after="0" w:line="400" w:lineRule="exact"/>
              <w:jc w:val="center"/>
              <w:rPr>
                <w:rFonts w:hint="eastAsia"/>
                <w:sz w:val="28"/>
                <w:szCs w:val="28"/>
              </w:rPr>
            </w:pPr>
            <w:r>
              <w:rPr>
                <w:rFonts w:hint="eastAsia"/>
                <w:sz w:val="28"/>
                <w:szCs w:val="28"/>
              </w:rPr>
              <w:t>9</w:t>
            </w:r>
          </w:p>
        </w:tc>
        <w:tc>
          <w:tcPr>
            <w:tcW w:w="2794" w:type="dxa"/>
            <w:shd w:val="clear" w:color="auto" w:fill="auto"/>
            <w:noWrap w:val="0"/>
            <w:vAlign w:val="center"/>
          </w:tcPr>
          <w:p>
            <w:pPr>
              <w:spacing w:after="0" w:line="400" w:lineRule="exact"/>
              <w:rPr>
                <w:rFonts w:hint="eastAsia"/>
                <w:sz w:val="28"/>
                <w:szCs w:val="28"/>
              </w:rPr>
            </w:pPr>
            <w:r>
              <w:rPr>
                <w:rFonts w:hint="eastAsia"/>
                <w:sz w:val="28"/>
                <w:szCs w:val="28"/>
              </w:rPr>
              <w:t>中国（乐山）数字经济博览会</w:t>
            </w:r>
          </w:p>
        </w:tc>
        <w:tc>
          <w:tcPr>
            <w:tcW w:w="6034" w:type="dxa"/>
            <w:shd w:val="clear" w:color="auto" w:fill="auto"/>
            <w:noWrap w:val="0"/>
            <w:vAlign w:val="center"/>
          </w:tcPr>
          <w:p>
            <w:pPr>
              <w:spacing w:after="0" w:line="400" w:lineRule="exact"/>
              <w:rPr>
                <w:rFonts w:hint="eastAsia"/>
                <w:sz w:val="28"/>
                <w:szCs w:val="28"/>
              </w:rPr>
            </w:pPr>
            <w:r>
              <w:rPr>
                <w:rFonts w:hint="eastAsia"/>
                <w:sz w:val="28"/>
                <w:szCs w:val="28"/>
              </w:rPr>
              <w:t>依托乐山市数字经济产业优势，把握国家和四川省对数字经济的战略定位，通过博览会加快推动乐山市产业数字化、数字产业化，形成中国西部数字经济博览高地。</w:t>
            </w:r>
          </w:p>
        </w:tc>
      </w:tr>
    </w:tbl>
    <w:p>
      <w:pPr>
        <w:adjustRightInd w:val="0"/>
        <w:snapToGrid w:val="0"/>
        <w:spacing w:line="580" w:lineRule="exact"/>
        <w:ind w:firstLine="640" w:firstLineChars="200"/>
        <w:rPr>
          <w:rFonts w:hint="eastAsia"/>
        </w:rPr>
      </w:pPr>
      <w:bookmarkStart w:id="439" w:name="_Toc24382"/>
    </w:p>
    <w:p>
      <w:pPr>
        <w:adjustRightInd w:val="0"/>
        <w:snapToGrid w:val="0"/>
        <w:spacing w:line="540" w:lineRule="exact"/>
        <w:jc w:val="center"/>
        <w:rPr>
          <w:rFonts w:hint="eastAsia"/>
        </w:rPr>
      </w:pPr>
      <w:r>
        <w:rPr>
          <w:rFonts w:hint="eastAsia"/>
        </w:rPr>
        <w:t>第三节  增强“泛会展”实效</w:t>
      </w:r>
      <w:bookmarkEnd w:id="439"/>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一、积极举办“泛会展”活动</w:t>
      </w:r>
    </w:p>
    <w:p>
      <w:pPr>
        <w:adjustRightInd w:val="0"/>
        <w:snapToGrid w:val="0"/>
        <w:spacing w:line="580" w:lineRule="exact"/>
        <w:ind w:firstLine="640" w:firstLineChars="200"/>
        <w:rPr>
          <w:rFonts w:hint="eastAsia"/>
        </w:rPr>
      </w:pPr>
      <w:r>
        <w:rPr>
          <w:rFonts w:hint="eastAsia"/>
        </w:rPr>
        <w:t>服务国内国际双循环，与成都、重庆等知名会展城市进行错位竞争，围绕区域、产业特色和消费潜能，积极策划举办教育、汽车、美食、家居、房地产等各类中小型消费类“微会展”，扩大内需，拉动居民消费。服务乡村振兴，鼓励展会下乡，发挥会展带动效应，积极承接举办节庆赛事演艺等特色化“泛会展”活动，促进城乡融合发展。服务县域经济，鼓励各县（市、区）结合自身资源和产业优势，以特色资源、新颖主题、专业市场为支撑，增强办展吸引力，增加题材创造力，打造“泛会展”品牌，以会展促进各县域经济持续健康发展。</w:t>
      </w:r>
    </w:p>
    <w:p>
      <w:pPr>
        <w:adjustRightInd w:val="0"/>
        <w:snapToGrid w:val="0"/>
        <w:spacing w:line="580" w:lineRule="exact"/>
        <w:ind w:firstLine="640" w:firstLineChars="200"/>
      </w:pPr>
    </w:p>
    <w:tbl>
      <w:tblPr>
        <w:tblStyle w:val="5"/>
        <w:tblW w:w="87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shd w:val="clear" w:color="auto" w:fill="auto"/>
            <w:noWrap w:val="0"/>
            <w:vAlign w:val="center"/>
          </w:tcPr>
          <w:p>
            <w:pPr>
              <w:adjustRightInd w:val="0"/>
              <w:snapToGrid w:val="0"/>
              <w:spacing w:after="0" w:line="400" w:lineRule="exact"/>
              <w:jc w:val="center"/>
              <w:rPr>
                <w:rFonts w:hint="eastAsia" w:ascii="黑体" w:hAnsi="黑体" w:eastAsia="黑体"/>
                <w:sz w:val="28"/>
                <w:szCs w:val="28"/>
              </w:rPr>
            </w:pPr>
            <w:r>
              <w:rPr>
                <w:rFonts w:hint="eastAsia" w:ascii="黑体" w:hAnsi="黑体" w:eastAsia="黑体"/>
                <w:sz w:val="28"/>
                <w:szCs w:val="28"/>
              </w:rPr>
              <w:t>专栏11：泛会展重点项目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60" w:type="dxa"/>
            <w:shd w:val="clear" w:color="auto" w:fill="auto"/>
            <w:noWrap w:val="0"/>
            <w:vAlign w:val="center"/>
          </w:tcPr>
          <w:tbl>
            <w:tblPr>
              <w:tblStyle w:val="5"/>
              <w:tblW w:w="7860" w:type="dxa"/>
              <w:tblInd w:w="0" w:type="dxa"/>
              <w:tblLayout w:type="fixed"/>
              <w:tblCellMar>
                <w:top w:w="0" w:type="dxa"/>
                <w:left w:w="108" w:type="dxa"/>
                <w:bottom w:w="0" w:type="dxa"/>
                <w:right w:w="108" w:type="dxa"/>
              </w:tblCellMar>
            </w:tblPr>
            <w:tblGrid>
              <w:gridCol w:w="1047"/>
              <w:gridCol w:w="6813"/>
            </w:tblGrid>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嘉州美食文化节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乐山音乐狂欢啤酒节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嘉州大庙会</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4</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嘉州国际汽车展</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5</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乐山市房地产展示交易会</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6</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乐山“嘉乐汇”戏剧周</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7</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“乐山味道·嘉州菜”厨艺大赛</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8</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乐山国际自驾游营地节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9</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市中区农民丰收节暨稻香文化节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10</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市中区鳝丝美食文化节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11</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市中区悦来荔枝文化旅游活动</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12</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五通桥小西湖龙舟文化节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13</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五通桥西坝豆腐美食文化节</w:t>
                  </w:r>
                </w:p>
              </w:tc>
            </w:tr>
            <w:tr>
              <w:tblPrEx>
                <w:tblCellMar>
                  <w:top w:w="0" w:type="dxa"/>
                  <w:left w:w="108" w:type="dxa"/>
                  <w:bottom w:w="0" w:type="dxa"/>
                  <w:right w:w="108" w:type="dxa"/>
                </w:tblCellMar>
              </w:tblPrEx>
              <w:trPr>
                <w:trHeight w:val="31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14</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五通桥麻辣烫美食文化节</w:t>
                  </w:r>
                </w:p>
              </w:tc>
            </w:tr>
            <w:tr>
              <w:tblPrEx>
                <w:tblCellMar>
                  <w:top w:w="0" w:type="dxa"/>
                  <w:left w:w="108" w:type="dxa"/>
                  <w:bottom w:w="0" w:type="dxa"/>
                  <w:right w:w="108" w:type="dxa"/>
                </w:tblCellMar>
              </w:tblPrEx>
              <w:trPr>
                <w:trHeight w:val="31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15</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沙湾·美女峰超级越野赛</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16</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沙湾沫若戏剧文创园研学旅行活动</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17</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金口河“转转花”文化旅游节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18</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峨眉山冰雪温泉节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19</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峨眉山世界文化和自然遗产精品展</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20</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峨眉山杜鹃花节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21</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峨眉山市仙牙桃花节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22</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犍为茉莉花文化艺术节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23</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犍为文庙祭孔大典</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24</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井研农民画乡艺术节</w:t>
                  </w:r>
                </w:p>
              </w:tc>
            </w:tr>
            <w:tr>
              <w:tblPrEx>
                <w:tblCellMar>
                  <w:top w:w="0" w:type="dxa"/>
                  <w:left w:w="108" w:type="dxa"/>
                  <w:bottom w:w="0" w:type="dxa"/>
                  <w:right w:w="108" w:type="dxa"/>
                </w:tblCellMar>
              </w:tblPrEx>
              <w:trPr>
                <w:trHeight w:val="31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25</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井研百姓文化节暨啤酒美食嘉年华</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26</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井研橘颂文化节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27</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夹江东风堰放水节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28</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夹江“青衣江茶”采茶节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29</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夹江县啤酒美食音乐周</w:t>
                  </w:r>
                </w:p>
              </w:tc>
            </w:tr>
            <w:tr>
              <w:tblPrEx>
                <w:tblCellMar>
                  <w:top w:w="0" w:type="dxa"/>
                  <w:left w:w="108" w:type="dxa"/>
                  <w:bottom w:w="0" w:type="dxa"/>
                  <w:right w:w="108" w:type="dxa"/>
                </w:tblCellMar>
              </w:tblPrEx>
              <w:trPr>
                <w:trHeight w:val="31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30</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沐川庖汤文化旅游节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31</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沐川醉氧之旅生态文化旅游节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32</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峨边黑竹沟探秘探险国际高峰论坛系列活动</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33</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峨边彝族风情旅游节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34</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马边彝族风情狂欢节暨小凉山火把节</w:t>
                  </w:r>
                </w:p>
              </w:tc>
            </w:tr>
            <w:tr>
              <w:tblPrEx>
                <w:tblCellMar>
                  <w:top w:w="0" w:type="dxa"/>
                  <w:left w:w="108" w:type="dxa"/>
                  <w:bottom w:w="0" w:type="dxa"/>
                  <w:right w:w="108" w:type="dxa"/>
                </w:tblCellMar>
              </w:tblPrEx>
              <w:trPr>
                <w:trHeight w:val="31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35</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马边小凉山采茶节</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36</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《海棠花开》</w:t>
                  </w:r>
                </w:p>
              </w:tc>
            </w:tr>
            <w:tr>
              <w:tblPrEx>
                <w:tblCellMar>
                  <w:top w:w="0" w:type="dxa"/>
                  <w:left w:w="108" w:type="dxa"/>
                  <w:bottom w:w="0" w:type="dxa"/>
                  <w:right w:w="108" w:type="dxa"/>
                </w:tblCellMar>
              </w:tblPrEx>
              <w:trPr>
                <w:trHeight w:val="31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37</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《乐山等你》</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38</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《圣象峨眉》</w:t>
                  </w:r>
                </w:p>
              </w:tc>
            </w:tr>
            <w:tr>
              <w:tblPrEx>
                <w:tblCellMar>
                  <w:top w:w="0" w:type="dxa"/>
                  <w:left w:w="108" w:type="dxa"/>
                  <w:bottom w:w="0" w:type="dxa"/>
                  <w:right w:w="108" w:type="dxa"/>
                </w:tblCellMar>
              </w:tblPrEx>
              <w:trPr>
                <w:trHeight w:val="285"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39</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《大佛·海通》</w:t>
                  </w:r>
                </w:p>
              </w:tc>
            </w:tr>
            <w:tr>
              <w:tblPrEx>
                <w:tblCellMar>
                  <w:top w:w="0" w:type="dxa"/>
                  <w:left w:w="108" w:type="dxa"/>
                  <w:bottom w:w="0" w:type="dxa"/>
                  <w:right w:w="108" w:type="dxa"/>
                </w:tblCellMar>
              </w:tblPrEx>
              <w:trPr>
                <w:trHeight w:val="300"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40</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《神秘的国宝》</w:t>
                  </w:r>
                </w:p>
              </w:tc>
            </w:tr>
            <w:tr>
              <w:tblPrEx>
                <w:tblCellMar>
                  <w:top w:w="0" w:type="dxa"/>
                  <w:left w:w="108" w:type="dxa"/>
                  <w:bottom w:w="0" w:type="dxa"/>
                  <w:right w:w="108" w:type="dxa"/>
                </w:tblCellMar>
              </w:tblPrEx>
              <w:trPr>
                <w:trHeight w:val="300"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41</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《少年郭沫若》</w:t>
                  </w:r>
                </w:p>
              </w:tc>
            </w:tr>
            <w:tr>
              <w:tblPrEx>
                <w:tblCellMar>
                  <w:top w:w="0" w:type="dxa"/>
                  <w:left w:w="108" w:type="dxa"/>
                  <w:bottom w:w="0" w:type="dxa"/>
                  <w:right w:w="108" w:type="dxa"/>
                </w:tblCellMar>
              </w:tblPrEx>
              <w:trPr>
                <w:trHeight w:val="300"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42</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《甘嫫阿妞》</w:t>
                  </w:r>
                </w:p>
              </w:tc>
            </w:tr>
            <w:tr>
              <w:tblPrEx>
                <w:tblCellMar>
                  <w:top w:w="0" w:type="dxa"/>
                  <w:left w:w="108" w:type="dxa"/>
                  <w:bottom w:w="0" w:type="dxa"/>
                  <w:right w:w="108" w:type="dxa"/>
                </w:tblCellMar>
              </w:tblPrEx>
              <w:trPr>
                <w:trHeight w:val="300" w:hRule="atLeast"/>
              </w:trPr>
              <w:tc>
                <w:tcPr>
                  <w:tcW w:w="1047" w:type="dxa"/>
                  <w:tcBorders>
                    <w:top w:val="nil"/>
                    <w:left w:val="nil"/>
                    <w:bottom w:val="nil"/>
                    <w:right w:val="nil"/>
                  </w:tcBorders>
                  <w:noWrap/>
                  <w:vAlign w:val="bottom"/>
                </w:tcPr>
                <w:p>
                  <w:pPr>
                    <w:adjustRightInd w:val="0"/>
                    <w:snapToGrid w:val="0"/>
                    <w:spacing w:line="400" w:lineRule="exact"/>
                    <w:jc w:val="center"/>
                    <w:rPr>
                      <w:rFonts w:hint="eastAsia"/>
                      <w:sz w:val="28"/>
                      <w:szCs w:val="28"/>
                    </w:rPr>
                  </w:pPr>
                  <w:r>
                    <w:rPr>
                      <w:rFonts w:hint="eastAsia"/>
                      <w:sz w:val="28"/>
                      <w:szCs w:val="28"/>
                    </w:rPr>
                    <w:t>43</w:t>
                  </w:r>
                </w:p>
              </w:tc>
              <w:tc>
                <w:tcPr>
                  <w:tcW w:w="6813" w:type="dxa"/>
                  <w:tcBorders>
                    <w:top w:val="nil"/>
                    <w:left w:val="nil"/>
                    <w:bottom w:val="nil"/>
                    <w:right w:val="nil"/>
                  </w:tcBorders>
                  <w:noWrap/>
                  <w:vAlign w:val="center"/>
                </w:tcPr>
                <w:p>
                  <w:pPr>
                    <w:adjustRightInd w:val="0"/>
                    <w:snapToGrid w:val="0"/>
                    <w:spacing w:line="400" w:lineRule="exact"/>
                    <w:rPr>
                      <w:rFonts w:hint="eastAsia"/>
                      <w:sz w:val="28"/>
                      <w:szCs w:val="28"/>
                    </w:rPr>
                  </w:pPr>
                  <w:r>
                    <w:rPr>
                      <w:rFonts w:hint="eastAsia"/>
                      <w:sz w:val="28"/>
                      <w:szCs w:val="28"/>
                    </w:rPr>
                    <w:t>《转转花开》</w:t>
                  </w:r>
                </w:p>
              </w:tc>
            </w:tr>
          </w:tbl>
          <w:p>
            <w:pPr>
              <w:adjustRightInd w:val="0"/>
              <w:snapToGrid w:val="0"/>
              <w:spacing w:after="0" w:line="400" w:lineRule="exact"/>
              <w:rPr>
                <w:rFonts w:hint="eastAsia"/>
                <w:sz w:val="28"/>
                <w:szCs w:val="28"/>
              </w:rPr>
            </w:pPr>
          </w:p>
        </w:tc>
      </w:tr>
    </w:tbl>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w:t>
      </w:r>
      <w:bookmarkStart w:id="440" w:name="_Toc26235"/>
      <w:bookmarkStart w:id="441" w:name="_Toc138"/>
      <w:bookmarkStart w:id="442" w:name="_Toc31654"/>
      <w:bookmarkStart w:id="443" w:name="_Toc23846"/>
      <w:bookmarkStart w:id="444" w:name="_Toc8619"/>
      <w:bookmarkStart w:id="445" w:name="_Toc16396"/>
      <w:bookmarkStart w:id="446" w:name="_Toc12863"/>
      <w:bookmarkStart w:id="447" w:name="_Toc32635"/>
      <w:bookmarkStart w:id="448" w:name="_Toc23435"/>
      <w:bookmarkStart w:id="449" w:name="_Toc89531893"/>
      <w:bookmarkStart w:id="450" w:name="_Toc27667"/>
      <w:bookmarkStart w:id="451" w:name="_Toc302"/>
      <w:r>
        <w:rPr>
          <w:rFonts w:hint="eastAsia" w:ascii="黑体" w:hAnsi="黑体" w:eastAsia="黑体"/>
        </w:rPr>
        <w:t>加强泛会展场馆开发利用</w:t>
      </w:r>
    </w:p>
    <w:p>
      <w:pPr>
        <w:adjustRightInd w:val="0"/>
        <w:snapToGrid w:val="0"/>
        <w:spacing w:line="580" w:lineRule="exact"/>
        <w:ind w:firstLine="640" w:firstLineChars="200"/>
        <w:rPr>
          <w:rFonts w:hint="eastAsia"/>
        </w:rPr>
      </w:pPr>
      <w:r>
        <w:rPr>
          <w:rFonts w:hint="eastAsia"/>
        </w:rPr>
        <w:t>加强全市各类场馆场地设施在会展功能方面的统筹考虑，在规划、建设阶段融入会展功能，对乐山体育中心和乐山奥林匹克中心进行会展综合利用。根据会展产业发展需要新建会议中心，完善并提升现有酒店会议设施设备。新增规划建设场馆中，充分考虑会、展、节、赛、演场馆场地及配套设施需求，实现场地综合开发利用。充分挖掘区域会展资源，大力开发“一带双核三组团四支点”范围内的博览场馆类、会议酒店类、体育场馆类、市场街区类、剧场剧院类、景区景点类、广场公园类、工厂园区类、乡村田园类等中小微型泛会展载体，发掘放开场馆租赁市场，提高载体利用效率，增强中小微型会展活动承办能力。</w:t>
      </w:r>
    </w:p>
    <w:p>
      <w:pPr>
        <w:adjustRightInd w:val="0"/>
        <w:snapToGrid w:val="0"/>
        <w:spacing w:line="580" w:lineRule="exact"/>
        <w:ind w:firstLine="640" w:firstLineChars="200"/>
        <w:rPr>
          <w:rFonts w:hint="eastAsia"/>
        </w:rPr>
      </w:pPr>
    </w:p>
    <w:tbl>
      <w:tblPr>
        <w:tblStyle w:val="5"/>
        <w:tblW w:w="9000"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3118"/>
        <w:gridCol w:w="4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000" w:type="dxa"/>
            <w:gridSpan w:val="3"/>
            <w:shd w:val="clear" w:color="auto" w:fill="auto"/>
            <w:noWrap w:val="0"/>
            <w:vAlign w:val="center"/>
          </w:tcPr>
          <w:p>
            <w:pPr>
              <w:adjustRightInd w:val="0"/>
              <w:snapToGrid w:val="0"/>
              <w:spacing w:after="0" w:line="400" w:lineRule="exact"/>
              <w:jc w:val="center"/>
              <w:rPr>
                <w:rFonts w:hint="eastAsia" w:ascii="黑体" w:hAnsi="黑体" w:eastAsia="黑体"/>
                <w:sz w:val="28"/>
                <w:szCs w:val="28"/>
              </w:rPr>
            </w:pPr>
            <w:r>
              <w:rPr>
                <w:rFonts w:hint="eastAsia" w:ascii="黑体" w:hAnsi="黑体" w:eastAsia="黑体"/>
                <w:sz w:val="28"/>
                <w:szCs w:val="28"/>
              </w:rPr>
              <w:t>专栏12：泛会展场馆载体项目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序号</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所在县（市、区）</w:t>
            </w:r>
          </w:p>
        </w:tc>
        <w:tc>
          <w:tcPr>
            <w:tcW w:w="4984"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载体名称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1"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1</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市中区</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金海棠会议中心</w:t>
            </w:r>
          </w:p>
          <w:p>
            <w:pPr>
              <w:adjustRightInd w:val="0"/>
              <w:snapToGrid w:val="0"/>
              <w:spacing w:after="0" w:line="400" w:lineRule="exact"/>
              <w:rPr>
                <w:rFonts w:hint="eastAsia"/>
                <w:sz w:val="28"/>
                <w:szCs w:val="28"/>
              </w:rPr>
            </w:pPr>
            <w:r>
              <w:rPr>
                <w:rFonts w:hint="eastAsia"/>
                <w:sz w:val="28"/>
                <w:szCs w:val="28"/>
              </w:rPr>
              <w:t>乐山市奥林匹克中心</w:t>
            </w:r>
          </w:p>
          <w:p>
            <w:pPr>
              <w:adjustRightInd w:val="0"/>
              <w:snapToGrid w:val="0"/>
              <w:spacing w:after="0" w:line="400" w:lineRule="exact"/>
              <w:rPr>
                <w:rFonts w:hint="eastAsia"/>
                <w:sz w:val="28"/>
                <w:szCs w:val="28"/>
              </w:rPr>
            </w:pPr>
            <w:r>
              <w:rPr>
                <w:rFonts w:hint="eastAsia"/>
                <w:sz w:val="28"/>
                <w:szCs w:val="28"/>
              </w:rPr>
              <w:t>嘉州绿心公园体育中心</w:t>
            </w:r>
          </w:p>
          <w:p>
            <w:pPr>
              <w:adjustRightInd w:val="0"/>
              <w:snapToGrid w:val="0"/>
              <w:spacing w:after="0" w:line="400" w:lineRule="exact"/>
              <w:rPr>
                <w:rFonts w:hint="eastAsia"/>
                <w:sz w:val="28"/>
                <w:szCs w:val="28"/>
              </w:rPr>
            </w:pPr>
            <w:r>
              <w:rPr>
                <w:rFonts w:hint="eastAsia"/>
                <w:sz w:val="28"/>
                <w:szCs w:val="28"/>
              </w:rPr>
              <w:t>乐山大佛风景名胜区</w:t>
            </w:r>
          </w:p>
          <w:p>
            <w:pPr>
              <w:adjustRightInd w:val="0"/>
              <w:snapToGrid w:val="0"/>
              <w:spacing w:after="0" w:line="400" w:lineRule="exact"/>
              <w:rPr>
                <w:rFonts w:hint="eastAsia"/>
                <w:sz w:val="28"/>
                <w:szCs w:val="28"/>
              </w:rPr>
            </w:pPr>
            <w:r>
              <w:rPr>
                <w:rFonts w:hint="eastAsia"/>
                <w:sz w:val="28"/>
                <w:szCs w:val="28"/>
              </w:rPr>
              <w:t>乐山博物馆</w:t>
            </w:r>
          </w:p>
          <w:p>
            <w:pPr>
              <w:adjustRightInd w:val="0"/>
              <w:snapToGrid w:val="0"/>
              <w:spacing w:after="0" w:line="400" w:lineRule="exact"/>
              <w:rPr>
                <w:rFonts w:hint="eastAsia"/>
                <w:sz w:val="28"/>
                <w:szCs w:val="28"/>
              </w:rPr>
            </w:pPr>
            <w:r>
              <w:rPr>
                <w:rFonts w:hint="eastAsia"/>
                <w:sz w:val="28"/>
                <w:szCs w:val="28"/>
              </w:rPr>
              <w:t>大佛剧院</w:t>
            </w:r>
          </w:p>
          <w:p>
            <w:pPr>
              <w:adjustRightInd w:val="0"/>
              <w:snapToGrid w:val="0"/>
              <w:spacing w:after="0" w:line="400" w:lineRule="exact"/>
              <w:rPr>
                <w:rFonts w:hint="eastAsia"/>
                <w:sz w:val="28"/>
                <w:szCs w:val="28"/>
              </w:rPr>
            </w:pPr>
            <w:r>
              <w:rPr>
                <w:rFonts w:hint="eastAsia"/>
                <w:sz w:val="28"/>
                <w:szCs w:val="28"/>
              </w:rPr>
              <w:t>上中顺特色街区</w:t>
            </w:r>
          </w:p>
          <w:p>
            <w:pPr>
              <w:adjustRightInd w:val="0"/>
              <w:snapToGrid w:val="0"/>
              <w:spacing w:after="0" w:line="400" w:lineRule="exact"/>
              <w:rPr>
                <w:rFonts w:hint="eastAsia"/>
                <w:sz w:val="28"/>
                <w:szCs w:val="28"/>
              </w:rPr>
            </w:pPr>
            <w:r>
              <w:rPr>
                <w:rFonts w:hint="eastAsia"/>
                <w:sz w:val="28"/>
                <w:szCs w:val="28"/>
              </w:rPr>
              <w:t>张公桥美食街</w:t>
            </w:r>
          </w:p>
          <w:p>
            <w:pPr>
              <w:adjustRightInd w:val="0"/>
              <w:snapToGrid w:val="0"/>
              <w:spacing w:after="0" w:line="400" w:lineRule="exact"/>
              <w:rPr>
                <w:rFonts w:hint="eastAsia"/>
                <w:sz w:val="28"/>
                <w:szCs w:val="28"/>
              </w:rPr>
            </w:pPr>
            <w:r>
              <w:rPr>
                <w:rFonts w:hint="eastAsia"/>
                <w:sz w:val="28"/>
                <w:szCs w:val="28"/>
              </w:rPr>
              <w:t>嘉兴路美食街</w:t>
            </w:r>
          </w:p>
          <w:p>
            <w:pPr>
              <w:adjustRightInd w:val="0"/>
              <w:snapToGrid w:val="0"/>
              <w:spacing w:after="0" w:line="400" w:lineRule="exact"/>
              <w:rPr>
                <w:rFonts w:hint="eastAsia"/>
                <w:sz w:val="28"/>
                <w:szCs w:val="28"/>
              </w:rPr>
            </w:pPr>
            <w:r>
              <w:rPr>
                <w:rFonts w:hint="eastAsia"/>
                <w:sz w:val="28"/>
                <w:szCs w:val="28"/>
              </w:rPr>
              <w:t>高新科技孵化园</w:t>
            </w:r>
          </w:p>
          <w:p>
            <w:pPr>
              <w:adjustRightInd w:val="0"/>
              <w:snapToGrid w:val="0"/>
              <w:spacing w:after="0" w:line="400" w:lineRule="exact"/>
              <w:rPr>
                <w:rFonts w:hint="eastAsia"/>
                <w:sz w:val="28"/>
                <w:szCs w:val="28"/>
              </w:rPr>
            </w:pPr>
            <w:r>
              <w:rPr>
                <w:rFonts w:hint="eastAsia"/>
                <w:sz w:val="28"/>
                <w:szCs w:val="28"/>
              </w:rPr>
              <w:t>四川乐山国家农业科技园</w:t>
            </w:r>
          </w:p>
          <w:p>
            <w:pPr>
              <w:adjustRightInd w:val="0"/>
              <w:snapToGrid w:val="0"/>
              <w:spacing w:after="0" w:line="400" w:lineRule="exact"/>
              <w:rPr>
                <w:rFonts w:hint="eastAsia"/>
                <w:sz w:val="28"/>
                <w:szCs w:val="28"/>
              </w:rPr>
            </w:pPr>
            <w:r>
              <w:rPr>
                <w:rFonts w:hint="eastAsia"/>
                <w:sz w:val="28"/>
                <w:szCs w:val="28"/>
              </w:rPr>
              <w:t>归园田居</w:t>
            </w:r>
          </w:p>
          <w:p>
            <w:pPr>
              <w:adjustRightInd w:val="0"/>
              <w:snapToGrid w:val="0"/>
              <w:spacing w:after="0" w:line="400" w:lineRule="exact"/>
              <w:rPr>
                <w:rFonts w:hint="eastAsia"/>
                <w:sz w:val="28"/>
                <w:szCs w:val="28"/>
              </w:rPr>
            </w:pPr>
            <w:r>
              <w:rPr>
                <w:rFonts w:hint="eastAsia"/>
                <w:sz w:val="28"/>
                <w:szCs w:val="28"/>
              </w:rPr>
              <w:t>海棠香山田园综合体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2</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五通桥区</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乐山空港园区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3</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沙湾区</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沙湾区美女峰景区</w:t>
            </w:r>
          </w:p>
          <w:p>
            <w:pPr>
              <w:adjustRightInd w:val="0"/>
              <w:snapToGrid w:val="0"/>
              <w:spacing w:after="0" w:line="400" w:lineRule="exact"/>
              <w:rPr>
                <w:rFonts w:hint="eastAsia"/>
                <w:sz w:val="28"/>
                <w:szCs w:val="28"/>
              </w:rPr>
            </w:pPr>
            <w:r>
              <w:rPr>
                <w:rFonts w:hint="eastAsia"/>
                <w:sz w:val="28"/>
                <w:szCs w:val="28"/>
              </w:rPr>
              <w:t>沫若戏剧文创园</w:t>
            </w:r>
          </w:p>
          <w:p>
            <w:pPr>
              <w:adjustRightInd w:val="0"/>
              <w:snapToGrid w:val="0"/>
              <w:spacing w:after="0" w:line="400" w:lineRule="exact"/>
              <w:rPr>
                <w:rFonts w:hint="eastAsia"/>
                <w:sz w:val="28"/>
                <w:szCs w:val="28"/>
              </w:rPr>
            </w:pPr>
            <w:r>
              <w:rPr>
                <w:rFonts w:hint="eastAsia"/>
                <w:sz w:val="28"/>
                <w:szCs w:val="28"/>
              </w:rPr>
              <w:t>沙湾牛石红房子艺术家村落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4</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金口河区</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大渡河金口大峡谷景区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9"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5</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峨眉山市</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中信国安峨眉山体育馆</w:t>
            </w:r>
          </w:p>
          <w:p>
            <w:pPr>
              <w:adjustRightInd w:val="0"/>
              <w:snapToGrid w:val="0"/>
              <w:spacing w:after="0" w:line="400" w:lineRule="exact"/>
              <w:rPr>
                <w:rFonts w:hint="eastAsia"/>
                <w:sz w:val="28"/>
                <w:szCs w:val="28"/>
              </w:rPr>
            </w:pPr>
            <w:r>
              <w:rPr>
                <w:rFonts w:hint="eastAsia"/>
                <w:sz w:val="28"/>
                <w:szCs w:val="28"/>
              </w:rPr>
              <w:t>峨眉山风景名胜区</w:t>
            </w:r>
          </w:p>
          <w:p>
            <w:pPr>
              <w:adjustRightInd w:val="0"/>
              <w:snapToGrid w:val="0"/>
              <w:spacing w:after="0" w:line="400" w:lineRule="exact"/>
              <w:rPr>
                <w:rFonts w:hint="eastAsia"/>
                <w:sz w:val="28"/>
                <w:szCs w:val="28"/>
              </w:rPr>
            </w:pPr>
            <w:r>
              <w:rPr>
                <w:rFonts w:hint="eastAsia"/>
                <w:sz w:val="28"/>
                <w:szCs w:val="28"/>
              </w:rPr>
              <w:t>峨眉山博物馆</w:t>
            </w:r>
          </w:p>
          <w:p>
            <w:pPr>
              <w:adjustRightInd w:val="0"/>
              <w:snapToGrid w:val="0"/>
              <w:spacing w:after="0" w:line="400" w:lineRule="exact"/>
              <w:rPr>
                <w:rFonts w:hint="eastAsia"/>
                <w:sz w:val="28"/>
                <w:szCs w:val="28"/>
              </w:rPr>
            </w:pPr>
            <w:r>
              <w:rPr>
                <w:rFonts w:hint="eastAsia"/>
                <w:sz w:val="28"/>
                <w:szCs w:val="28"/>
              </w:rPr>
              <w:t>峨眉山大酒店国际会议中心</w:t>
            </w:r>
          </w:p>
          <w:p>
            <w:pPr>
              <w:adjustRightInd w:val="0"/>
              <w:snapToGrid w:val="0"/>
              <w:spacing w:after="0" w:line="400" w:lineRule="exact"/>
              <w:rPr>
                <w:rFonts w:hint="eastAsia"/>
                <w:sz w:val="28"/>
                <w:szCs w:val="28"/>
              </w:rPr>
            </w:pPr>
            <w:r>
              <w:rPr>
                <w:rFonts w:hint="eastAsia"/>
                <w:sz w:val="28"/>
                <w:szCs w:val="28"/>
              </w:rPr>
              <w:t>红珠山国际会议中心</w:t>
            </w:r>
          </w:p>
          <w:p>
            <w:pPr>
              <w:adjustRightInd w:val="0"/>
              <w:snapToGrid w:val="0"/>
              <w:spacing w:after="0" w:line="400" w:lineRule="exact"/>
              <w:rPr>
                <w:rFonts w:hint="eastAsia"/>
                <w:sz w:val="28"/>
                <w:szCs w:val="28"/>
              </w:rPr>
            </w:pPr>
            <w:r>
              <w:rPr>
                <w:rFonts w:hint="eastAsia"/>
                <w:sz w:val="28"/>
                <w:szCs w:val="28"/>
              </w:rPr>
              <w:t>峨眉山蓝光己庄酒店</w:t>
            </w:r>
          </w:p>
          <w:p>
            <w:pPr>
              <w:adjustRightInd w:val="0"/>
              <w:snapToGrid w:val="0"/>
              <w:spacing w:after="0" w:line="400" w:lineRule="exact"/>
              <w:rPr>
                <w:rFonts w:hint="eastAsia"/>
                <w:sz w:val="28"/>
                <w:szCs w:val="28"/>
              </w:rPr>
            </w:pPr>
            <w:r>
              <w:rPr>
                <w:rFonts w:hint="eastAsia"/>
                <w:sz w:val="28"/>
                <w:szCs w:val="28"/>
              </w:rPr>
              <w:t>峨眉山世纪阳光大酒店</w:t>
            </w:r>
          </w:p>
          <w:p>
            <w:pPr>
              <w:adjustRightInd w:val="0"/>
              <w:snapToGrid w:val="0"/>
              <w:spacing w:after="0" w:line="400" w:lineRule="exact"/>
              <w:rPr>
                <w:rFonts w:hint="eastAsia"/>
                <w:sz w:val="28"/>
                <w:szCs w:val="28"/>
              </w:rPr>
            </w:pPr>
            <w:r>
              <w:rPr>
                <w:rFonts w:hint="eastAsia"/>
                <w:sz w:val="28"/>
                <w:szCs w:val="28"/>
              </w:rPr>
              <w:t>峨眉易镇</w:t>
            </w:r>
          </w:p>
          <w:p>
            <w:pPr>
              <w:adjustRightInd w:val="0"/>
              <w:snapToGrid w:val="0"/>
              <w:spacing w:after="0" w:line="400" w:lineRule="exact"/>
              <w:rPr>
                <w:rFonts w:hint="eastAsia"/>
                <w:sz w:val="28"/>
                <w:szCs w:val="28"/>
              </w:rPr>
            </w:pPr>
            <w:r>
              <w:rPr>
                <w:rFonts w:hint="eastAsia"/>
                <w:sz w:val="28"/>
                <w:szCs w:val="28"/>
              </w:rPr>
              <w:t>《只有峨眉山》戏剧幻城</w:t>
            </w:r>
          </w:p>
          <w:p>
            <w:pPr>
              <w:adjustRightInd w:val="0"/>
              <w:snapToGrid w:val="0"/>
              <w:spacing w:after="0" w:line="400" w:lineRule="exact"/>
              <w:rPr>
                <w:rFonts w:hint="eastAsia"/>
                <w:sz w:val="28"/>
                <w:szCs w:val="28"/>
              </w:rPr>
            </w:pPr>
            <w:r>
              <w:rPr>
                <w:rFonts w:hint="eastAsia"/>
                <w:sz w:val="28"/>
                <w:szCs w:val="28"/>
              </w:rPr>
              <w:t>农夫山泉峨眉山工业旅游区</w:t>
            </w:r>
          </w:p>
          <w:p>
            <w:pPr>
              <w:adjustRightInd w:val="0"/>
              <w:snapToGrid w:val="0"/>
              <w:spacing w:after="0" w:line="400" w:lineRule="exact"/>
              <w:rPr>
                <w:rFonts w:hint="eastAsia"/>
                <w:sz w:val="28"/>
                <w:szCs w:val="28"/>
              </w:rPr>
            </w:pPr>
            <w:r>
              <w:rPr>
                <w:rFonts w:hint="eastAsia"/>
                <w:sz w:val="28"/>
                <w:szCs w:val="28"/>
              </w:rPr>
              <w:t>峨眉山市创客梦工厂</w:t>
            </w:r>
          </w:p>
          <w:p>
            <w:pPr>
              <w:adjustRightInd w:val="0"/>
              <w:snapToGrid w:val="0"/>
              <w:spacing w:after="0" w:line="400" w:lineRule="exact"/>
              <w:rPr>
                <w:rFonts w:hint="eastAsia"/>
                <w:sz w:val="28"/>
                <w:szCs w:val="28"/>
              </w:rPr>
            </w:pPr>
            <w:r>
              <w:rPr>
                <w:rFonts w:hint="eastAsia"/>
                <w:sz w:val="28"/>
                <w:szCs w:val="28"/>
              </w:rPr>
              <w:t>峨眉大剧院</w:t>
            </w:r>
          </w:p>
          <w:p>
            <w:pPr>
              <w:adjustRightInd w:val="0"/>
              <w:snapToGrid w:val="0"/>
              <w:spacing w:after="0" w:line="400" w:lineRule="exact"/>
              <w:rPr>
                <w:rFonts w:hint="eastAsia"/>
                <w:sz w:val="28"/>
                <w:szCs w:val="28"/>
              </w:rPr>
            </w:pPr>
            <w:r>
              <w:rPr>
                <w:rFonts w:hint="eastAsia"/>
                <w:sz w:val="28"/>
                <w:szCs w:val="28"/>
              </w:rPr>
              <w:t>象城大剧院</w:t>
            </w:r>
          </w:p>
          <w:p>
            <w:pPr>
              <w:adjustRightInd w:val="0"/>
              <w:snapToGrid w:val="0"/>
              <w:spacing w:after="0" w:line="400" w:lineRule="exact"/>
              <w:rPr>
                <w:rFonts w:hint="eastAsia"/>
                <w:sz w:val="28"/>
                <w:szCs w:val="28"/>
              </w:rPr>
            </w:pPr>
            <w:r>
              <w:rPr>
                <w:rFonts w:hint="eastAsia"/>
                <w:sz w:val="28"/>
                <w:szCs w:val="28"/>
              </w:rPr>
              <w:t>峨眉山美食长廊</w:t>
            </w:r>
          </w:p>
          <w:p>
            <w:pPr>
              <w:adjustRightInd w:val="0"/>
              <w:snapToGrid w:val="0"/>
              <w:spacing w:after="0" w:line="400" w:lineRule="exact"/>
              <w:rPr>
                <w:rFonts w:hint="eastAsia"/>
                <w:sz w:val="28"/>
                <w:szCs w:val="28"/>
              </w:rPr>
            </w:pPr>
            <w:r>
              <w:rPr>
                <w:rFonts w:hint="eastAsia"/>
                <w:sz w:val="28"/>
                <w:szCs w:val="28"/>
              </w:rPr>
              <w:t>双福茶叶市场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6</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犍为县</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嘉阳·桫椤湖旅游景区</w:t>
            </w:r>
          </w:p>
          <w:p>
            <w:pPr>
              <w:adjustRightInd w:val="0"/>
              <w:snapToGrid w:val="0"/>
              <w:spacing w:after="0" w:line="400" w:lineRule="exact"/>
              <w:rPr>
                <w:rFonts w:hint="eastAsia"/>
                <w:sz w:val="28"/>
                <w:szCs w:val="28"/>
              </w:rPr>
            </w:pPr>
            <w:r>
              <w:rPr>
                <w:rFonts w:hint="eastAsia"/>
                <w:sz w:val="28"/>
                <w:szCs w:val="28"/>
              </w:rPr>
              <w:t>世界茉莉博览园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7</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井研县</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研溪湿地</w:t>
            </w:r>
          </w:p>
          <w:p>
            <w:pPr>
              <w:adjustRightInd w:val="0"/>
              <w:snapToGrid w:val="0"/>
              <w:spacing w:after="0" w:line="400" w:lineRule="exact"/>
              <w:rPr>
                <w:rFonts w:hint="eastAsia"/>
                <w:sz w:val="28"/>
                <w:szCs w:val="28"/>
              </w:rPr>
            </w:pPr>
            <w:r>
              <w:rPr>
                <w:rFonts w:hint="eastAsia"/>
                <w:sz w:val="28"/>
                <w:szCs w:val="28"/>
              </w:rPr>
              <w:t>雷氏民居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8</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夹江县</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东风堰水情陈列馆</w:t>
            </w:r>
          </w:p>
          <w:p>
            <w:pPr>
              <w:adjustRightInd w:val="0"/>
              <w:snapToGrid w:val="0"/>
              <w:spacing w:after="0" w:line="400" w:lineRule="exact"/>
              <w:rPr>
                <w:rFonts w:hint="eastAsia"/>
                <w:sz w:val="28"/>
                <w:szCs w:val="28"/>
              </w:rPr>
            </w:pPr>
            <w:r>
              <w:rPr>
                <w:rFonts w:hint="eastAsia"/>
                <w:sz w:val="28"/>
                <w:szCs w:val="28"/>
              </w:rPr>
              <w:t>夹江状元纸厂竹纸技艺体验基地</w:t>
            </w:r>
          </w:p>
          <w:p>
            <w:pPr>
              <w:adjustRightInd w:val="0"/>
              <w:snapToGrid w:val="0"/>
              <w:spacing w:after="0" w:line="400" w:lineRule="exact"/>
              <w:rPr>
                <w:rFonts w:hint="eastAsia"/>
                <w:sz w:val="28"/>
                <w:szCs w:val="28"/>
              </w:rPr>
            </w:pPr>
            <w:r>
              <w:rPr>
                <w:rFonts w:hint="eastAsia"/>
                <w:sz w:val="28"/>
                <w:szCs w:val="28"/>
              </w:rPr>
              <w:t>大千纸故里</w:t>
            </w:r>
          </w:p>
          <w:p>
            <w:pPr>
              <w:adjustRightInd w:val="0"/>
              <w:snapToGrid w:val="0"/>
              <w:spacing w:after="0" w:line="400" w:lineRule="exact"/>
              <w:rPr>
                <w:rFonts w:hint="eastAsia"/>
                <w:sz w:val="28"/>
                <w:szCs w:val="28"/>
              </w:rPr>
            </w:pPr>
            <w:r>
              <w:rPr>
                <w:rFonts w:hint="eastAsia"/>
                <w:sz w:val="28"/>
                <w:szCs w:val="28"/>
              </w:rPr>
              <w:t>夹江木版年画制作体验基地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9</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沐川县</w:t>
            </w:r>
          </w:p>
        </w:tc>
        <w:tc>
          <w:tcPr>
            <w:tcW w:w="4984" w:type="dxa"/>
            <w:shd w:val="clear" w:color="auto" w:fill="auto"/>
            <w:noWrap w:val="0"/>
            <w:vAlign w:val="top"/>
          </w:tcPr>
          <w:p>
            <w:pPr>
              <w:adjustRightInd w:val="0"/>
              <w:snapToGrid w:val="0"/>
              <w:spacing w:after="0" w:line="400" w:lineRule="exact"/>
              <w:rPr>
                <w:rFonts w:hint="eastAsia"/>
                <w:sz w:val="28"/>
                <w:szCs w:val="28"/>
              </w:rPr>
            </w:pPr>
            <w:r>
              <w:rPr>
                <w:rFonts w:hint="eastAsia"/>
                <w:sz w:val="28"/>
                <w:szCs w:val="28"/>
              </w:rPr>
              <w:t>桃源山居</w:t>
            </w:r>
          </w:p>
          <w:p>
            <w:pPr>
              <w:adjustRightInd w:val="0"/>
              <w:snapToGrid w:val="0"/>
              <w:spacing w:after="0" w:line="400" w:lineRule="exact"/>
              <w:rPr>
                <w:rFonts w:hint="eastAsia"/>
                <w:sz w:val="28"/>
                <w:szCs w:val="28"/>
              </w:rPr>
            </w:pPr>
            <w:r>
              <w:rPr>
                <w:rFonts w:hint="eastAsia"/>
                <w:sz w:val="28"/>
                <w:szCs w:val="28"/>
              </w:rPr>
              <w:t>沐川竹海</w:t>
            </w:r>
          </w:p>
          <w:p>
            <w:pPr>
              <w:adjustRightInd w:val="0"/>
              <w:snapToGrid w:val="0"/>
              <w:spacing w:after="0" w:line="400" w:lineRule="exact"/>
              <w:rPr>
                <w:rFonts w:hint="eastAsia"/>
                <w:sz w:val="28"/>
                <w:szCs w:val="28"/>
              </w:rPr>
            </w:pPr>
            <w:r>
              <w:rPr>
                <w:rFonts w:hint="eastAsia"/>
                <w:sz w:val="28"/>
                <w:szCs w:val="28"/>
              </w:rPr>
              <w:t>沐川国家级森林公园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10</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峨边彝族自治县</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黑竹沟风景名胜区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89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11</w:t>
            </w:r>
          </w:p>
        </w:tc>
        <w:tc>
          <w:tcPr>
            <w:tcW w:w="3118" w:type="dxa"/>
            <w:shd w:val="clear" w:color="auto" w:fill="auto"/>
            <w:noWrap w:val="0"/>
            <w:vAlign w:val="center"/>
          </w:tcPr>
          <w:p>
            <w:pPr>
              <w:adjustRightInd w:val="0"/>
              <w:snapToGrid w:val="0"/>
              <w:spacing w:after="0" w:line="400" w:lineRule="exact"/>
              <w:jc w:val="center"/>
              <w:rPr>
                <w:rFonts w:hint="eastAsia"/>
                <w:sz w:val="28"/>
                <w:szCs w:val="28"/>
              </w:rPr>
            </w:pPr>
            <w:r>
              <w:rPr>
                <w:rFonts w:hint="eastAsia"/>
                <w:sz w:val="28"/>
                <w:szCs w:val="28"/>
              </w:rPr>
              <w:t>马边彝族自治县</w:t>
            </w:r>
          </w:p>
        </w:tc>
        <w:tc>
          <w:tcPr>
            <w:tcW w:w="4984" w:type="dxa"/>
            <w:shd w:val="clear" w:color="auto" w:fill="auto"/>
            <w:noWrap w:val="0"/>
            <w:vAlign w:val="center"/>
          </w:tcPr>
          <w:p>
            <w:pPr>
              <w:adjustRightInd w:val="0"/>
              <w:snapToGrid w:val="0"/>
              <w:spacing w:after="0" w:line="400" w:lineRule="exact"/>
              <w:rPr>
                <w:rFonts w:hint="eastAsia"/>
                <w:sz w:val="28"/>
                <w:szCs w:val="28"/>
              </w:rPr>
            </w:pPr>
            <w:r>
              <w:rPr>
                <w:rFonts w:hint="eastAsia"/>
                <w:sz w:val="28"/>
                <w:szCs w:val="28"/>
              </w:rPr>
              <w:t>荞坝古镇</w:t>
            </w:r>
          </w:p>
          <w:p>
            <w:pPr>
              <w:adjustRightInd w:val="0"/>
              <w:snapToGrid w:val="0"/>
              <w:spacing w:after="0" w:line="400" w:lineRule="exact"/>
              <w:rPr>
                <w:rFonts w:hint="eastAsia"/>
                <w:sz w:val="28"/>
                <w:szCs w:val="28"/>
              </w:rPr>
            </w:pPr>
            <w:r>
              <w:rPr>
                <w:rFonts w:hint="eastAsia"/>
                <w:sz w:val="28"/>
                <w:szCs w:val="28"/>
              </w:rPr>
              <w:t>茅草坝</w:t>
            </w:r>
          </w:p>
          <w:p>
            <w:pPr>
              <w:adjustRightInd w:val="0"/>
              <w:snapToGrid w:val="0"/>
              <w:spacing w:after="0" w:line="400" w:lineRule="exact"/>
              <w:rPr>
                <w:rFonts w:hint="eastAsia"/>
                <w:sz w:val="28"/>
                <w:szCs w:val="28"/>
              </w:rPr>
            </w:pPr>
            <w:r>
              <w:rPr>
                <w:rFonts w:hint="eastAsia"/>
                <w:sz w:val="28"/>
                <w:szCs w:val="28"/>
              </w:rPr>
              <w:t>卡莎莎乡村度假区</w:t>
            </w:r>
          </w:p>
        </w:tc>
      </w:tr>
      <w:bookmarkEnd w:id="440"/>
      <w:bookmarkEnd w:id="441"/>
      <w:bookmarkEnd w:id="442"/>
      <w:bookmarkEnd w:id="443"/>
      <w:bookmarkEnd w:id="444"/>
      <w:bookmarkEnd w:id="445"/>
      <w:bookmarkEnd w:id="446"/>
      <w:bookmarkEnd w:id="447"/>
      <w:bookmarkEnd w:id="448"/>
      <w:bookmarkEnd w:id="449"/>
      <w:bookmarkEnd w:id="450"/>
      <w:bookmarkEnd w:id="451"/>
    </w:tbl>
    <w:p>
      <w:pPr>
        <w:adjustRightInd w:val="0"/>
        <w:snapToGrid w:val="0"/>
        <w:spacing w:line="540" w:lineRule="exact"/>
        <w:jc w:val="center"/>
        <w:rPr>
          <w:rFonts w:hint="eastAsia" w:ascii="黑体" w:hAnsi="黑体" w:eastAsia="黑体"/>
        </w:rPr>
      </w:pPr>
      <w:bookmarkStart w:id="452" w:name="_Toc24359"/>
      <w:bookmarkStart w:id="453" w:name="_Toc13813"/>
      <w:bookmarkStart w:id="454" w:name="_Toc1138"/>
      <w:bookmarkStart w:id="455" w:name="_Toc90812650"/>
      <w:bookmarkStart w:id="456" w:name="_Toc19121"/>
      <w:bookmarkStart w:id="457" w:name="_Toc90005852"/>
      <w:bookmarkStart w:id="458" w:name="_Toc17771"/>
      <w:bookmarkStart w:id="459" w:name="_Toc3139"/>
      <w:r>
        <w:rPr>
          <w:rFonts w:hint="eastAsia" w:ascii="黑体" w:hAnsi="黑体" w:eastAsia="黑体"/>
        </w:rPr>
        <w:t>第五章  建设国际旅游会展中心</w:t>
      </w:r>
      <w:bookmarkEnd w:id="452"/>
      <w:bookmarkEnd w:id="453"/>
      <w:bookmarkEnd w:id="454"/>
      <w:bookmarkEnd w:id="455"/>
      <w:bookmarkEnd w:id="456"/>
      <w:bookmarkEnd w:id="457"/>
      <w:bookmarkEnd w:id="458"/>
      <w:bookmarkEnd w:id="459"/>
    </w:p>
    <w:p>
      <w:pPr>
        <w:adjustRightInd w:val="0"/>
        <w:snapToGrid w:val="0"/>
        <w:spacing w:line="580" w:lineRule="exact"/>
        <w:ind w:firstLine="640" w:firstLineChars="200"/>
        <w:rPr>
          <w:rFonts w:hint="eastAsia"/>
        </w:rPr>
      </w:pPr>
      <w:bookmarkStart w:id="460" w:name="_Toc90812651"/>
      <w:bookmarkStart w:id="461" w:name="_Toc11579"/>
      <w:bookmarkStart w:id="462" w:name="_Toc19498"/>
      <w:bookmarkStart w:id="463" w:name="_Toc4091"/>
      <w:bookmarkStart w:id="464" w:name="_Toc90005853"/>
      <w:bookmarkStart w:id="465" w:name="_Toc3601"/>
      <w:bookmarkStart w:id="466" w:name="_Toc13044"/>
      <w:bookmarkStart w:id="467" w:name="_Toc23942"/>
    </w:p>
    <w:p>
      <w:pPr>
        <w:adjustRightInd w:val="0"/>
        <w:snapToGrid w:val="0"/>
        <w:spacing w:line="540" w:lineRule="exact"/>
        <w:jc w:val="center"/>
        <w:rPr>
          <w:rFonts w:hint="eastAsia"/>
        </w:rPr>
      </w:pPr>
      <w:r>
        <w:rPr>
          <w:rFonts w:hint="eastAsia"/>
        </w:rPr>
        <w:t>第一节  打造旅游会展园区</w:t>
      </w:r>
      <w:bookmarkEnd w:id="460"/>
      <w:bookmarkEnd w:id="461"/>
      <w:bookmarkEnd w:id="462"/>
      <w:bookmarkEnd w:id="463"/>
      <w:bookmarkEnd w:id="464"/>
      <w:bookmarkEnd w:id="465"/>
      <w:bookmarkEnd w:id="466"/>
      <w:bookmarkEnd w:id="467"/>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一、建设组展商专业楼宇</w:t>
      </w:r>
    </w:p>
    <w:p>
      <w:pPr>
        <w:adjustRightInd w:val="0"/>
        <w:snapToGrid w:val="0"/>
        <w:spacing w:line="580" w:lineRule="exact"/>
        <w:ind w:firstLine="640" w:firstLineChars="200"/>
        <w:rPr>
          <w:rFonts w:hint="eastAsia"/>
        </w:rPr>
      </w:pPr>
      <w:r>
        <w:rPr>
          <w:rFonts w:hint="eastAsia"/>
        </w:rPr>
        <w:t>引育国际国内旅游会展组展商领军企业入驻，推动旅游会展产业向规模化、集团化、国际化、专业化发展，通过收购、兼并、联合、参股、控股等方式，强强联合，提高旅游会展组织服务能力。</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二、增强旅游会展通关服务</w:t>
      </w:r>
    </w:p>
    <w:p>
      <w:pPr>
        <w:adjustRightInd w:val="0"/>
        <w:snapToGrid w:val="0"/>
        <w:spacing w:line="580" w:lineRule="exact"/>
        <w:ind w:firstLine="640" w:firstLineChars="200"/>
        <w:rPr>
          <w:rFonts w:hint="eastAsia"/>
        </w:rPr>
      </w:pPr>
      <w:r>
        <w:rPr>
          <w:rFonts w:hint="eastAsia"/>
        </w:rPr>
        <w:t>设立海关“一站式”服务窗口，围绕国际旅游会展产业链上下游，搭建服务商报关、报检、货代、贸易及海关申报一体化平台，自动生成各类通关单证，数据自动转换与申报，与企业实现无缝衔接，协同作业，帮助企业智能通关。</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三、建立旅游会展政商服务体系</w:t>
      </w:r>
    </w:p>
    <w:p>
      <w:pPr>
        <w:adjustRightInd w:val="0"/>
        <w:snapToGrid w:val="0"/>
        <w:spacing w:line="580" w:lineRule="exact"/>
        <w:ind w:firstLine="640" w:firstLineChars="200"/>
        <w:rPr>
          <w:rFonts w:hint="eastAsia"/>
        </w:rPr>
      </w:pPr>
      <w:r>
        <w:rPr>
          <w:rFonts w:hint="eastAsia"/>
        </w:rPr>
        <w:t>设立企业政务微窗口，搭建互联网线上服务平台，为会展企业和个人提供便利的“线上+线下”政务服务，缩短政务办理流程和时间，建立高效、标准、便捷、明晰的政务服务体系。</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四、构建会展服务品牌企业聚合平台</w:t>
      </w:r>
    </w:p>
    <w:p>
      <w:pPr>
        <w:adjustRightInd w:val="0"/>
        <w:snapToGrid w:val="0"/>
        <w:spacing w:line="580" w:lineRule="exact"/>
        <w:ind w:firstLine="640" w:firstLineChars="200"/>
        <w:rPr>
          <w:rFonts w:hint="eastAsia"/>
        </w:rPr>
      </w:pPr>
      <w:r>
        <w:rPr>
          <w:rFonts w:hint="eastAsia"/>
        </w:rPr>
        <w:t>通过加强本地会展服务企业培育与品牌提升，与大型会展服务企业合作在乐开设分公司等方式，加速会展服务品牌企业在国际旅游会展园区内聚集，并以此为基础构建会展服务品牌企业聚合平台。</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五、畅通会展服务供应链</w:t>
      </w:r>
    </w:p>
    <w:p>
      <w:pPr>
        <w:adjustRightInd w:val="0"/>
        <w:snapToGrid w:val="0"/>
        <w:spacing w:line="580" w:lineRule="exact"/>
        <w:ind w:firstLine="640" w:firstLineChars="200"/>
        <w:rPr>
          <w:rFonts w:hint="eastAsia"/>
        </w:rPr>
      </w:pPr>
      <w:r>
        <w:rPr>
          <w:rFonts w:hint="eastAsia"/>
        </w:rPr>
        <w:t>通过会展服务企业聚合平台，为参展商提供从会奖旅游活动前期咨询、项目策划、装饰装修、广告宣传，到活动期间的设施设备租赁、展台搭建装饰、印刷设计、翻译服务、旅游服务，再到后期的知识产权保护、洽谈对接等服务，为参展商、嘉宾提供“一站式”服务，将会展全生命周期服务功能集中，减少参展商及嘉宾在大城市区域寻求服务支持的成本。</w:t>
      </w:r>
    </w:p>
    <w:p>
      <w:pPr>
        <w:adjustRightInd w:val="0"/>
        <w:snapToGrid w:val="0"/>
        <w:spacing w:line="580" w:lineRule="exact"/>
        <w:ind w:firstLine="640" w:firstLineChars="200"/>
        <w:rPr>
          <w:rFonts w:hint="eastAsia"/>
        </w:rPr>
      </w:pPr>
      <w:bookmarkStart w:id="468" w:name="_Toc25444"/>
      <w:bookmarkStart w:id="469" w:name="_Toc90812652"/>
      <w:bookmarkStart w:id="470" w:name="_Toc31602"/>
      <w:bookmarkStart w:id="471" w:name="_Toc4248"/>
      <w:bookmarkStart w:id="472" w:name="_Toc22022"/>
      <w:bookmarkStart w:id="473" w:name="_Toc11485"/>
      <w:bookmarkStart w:id="474" w:name="_Toc30580"/>
      <w:bookmarkStart w:id="475" w:name="_Toc90005854"/>
    </w:p>
    <w:p>
      <w:pPr>
        <w:adjustRightInd w:val="0"/>
        <w:snapToGrid w:val="0"/>
        <w:spacing w:line="540" w:lineRule="exact"/>
        <w:jc w:val="center"/>
        <w:rPr>
          <w:rFonts w:hint="eastAsia"/>
        </w:rPr>
      </w:pPr>
      <w:r>
        <w:rPr>
          <w:rFonts w:hint="eastAsia"/>
        </w:rPr>
        <w:t>第二节  擦亮会奖旅游品牌</w:t>
      </w:r>
      <w:bookmarkEnd w:id="468"/>
      <w:bookmarkEnd w:id="469"/>
      <w:bookmarkEnd w:id="470"/>
      <w:bookmarkEnd w:id="471"/>
      <w:bookmarkEnd w:id="472"/>
      <w:bookmarkEnd w:id="473"/>
      <w:bookmarkEnd w:id="474"/>
      <w:bookmarkEnd w:id="475"/>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一、打造会奖旅游品牌</w:t>
      </w:r>
    </w:p>
    <w:p>
      <w:pPr>
        <w:adjustRightInd w:val="0"/>
        <w:snapToGrid w:val="0"/>
        <w:spacing w:line="580" w:lineRule="exact"/>
        <w:ind w:firstLine="640" w:firstLineChars="200"/>
        <w:rPr>
          <w:rFonts w:hint="eastAsia"/>
        </w:rPr>
      </w:pPr>
      <w:r>
        <w:rPr>
          <w:rFonts w:hint="eastAsia"/>
        </w:rPr>
        <w:t>在旅博会、茶博会、药博会等大型展会期间配套相关奖励旅游活动，利用峨眉山、乐山大佛、东风堰“世界遗产金三角”影响力，策划一系列遗产文化会奖旅游活动；利用马边、峨边、金口河彝族风情和民族特色策划一系列小凉山民族风情会奖旅游活动；利用犍为、沐川良好的生态环境及产业基础，策划一系列康养休闲会奖旅游活动；利用“世界研学旅游组织”总部落户乐山和大渡河研学旅游产业带建设契机，策划一系列研学旅游会奖旅游活动。</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二、开发会奖旅游产品</w:t>
      </w:r>
    </w:p>
    <w:p>
      <w:pPr>
        <w:adjustRightInd w:val="0"/>
        <w:snapToGrid w:val="0"/>
        <w:spacing w:line="560" w:lineRule="exact"/>
        <w:ind w:firstLine="640" w:firstLineChars="200"/>
        <w:rPr>
          <w:rFonts w:hint="eastAsia"/>
        </w:rPr>
      </w:pPr>
      <w:r>
        <w:rPr>
          <w:rFonts w:hint="eastAsia"/>
        </w:rPr>
        <w:t>抢抓会奖旅游发展机遇，发挥会展和旅游在共同吸引人流、物流、资金流方面相叠加产生的巨大经济效益，深度挖掘乐山旅游资源，针对不同市场，依托旅博会、茶博会等重大展会活动开发茶文化互动之旅、乐山乐水融合之旅等团队建设会奖旅游产品；依托峨眉山、乐山大佛等景区开发会奖旅游特惠季、峨眉跨年旅等年会市场会奖旅游产品；依托金口河铁道兵博物馆、丁佑君烈士纪念馆、竹园烈士纪念园等红色旅游资源，开发重温峥嵘岁月—乐山红色旅游大环线等红色会奖旅游产品；依托特色文化，恢复峨眉朝山会和大佛旅游节，开发特色文化会奖旅游产品。</w:t>
      </w:r>
    </w:p>
    <w:p>
      <w:pPr>
        <w:adjustRightInd w:val="0"/>
        <w:snapToGrid w:val="0"/>
        <w:spacing w:line="560" w:lineRule="exact"/>
        <w:ind w:firstLine="800" w:firstLineChars="250"/>
        <w:rPr>
          <w:rFonts w:hint="eastAsia"/>
        </w:rPr>
      </w:pPr>
      <w:bookmarkStart w:id="476" w:name="_Toc10890"/>
      <w:bookmarkStart w:id="477" w:name="_Toc31201"/>
      <w:bookmarkStart w:id="478" w:name="_Toc16500"/>
      <w:bookmarkStart w:id="479" w:name="_Toc29054"/>
      <w:bookmarkStart w:id="480" w:name="_Toc16127"/>
      <w:bookmarkStart w:id="481" w:name="_Toc90812653"/>
      <w:bookmarkStart w:id="482" w:name="_Toc23744"/>
      <w:bookmarkStart w:id="483" w:name="_Toc90005855"/>
    </w:p>
    <w:p>
      <w:pPr>
        <w:adjustRightInd w:val="0"/>
        <w:snapToGrid w:val="0"/>
        <w:spacing w:line="540" w:lineRule="exact"/>
        <w:jc w:val="center"/>
        <w:rPr>
          <w:rFonts w:hint="eastAsia"/>
        </w:rPr>
      </w:pPr>
      <w:r>
        <w:rPr>
          <w:rFonts w:hint="eastAsia"/>
        </w:rPr>
        <w:t>第三节  强化服务树立形象</w:t>
      </w:r>
      <w:bookmarkEnd w:id="476"/>
      <w:bookmarkEnd w:id="477"/>
      <w:bookmarkEnd w:id="478"/>
      <w:bookmarkEnd w:id="479"/>
      <w:bookmarkEnd w:id="480"/>
      <w:bookmarkEnd w:id="481"/>
      <w:bookmarkEnd w:id="482"/>
    </w:p>
    <w:bookmarkEnd w:id="483"/>
    <w:p>
      <w:pPr>
        <w:adjustRightInd w:val="0"/>
        <w:snapToGrid w:val="0"/>
        <w:spacing w:line="56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一、强化旅游会展软硬件服务水平</w:t>
      </w:r>
    </w:p>
    <w:p>
      <w:pPr>
        <w:adjustRightInd w:val="0"/>
        <w:snapToGrid w:val="0"/>
        <w:spacing w:line="560" w:lineRule="exact"/>
        <w:ind w:firstLine="640" w:firstLineChars="200"/>
        <w:rPr>
          <w:rFonts w:hint="eastAsia"/>
        </w:rPr>
      </w:pPr>
      <w:r>
        <w:rPr>
          <w:rFonts w:hint="eastAsia"/>
        </w:rPr>
        <w:t>优化提升景区会议、展览、餐饮、娱乐等旅游会展基础配套设施。鼓励展会服务商、旅游服务商围绕旅游会展配套目的地会务服务、会议展览服务、商务考察服务、专业旅行拍摄服务，围绕高端用户拓展新型团建活动、高规格会议、主题晚宴等高端定制化服务。</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二、积极拓展外部资源渠道</w:t>
      </w:r>
    </w:p>
    <w:p>
      <w:pPr>
        <w:adjustRightInd w:val="0"/>
        <w:snapToGrid w:val="0"/>
        <w:spacing w:line="560" w:lineRule="exact"/>
        <w:ind w:firstLine="640" w:firstLineChars="200"/>
        <w:rPr>
          <w:rFonts w:hint="eastAsia"/>
        </w:rPr>
      </w:pPr>
      <w:r>
        <w:rPr>
          <w:rFonts w:hint="eastAsia"/>
        </w:rPr>
        <w:t>加入中国会奖旅游城市联盟，积极与联盟内城市进行横向交流合作、资源共享、协同发展，通过共同争取国际会奖旅游相关重大会议项目，跨区域会奖旅游线路开发，重大展会活动期间互设“城市会客厅”、“移动会议室”等方式，进一步提升乐山城市品牌和会展品牌的知名度。</w:t>
      </w:r>
    </w:p>
    <w:p>
      <w:pPr>
        <w:adjustRightInd w:val="0"/>
        <w:snapToGrid w:val="0"/>
        <w:spacing w:line="560" w:lineRule="exact"/>
        <w:jc w:val="center"/>
        <w:rPr>
          <w:rFonts w:hint="eastAsia"/>
        </w:rPr>
      </w:pPr>
      <w:r>
        <w:rPr>
          <w:rFonts w:hint="eastAsia"/>
        </w:rPr>
        <w:br w:type="page"/>
      </w:r>
      <w:bookmarkStart w:id="484" w:name="_Toc17010"/>
      <w:bookmarkStart w:id="485" w:name="_Toc8238"/>
      <w:bookmarkStart w:id="486" w:name="_Toc28078"/>
      <w:bookmarkStart w:id="487" w:name="_Toc27543"/>
      <w:bookmarkStart w:id="488" w:name="_Toc17526"/>
      <w:bookmarkStart w:id="489" w:name="_Toc26277"/>
      <w:bookmarkStart w:id="490" w:name="_Toc90812654"/>
      <w:bookmarkStart w:id="491" w:name="_Toc90005856"/>
      <w:r>
        <w:rPr>
          <w:rFonts w:hint="eastAsia" w:ascii="黑体" w:hAnsi="黑体" w:eastAsia="黑体"/>
        </w:rPr>
        <w:t>第六章  培育全域会展生态圈</w:t>
      </w:r>
      <w:bookmarkEnd w:id="484"/>
      <w:bookmarkEnd w:id="485"/>
      <w:bookmarkEnd w:id="486"/>
      <w:bookmarkEnd w:id="487"/>
      <w:bookmarkEnd w:id="488"/>
      <w:bookmarkEnd w:id="489"/>
      <w:bookmarkEnd w:id="490"/>
      <w:bookmarkEnd w:id="491"/>
    </w:p>
    <w:p>
      <w:pPr>
        <w:adjustRightInd w:val="0"/>
        <w:snapToGrid w:val="0"/>
        <w:spacing w:line="580" w:lineRule="exact"/>
        <w:ind w:firstLine="640" w:firstLineChars="200"/>
        <w:rPr>
          <w:rFonts w:hint="eastAsia"/>
        </w:rPr>
      </w:pPr>
      <w:bookmarkStart w:id="492" w:name="_Toc32204"/>
      <w:bookmarkStart w:id="493" w:name="_Toc7642"/>
      <w:bookmarkStart w:id="494" w:name="_Toc90005857"/>
      <w:bookmarkStart w:id="495" w:name="_Toc21085"/>
      <w:bookmarkStart w:id="496" w:name="_Toc29475"/>
      <w:bookmarkStart w:id="497" w:name="_Toc7120"/>
      <w:bookmarkStart w:id="498" w:name="_Toc90812655"/>
      <w:bookmarkStart w:id="499" w:name="_Toc1012"/>
    </w:p>
    <w:p>
      <w:pPr>
        <w:adjustRightInd w:val="0"/>
        <w:snapToGrid w:val="0"/>
        <w:spacing w:line="540" w:lineRule="exact"/>
        <w:jc w:val="center"/>
        <w:rPr>
          <w:rFonts w:hint="eastAsia"/>
        </w:rPr>
      </w:pPr>
      <w:r>
        <w:rPr>
          <w:rFonts w:hint="eastAsia"/>
        </w:rPr>
        <w:t>第一节  扶持市场主体发展</w:t>
      </w:r>
      <w:bookmarkEnd w:id="492"/>
      <w:bookmarkEnd w:id="493"/>
      <w:bookmarkEnd w:id="494"/>
      <w:bookmarkEnd w:id="495"/>
      <w:bookmarkEnd w:id="496"/>
      <w:bookmarkEnd w:id="497"/>
      <w:bookmarkEnd w:id="498"/>
      <w:bookmarkEnd w:id="499"/>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一、培育会展龙头企业</w:t>
      </w:r>
    </w:p>
    <w:p>
      <w:pPr>
        <w:adjustRightInd w:val="0"/>
        <w:snapToGrid w:val="0"/>
        <w:spacing w:line="580" w:lineRule="exact"/>
        <w:ind w:firstLine="640" w:firstLineChars="200"/>
        <w:rPr>
          <w:rFonts w:hint="eastAsia"/>
        </w:rPr>
      </w:pPr>
      <w:r>
        <w:rPr>
          <w:rFonts w:hint="eastAsia"/>
        </w:rPr>
        <w:t>着力培育本土会展组展商，加强对以嘉州会展集团为代表的本土会展龙头企业的支持，推动其与旅博中心、博览城、奥林匹克中心等专业场馆的长期经营合作，持续举办专业展会。推进各场馆运营方与本地组展商进行合作，支持组展商对现有重大品牌展会和新型特色展会的承办和策划。形成集专业场馆、专业展会、专业服务于一体的“三专”会展企业，打造竞争力较强、示范引领作用较大的本土会展龙头企业。在“十四五”期末培育8家以上综合竞争力强的会展规模企业。</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二、引进知名会展企业</w:t>
      </w:r>
    </w:p>
    <w:p>
      <w:pPr>
        <w:adjustRightInd w:val="0"/>
        <w:snapToGrid w:val="0"/>
        <w:spacing w:line="580" w:lineRule="exact"/>
        <w:ind w:firstLine="640" w:firstLineChars="200"/>
        <w:rPr>
          <w:rFonts w:hint="eastAsia"/>
        </w:rPr>
      </w:pPr>
      <w:r>
        <w:rPr>
          <w:rFonts w:hint="eastAsia"/>
        </w:rPr>
        <w:t>针对国际国内知名会展企业开展投资促进工作，重点针对在成都、重庆定点举办展会活动的知名展会企业，招引其在乐设立川南区域总部或分支机构。对符合条件的，纳入乐山支持总部经济和会展产业发展的优惠政策范围中。力争在“十四五”期末吸引5家以上国内外知名会展主办单位、会展服务机构落户乐山，引导形成会展经济聚集区，优化会展企业结构，引入先进理念、管理、技术和标准，提升乐山会展专业化水平。</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三、扶持会展服务企业</w:t>
      </w:r>
    </w:p>
    <w:p>
      <w:pPr>
        <w:adjustRightInd w:val="0"/>
        <w:snapToGrid w:val="0"/>
        <w:spacing w:line="580" w:lineRule="exact"/>
        <w:ind w:firstLine="640" w:firstLineChars="200"/>
        <w:rPr>
          <w:rFonts w:hint="eastAsia"/>
        </w:rPr>
      </w:pPr>
      <w:r>
        <w:rPr>
          <w:rFonts w:hint="eastAsia"/>
        </w:rPr>
        <w:t>提高展会组织服务能力，大力培育会展策划、装饰装修、翻译服务、旅游服务、广告宣传、知识产权保护、金融保险等会展配套服务主体。通过加大政府采购、财政补贴、金融支持力度，加速会展服务品牌企业在场馆周边集聚，并以此为基础构建会展服务品牌企业聚合平台，完善会展全产业链布局。</w:t>
      </w:r>
    </w:p>
    <w:p>
      <w:pPr>
        <w:adjustRightInd w:val="0"/>
        <w:snapToGrid w:val="0"/>
        <w:spacing w:line="580" w:lineRule="exact"/>
        <w:ind w:firstLine="640" w:firstLineChars="200"/>
        <w:rPr>
          <w:rFonts w:hint="eastAsia"/>
        </w:rPr>
      </w:pPr>
      <w:bookmarkStart w:id="500" w:name="_Toc14756"/>
      <w:bookmarkStart w:id="501" w:name="_Toc31842"/>
      <w:bookmarkStart w:id="502" w:name="_Toc90812656"/>
      <w:bookmarkStart w:id="503" w:name="_Toc90005858"/>
    </w:p>
    <w:p>
      <w:pPr>
        <w:adjustRightInd w:val="0"/>
        <w:snapToGrid w:val="0"/>
        <w:spacing w:line="540" w:lineRule="exact"/>
        <w:jc w:val="center"/>
        <w:rPr>
          <w:rFonts w:hint="eastAsia"/>
        </w:rPr>
      </w:pPr>
      <w:r>
        <w:rPr>
          <w:rFonts w:hint="eastAsia"/>
        </w:rPr>
        <w:t>第二节  抓好展会载体建设</w:t>
      </w:r>
      <w:bookmarkEnd w:id="500"/>
      <w:bookmarkEnd w:id="501"/>
      <w:bookmarkEnd w:id="502"/>
    </w:p>
    <w:bookmarkEnd w:id="503"/>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一、加快构建“一城双展”体系</w:t>
      </w:r>
    </w:p>
    <w:p>
      <w:pPr>
        <w:adjustRightInd w:val="0"/>
        <w:snapToGrid w:val="0"/>
        <w:spacing w:line="580" w:lineRule="exact"/>
        <w:ind w:firstLine="640" w:firstLineChars="200"/>
        <w:rPr>
          <w:rFonts w:hint="eastAsia"/>
        </w:rPr>
      </w:pPr>
      <w:r>
        <w:rPr>
          <w:rFonts w:hint="eastAsia"/>
        </w:rPr>
        <w:t>加快构建以市中区、峨眉山市、五通桥区为核心的会展产业发展集聚带。高水平推进乐山国际博览城规划建设，根据展览场馆国家标准规范及国际权威认证机构标准，立足于城市发展定位与目标，衔接相关规划，以实际需求为导向对场馆规模、构成、功能定位进行全局规划。持续完善四川国际旅游交易博览中心功能配套，引进智能设施设备体系等软硬件，进行智能化、数字化改造提升。加强会议场地资源的规划和统计，推动打造国际会议目的地。</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二、提升场馆配套服务竞争力</w:t>
      </w:r>
    </w:p>
    <w:p>
      <w:pPr>
        <w:adjustRightInd w:val="0"/>
        <w:snapToGrid w:val="0"/>
        <w:spacing w:line="580" w:lineRule="exact"/>
        <w:ind w:firstLine="640" w:firstLineChars="200"/>
        <w:rPr>
          <w:rFonts w:hint="eastAsia"/>
        </w:rPr>
      </w:pPr>
      <w:r>
        <w:rPr>
          <w:rFonts w:hint="eastAsia"/>
        </w:rPr>
        <w:t>提高场馆服务人员专刨业水平，加强职业化场馆运营人才引进和培养，积极与高校联合开展人才培养计划；提高会展场馆配套服务，核心场馆周边形成组展商、服务商聚集区，推广精细服务，采用一站式服务模式；提高会展活动经营管理，引进国内展览营销策划公司组成经营管理联合体，为参展商、专业观众提供专业增值服务，提高会展销售额；提高展馆市场营销水平，积极开展走出去营销、精准营销，参与城市整体促销，在城市推介中推销场馆。</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三、探索场馆运营新模式</w:t>
      </w:r>
    </w:p>
    <w:p>
      <w:pPr>
        <w:adjustRightInd w:val="0"/>
        <w:snapToGrid w:val="0"/>
        <w:spacing w:line="580" w:lineRule="exact"/>
        <w:ind w:firstLine="640" w:firstLineChars="200"/>
        <w:rPr>
          <w:rFonts w:hint="eastAsia"/>
        </w:rPr>
      </w:pPr>
      <w:r>
        <w:rPr>
          <w:rFonts w:hint="eastAsia"/>
        </w:rPr>
        <w:t>积极探索通过联合组建国有合资企业、国有企业混合所有制改革等方式共同组成专业会展场馆运营企业，承担主要场馆和会展活动的经营管理，按出资比例或商定条件分享利润、承担风险。实现整合多方优质资源、培育本地龙头企业、培养本地专业人才、引进先进技术和管理经验、提升场馆利用率等目标。</w:t>
      </w:r>
    </w:p>
    <w:p>
      <w:pPr>
        <w:adjustRightInd w:val="0"/>
        <w:snapToGrid w:val="0"/>
        <w:spacing w:line="540" w:lineRule="exact"/>
        <w:jc w:val="center"/>
        <w:rPr>
          <w:rFonts w:hint="eastAsia"/>
        </w:rPr>
      </w:pPr>
      <w:bookmarkStart w:id="504" w:name="_Toc8391"/>
      <w:bookmarkStart w:id="505" w:name="_Toc13418"/>
      <w:bookmarkStart w:id="506" w:name="_Toc10602"/>
      <w:bookmarkStart w:id="507" w:name="_Toc31976"/>
      <w:bookmarkStart w:id="508" w:name="_Toc11659"/>
      <w:bookmarkStart w:id="509" w:name="_Toc90812657"/>
      <w:bookmarkStart w:id="510" w:name="_Toc90005859"/>
      <w:bookmarkStart w:id="511" w:name="_Toc28941"/>
    </w:p>
    <w:p>
      <w:pPr>
        <w:adjustRightInd w:val="0"/>
        <w:snapToGrid w:val="0"/>
        <w:spacing w:line="540" w:lineRule="exact"/>
        <w:jc w:val="center"/>
        <w:rPr>
          <w:rFonts w:hint="eastAsia"/>
        </w:rPr>
      </w:pPr>
      <w:r>
        <w:rPr>
          <w:rFonts w:hint="eastAsia"/>
        </w:rPr>
        <w:t>第三节  强化会展宣传推广</w:t>
      </w:r>
      <w:bookmarkEnd w:id="504"/>
      <w:bookmarkEnd w:id="505"/>
      <w:bookmarkEnd w:id="506"/>
      <w:bookmarkEnd w:id="507"/>
      <w:bookmarkEnd w:id="508"/>
      <w:bookmarkEnd w:id="509"/>
      <w:bookmarkEnd w:id="510"/>
      <w:bookmarkEnd w:id="511"/>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一、加大会展营销力度</w:t>
      </w:r>
    </w:p>
    <w:p>
      <w:pPr>
        <w:adjustRightInd w:val="0"/>
        <w:snapToGrid w:val="0"/>
        <w:spacing w:line="580" w:lineRule="exact"/>
        <w:ind w:firstLine="640" w:firstLineChars="200"/>
        <w:rPr>
          <w:rFonts w:hint="eastAsia"/>
        </w:rPr>
      </w:pPr>
      <w:r>
        <w:rPr>
          <w:rFonts w:hint="eastAsia"/>
        </w:rPr>
        <w:t>扎实开展宣传推介。积极参加中国会展行业高峰论坛、国际服务贸易交易会、中国会展品牌发展大会等会展产业重要活动，通过主题演讲、形象展示、专题推介等多种形式大力开展乐山会展宣传推介。创新营销方式，聘请优秀营销团队进行专业化运作，将会展营销纳入乐山城市营销体系；发挥国内友好城市资源和渠道，通过城市推广、品牌宣传、经贸合作等方式，适时开展会展产业专题营销推介活动。用好媒体功能，将传统媒体和新媒体营销模式相结合，加强与国内知名传统媒体和新媒体机构合作，大力宣传报道乐山国际旅游会展中心建设动态和成效，提升乐山会展知名度。</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二、实施“走出去”营销</w:t>
      </w:r>
    </w:p>
    <w:p>
      <w:pPr>
        <w:adjustRightInd w:val="0"/>
        <w:snapToGrid w:val="0"/>
        <w:spacing w:line="580" w:lineRule="exact"/>
        <w:ind w:firstLine="640" w:firstLineChars="200"/>
        <w:rPr>
          <w:rFonts w:hint="eastAsia"/>
        </w:rPr>
      </w:pPr>
      <w:r>
        <w:rPr>
          <w:rFonts w:hint="eastAsia"/>
        </w:rPr>
        <w:t>支持成都市宽窄巷子“in巷乐山”对外展示营销窗口平台建设，各县（市、区）要精选本地优质特色产品和特色文化进行集中展示，适时在北京、上海、广州、重庆等游客流量集中区域进行复制扩展。鼓励会展企业收购或投资国内外知名会展企业及品牌会展，在各地建立会展分会场，将宣传范围扩展至全国乃至走出国门。针对乐山市会展企业对外收购或投资需求，推动收购项目、投资项目、资源对接和融资服务等，推进乐山市会展南向、东向开放发展，推动乐山与南亚、东南亚、东亚国家深层次合作。搭建“走出去”展会服务平台，对乐山会展企业“走出去”提供办展地选择、合作资源对接、办展全流程指导等全方位服务。</w:t>
      </w:r>
    </w:p>
    <w:p>
      <w:pPr>
        <w:adjustRightInd w:val="0"/>
        <w:snapToGrid w:val="0"/>
        <w:spacing w:line="580" w:lineRule="exact"/>
        <w:jc w:val="center"/>
        <w:rPr>
          <w:rFonts w:hint="eastAsia" w:ascii="黑体" w:hAnsi="黑体" w:eastAsia="黑体"/>
        </w:rPr>
      </w:pPr>
      <w:bookmarkStart w:id="512" w:name="_Toc90005860"/>
      <w:r>
        <w:rPr>
          <w:rFonts w:hint="eastAsia"/>
        </w:rPr>
        <w:br w:type="page"/>
      </w:r>
      <w:bookmarkStart w:id="513" w:name="_Toc3748"/>
      <w:bookmarkStart w:id="514" w:name="_Toc6039"/>
      <w:bookmarkStart w:id="515" w:name="_Toc8645"/>
      <w:bookmarkStart w:id="516" w:name="_Toc5387"/>
      <w:bookmarkStart w:id="517" w:name="_Toc6960"/>
      <w:bookmarkStart w:id="518" w:name="_Toc90812658"/>
      <w:bookmarkStart w:id="519" w:name="_Toc27042"/>
      <w:r>
        <w:rPr>
          <w:rFonts w:hint="eastAsia" w:ascii="黑体" w:hAnsi="黑体" w:eastAsia="黑体"/>
        </w:rPr>
        <w:t>第七章  增强绿色科技新动能</w:t>
      </w:r>
      <w:bookmarkEnd w:id="512"/>
      <w:bookmarkEnd w:id="513"/>
      <w:bookmarkEnd w:id="514"/>
      <w:bookmarkEnd w:id="515"/>
      <w:bookmarkEnd w:id="516"/>
      <w:bookmarkEnd w:id="517"/>
      <w:bookmarkEnd w:id="518"/>
      <w:bookmarkEnd w:id="519"/>
    </w:p>
    <w:p>
      <w:pPr>
        <w:adjustRightInd w:val="0"/>
        <w:snapToGrid w:val="0"/>
        <w:spacing w:line="580" w:lineRule="exact"/>
        <w:ind w:firstLine="640" w:firstLineChars="200"/>
        <w:rPr>
          <w:rFonts w:hint="eastAsia"/>
        </w:rPr>
      </w:pPr>
      <w:bookmarkStart w:id="520" w:name="_Toc90812659"/>
      <w:bookmarkStart w:id="521" w:name="_Toc9712"/>
      <w:bookmarkStart w:id="522" w:name="_Toc11458"/>
      <w:bookmarkStart w:id="523" w:name="_Toc30017"/>
      <w:bookmarkStart w:id="524" w:name="_Toc10349"/>
      <w:bookmarkStart w:id="525" w:name="_Toc90005861"/>
      <w:bookmarkStart w:id="526" w:name="_Toc1135"/>
      <w:bookmarkStart w:id="527" w:name="_Toc21347"/>
    </w:p>
    <w:p>
      <w:pPr>
        <w:adjustRightInd w:val="0"/>
        <w:snapToGrid w:val="0"/>
        <w:spacing w:line="540" w:lineRule="exact"/>
        <w:jc w:val="center"/>
        <w:rPr>
          <w:rFonts w:hint="eastAsia"/>
        </w:rPr>
      </w:pPr>
      <w:r>
        <w:rPr>
          <w:rFonts w:hint="eastAsia"/>
        </w:rPr>
        <w:t>第一节  倡导绿色会展服务“双碳”经济</w:t>
      </w:r>
      <w:bookmarkEnd w:id="520"/>
      <w:bookmarkEnd w:id="521"/>
      <w:bookmarkEnd w:id="522"/>
      <w:bookmarkEnd w:id="523"/>
      <w:bookmarkEnd w:id="524"/>
      <w:bookmarkEnd w:id="525"/>
      <w:bookmarkEnd w:id="526"/>
      <w:bookmarkEnd w:id="527"/>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一、推广绿色展台搭建</w:t>
      </w:r>
    </w:p>
    <w:p>
      <w:pPr>
        <w:adjustRightInd w:val="0"/>
        <w:snapToGrid w:val="0"/>
        <w:spacing w:line="580" w:lineRule="exact"/>
        <w:ind w:firstLine="640" w:firstLineChars="200"/>
        <w:rPr>
          <w:rFonts w:hint="eastAsia"/>
        </w:rPr>
      </w:pPr>
      <w:r>
        <w:rPr>
          <w:rFonts w:hint="eastAsia"/>
        </w:rPr>
        <w:t>以设计简约、结构轻量为方向，鼓励组展商、参展商在展台搭建上采用强度高、可塑性强且可复用材料搭建展台，减少一次性木料使用，降低环境污染和展览垃圾堆积。探索展具租赁、股权合作、资源共享等模式，降低展具使用成本。鼓励会展工程服务企业推广使用绿色环保会展器材，文明施工，绿色施工，减轻会展现场环境污染和材料损耗，营造参会参展氛围。以展会、对接会、洽谈会等多种方式，为绿色展具生产、展台设计企业进行宣传推广。</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二、推进绿色展会发展</w:t>
      </w:r>
    </w:p>
    <w:p>
      <w:pPr>
        <w:adjustRightInd w:val="0"/>
        <w:snapToGrid w:val="0"/>
        <w:spacing w:line="580" w:lineRule="exact"/>
        <w:ind w:firstLine="640" w:firstLineChars="200"/>
        <w:rPr>
          <w:rFonts w:hint="eastAsia"/>
        </w:rPr>
      </w:pPr>
      <w:r>
        <w:rPr>
          <w:rFonts w:hint="eastAsia"/>
        </w:rPr>
        <w:t>鼓励会展场馆采用太阳能、污水循环利用等节能减排先进技术。在全市重大展会中设立绿色展区，引导参展商在绿色展区中通过绿色搭建形成绿色展览，促进材料回收和再利用，减少对资源和能源的消耗，减少污染物的排放量，助推碳排放达峰目标与碳中和愿景的实现。支持引导各县（市、区）结合自身优势生态绿色产业，举办绿色生态产业相关会展活动。在会展场馆中限制使用一次性不可降解塑料制品。鼓励全市相关企业围绕绿色会展需求，开展绿色会展服务、绿色展会材料研发制造，形成绿色展会产业链条。</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三、带动绿色产业发展</w:t>
      </w:r>
    </w:p>
    <w:p>
      <w:pPr>
        <w:adjustRightInd w:val="0"/>
        <w:snapToGrid w:val="0"/>
        <w:spacing w:line="580" w:lineRule="exact"/>
        <w:ind w:firstLine="640" w:firstLineChars="200"/>
        <w:rPr>
          <w:rFonts w:hint="eastAsia"/>
        </w:rPr>
      </w:pPr>
      <w:r>
        <w:rPr>
          <w:rFonts w:hint="eastAsia"/>
        </w:rPr>
        <w:t>按照省委“双碳”引领、做强优势的要求，发挥乐山光电信息产业优势，着力办好中国（乐山）国际光伏产业博览会、中国国际光伏产业高峰论坛等重大展会活动，配套策划开展一系列研讨会、对接会、洽谈会，以高水平会展加快晶硅光伏产业高端化发展，推进关键环节技术更新，带动全市硅料、硅片、电池片、组件等配套成链发展，形成上中下游适配协调的产业集群，培育支撑高质量发展的绿色低碳新动能，建设乐山“中国绿色硅谷”。</w:t>
      </w:r>
    </w:p>
    <w:p>
      <w:pPr>
        <w:adjustRightInd w:val="0"/>
        <w:snapToGrid w:val="0"/>
        <w:spacing w:line="580" w:lineRule="exact"/>
        <w:ind w:firstLine="640" w:firstLineChars="200"/>
        <w:rPr>
          <w:rFonts w:hint="eastAsia"/>
        </w:rPr>
      </w:pPr>
      <w:bookmarkStart w:id="528" w:name="_Toc23995"/>
      <w:bookmarkStart w:id="529" w:name="_Toc10102"/>
      <w:bookmarkStart w:id="530" w:name="_Toc10066"/>
      <w:bookmarkStart w:id="531" w:name="_Toc26450"/>
      <w:bookmarkStart w:id="532" w:name="_Toc16689"/>
      <w:bookmarkStart w:id="533" w:name="_Toc90812660"/>
      <w:bookmarkStart w:id="534" w:name="_Toc10105"/>
    </w:p>
    <w:p>
      <w:pPr>
        <w:adjustRightInd w:val="0"/>
        <w:snapToGrid w:val="0"/>
        <w:spacing w:line="540" w:lineRule="exact"/>
        <w:jc w:val="center"/>
        <w:rPr>
          <w:rFonts w:hint="eastAsia"/>
        </w:rPr>
      </w:pPr>
      <w:r>
        <w:rPr>
          <w:rFonts w:hint="eastAsia"/>
        </w:rPr>
        <w:t>第二节</w:t>
      </w:r>
      <w:bookmarkEnd w:id="528"/>
      <w:bookmarkEnd w:id="529"/>
      <w:bookmarkEnd w:id="530"/>
      <w:bookmarkEnd w:id="531"/>
      <w:bookmarkEnd w:id="532"/>
      <w:r>
        <w:rPr>
          <w:rFonts w:hint="eastAsia"/>
        </w:rPr>
        <w:t xml:space="preserve">  发展科技会展应对疫情挑战</w:t>
      </w:r>
      <w:bookmarkEnd w:id="533"/>
      <w:bookmarkEnd w:id="534"/>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一、围绕新技术发展数字会展</w:t>
      </w:r>
    </w:p>
    <w:p>
      <w:pPr>
        <w:adjustRightInd w:val="0"/>
        <w:snapToGrid w:val="0"/>
        <w:spacing w:line="580" w:lineRule="exact"/>
        <w:ind w:firstLine="640" w:firstLineChars="200"/>
        <w:rPr>
          <w:rFonts w:hint="eastAsia"/>
        </w:rPr>
      </w:pPr>
      <w:r>
        <w:rPr>
          <w:rFonts w:hint="eastAsia"/>
        </w:rPr>
        <w:t>依托乐山数字经济产业快速发展优势，应用移动互联网LBS（基于位置的服务）、人脸识别、二维码技术等新兴技术手段，提供线上线下展示、交易、金融、物流服务，提升乐山数字会展办展能力。在主场馆举办的展会中，鼓励展出主体应用3D打印技术、多点互动触摸、全息技术、裸眼3D技术、AR/VR、人工智能等新技术，增强展会科技氛围和参与度，培育会展新经济。建立专属的对外展示平台刨如公众号、小程序、网站等，提供在线展览，增强专业观众的体验感、代入感。打造乐山市会展产业大数据平台，建设会展资源整合、交易平台，基于云计算、人工智能、物联网、移动互联、3D打印技术、大数据应用等收集展会信息运用到展会服务和运营中，建立智能展厅控制系统，对展会各区域进行有效监控和指挥。</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二、大力发展线上会展</w:t>
      </w:r>
    </w:p>
    <w:p>
      <w:pPr>
        <w:adjustRightInd w:val="0"/>
        <w:snapToGrid w:val="0"/>
        <w:spacing w:line="580" w:lineRule="exact"/>
        <w:ind w:firstLine="640" w:firstLineChars="200"/>
        <w:rPr>
          <w:rFonts w:hint="eastAsia"/>
        </w:rPr>
      </w:pPr>
      <w:r>
        <w:rPr>
          <w:rFonts w:hint="eastAsia"/>
        </w:rPr>
        <w:t>在新冠疫情时有反复背景下，探索搭建以云展示、云引流、云互动、云洽谈为核心功能的线上展会平台，并不断完善线上展会功能，提升线上参展体验。建设“线上+线下”的智慧会展平台，推动展会“线上线下”同步互动、有机融合。加强与互联网公司、科技公司、网络营销平台的合作，依托前沿新兴科技，借助虚拟会展推广营销网络交易平台、招商平台、服贸合作平台，共同打造参与度更高、体验感更好的线上展会。搭建展会直播电商平台，通过全时直播、直播带货、网红荐货等方式，推动线上线下相结合、展览贸易相结合，进一步发挥展会的影响力、辐射力与带动力，实现会展产业对实体经济的有效带动。</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三、大力推进智慧场馆建设</w:t>
      </w:r>
    </w:p>
    <w:p>
      <w:pPr>
        <w:adjustRightInd w:val="0"/>
        <w:snapToGrid w:val="0"/>
        <w:spacing w:line="580" w:lineRule="exact"/>
        <w:ind w:firstLine="640" w:firstLineChars="200"/>
        <w:rPr>
          <w:rFonts w:hint="eastAsia"/>
        </w:rPr>
      </w:pPr>
      <w:r>
        <w:rPr>
          <w:rFonts w:hint="eastAsia"/>
        </w:rPr>
        <w:t>打造智慧场馆，实现场馆智能化信息服务，引进智能讲解服务设备、实时电子导航系统、AR/VR体验技术、裸眼3D技术、智能机器人等高科技设备和技术。运用人脸识别、大数据分析、云计算等科技手段，整合提升展馆服务功能。构建会展综合信息服务平台，为行业监管和会展服务提供信息支持，引导会展与城市经济融合发展、良性互动。提供多样化的展厅设施和顶尖设备，为参展商的展品提供智慧展示平台。</w:t>
      </w:r>
    </w:p>
    <w:p>
      <w:pPr>
        <w:adjustRightInd w:val="0"/>
        <w:snapToGrid w:val="0"/>
        <w:spacing w:line="580" w:lineRule="exact"/>
        <w:jc w:val="center"/>
        <w:rPr>
          <w:rFonts w:hint="eastAsia" w:ascii="黑体" w:hAnsi="黑体" w:eastAsia="黑体"/>
        </w:rPr>
      </w:pPr>
      <w:r>
        <w:rPr>
          <w:rFonts w:hint="eastAsia"/>
        </w:rPr>
        <w:br w:type="page"/>
      </w:r>
      <w:bookmarkStart w:id="535" w:name="_Toc31070"/>
      <w:bookmarkStart w:id="536" w:name="_Toc11114"/>
      <w:bookmarkStart w:id="537" w:name="_Toc90812661"/>
      <w:bookmarkStart w:id="538" w:name="_Toc90005863"/>
      <w:bookmarkStart w:id="539" w:name="_Toc8568"/>
      <w:bookmarkStart w:id="540" w:name="_Toc13803"/>
      <w:bookmarkStart w:id="541" w:name="_Toc32486"/>
      <w:bookmarkStart w:id="542" w:name="_Toc16666"/>
      <w:r>
        <w:rPr>
          <w:rFonts w:hint="eastAsia" w:ascii="黑体" w:hAnsi="黑体" w:eastAsia="黑体"/>
        </w:rPr>
        <w:t>第八章  保障措施</w:t>
      </w:r>
      <w:bookmarkEnd w:id="535"/>
      <w:bookmarkEnd w:id="536"/>
      <w:bookmarkEnd w:id="537"/>
      <w:bookmarkEnd w:id="538"/>
      <w:bookmarkEnd w:id="539"/>
      <w:bookmarkEnd w:id="540"/>
      <w:bookmarkEnd w:id="541"/>
      <w:bookmarkEnd w:id="542"/>
    </w:p>
    <w:p>
      <w:pPr>
        <w:adjustRightInd w:val="0"/>
        <w:snapToGrid w:val="0"/>
        <w:spacing w:line="580" w:lineRule="exact"/>
        <w:ind w:firstLine="640" w:firstLineChars="200"/>
        <w:rPr>
          <w:rFonts w:hint="eastAsia"/>
        </w:rPr>
      </w:pPr>
      <w:bookmarkStart w:id="543" w:name="_Toc3656"/>
      <w:bookmarkStart w:id="544" w:name="_Toc89531918"/>
      <w:bookmarkStart w:id="545" w:name="_Toc1596"/>
      <w:bookmarkStart w:id="546" w:name="_Toc18653"/>
      <w:bookmarkStart w:id="547" w:name="_Toc23504"/>
      <w:bookmarkStart w:id="548" w:name="_Toc1249"/>
      <w:bookmarkStart w:id="549" w:name="_Toc10430"/>
      <w:bookmarkStart w:id="550" w:name="_Toc20807"/>
      <w:bookmarkStart w:id="551" w:name="_Toc19392"/>
      <w:bookmarkStart w:id="552" w:name="_Toc90812662"/>
      <w:bookmarkStart w:id="553" w:name="_Toc13435"/>
      <w:bookmarkStart w:id="554" w:name="_Toc2504"/>
      <w:bookmarkStart w:id="555" w:name="_Toc12376"/>
      <w:bookmarkStart w:id="556" w:name="_Toc12500"/>
      <w:bookmarkStart w:id="557" w:name="_Toc341"/>
      <w:bookmarkStart w:id="558" w:name="_Toc90005864"/>
      <w:bookmarkStart w:id="559" w:name="_Toc22886"/>
      <w:bookmarkStart w:id="560" w:name="_Toc11653"/>
      <w:bookmarkStart w:id="561" w:name="_Toc27418"/>
      <w:bookmarkStart w:id="562" w:name="_Toc14555"/>
    </w:p>
    <w:p>
      <w:pPr>
        <w:adjustRightInd w:val="0"/>
        <w:snapToGrid w:val="0"/>
        <w:spacing w:line="540" w:lineRule="exact"/>
        <w:jc w:val="center"/>
        <w:rPr>
          <w:rFonts w:hint="eastAsia"/>
        </w:rPr>
      </w:pPr>
      <w:r>
        <w:rPr>
          <w:rFonts w:hint="eastAsia"/>
        </w:rPr>
        <w:t>第一节  加强组织领导</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pPr>
        <w:adjustRightInd w:val="0"/>
        <w:snapToGrid w:val="0"/>
        <w:spacing w:line="580" w:lineRule="exact"/>
        <w:ind w:firstLine="640" w:firstLineChars="200"/>
        <w:rPr>
          <w:rFonts w:hint="eastAsia"/>
        </w:rPr>
      </w:pPr>
      <w:bookmarkStart w:id="563" w:name="_Toc14512"/>
      <w:bookmarkStart w:id="564" w:name="_Toc18929"/>
      <w:bookmarkStart w:id="565" w:name="_Toc29494"/>
      <w:bookmarkStart w:id="566" w:name="_Toc14514"/>
      <w:bookmarkStart w:id="567" w:name="_Toc32053"/>
      <w:bookmarkStart w:id="568" w:name="_Toc6449"/>
      <w:bookmarkStart w:id="569" w:name="_Toc14891"/>
      <w:bookmarkStart w:id="570" w:name="_Toc18697"/>
      <w:bookmarkStart w:id="571" w:name="_Toc22042"/>
      <w:bookmarkStart w:id="572" w:name="_Toc21342"/>
      <w:bookmarkStart w:id="573" w:name="_Toc21774"/>
      <w:bookmarkStart w:id="574" w:name="_Toc15224"/>
      <w:bookmarkStart w:id="575" w:name="_Toc20550"/>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一、完善领导体制机制</w:t>
      </w:r>
      <w:bookmarkEnd w:id="563"/>
      <w:bookmarkEnd w:id="564"/>
      <w:bookmarkEnd w:id="565"/>
      <w:bookmarkEnd w:id="566"/>
      <w:bookmarkEnd w:id="567"/>
      <w:bookmarkEnd w:id="568"/>
      <w:bookmarkEnd w:id="569"/>
      <w:bookmarkEnd w:id="570"/>
      <w:bookmarkEnd w:id="571"/>
    </w:p>
    <w:p>
      <w:pPr>
        <w:adjustRightInd w:val="0"/>
        <w:snapToGrid w:val="0"/>
        <w:spacing w:line="580" w:lineRule="exact"/>
        <w:ind w:firstLine="640" w:firstLineChars="200"/>
        <w:rPr>
          <w:rFonts w:hint="eastAsia"/>
        </w:rPr>
      </w:pPr>
      <w:bookmarkStart w:id="576" w:name="_Toc25485"/>
      <w:bookmarkStart w:id="577" w:name="_Toc10474"/>
      <w:r>
        <w:rPr>
          <w:rFonts w:hint="eastAsia"/>
        </w:rPr>
        <w:t>建立健全乐山市会展产业发展工作机制，对全市会展工作进行统筹规划、统一指挥，组织相关部门、县（市、区）对会展产业政策、规划的制定与实施，协调重大会展活动的组织实施、服务保障、规范管理等。</w:t>
      </w:r>
      <w:bookmarkEnd w:id="572"/>
      <w:bookmarkEnd w:id="573"/>
      <w:bookmarkEnd w:id="574"/>
      <w:bookmarkEnd w:id="575"/>
      <w:bookmarkEnd w:id="576"/>
      <w:bookmarkEnd w:id="577"/>
    </w:p>
    <w:p>
      <w:pPr>
        <w:adjustRightInd w:val="0"/>
        <w:snapToGrid w:val="0"/>
        <w:spacing w:line="580" w:lineRule="exact"/>
        <w:ind w:firstLine="640" w:firstLineChars="200"/>
        <w:rPr>
          <w:rFonts w:hint="eastAsia" w:ascii="黑体" w:hAnsi="黑体" w:eastAsia="黑体"/>
        </w:rPr>
      </w:pPr>
      <w:bookmarkStart w:id="578" w:name="_Toc11998"/>
      <w:bookmarkStart w:id="579" w:name="_Toc28623"/>
      <w:bookmarkStart w:id="580" w:name="_Toc14295"/>
      <w:bookmarkStart w:id="581" w:name="_Toc30776"/>
      <w:bookmarkStart w:id="582" w:name="_Toc25039"/>
      <w:bookmarkStart w:id="583" w:name="_Toc28282"/>
      <w:bookmarkStart w:id="584" w:name="_Toc8999"/>
      <w:bookmarkStart w:id="585" w:name="_Toc24158"/>
      <w:bookmarkStart w:id="586" w:name="_Toc5967"/>
      <w:bookmarkStart w:id="587" w:name="_Toc19803"/>
      <w:bookmarkStart w:id="588" w:name="_Toc18589"/>
      <w:r>
        <w:rPr>
          <w:rFonts w:hint="eastAsia" w:ascii="黑体" w:hAnsi="黑体" w:eastAsia="黑体"/>
        </w:rPr>
        <w:t>二、强化区县职能任务</w:t>
      </w:r>
      <w:bookmarkEnd w:id="578"/>
      <w:bookmarkEnd w:id="579"/>
      <w:bookmarkEnd w:id="580"/>
      <w:bookmarkEnd w:id="581"/>
      <w:bookmarkEnd w:id="582"/>
      <w:bookmarkEnd w:id="583"/>
      <w:bookmarkEnd w:id="584"/>
      <w:bookmarkEnd w:id="585"/>
      <w:bookmarkEnd w:id="586"/>
    </w:p>
    <w:p>
      <w:pPr>
        <w:adjustRightInd w:val="0"/>
        <w:snapToGrid w:val="0"/>
        <w:spacing w:line="580" w:lineRule="exact"/>
        <w:ind w:firstLine="640" w:firstLineChars="200"/>
        <w:rPr>
          <w:rFonts w:hint="eastAsia"/>
        </w:rPr>
      </w:pPr>
      <w:bookmarkStart w:id="589" w:name="_Toc27571"/>
      <w:bookmarkStart w:id="590" w:name="_Toc14534"/>
      <w:r>
        <w:rPr>
          <w:rFonts w:hint="eastAsia"/>
        </w:rPr>
        <w:t>以全市会展产业空间布局为依据，理顺县（市、区）博览工作职能职责，各县（市、区）要高度重视会展产业发展，组织参与办展办会、招展引会等活动，发挥会展产业对本地经济社会发展的带动作用。按照专业化、市场化要求举办专业展会活动，形成政府引导、分级负责、部门协作、上下联动的发展机制。</w:t>
      </w:r>
      <w:bookmarkEnd w:id="587"/>
      <w:bookmarkEnd w:id="588"/>
      <w:bookmarkEnd w:id="589"/>
      <w:bookmarkEnd w:id="590"/>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三、推进市场化进程</w:t>
      </w:r>
    </w:p>
    <w:p>
      <w:pPr>
        <w:adjustRightInd w:val="0"/>
        <w:snapToGrid w:val="0"/>
        <w:spacing w:line="580" w:lineRule="exact"/>
        <w:ind w:firstLine="640" w:firstLineChars="200"/>
        <w:rPr>
          <w:rFonts w:hint="eastAsia"/>
        </w:rPr>
      </w:pPr>
      <w:r>
        <w:rPr>
          <w:rFonts w:hint="eastAsia"/>
        </w:rPr>
        <w:t>规范全市政府办展行为，加强政府的引导作用，逐步减少行政直接参与，加大政府向社会购买服务的力度，探讨建立政府办展退出机制。鼓励企业根据市场需求办展，通过参与招投标和接受委托、授权经营等方式逐步承接原来由政府直接举办的展会活动。</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四、健全统计督查体系</w:t>
      </w:r>
    </w:p>
    <w:p>
      <w:pPr>
        <w:adjustRightInd w:val="0"/>
        <w:snapToGrid w:val="0"/>
        <w:spacing w:line="580" w:lineRule="exact"/>
        <w:ind w:firstLine="640" w:firstLineChars="200"/>
        <w:rPr>
          <w:rFonts w:hint="eastAsia"/>
        </w:rPr>
      </w:pPr>
      <w:bookmarkStart w:id="591" w:name="_Toc20206"/>
      <w:bookmarkStart w:id="592" w:name="_Toc5090"/>
      <w:r>
        <w:rPr>
          <w:rFonts w:hint="eastAsia"/>
        </w:rPr>
        <w:t>健全“展、会、节、赛、演”会展产业统计指标体系，规范统计范围、口径、标准。出台统计制度及统计管理规定和会展产业统计监测制度，建设乐山市会展大数据平台，对全市会展产业运行情况进行综合监测、统计分析，实现对会展产业的统筹管理。探索完善会展产业发展考核体系，加大督查力度，确保责任落实到位，工作扎实有效。建立会展产业信息发布平台，定期向社会发布全市会展产业有关信息。</w:t>
      </w:r>
      <w:bookmarkEnd w:id="591"/>
      <w:bookmarkEnd w:id="592"/>
    </w:p>
    <w:p>
      <w:pPr>
        <w:adjustRightInd w:val="0"/>
        <w:snapToGrid w:val="0"/>
        <w:spacing w:line="580" w:lineRule="exact"/>
        <w:ind w:firstLine="640" w:firstLineChars="200"/>
        <w:rPr>
          <w:rFonts w:hint="eastAsia"/>
        </w:rPr>
      </w:pPr>
      <w:bookmarkStart w:id="593" w:name="_Toc29304"/>
      <w:bookmarkStart w:id="594" w:name="_Toc27245"/>
      <w:bookmarkStart w:id="595" w:name="_Toc2004"/>
      <w:bookmarkStart w:id="596" w:name="_Toc18297"/>
      <w:bookmarkStart w:id="597" w:name="_Toc9658"/>
      <w:bookmarkStart w:id="598" w:name="_Toc2790"/>
      <w:bookmarkStart w:id="599" w:name="_Toc19209"/>
      <w:bookmarkStart w:id="600" w:name="_Toc18712"/>
      <w:bookmarkStart w:id="601" w:name="_Toc90812663"/>
      <w:bookmarkStart w:id="602" w:name="_Toc15126"/>
      <w:bookmarkStart w:id="603" w:name="_Toc6488"/>
      <w:bookmarkStart w:id="604" w:name="_Toc24740"/>
      <w:bookmarkStart w:id="605" w:name="_Toc1929"/>
      <w:bookmarkStart w:id="606" w:name="_Toc28613"/>
      <w:bookmarkStart w:id="607" w:name="_Toc5643"/>
      <w:bookmarkStart w:id="608" w:name="_Toc32480"/>
      <w:bookmarkStart w:id="609" w:name="_Toc1887"/>
      <w:bookmarkStart w:id="610" w:name="_Toc90005865"/>
      <w:bookmarkStart w:id="611" w:name="_Toc89531919"/>
      <w:bookmarkStart w:id="612" w:name="_Toc24471"/>
    </w:p>
    <w:p>
      <w:pPr>
        <w:adjustRightInd w:val="0"/>
        <w:snapToGrid w:val="0"/>
        <w:spacing w:line="540" w:lineRule="exact"/>
        <w:jc w:val="center"/>
        <w:rPr>
          <w:rFonts w:hint="eastAsia"/>
        </w:rPr>
      </w:pPr>
      <w:r>
        <w:rPr>
          <w:rFonts w:hint="eastAsia"/>
        </w:rPr>
        <w:t>第二节  完善配套政策</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pPr>
        <w:adjustRightInd w:val="0"/>
        <w:snapToGrid w:val="0"/>
        <w:spacing w:line="580" w:lineRule="exact"/>
        <w:ind w:firstLine="640" w:firstLineChars="200"/>
        <w:rPr>
          <w:rFonts w:hint="eastAsia"/>
        </w:rPr>
      </w:pPr>
      <w:bookmarkStart w:id="613" w:name="_Toc5852"/>
      <w:bookmarkStart w:id="614" w:name="_Toc28432"/>
      <w:bookmarkStart w:id="615" w:name="_Toc9852"/>
      <w:bookmarkStart w:id="616" w:name="_Toc920"/>
      <w:bookmarkStart w:id="617" w:name="_Toc28111"/>
      <w:bookmarkStart w:id="618" w:name="_Toc20199"/>
      <w:bookmarkStart w:id="619" w:name="_Toc24924"/>
      <w:bookmarkStart w:id="620" w:name="_Toc19709"/>
      <w:bookmarkStart w:id="621" w:name="_Toc1424"/>
      <w:bookmarkStart w:id="622" w:name="_Toc18477"/>
      <w:bookmarkStart w:id="623" w:name="_Toc26571"/>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一、强化政策支撑</w:t>
      </w:r>
      <w:bookmarkEnd w:id="613"/>
      <w:bookmarkEnd w:id="614"/>
      <w:bookmarkEnd w:id="615"/>
      <w:bookmarkEnd w:id="616"/>
      <w:bookmarkEnd w:id="617"/>
      <w:bookmarkEnd w:id="618"/>
      <w:bookmarkEnd w:id="619"/>
      <w:bookmarkEnd w:id="620"/>
      <w:bookmarkEnd w:id="621"/>
    </w:p>
    <w:p>
      <w:pPr>
        <w:adjustRightInd w:val="0"/>
        <w:snapToGrid w:val="0"/>
        <w:spacing w:line="580" w:lineRule="exact"/>
        <w:ind w:firstLine="640" w:firstLineChars="200"/>
        <w:rPr>
          <w:rFonts w:hint="eastAsia"/>
        </w:rPr>
      </w:pPr>
      <w:bookmarkStart w:id="624" w:name="_Toc27732"/>
      <w:bookmarkStart w:id="625" w:name="_Toc13220"/>
      <w:r>
        <w:rPr>
          <w:rFonts w:hint="eastAsia"/>
        </w:rPr>
        <w:t>根据乐山会展产业发展阶段和实际问题，制定乐山市促进会展产业发展的实施意见和专项扶持政策，在会展设施建设利用、场馆运营管理、办展办会、招展引会等方面给予有重点、有含金量的政策扶持。</w:t>
      </w:r>
      <w:bookmarkEnd w:id="622"/>
      <w:bookmarkEnd w:id="623"/>
      <w:bookmarkEnd w:id="624"/>
      <w:bookmarkEnd w:id="625"/>
    </w:p>
    <w:p>
      <w:pPr>
        <w:adjustRightInd w:val="0"/>
        <w:snapToGrid w:val="0"/>
        <w:spacing w:line="580" w:lineRule="exact"/>
        <w:ind w:firstLine="640" w:firstLineChars="200"/>
        <w:rPr>
          <w:rFonts w:hint="eastAsia" w:ascii="黑体" w:hAnsi="黑体" w:eastAsia="黑体"/>
        </w:rPr>
      </w:pPr>
      <w:bookmarkStart w:id="626" w:name="_Toc20990"/>
      <w:bookmarkStart w:id="627" w:name="_Toc22537"/>
      <w:bookmarkStart w:id="628" w:name="_Toc13572"/>
      <w:bookmarkStart w:id="629" w:name="_Toc30817"/>
      <w:bookmarkStart w:id="630" w:name="_Toc9384"/>
      <w:bookmarkStart w:id="631" w:name="_Toc31498"/>
      <w:bookmarkStart w:id="632" w:name="_Toc30195"/>
      <w:bookmarkStart w:id="633" w:name="_Toc30247"/>
      <w:bookmarkStart w:id="634" w:name="_Toc16518"/>
      <w:bookmarkStart w:id="635" w:name="_Toc29092"/>
      <w:bookmarkStart w:id="636" w:name="_Toc32661"/>
      <w:r>
        <w:rPr>
          <w:rFonts w:hint="eastAsia" w:ascii="黑体" w:hAnsi="黑体" w:eastAsia="黑体"/>
        </w:rPr>
        <w:t>二、落实资金保障</w:t>
      </w:r>
      <w:bookmarkEnd w:id="626"/>
      <w:bookmarkEnd w:id="627"/>
      <w:bookmarkEnd w:id="628"/>
      <w:bookmarkEnd w:id="629"/>
      <w:bookmarkEnd w:id="630"/>
      <w:bookmarkEnd w:id="631"/>
      <w:bookmarkEnd w:id="632"/>
      <w:bookmarkEnd w:id="633"/>
      <w:bookmarkEnd w:id="634"/>
    </w:p>
    <w:p>
      <w:pPr>
        <w:adjustRightInd w:val="0"/>
        <w:snapToGrid w:val="0"/>
        <w:spacing w:line="580" w:lineRule="exact"/>
        <w:ind w:firstLine="640" w:firstLineChars="200"/>
        <w:rPr>
          <w:rFonts w:hint="eastAsia"/>
        </w:rPr>
      </w:pPr>
      <w:bookmarkStart w:id="637" w:name="_Toc23684"/>
      <w:bookmarkStart w:id="638" w:name="_Toc32682"/>
      <w:r>
        <w:rPr>
          <w:rFonts w:hint="eastAsia"/>
        </w:rPr>
        <w:t>按照财政事权和支出责任划分相关规定，切实做好会展产业发展经费保障，对重大展会项目采取“一事一议”方式给予保障，着力保障全市重大品牌展会提质升级、重点特色展会持续举办。积极向上争取资金、政策支持，探索运用地方政府债券、政策性贷款、社会资本参与等筹资方式，拓宽资金筹集渠道。全面实施项目绩效管理，做好项目绩效评（估）价，并将结果作为预算安排的前置条件。</w:t>
      </w:r>
      <w:bookmarkEnd w:id="635"/>
      <w:bookmarkEnd w:id="636"/>
      <w:bookmarkEnd w:id="637"/>
      <w:bookmarkEnd w:id="638"/>
    </w:p>
    <w:p>
      <w:pPr>
        <w:adjustRightInd w:val="0"/>
        <w:snapToGrid w:val="0"/>
        <w:spacing w:line="580" w:lineRule="exact"/>
        <w:ind w:firstLine="640" w:firstLineChars="200"/>
        <w:rPr>
          <w:rFonts w:hint="eastAsia"/>
        </w:rPr>
      </w:pPr>
      <w:bookmarkStart w:id="639" w:name="_Toc32380"/>
      <w:bookmarkStart w:id="640" w:name="_Toc26448"/>
      <w:bookmarkStart w:id="641" w:name="_Toc12172"/>
      <w:bookmarkStart w:id="642" w:name="_Toc30931"/>
      <w:bookmarkStart w:id="643" w:name="_Toc90005866"/>
      <w:bookmarkStart w:id="644" w:name="_Toc4199"/>
      <w:bookmarkStart w:id="645" w:name="_Toc15868"/>
      <w:bookmarkStart w:id="646" w:name="_Toc22822"/>
      <w:bookmarkStart w:id="647" w:name="_Toc32695"/>
      <w:bookmarkStart w:id="648" w:name="_Toc9659"/>
      <w:bookmarkStart w:id="649" w:name="_Toc11267"/>
      <w:bookmarkStart w:id="650" w:name="_Toc32001"/>
      <w:bookmarkStart w:id="651" w:name="_Toc90812664"/>
      <w:bookmarkStart w:id="652" w:name="_Toc8292"/>
      <w:bookmarkStart w:id="653" w:name="_Toc1119"/>
      <w:bookmarkStart w:id="654" w:name="_Toc4612"/>
      <w:bookmarkStart w:id="655" w:name="_Toc89531920"/>
      <w:bookmarkStart w:id="656" w:name="_Toc1772"/>
      <w:bookmarkStart w:id="657" w:name="_Toc28659"/>
      <w:bookmarkStart w:id="658" w:name="_Toc8232"/>
    </w:p>
    <w:p>
      <w:pPr>
        <w:adjustRightInd w:val="0"/>
        <w:snapToGrid w:val="0"/>
        <w:spacing w:line="540" w:lineRule="exact"/>
        <w:jc w:val="center"/>
        <w:rPr>
          <w:rFonts w:hint="eastAsia"/>
        </w:rPr>
      </w:pPr>
      <w:r>
        <w:rPr>
          <w:rFonts w:hint="eastAsia"/>
        </w:rPr>
        <w:t>第三节  优化发展环境</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adjustRightInd w:val="0"/>
        <w:snapToGrid w:val="0"/>
        <w:spacing w:line="580" w:lineRule="exact"/>
        <w:ind w:firstLine="800" w:firstLineChars="250"/>
        <w:rPr>
          <w:rFonts w:hint="eastAsia"/>
        </w:rPr>
      </w:pPr>
      <w:bookmarkStart w:id="659" w:name="_Toc6168"/>
      <w:bookmarkStart w:id="660" w:name="_Toc11249"/>
      <w:bookmarkStart w:id="661" w:name="_Toc7363"/>
      <w:bookmarkStart w:id="662" w:name="_Toc25563"/>
      <w:bookmarkStart w:id="663" w:name="_Toc3463"/>
      <w:bookmarkStart w:id="664" w:name="_Toc1818"/>
      <w:bookmarkStart w:id="665" w:name="_Toc20554"/>
      <w:bookmarkStart w:id="666" w:name="_Toc8470"/>
      <w:bookmarkStart w:id="667" w:name="_Toc5442"/>
      <w:bookmarkStart w:id="668" w:name="_Toc29360"/>
      <w:bookmarkStart w:id="669" w:name="_Toc22050"/>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一、提升综合配套水平</w:t>
      </w:r>
    </w:p>
    <w:p>
      <w:pPr>
        <w:adjustRightInd w:val="0"/>
        <w:snapToGrid w:val="0"/>
        <w:spacing w:line="580" w:lineRule="exact"/>
        <w:ind w:firstLine="640" w:firstLineChars="200"/>
        <w:rPr>
          <w:rFonts w:hint="eastAsia"/>
        </w:rPr>
      </w:pPr>
      <w:r>
        <w:rPr>
          <w:rFonts w:hint="eastAsia"/>
        </w:rPr>
        <w:t>完善会展场馆周边配套设施，有序布局提升酒店档次和类型，打造高端会展酒店集群。鼓励场馆周边写字楼、酒店、大型餐饮门店、市政公园、体育场馆等提供临时停车位。完善全市主要商圈、主要景点与会展场馆互通互达的公交专线，做好展会期间的临时交通管制。丰富餐饮、休闲、购物、娱乐等配套建设，编制场馆周边消费指引指南，加强场馆、酒店、主要商圈和商业综合体在展会期间的协同合作，激发展商客商消费潜力。</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二、注重知识产权保护</w:t>
      </w:r>
      <w:bookmarkEnd w:id="659"/>
      <w:bookmarkEnd w:id="660"/>
      <w:bookmarkEnd w:id="661"/>
      <w:bookmarkEnd w:id="662"/>
      <w:bookmarkEnd w:id="663"/>
      <w:bookmarkEnd w:id="664"/>
      <w:bookmarkEnd w:id="665"/>
      <w:bookmarkEnd w:id="666"/>
      <w:bookmarkEnd w:id="667"/>
    </w:p>
    <w:p>
      <w:pPr>
        <w:adjustRightInd w:val="0"/>
        <w:snapToGrid w:val="0"/>
        <w:spacing w:line="580" w:lineRule="exact"/>
        <w:ind w:firstLine="640" w:firstLineChars="200"/>
        <w:rPr>
          <w:rFonts w:hint="eastAsia"/>
        </w:rPr>
      </w:pPr>
      <w:bookmarkStart w:id="670" w:name="_Toc28088"/>
      <w:bookmarkStart w:id="671" w:name="_Toc19012"/>
      <w:r>
        <w:rPr>
          <w:rFonts w:hint="eastAsia"/>
        </w:rPr>
        <w:t>组织会展组展商、参展商进行各种知识产权培训，并为其提供指导和咨询。检查、督促会展组展商、参展商自觉履行知识产权保护义务、查处展会中发生的各类知识产权违法案件，出台展会知识产权纠纷快速处理办法等知识产权保护办法。在会展活动现场设立知识产权投诉接待点。</w:t>
      </w:r>
      <w:bookmarkEnd w:id="668"/>
      <w:bookmarkEnd w:id="669"/>
      <w:bookmarkEnd w:id="670"/>
      <w:bookmarkEnd w:id="671"/>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三、加强会展人才培养</w:t>
      </w:r>
    </w:p>
    <w:p>
      <w:pPr>
        <w:adjustRightInd w:val="0"/>
        <w:snapToGrid w:val="0"/>
        <w:spacing w:line="580" w:lineRule="exact"/>
        <w:ind w:firstLine="640" w:firstLineChars="200"/>
        <w:rPr>
          <w:rFonts w:hint="eastAsia"/>
        </w:rPr>
      </w:pPr>
      <w:bookmarkStart w:id="672" w:name="_Toc6188"/>
      <w:bookmarkStart w:id="673" w:name="_Toc3903"/>
      <w:r>
        <w:rPr>
          <w:rFonts w:hint="eastAsia"/>
        </w:rPr>
        <w:t>推动建立会展人才引进评估机制，引进会展核心人才、高技能人才和国际化人才。加快构建政府部门、科研院所、高校、协会、企业全面对接的人才联合培养机制。建立会展行业专家库，聘请国内外知名行业专家为会展产业提供决策咨询意见。加强会展资格认证培训，引进注册展览经理（CEM）、注册会议专家（CMP）、特殊事件从业人员证书（CSEP）等国际权威认证及其整体培训体系，并结合乐山实际逐步本土化，鼓励从业人员积极参加培训认证。</w:t>
      </w:r>
      <w:bookmarkEnd w:id="672"/>
      <w:bookmarkEnd w:id="673"/>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四、整合会展行业资源</w:t>
      </w:r>
    </w:p>
    <w:p>
      <w:pPr>
        <w:adjustRightInd w:val="0"/>
        <w:snapToGrid w:val="0"/>
        <w:spacing w:line="580" w:lineRule="exact"/>
        <w:ind w:firstLine="640" w:firstLineChars="200"/>
        <w:rPr>
          <w:rFonts w:hint="eastAsia"/>
        </w:rPr>
      </w:pPr>
      <w:bookmarkStart w:id="674" w:name="_Toc10908"/>
      <w:bookmarkStart w:id="675" w:name="_Toc13745"/>
      <w:r>
        <w:rPr>
          <w:rFonts w:hint="eastAsia"/>
        </w:rPr>
        <w:t>依托会展龙头企业成立乐山市会展行业协会，发挥行业协会“服务、协调、自律”作用，加强对会展行业的协调和监管，制定和建立行业服务规范，开展企业资质认证和会展活动等级评定，推进交流合作，提高行业整体素质。</w:t>
      </w:r>
      <w:bookmarkEnd w:id="674"/>
      <w:bookmarkEnd w:id="675"/>
      <w:r>
        <w:rPr>
          <w:rFonts w:hint="eastAsia"/>
        </w:rPr>
        <w:t>参与国际国内会展行业培训交流活动，吸引国际国内会展企业落户乐山。</w:t>
      </w:r>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五、提升政务服务质量</w:t>
      </w:r>
    </w:p>
    <w:p>
      <w:pPr>
        <w:adjustRightInd w:val="0"/>
        <w:snapToGrid w:val="0"/>
        <w:spacing w:line="580" w:lineRule="exact"/>
        <w:ind w:firstLine="640" w:firstLineChars="200"/>
        <w:rPr>
          <w:rFonts w:hint="eastAsia"/>
        </w:rPr>
      </w:pPr>
      <w:bookmarkStart w:id="676" w:name="_Toc31471"/>
      <w:bookmarkStart w:id="677" w:name="_Toc19553"/>
      <w:r>
        <w:rPr>
          <w:rFonts w:hint="eastAsia"/>
        </w:rPr>
        <w:t>加强与商务、市场监督、公安、消防等会展产业相关公共服务部门衔接，缩短会展活动登记备案时间，对各类会展活动举办实行核准、备案“一站式”服务，提高办事效率，降低举办成本。建立区域中心会展政商服务体系，为会展企业和个人提供便利的线上+线下政务服务，搭建互联网线上服务平台，缩短政务办理流程和时间。</w:t>
      </w:r>
      <w:bookmarkEnd w:id="676"/>
      <w:bookmarkEnd w:id="677"/>
    </w:p>
    <w:p>
      <w:pPr>
        <w:adjustRightInd w:val="0"/>
        <w:snapToGrid w:val="0"/>
        <w:spacing w:line="580" w:lineRule="exact"/>
        <w:ind w:firstLine="640" w:firstLineChars="200"/>
        <w:rPr>
          <w:rFonts w:hint="eastAsia"/>
        </w:rPr>
      </w:pPr>
      <w:bookmarkStart w:id="678" w:name="_Toc7973"/>
      <w:bookmarkStart w:id="679" w:name="_Toc90812665"/>
      <w:bookmarkStart w:id="680" w:name="_Toc90005867"/>
      <w:bookmarkStart w:id="681" w:name="_Toc6543"/>
      <w:bookmarkStart w:id="682" w:name="_Toc28020"/>
      <w:bookmarkStart w:id="683" w:name="_Toc14224"/>
      <w:bookmarkStart w:id="684" w:name="_Toc9052"/>
      <w:bookmarkStart w:id="685" w:name="_Toc9226"/>
      <w:bookmarkStart w:id="686" w:name="_Toc13501"/>
      <w:bookmarkStart w:id="687" w:name="_Toc22441"/>
      <w:bookmarkStart w:id="688" w:name="_Toc89531921"/>
      <w:bookmarkStart w:id="689" w:name="_Toc18858"/>
      <w:bookmarkStart w:id="690" w:name="_Toc21045"/>
      <w:bookmarkStart w:id="691" w:name="_Toc2830"/>
      <w:bookmarkStart w:id="692" w:name="_Toc4522"/>
      <w:bookmarkStart w:id="693" w:name="_Toc3245"/>
      <w:bookmarkStart w:id="694" w:name="_Toc23105"/>
      <w:bookmarkStart w:id="695" w:name="_Toc31829"/>
      <w:bookmarkStart w:id="696" w:name="_Toc22573"/>
      <w:bookmarkStart w:id="697" w:name="_Toc1358"/>
    </w:p>
    <w:p>
      <w:pPr>
        <w:adjustRightInd w:val="0"/>
        <w:snapToGrid w:val="0"/>
        <w:spacing w:line="540" w:lineRule="exact"/>
        <w:jc w:val="center"/>
        <w:rPr>
          <w:rFonts w:hint="eastAsia"/>
        </w:rPr>
      </w:pPr>
      <w:r>
        <w:rPr>
          <w:rFonts w:hint="eastAsia"/>
        </w:rPr>
        <w:t>第四节  构建标准体系</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pPr>
        <w:adjustRightInd w:val="0"/>
        <w:snapToGrid w:val="0"/>
        <w:spacing w:line="580" w:lineRule="exact"/>
        <w:ind w:firstLine="640" w:firstLineChars="200"/>
        <w:rPr>
          <w:rFonts w:hint="eastAsia"/>
        </w:rPr>
      </w:pPr>
      <w:bookmarkStart w:id="698" w:name="_Toc16208"/>
      <w:bookmarkStart w:id="699" w:name="_Toc14235"/>
      <w:bookmarkStart w:id="700" w:name="_Toc2393"/>
      <w:bookmarkStart w:id="701" w:name="_Toc9674"/>
      <w:bookmarkStart w:id="702" w:name="_Toc13633"/>
      <w:bookmarkStart w:id="703" w:name="_Toc30276"/>
      <w:bookmarkStart w:id="704" w:name="_Toc17451"/>
      <w:bookmarkStart w:id="705" w:name="_Toc7775"/>
      <w:bookmarkStart w:id="706" w:name="_Toc26493"/>
      <w:bookmarkStart w:id="707" w:name="_Toc31493"/>
      <w:bookmarkStart w:id="708" w:name="_Toc7669"/>
    </w:p>
    <w:p>
      <w:pPr>
        <w:adjustRightInd w:val="0"/>
        <w:snapToGrid w:val="0"/>
        <w:spacing w:line="580" w:lineRule="exact"/>
        <w:ind w:firstLine="640" w:firstLineChars="200"/>
        <w:rPr>
          <w:rFonts w:hint="eastAsia" w:ascii="黑体" w:hAnsi="黑体" w:eastAsia="黑体"/>
        </w:rPr>
      </w:pPr>
      <w:r>
        <w:rPr>
          <w:rFonts w:hint="eastAsia" w:ascii="黑体" w:hAnsi="黑体" w:eastAsia="黑体"/>
        </w:rPr>
        <w:t>一、制定行业实施标准</w:t>
      </w:r>
      <w:bookmarkEnd w:id="698"/>
      <w:bookmarkEnd w:id="699"/>
      <w:bookmarkEnd w:id="700"/>
      <w:bookmarkEnd w:id="701"/>
      <w:bookmarkEnd w:id="702"/>
      <w:bookmarkEnd w:id="703"/>
      <w:bookmarkEnd w:id="704"/>
      <w:bookmarkEnd w:id="705"/>
      <w:bookmarkEnd w:id="706"/>
    </w:p>
    <w:p>
      <w:pPr>
        <w:adjustRightInd w:val="0"/>
        <w:snapToGrid w:val="0"/>
        <w:spacing w:line="580" w:lineRule="exact"/>
        <w:ind w:firstLine="640" w:firstLineChars="200"/>
        <w:rPr>
          <w:rFonts w:hint="eastAsia"/>
        </w:rPr>
      </w:pPr>
      <w:bookmarkStart w:id="709" w:name="_Toc24014"/>
      <w:bookmarkStart w:id="710" w:name="_Toc4397"/>
      <w:r>
        <w:rPr>
          <w:rFonts w:hint="eastAsia"/>
        </w:rPr>
        <w:t>与相关专业机构合作，按照国家、省相关行业标准要求，借鉴先进城市相关经验，制定乐山市会展产业行业实施标准，从展会层级、场馆布置、展台搭建、流量控制、广告投放、安全保障等多个方面进行标准设计，指导行业稳定、健康、有序发展。</w:t>
      </w:r>
      <w:bookmarkEnd w:id="707"/>
      <w:bookmarkEnd w:id="708"/>
      <w:bookmarkEnd w:id="709"/>
      <w:bookmarkEnd w:id="710"/>
    </w:p>
    <w:p>
      <w:pPr>
        <w:adjustRightInd w:val="0"/>
        <w:snapToGrid w:val="0"/>
        <w:spacing w:line="580" w:lineRule="exact"/>
        <w:ind w:firstLine="640" w:firstLineChars="200"/>
        <w:rPr>
          <w:rFonts w:hint="eastAsia" w:ascii="黑体" w:hAnsi="黑体" w:eastAsia="黑体"/>
        </w:rPr>
      </w:pPr>
      <w:bookmarkStart w:id="711" w:name="_Toc9553"/>
      <w:bookmarkStart w:id="712" w:name="_Toc20718"/>
      <w:bookmarkStart w:id="713" w:name="_Toc4693"/>
      <w:bookmarkStart w:id="714" w:name="_Toc3423"/>
      <w:bookmarkStart w:id="715" w:name="_Toc20789"/>
      <w:bookmarkStart w:id="716" w:name="_Toc25997"/>
      <w:bookmarkStart w:id="717" w:name="_Toc30106"/>
      <w:bookmarkStart w:id="718" w:name="_Toc4513"/>
      <w:bookmarkStart w:id="719" w:name="_Toc24528"/>
      <w:bookmarkStart w:id="720" w:name="_Toc10451"/>
      <w:bookmarkStart w:id="721" w:name="_Toc29890"/>
      <w:r>
        <w:rPr>
          <w:rFonts w:hint="eastAsia" w:ascii="黑体" w:hAnsi="黑体" w:eastAsia="黑体"/>
        </w:rPr>
        <w:t>二、开展行业主体评定</w:t>
      </w:r>
      <w:bookmarkEnd w:id="711"/>
      <w:bookmarkEnd w:id="712"/>
      <w:bookmarkEnd w:id="713"/>
      <w:bookmarkEnd w:id="714"/>
      <w:bookmarkEnd w:id="715"/>
      <w:bookmarkEnd w:id="716"/>
      <w:bookmarkEnd w:id="717"/>
      <w:bookmarkEnd w:id="718"/>
      <w:bookmarkEnd w:id="719"/>
      <w:bookmarkStart w:id="722" w:name="_Toc20018"/>
      <w:bookmarkStart w:id="723" w:name="_Toc1516"/>
    </w:p>
    <w:p>
      <w:pPr>
        <w:adjustRightInd w:val="0"/>
        <w:snapToGrid w:val="0"/>
        <w:spacing w:line="580" w:lineRule="exact"/>
        <w:ind w:firstLine="640" w:firstLineChars="200"/>
        <w:rPr>
          <w:rFonts w:hint="eastAsia"/>
        </w:rPr>
      </w:pPr>
      <w:r>
        <w:rPr>
          <w:rFonts w:hint="eastAsia"/>
        </w:rPr>
        <w:t>设立行业评定组织机构，按照整体推进、分步实施、公平公正原则，对博览会展产业相关实施主体进行等级评定及动态管理，鼓励全市相关主体积极申请认证、评级。</w:t>
      </w:r>
      <w:bookmarkEnd w:id="720"/>
      <w:bookmarkEnd w:id="721"/>
      <w:bookmarkEnd w:id="722"/>
      <w:bookmarkEnd w:id="723"/>
    </w:p>
    <w:p>
      <w:pPr>
        <w:adjustRightInd w:val="0"/>
        <w:snapToGrid w:val="0"/>
        <w:spacing w:line="580" w:lineRule="exact"/>
        <w:ind w:firstLine="640" w:firstLineChars="200"/>
        <w:rPr>
          <w:rFonts w:hint="eastAsia"/>
        </w:rPr>
      </w:pPr>
      <w:bookmarkStart w:id="724" w:name="_Toc16530"/>
      <w:bookmarkStart w:id="725" w:name="_Toc90005868"/>
      <w:bookmarkStart w:id="726" w:name="_Toc22386"/>
      <w:bookmarkStart w:id="727" w:name="_Toc90812666"/>
      <w:bookmarkStart w:id="728" w:name="_Toc21035"/>
      <w:bookmarkStart w:id="729" w:name="_Toc13154"/>
      <w:bookmarkStart w:id="730" w:name="_Toc17374"/>
      <w:bookmarkStart w:id="731" w:name="_Toc603"/>
    </w:p>
    <w:p>
      <w:pPr>
        <w:adjustRightInd w:val="0"/>
        <w:snapToGrid w:val="0"/>
        <w:spacing w:line="540" w:lineRule="exact"/>
        <w:jc w:val="center"/>
        <w:rPr>
          <w:rFonts w:hint="eastAsia"/>
        </w:rPr>
      </w:pPr>
      <w:r>
        <w:rPr>
          <w:rFonts w:hint="eastAsia"/>
        </w:rPr>
        <w:t>第五节  加强疫情防控</w:t>
      </w:r>
      <w:bookmarkEnd w:id="724"/>
      <w:bookmarkEnd w:id="725"/>
      <w:bookmarkEnd w:id="726"/>
      <w:bookmarkEnd w:id="727"/>
      <w:bookmarkEnd w:id="728"/>
      <w:bookmarkEnd w:id="729"/>
      <w:bookmarkEnd w:id="730"/>
      <w:bookmarkEnd w:id="731"/>
    </w:p>
    <w:p>
      <w:pPr>
        <w:adjustRightInd w:val="0"/>
        <w:snapToGrid w:val="0"/>
        <w:spacing w:line="580" w:lineRule="exact"/>
        <w:ind w:firstLine="640" w:firstLineChars="200"/>
        <w:rPr>
          <w:rFonts w:hint="eastAsia"/>
        </w:rPr>
      </w:pPr>
    </w:p>
    <w:p>
      <w:pPr>
        <w:adjustRightInd w:val="0"/>
        <w:snapToGrid w:val="0"/>
        <w:spacing w:line="580" w:lineRule="exact"/>
        <w:ind w:firstLine="640" w:firstLineChars="200"/>
        <w:rPr>
          <w:rFonts w:hint="eastAsia"/>
        </w:rPr>
      </w:pPr>
      <w:r>
        <w:rPr>
          <w:rFonts w:hint="eastAsia"/>
        </w:rPr>
        <w:t>构建“主办方+场馆方+承办方+参展方”为一体的疫情联防联控机制，做好活动举办和疫情防控各项工作。按照“谁举办、谁负责，谁组织、谁负责”的原则，在活动举办过程中全面落实“四早”措施（早发现、早报告、早隔离、早治疗），严格遵循“六必”要求（身份必录、信息必验、体温必测、口罩必戴、消毒必做、突发必处），提升疫情综合防控能力。</w:t>
      </w:r>
    </w:p>
    <w:p>
      <w:pPr>
        <w:rPr>
          <w:rFonts w:hint="eastAsia" w:ascii="黑体" w:hAnsi="黑体" w:eastAsia="黑体"/>
        </w:rPr>
      </w:pPr>
      <w:r>
        <w:br w:type="page"/>
      </w:r>
      <w:bookmarkStart w:id="732" w:name="_Toc90005869"/>
      <w:bookmarkStart w:id="733" w:name="_Toc32328"/>
      <w:bookmarkStart w:id="734" w:name="_Toc1504"/>
      <w:bookmarkStart w:id="735" w:name="_Toc17968"/>
      <w:bookmarkStart w:id="736" w:name="_Toc31139"/>
      <w:bookmarkStart w:id="737" w:name="_Toc32286"/>
      <w:bookmarkStart w:id="738" w:name="_Toc59205356"/>
      <w:bookmarkStart w:id="739" w:name="_Toc17995"/>
      <w:bookmarkStart w:id="740" w:name="_Toc89531922"/>
      <w:bookmarkStart w:id="741" w:name="_Toc5463"/>
      <w:bookmarkStart w:id="742" w:name="_Toc8163"/>
      <w:bookmarkStart w:id="743" w:name="_Toc87879823"/>
      <w:bookmarkStart w:id="744" w:name="_Toc32215"/>
      <w:bookmarkStart w:id="745" w:name="_Toc12639"/>
      <w:bookmarkStart w:id="746" w:name="_Toc8631"/>
      <w:bookmarkStart w:id="747" w:name="_Toc15123"/>
      <w:bookmarkStart w:id="748" w:name="_Toc8905"/>
      <w:bookmarkStart w:id="749" w:name="_Toc1132"/>
      <w:bookmarkStart w:id="750" w:name="_Toc2739"/>
      <w:bookmarkStart w:id="751" w:name="_Toc26906"/>
      <w:bookmarkStart w:id="752" w:name="_Toc15002"/>
      <w:bookmarkStart w:id="753" w:name="_Toc76404487"/>
      <w:bookmarkStart w:id="754" w:name="_Toc90812667"/>
      <w:bookmarkStart w:id="755" w:name="_Toc31574"/>
      <w:r>
        <w:rPr>
          <w:rFonts w:ascii="黑体" w:hAnsi="黑体" w:eastAsia="黑体"/>
        </w:rPr>
        <w:t>附件</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Pr>
          <w:rFonts w:ascii="黑体" w:hAnsi="黑体" w:eastAsia="黑体"/>
        </w:rPr>
        <w:t>1</w:t>
      </w:r>
      <w:bookmarkEnd w:id="754"/>
      <w:bookmarkEnd w:id="755"/>
    </w:p>
    <w:p>
      <w:pPr>
        <w:rPr>
          <w:rFonts w:hint="eastAsia" w:ascii="黑体" w:hAnsi="黑体" w:eastAsia="黑体"/>
        </w:rPr>
      </w:pPr>
    </w:p>
    <w:p>
      <w:pPr>
        <w:adjustRightInd w:val="0"/>
        <w:snapToGrid w:val="0"/>
        <w:spacing w:line="580" w:lineRule="exact"/>
        <w:jc w:val="center"/>
        <w:rPr>
          <w:rFonts w:hint="eastAsia" w:ascii="方正小标宋_GBK" w:eastAsia="方正小标宋_GBK"/>
          <w:sz w:val="44"/>
          <w:szCs w:val="44"/>
        </w:rPr>
      </w:pPr>
      <w:bookmarkStart w:id="756" w:name="_Toc87879824"/>
      <w:bookmarkStart w:id="757" w:name="_Toc30579"/>
      <w:bookmarkStart w:id="758" w:name="_Toc89531923"/>
      <w:bookmarkStart w:id="759" w:name="_Toc15042"/>
      <w:bookmarkStart w:id="760" w:name="_Toc90005870"/>
      <w:bookmarkStart w:id="761" w:name="_Toc24710"/>
      <w:bookmarkStart w:id="762" w:name="_Toc24262"/>
      <w:bookmarkStart w:id="763" w:name="_Toc10910"/>
      <w:bookmarkStart w:id="764" w:name="_Toc222"/>
      <w:bookmarkStart w:id="765" w:name="_Toc27729"/>
      <w:bookmarkStart w:id="766" w:name="_Toc90812668"/>
      <w:bookmarkStart w:id="767" w:name="_Toc16470"/>
      <w:bookmarkStart w:id="768" w:name="_Toc61"/>
      <w:bookmarkStart w:id="769" w:name="_Toc15716"/>
      <w:bookmarkStart w:id="770" w:name="_Toc6198"/>
      <w:bookmarkStart w:id="771" w:name="_Toc6913"/>
      <w:bookmarkStart w:id="772" w:name="_Toc197"/>
      <w:bookmarkStart w:id="773" w:name="_Toc25788"/>
      <w:bookmarkStart w:id="774" w:name="_Toc2800"/>
      <w:bookmarkStart w:id="775" w:name="_Toc12063"/>
      <w:bookmarkStart w:id="776" w:name="_Toc26292"/>
      <w:bookmarkStart w:id="777" w:name="_Toc29195"/>
      <w:r>
        <w:rPr>
          <w:rFonts w:hint="eastAsia" w:ascii="方正小标宋_GBK" w:eastAsia="方正小标宋_GBK"/>
          <w:sz w:val="44"/>
          <w:szCs w:val="44"/>
        </w:rPr>
        <w:t>乐山市“十四五”会展产业发展年度</w:t>
      </w:r>
    </w:p>
    <w:p>
      <w:pPr>
        <w:adjustRightInd w:val="0"/>
        <w:snapToGrid w:val="0"/>
        <w:spacing w:line="580" w:lineRule="exact"/>
        <w:jc w:val="center"/>
        <w:rPr>
          <w:rFonts w:hint="eastAsia" w:ascii="方正小标宋_GBK" w:eastAsia="方正小标宋_GBK"/>
          <w:sz w:val="44"/>
          <w:szCs w:val="44"/>
        </w:rPr>
      </w:pPr>
      <w:r>
        <w:rPr>
          <w:rFonts w:hint="eastAsia" w:ascii="方正小标宋_GBK" w:eastAsia="方正小标宋_GBK"/>
          <w:sz w:val="44"/>
          <w:szCs w:val="44"/>
        </w:rPr>
        <w:t>重点任务计划表</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pPr>
        <w:adjustRightInd w:val="0"/>
        <w:snapToGrid w:val="0"/>
        <w:spacing w:line="300" w:lineRule="exact"/>
        <w:jc w:val="center"/>
        <w:rPr>
          <w:rFonts w:hint="eastAsia" w:ascii="方正小标宋_GBK" w:eastAsia="方正小标宋_GBK"/>
          <w:sz w:val="44"/>
          <w:szCs w:val="44"/>
        </w:rPr>
      </w:pPr>
    </w:p>
    <w:tbl>
      <w:tblPr>
        <w:tblStyle w:val="5"/>
        <w:tblW w:w="10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3017"/>
        <w:gridCol w:w="1102"/>
        <w:gridCol w:w="1155"/>
        <w:gridCol w:w="1155"/>
        <w:gridCol w:w="1155"/>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341"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重点任务</w:t>
            </w: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项目类别</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2021年</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2022年</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2023年</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2024年</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341" w:type="dxa"/>
            <w:vMerge w:val="restart"/>
            <w:tcBorders>
              <w:top w:val="single" w:color="auto" w:sz="4" w:space="0"/>
              <w:left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会展经济目标任务</w:t>
            </w: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会展产业综合收入（亿元）</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54</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67.3</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83.9</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104.8</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341" w:type="dxa"/>
            <w:vMerge w:val="continue"/>
            <w:tcBorders>
              <w:left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会展产业拉动收入（亿元）</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46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58</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73</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92</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1341" w:type="dxa"/>
            <w:vMerge w:val="continue"/>
            <w:tcBorders>
              <w:left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会展产业直接收入（亿元）</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9.3</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10.9</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12.8</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341" w:type="dxa"/>
            <w:vMerge w:val="continue"/>
            <w:tcBorders>
              <w:top w:val="single" w:color="auto" w:sz="4" w:space="0"/>
              <w:left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会展业增加值占全市服务业增加值比重（%）</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9</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341" w:type="dxa"/>
            <w:vMerge w:val="continue"/>
            <w:tcBorders>
              <w:left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国际展会数量比例（%）</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4</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5</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341" w:type="dxa"/>
            <w:vMerge w:val="continue"/>
            <w:tcBorders>
              <w:left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境外展商参展面积比例（%）</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4</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9</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13</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41" w:type="dxa"/>
            <w:vMerge w:val="continue"/>
            <w:tcBorders>
              <w:left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境外观众比例（%）</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3</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341" w:type="dxa"/>
            <w:vMerge w:val="restart"/>
            <w:tcBorders>
              <w:left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会展市场主体培育</w:t>
            </w: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年营收超2000万元本土企业数量（家）</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3</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4</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341" w:type="dxa"/>
            <w:vMerge w:val="continue"/>
            <w:tcBorders>
              <w:left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会展服务商数量（家）</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40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50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80</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341" w:type="dxa"/>
            <w:vMerge w:val="continue"/>
            <w:tcBorders>
              <w:left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会展从业人员（人）</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500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600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800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1000</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4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会展场馆建设运营</w:t>
            </w: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规模以上展会活动（次）</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14</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25</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核心展会数字化配套率（%）</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40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60</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泛会展场馆利用率（%）</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15</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25</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134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会展项目提升任务</w:t>
            </w: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取得ICCA国际大会及会议协会认证的国际会议（个）</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取得UFI认证展览项目（个）</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打造全国知名会展品牌（个）</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3</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5</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培育具有区域影响力会展品牌（个）</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5</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确定一批“会议大使”“展览大使”（人）</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5</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15</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1341" w:type="dxa"/>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会展产业融合任务</w:t>
            </w: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策划举办文旅经济类展会论坛（场次）</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15</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17</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25</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策划举办先进制造类展会论坛（场次）</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8</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12</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16</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策划举办现代农业类展会论坛（场次）</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12</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14</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18</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25</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1341" w:type="dxa"/>
            <w:vMerge w:val="continue"/>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p>
        </w:tc>
        <w:tc>
          <w:tcPr>
            <w:tcW w:w="30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hint="eastAsia"/>
                <w:sz w:val="28"/>
                <w:szCs w:val="28"/>
              </w:rPr>
            </w:pPr>
            <w:r>
              <w:rPr>
                <w:rFonts w:hint="eastAsia"/>
                <w:sz w:val="28"/>
                <w:szCs w:val="28"/>
              </w:rPr>
              <w:t>策划举办生态经济类展会论坛（场次）</w:t>
            </w:r>
          </w:p>
        </w:tc>
        <w:tc>
          <w:tcPr>
            <w:tcW w:w="110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9</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12</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15</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20</w:t>
            </w:r>
          </w:p>
        </w:tc>
        <w:tc>
          <w:tcPr>
            <w:tcW w:w="1112"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jc w:val="center"/>
              <w:rPr>
                <w:rFonts w:hint="eastAsia"/>
                <w:sz w:val="28"/>
                <w:szCs w:val="28"/>
              </w:rPr>
            </w:pPr>
            <w:r>
              <w:rPr>
                <w:rFonts w:hint="eastAsia"/>
                <w:sz w:val="28"/>
                <w:szCs w:val="28"/>
              </w:rPr>
              <w:t>25</w:t>
            </w:r>
          </w:p>
        </w:tc>
      </w:tr>
    </w:tbl>
    <w:p/>
    <w:p/>
    <w:p/>
    <w:p>
      <w:pPr>
        <w:rPr>
          <w:rFonts w:hint="eastAsia" w:ascii="黑体" w:hAnsi="黑体" w:eastAsia="黑体"/>
        </w:rPr>
      </w:pPr>
      <w:r>
        <w:br w:type="page"/>
      </w:r>
      <w:r>
        <w:rPr>
          <w:rFonts w:hint="eastAsia" w:ascii="黑体" w:hAnsi="黑体" w:eastAsia="黑体"/>
        </w:rPr>
        <w:t>附件</w:t>
      </w:r>
      <w:r>
        <w:rPr>
          <w:rFonts w:ascii="黑体" w:hAnsi="黑体" w:eastAsia="黑体"/>
        </w:rPr>
        <w:t>2</w:t>
      </w:r>
    </w:p>
    <w:p>
      <w:pPr>
        <w:spacing w:line="240" w:lineRule="exact"/>
        <w:rPr>
          <w:rFonts w:hint="eastAsia" w:ascii="黑体" w:hAnsi="黑体" w:eastAsia="黑体"/>
        </w:rPr>
      </w:pPr>
    </w:p>
    <w:p>
      <w:pPr>
        <w:adjustRightInd w:val="0"/>
        <w:snapToGrid w:val="0"/>
        <w:spacing w:line="580" w:lineRule="exact"/>
        <w:jc w:val="center"/>
        <w:rPr>
          <w:rFonts w:hint="eastAsia" w:ascii="方正小标宋_GBK" w:eastAsia="方正小标宋_GBK"/>
          <w:sz w:val="44"/>
          <w:szCs w:val="44"/>
        </w:rPr>
      </w:pPr>
      <w:bookmarkStart w:id="778" w:name="_Toc90812670"/>
      <w:r>
        <w:rPr>
          <w:rFonts w:hint="eastAsia" w:ascii="方正小标宋_GBK" w:eastAsia="方正小标宋_GBK"/>
          <w:sz w:val="44"/>
          <w:szCs w:val="44"/>
        </w:rPr>
        <w:t>案例分析与经验借鉴</w:t>
      </w:r>
      <w:bookmarkEnd w:id="778"/>
    </w:p>
    <w:p>
      <w:pPr>
        <w:adjustRightInd w:val="0"/>
        <w:snapToGrid w:val="0"/>
        <w:spacing w:line="440" w:lineRule="exact"/>
        <w:jc w:val="center"/>
        <w:rPr>
          <w:rFonts w:hint="eastAsia" w:ascii="方正小标宋_GBK" w:eastAsia="方正小标宋_GBK"/>
          <w:sz w:val="44"/>
          <w:szCs w:val="44"/>
        </w:rPr>
      </w:pPr>
      <w:bookmarkStart w:id="779" w:name="_Toc90812671"/>
    </w:p>
    <w:p>
      <w:pPr>
        <w:adjustRightInd w:val="0"/>
        <w:snapToGrid w:val="0"/>
        <w:spacing w:line="540" w:lineRule="exact"/>
        <w:ind w:firstLine="640" w:firstLineChars="200"/>
        <w:rPr>
          <w:rFonts w:hint="eastAsia" w:ascii="黑体" w:hAnsi="黑体" w:eastAsia="黑体"/>
        </w:rPr>
      </w:pPr>
      <w:bookmarkStart w:id="780" w:name="_Toc6965"/>
      <w:r>
        <w:rPr>
          <w:rFonts w:hint="eastAsia" w:ascii="黑体" w:hAnsi="黑体" w:eastAsia="黑体"/>
        </w:rPr>
        <w:t>一、三亚市会奖旅游案例分析</w:t>
      </w:r>
      <w:bookmarkEnd w:id="779"/>
      <w:bookmarkEnd w:id="780"/>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（一）发展概况</w:t>
      </w:r>
    </w:p>
    <w:p>
      <w:pPr>
        <w:adjustRightInd w:val="0"/>
        <w:snapToGrid w:val="0"/>
        <w:spacing w:line="540" w:lineRule="exact"/>
        <w:ind w:firstLine="640" w:firstLineChars="200"/>
        <w:rPr>
          <w:rFonts w:hint="eastAsia"/>
        </w:rPr>
      </w:pPr>
      <w:r>
        <w:rPr>
          <w:rFonts w:hint="eastAsia"/>
        </w:rPr>
        <w:t>三亚是“21世纪海上丝绸之路”的重要战略支点，与省会海口遥相呼应，形成南会北展的格局，大三亚旅游圈逐步成形，为会展业的发展提供了更广阔的空间和资源条件，提出了打造国际会奖旅游目的地目标。三亚在“企业会奖活动采购指数”“社团会议采购指数”“中国会奖城市综合吸引力指数表”中排名前列，2017-2020年连续四年荣获国内权威会展行业机构评选的年度“最佳会展目的地城市”称号，三亚自主培育的“2018首届热带水果产业博览会暨三亚国际芒果产业大会”荣获“中国品牌展览会金奖”。</w:t>
      </w:r>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（二）经济指标</w:t>
      </w:r>
    </w:p>
    <w:p>
      <w:pPr>
        <w:adjustRightInd w:val="0"/>
        <w:snapToGrid w:val="0"/>
        <w:spacing w:line="540" w:lineRule="exact"/>
        <w:ind w:firstLine="640" w:firstLineChars="200"/>
        <w:rPr>
          <w:rFonts w:hint="eastAsia"/>
        </w:rPr>
      </w:pPr>
      <w:r>
        <w:rPr>
          <w:rFonts w:hint="eastAsia"/>
        </w:rPr>
        <w:t>近年来，三亚展览场次、展览面积、千人以上会议场数、会展业接待过夜人数等重要指标年均增长率均达10%。2019年三亚举办了8788场会展活动，同比增长3%。其中千人以上的会议有75场，位居全省第一；万人以上会议1场，全省万人以上会议实现零的突破；展览45场，大型会议活动涵盖了高新科技、互联网、金融、医疗、大健康等重点行业。2019年全市会展行业综合收入突破百亿元。</w:t>
      </w:r>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（三）发展经验</w:t>
      </w:r>
    </w:p>
    <w:p>
      <w:pPr>
        <w:adjustRightInd w:val="0"/>
        <w:snapToGrid w:val="0"/>
        <w:spacing w:line="540" w:lineRule="exact"/>
        <w:ind w:firstLine="640" w:firstLineChars="200"/>
        <w:rPr>
          <w:rFonts w:hint="eastAsia"/>
        </w:rPr>
      </w:pPr>
      <w:r>
        <w:rPr>
          <w:rFonts w:hint="eastAsia"/>
        </w:rPr>
        <w:t>以旅引会，以会促旅。依托国际旅游岛定位，引进奥运活动、世博会、亚信峰会、G20峰会、APEC峰会、世界小姐总决赛、澜湄国家旅游城市（三亚）合作论坛、三亚财经国际论坛、2018年央视春晚分会场等大型会展活动。</w:t>
      </w:r>
    </w:p>
    <w:p>
      <w:pPr>
        <w:adjustRightInd w:val="0"/>
        <w:snapToGrid w:val="0"/>
        <w:spacing w:line="540" w:lineRule="exact"/>
        <w:ind w:firstLine="640" w:firstLineChars="200"/>
        <w:rPr>
          <w:rFonts w:hint="eastAsia"/>
        </w:rPr>
      </w:pPr>
      <w:r>
        <w:rPr>
          <w:rFonts w:hint="eastAsia"/>
        </w:rPr>
        <w:t>世界级的会奖旅游配套。不断完善产业基础配套，打造了世界级星级酒店群，逐步完善了现有专业会展场馆周边区域配套设施的建设，形成了以海棠湾、亚龙湾、三亚湾、红塘湾四个会奖旅游深度结合的会展区域。</w:t>
      </w:r>
    </w:p>
    <w:p>
      <w:pPr>
        <w:adjustRightInd w:val="0"/>
        <w:snapToGrid w:val="0"/>
        <w:spacing w:line="540" w:lineRule="exact"/>
        <w:ind w:firstLine="640" w:firstLineChars="200"/>
        <w:rPr>
          <w:rFonts w:hint="eastAsia"/>
        </w:rPr>
      </w:pPr>
      <w:r>
        <w:rPr>
          <w:rFonts w:hint="eastAsia"/>
        </w:rPr>
        <w:t>深度推进展产融合发展。推进产业融合，充分发挥了会展促进旅游产业作用，培育了一批专业化论坛和主题博览会，主打高端会议论坛、大型节庆活动、公司年会、商务会奖等，会奖旅游发展效果显著；大力发展会展策划、广告、印刷、设计、安装、信息服务、物流、旅游等为配套的会展产业集群，健全会展服务体系。</w:t>
      </w:r>
    </w:p>
    <w:p>
      <w:pPr>
        <w:adjustRightInd w:val="0"/>
        <w:snapToGrid w:val="0"/>
        <w:spacing w:line="540" w:lineRule="exact"/>
        <w:ind w:firstLine="640" w:firstLineChars="200"/>
        <w:rPr>
          <w:rFonts w:hint="eastAsia"/>
        </w:rPr>
      </w:pPr>
      <w:r>
        <w:rPr>
          <w:rFonts w:hint="eastAsia"/>
        </w:rPr>
        <w:t>建立会展发展保障机制。三亚市“十三五”规划中将会展业作为重点发展的九大产业之一，并成立了会展业推进领导小组，负责对会展业进行统一领导、管理和统筹规划。出台了《三亚市加快旅游业发展扶持奖励办法和加快会展业发展扶持奖励办法》等有关法规。发挥包括会展行业协会在内的各种商协会的中介组织作用。</w:t>
      </w:r>
    </w:p>
    <w:p>
      <w:pPr>
        <w:adjustRightInd w:val="0"/>
        <w:snapToGrid w:val="0"/>
        <w:spacing w:line="540" w:lineRule="exact"/>
        <w:ind w:firstLine="640" w:firstLineChars="200"/>
        <w:rPr>
          <w:rFonts w:hint="eastAsia"/>
        </w:rPr>
      </w:pPr>
      <w:r>
        <w:rPr>
          <w:rFonts w:hint="eastAsia"/>
        </w:rPr>
        <w:t>大力发展绿色会展经济。大力倡导生态、环保、绿色会展，鼓励各类会展活动循环使用环保材料，建设绿色场馆，举办绿色主题会展活动，制定展会绿色标准体系；促进“互联网+会展”发展，举办网络虚拟展览会，以科技优势弥补场馆硬件不足，形成线上线下有机融合的新模式。</w:t>
      </w:r>
    </w:p>
    <w:p>
      <w:pPr>
        <w:adjustRightInd w:val="0"/>
        <w:snapToGrid w:val="0"/>
        <w:spacing w:line="540" w:lineRule="exact"/>
        <w:ind w:firstLine="640" w:firstLineChars="200"/>
        <w:rPr>
          <w:rFonts w:hint="eastAsia" w:ascii="黑体" w:hAnsi="黑体" w:eastAsia="黑体"/>
        </w:rPr>
      </w:pPr>
      <w:bookmarkStart w:id="781" w:name="_Toc1877"/>
      <w:bookmarkStart w:id="782" w:name="_Toc90812672"/>
      <w:r>
        <w:rPr>
          <w:rFonts w:hint="eastAsia" w:ascii="黑体" w:hAnsi="黑体" w:eastAsia="黑体"/>
        </w:rPr>
        <w:t>二、东莞市展产融合案例分析</w:t>
      </w:r>
      <w:bookmarkEnd w:id="781"/>
      <w:bookmarkEnd w:id="782"/>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（一）发展概况</w:t>
      </w:r>
    </w:p>
    <w:p>
      <w:pPr>
        <w:adjustRightInd w:val="0"/>
        <w:snapToGrid w:val="0"/>
        <w:spacing w:line="540" w:lineRule="exact"/>
        <w:ind w:firstLine="640" w:firstLineChars="200"/>
        <w:rPr>
          <w:rFonts w:hint="eastAsia"/>
        </w:rPr>
      </w:pPr>
      <w:r>
        <w:rPr>
          <w:rFonts w:hint="eastAsia"/>
        </w:rPr>
        <w:t>东莞会展业起步于20世纪90年代，以特色家具制造业为起点，举办家具展，帮助230多家家具企业打开更广阔的销路，如今发展成为亚洲第一、全球第三大的家具展览会。作为全球知名的制造业基地，东莞已经形成了以电子、机械、纺织、服装、家具等为特色的产业体系和完整的产业链。依托东莞强大的制造业基地优势，每年举办较具规模的展会60场左右，相当于每6天就有一个成规模的展会。</w:t>
      </w:r>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（二）经济指标</w:t>
      </w:r>
    </w:p>
    <w:p>
      <w:pPr>
        <w:adjustRightInd w:val="0"/>
        <w:snapToGrid w:val="0"/>
        <w:spacing w:line="540" w:lineRule="exact"/>
        <w:ind w:firstLine="640" w:firstLineChars="200"/>
        <w:rPr>
          <w:rFonts w:hint="eastAsia"/>
        </w:rPr>
      </w:pPr>
      <w:r>
        <w:rPr>
          <w:rFonts w:hint="eastAsia"/>
        </w:rPr>
        <w:t>拥有广东现代国际展览中心、东莞国际会展中心、常平会展中心、虎门会展中心4个专业展馆，占地总面积约60万平方米，室外展览面积（含停车）约14万平方米，室内展鹤翔路762号清江SOHO8层览鹤翔路762号清江SOHO8层总面积约20万平方米，室内可设标准展位9000多个。获得2019“中国最具竞争力</w:t>
      </w:r>
      <w:r>
        <w:rPr>
          <w:rFonts w:hint="eastAsia"/>
          <w:spacing w:val="-8"/>
        </w:rPr>
        <w:t>会展城市”称号，在111个省会城市及地级市中东莞市排名第七位。</w:t>
      </w:r>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（三）发展经验</w:t>
      </w:r>
    </w:p>
    <w:p>
      <w:pPr>
        <w:adjustRightInd w:val="0"/>
        <w:snapToGrid w:val="0"/>
        <w:spacing w:line="540" w:lineRule="exact"/>
        <w:ind w:firstLine="640" w:firstLineChars="200"/>
        <w:rPr>
          <w:rFonts w:hint="eastAsia"/>
        </w:rPr>
      </w:pPr>
      <w:r>
        <w:rPr>
          <w:rFonts w:hint="eastAsia"/>
        </w:rPr>
        <w:t>优势产业形成优势展会。作为全球知名的制造业基地，东莞已经形成了以电子、机械、纺织、服装、家具等为特色的产业体系和完整的产业链。依托东莞强大的制造业基地优势，“加博会”“智博会”“名家具展”“广印展”“服交会”“织交会”等多个大型工业类展会应运而生，形成了产业办展的独特模式。</w:t>
      </w:r>
    </w:p>
    <w:p>
      <w:pPr>
        <w:adjustRightInd w:val="0"/>
        <w:snapToGrid w:val="0"/>
        <w:spacing w:line="540" w:lineRule="exact"/>
        <w:ind w:firstLine="640" w:firstLineChars="200"/>
        <w:rPr>
          <w:rFonts w:hint="eastAsia"/>
        </w:rPr>
      </w:pPr>
      <w:r>
        <w:rPr>
          <w:rFonts w:hint="eastAsia"/>
        </w:rPr>
        <w:t>创新办展促展模式。“产地办展模式”：先有展会，后有展馆，各个产业派生出的专业展会发展迅速，凭借着产地办展的优势，各种专业展会在东莞镇街遍地开花，涌现出长安五金模具展、大朗织交会、塘厦高尔夫球博览会、横沥模具展、寮步香博会等一批特色展会。“展贸合一模式”：以贸兴展、以展促贸，如厚街借助名家具世博园、102层的名家具总部大厦，结合其研发、设计、展示、品牌塑造等内容，实现“展贸合一”新模式。</w:t>
      </w:r>
    </w:p>
    <w:p>
      <w:pPr>
        <w:adjustRightInd w:val="0"/>
        <w:snapToGrid w:val="0"/>
        <w:spacing w:line="540" w:lineRule="exact"/>
        <w:ind w:firstLine="640" w:firstLineChars="200"/>
        <w:rPr>
          <w:rFonts w:hint="eastAsia"/>
        </w:rPr>
      </w:pPr>
      <w:r>
        <w:rPr>
          <w:rFonts w:hint="eastAsia"/>
        </w:rPr>
        <w:t>积极打造会展品牌。加强对重点品牌展会的培育和扶持，形成重品质、重效益、重声誉的会展业发展格局，充分发挥东莞区位优势和产业优势，集中市镇两级资源，坚持发展工业类展览为主，综合类、消费类、文化类展览为辅。积极打造“华南工业展览之都”“广东国际会议之都”品牌。</w:t>
      </w:r>
    </w:p>
    <w:p>
      <w:pPr>
        <w:adjustRightInd w:val="0"/>
        <w:snapToGrid w:val="0"/>
        <w:spacing w:line="540" w:lineRule="exact"/>
        <w:ind w:firstLine="640" w:firstLineChars="200"/>
        <w:rPr>
          <w:rFonts w:hint="eastAsia"/>
        </w:rPr>
      </w:pPr>
      <w:r>
        <w:rPr>
          <w:rFonts w:hint="eastAsia"/>
        </w:rPr>
        <w:t>出台系列政策引导。东莞成立东莞市会展工作联席会议，出台《东莞市人民政府关于促进会展业发展实施意见》《东莞市促进会展业发展专项资金管理办法》等支持政策。</w:t>
      </w:r>
    </w:p>
    <w:p>
      <w:pPr>
        <w:adjustRightInd w:val="0"/>
        <w:snapToGrid w:val="0"/>
        <w:spacing w:line="540" w:lineRule="exact"/>
        <w:ind w:firstLine="640" w:firstLineChars="200"/>
        <w:rPr>
          <w:rFonts w:hint="eastAsia" w:ascii="黑体" w:hAnsi="黑体" w:eastAsia="黑体"/>
        </w:rPr>
      </w:pPr>
      <w:bookmarkStart w:id="783" w:name="_Toc90812673"/>
      <w:r>
        <w:rPr>
          <w:rFonts w:hint="eastAsia" w:ascii="黑体" w:hAnsi="黑体" w:eastAsia="黑体"/>
        </w:rPr>
        <w:t>三、厦门市专业展会案例分析</w:t>
      </w:r>
      <w:bookmarkEnd w:id="783"/>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（一）发展概况</w:t>
      </w:r>
    </w:p>
    <w:p>
      <w:pPr>
        <w:adjustRightInd w:val="0"/>
        <w:snapToGrid w:val="0"/>
        <w:spacing w:line="540" w:lineRule="exact"/>
        <w:ind w:firstLine="640" w:firstLineChars="200"/>
        <w:rPr>
          <w:rFonts w:hint="eastAsia"/>
        </w:rPr>
      </w:pPr>
      <w:r>
        <w:rPr>
          <w:rFonts w:hint="eastAsia"/>
        </w:rPr>
        <w:t>国内佛文化相关展会以佛事用品展览、佛文化交流为主，形成了以北京、厦门、天津、沈阳、南京、杭州、郑州、苏州、廊坊、海口等地为代表的佛事用品博览会。其中，厦门深挖本地佛文化资源，顺应市场需求，于2006年创办中国厦门国际佛事用品展览会。于2013年始成为国内唯一的一年双展佛事博览会（每年举办春秋两届），如今它代表了当今中国佛事用品产业的发展水平，为海内外佛教友人提供一站式采购平台，每年观众超过20万人次，发展成为业界公认的“全球佛事用品专业贸易平台”，展会的品牌影响力和国际化程度持续提升。</w:t>
      </w:r>
    </w:p>
    <w:p>
      <w:r>
        <w:drawing>
          <wp:inline distT="0" distB="0" distL="114300" distR="114300">
            <wp:extent cx="5667375" cy="4181475"/>
            <wp:effectExtent l="0" t="0" r="9525" b="952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7"/>
                    <a:stretch>
                      <a:fillRect/>
                    </a:stretch>
                  </pic:blipFill>
                  <pic:spPr>
                    <a:xfrm>
                      <a:off x="0" y="0"/>
                      <a:ext cx="5667375" cy="4181475"/>
                    </a:xfrm>
                    <a:prstGeom prst="rect">
                      <a:avLst/>
                    </a:prstGeom>
                    <a:noFill/>
                    <a:ln>
                      <a:noFill/>
                    </a:ln>
                  </pic:spPr>
                </pic:pic>
              </a:graphicData>
            </a:graphic>
          </wp:inline>
        </w:drawing>
      </w:r>
    </w:p>
    <w:p>
      <w:pPr>
        <w:jc w:val="center"/>
        <w:rPr>
          <w:rFonts w:hint="eastAsia" w:ascii="楷体_GB2312" w:eastAsia="楷体_GB2312"/>
          <w:sz w:val="24"/>
          <w:szCs w:val="24"/>
        </w:rPr>
      </w:pPr>
      <w:r>
        <w:rPr>
          <w:rFonts w:hint="eastAsia" w:ascii="楷体_GB2312" w:eastAsia="楷体_GB2312"/>
          <w:sz w:val="24"/>
          <w:szCs w:val="24"/>
        </w:rPr>
        <w:t>全国佛教用品展、香文化展、素食展主要城市分布情况图</w:t>
      </w:r>
    </w:p>
    <w:p>
      <w:pPr>
        <w:spacing w:line="240" w:lineRule="exact"/>
        <w:rPr>
          <w:rFonts w:hint="eastAsia"/>
        </w:rPr>
      </w:pPr>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（二）经济指标</w:t>
      </w:r>
    </w:p>
    <w:p>
      <w:pPr>
        <w:adjustRightInd w:val="0"/>
        <w:snapToGrid w:val="0"/>
        <w:spacing w:line="540" w:lineRule="exact"/>
        <w:ind w:firstLine="640" w:firstLineChars="200"/>
        <w:rPr>
          <w:rFonts w:hint="eastAsia"/>
        </w:rPr>
      </w:pPr>
      <w:r>
        <w:rPr>
          <w:rFonts w:hint="eastAsia"/>
        </w:rPr>
        <w:t>2019年厦门市举办展览229场，同比增长11.7%；展览总面积237.83万平方米，同比增长8.6%；举办各类会议9262场，同比增长12.14%；会展经济效益约403.03亿元，同比增长5.7%。2019年厦门佛事用品春季展览会，展出面积达11万平方米，国际标准展位5500个，参展观众超过20万人次。2019厦门佛事用品秋季展览会，展出面积达11.5万平方米，6500个国际标准展位、参展企业逾1200家。国际展区再扩大，规模较上届扩充约30%。来自日本、韩国、澳大利亚、加拿大、印度、马来西亚、越南等国家的品牌企业参展，展出富有异国特色的佛事用品及传统文化商品。</w:t>
      </w:r>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（三）发展经验</w:t>
      </w:r>
    </w:p>
    <w:p>
      <w:pPr>
        <w:adjustRightInd w:val="0"/>
        <w:snapToGrid w:val="0"/>
        <w:spacing w:line="540" w:lineRule="exact"/>
        <w:ind w:firstLine="640" w:firstLineChars="200"/>
        <w:rPr>
          <w:rFonts w:hint="eastAsia"/>
        </w:rPr>
      </w:pPr>
      <w:r>
        <w:rPr>
          <w:rFonts w:hint="eastAsia"/>
        </w:rPr>
        <w:t>搭建国内一流佛文化交流平台。基于深厚的佛教文化市场和佛事用品产业基础，搭建佛事用品专业交易平台，可以使参展双方在文化、经贸和工艺上得到充分展示交流。厦门佛博会是国内唯一的一年双展佛事博览会，每年观众超过20万人次，发展成为业界公认的“全球佛事用品专业贸易平台”。</w:t>
      </w:r>
    </w:p>
    <w:p>
      <w:pPr>
        <w:adjustRightInd w:val="0"/>
        <w:snapToGrid w:val="0"/>
        <w:spacing w:line="540" w:lineRule="exact"/>
        <w:ind w:firstLine="640" w:firstLineChars="200"/>
        <w:rPr>
          <w:rFonts w:hint="eastAsia"/>
        </w:rPr>
      </w:pPr>
      <w:r>
        <w:rPr>
          <w:rFonts w:hint="eastAsia"/>
        </w:rPr>
        <w:t>展会配套丰富的文化活动。展会期间举办多场文化论坛活动，如“佛前供花与中国插花文化”讲座、“佛事产业论坛”“香产业论坛”“春日·香席秀”、香道表演及香学互动等系列活动。</w:t>
      </w:r>
    </w:p>
    <w:p>
      <w:pPr>
        <w:adjustRightInd w:val="0"/>
        <w:snapToGrid w:val="0"/>
        <w:spacing w:line="540" w:lineRule="exact"/>
        <w:ind w:firstLine="640" w:firstLineChars="200"/>
        <w:rPr>
          <w:rFonts w:hint="eastAsia"/>
        </w:rPr>
      </w:pPr>
      <w:r>
        <w:rPr>
          <w:rFonts w:hint="eastAsia"/>
        </w:rPr>
        <w:t>佛事用品产业链“一站式”全覆盖。设置佛像佛龛、寺院建筑、香品香具、蜡烛灯具、法器法物、僧服绣品、国际展区、禅意家居、工艺礼品及文创、素食有机产品等十大展区，全面展示行业精品，并通过升级优化展区布局，方便观众集中选购，使“一站式”佛品采购平台更加高效便捷。</w:t>
      </w:r>
    </w:p>
    <w:p>
      <w:pPr>
        <w:adjustRightInd w:val="0"/>
        <w:snapToGrid w:val="0"/>
        <w:spacing w:line="540" w:lineRule="exact"/>
        <w:ind w:firstLine="640" w:firstLineChars="200"/>
        <w:rPr>
          <w:rFonts w:hint="eastAsia"/>
        </w:rPr>
      </w:pPr>
      <w:r>
        <w:rPr>
          <w:rFonts w:hint="eastAsia"/>
        </w:rPr>
        <w:t>搭建线上商贸平台。登录官方小程序，即可获取展会最新资讯、参观指南、完成参观登记、登记法师住宿、查看展位导览、餐饮服务点等，满足自助服务功能，快速便捷。推广线上自助服务功能，并甄选优质品牌企业入驻，打造永不落幕的移动展厅，为未能到现场的观众提供购买产品的渠道，也为佛事用品行业的发展带来新活力。</w:t>
      </w:r>
    </w:p>
    <w:p>
      <w:pPr>
        <w:adjustRightInd w:val="0"/>
        <w:snapToGrid w:val="0"/>
        <w:spacing w:line="540" w:lineRule="exact"/>
        <w:ind w:firstLine="640" w:firstLineChars="200"/>
        <w:rPr>
          <w:rFonts w:hint="eastAsia" w:ascii="黑体" w:hAnsi="黑体" w:eastAsia="黑体"/>
        </w:rPr>
      </w:pPr>
      <w:bookmarkStart w:id="784" w:name="_Toc2349"/>
      <w:bookmarkStart w:id="785" w:name="_Toc90812674"/>
      <w:r>
        <w:rPr>
          <w:rFonts w:hint="eastAsia" w:ascii="黑体" w:hAnsi="黑体" w:eastAsia="黑体"/>
        </w:rPr>
        <w:t>四、乐山市会展产业经验借鉴</w:t>
      </w:r>
      <w:bookmarkEnd w:id="784"/>
      <w:bookmarkEnd w:id="785"/>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（一）会奖旅游发展经验借鉴</w:t>
      </w:r>
    </w:p>
    <w:p>
      <w:pPr>
        <w:adjustRightInd w:val="0"/>
        <w:snapToGrid w:val="0"/>
        <w:spacing w:line="540" w:lineRule="exact"/>
        <w:ind w:firstLine="640" w:firstLineChars="200"/>
        <w:rPr>
          <w:rFonts w:hint="eastAsia"/>
        </w:rPr>
      </w:pPr>
      <w:r>
        <w:rPr>
          <w:rFonts w:hint="eastAsia"/>
        </w:rPr>
        <w:t>树立旅游会展品牌形象，开发会奖旅游产品。依托乐山优质旅游资源，结合乐山市打造世界重要旅游目的地目标，树立乐山会奖旅游品牌形象，引育一批专业化论坛、旅游相关主题博览会，开发一批高端会议论坛、大型节庆活动、公司及协会组织年会、商务会奖等产品。</w:t>
      </w:r>
    </w:p>
    <w:p>
      <w:pPr>
        <w:adjustRightInd w:val="0"/>
        <w:snapToGrid w:val="0"/>
        <w:spacing w:line="540" w:lineRule="exact"/>
        <w:ind w:firstLine="640" w:firstLineChars="200"/>
        <w:rPr>
          <w:rFonts w:hint="eastAsia"/>
        </w:rPr>
      </w:pPr>
      <w:r>
        <w:rPr>
          <w:rFonts w:hint="eastAsia"/>
        </w:rPr>
        <w:t>完善会奖旅游设施配套，完善相关政策法规。完善产业基础配套，打造高端会展酒店群，完善专业会展场馆周边区域配套设施的建设，促进会展区域的会奖旅游深度融合发展。编制相关规划、行动计划、实施意见及系列标准规范、管理办法等，优化会奖旅游发展环境，建立会奖旅游发展保障机制。</w:t>
      </w:r>
    </w:p>
    <w:p>
      <w:pPr>
        <w:adjustRightInd w:val="0"/>
        <w:snapToGrid w:val="0"/>
        <w:spacing w:line="540" w:lineRule="exact"/>
        <w:ind w:firstLine="640" w:firstLineChars="200"/>
        <w:rPr>
          <w:rFonts w:hint="eastAsia"/>
        </w:rPr>
      </w:pPr>
      <w:r>
        <w:rPr>
          <w:rFonts w:hint="eastAsia"/>
        </w:rPr>
        <w:t>与旅游形成互动式发展，促进旅游相关产业发展。丰富现有大型展会的配套旅游活动，丰富景区会奖旅游基础配套设施，强化与旅游的互动联系。依托世界重要旅游目的地定位，积极引进一批与旅游融合程度较深的大型、高能级会展项目，促进旅游相关产业发展。</w:t>
      </w:r>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（二）展产融合发展经验借鉴</w:t>
      </w:r>
    </w:p>
    <w:p>
      <w:pPr>
        <w:adjustRightInd w:val="0"/>
        <w:snapToGrid w:val="0"/>
        <w:spacing w:line="540" w:lineRule="exact"/>
        <w:ind w:firstLine="640" w:firstLineChars="200"/>
        <w:rPr>
          <w:rFonts w:hint="eastAsia"/>
        </w:rPr>
      </w:pPr>
      <w:r>
        <w:rPr>
          <w:rFonts w:hint="eastAsia"/>
        </w:rPr>
        <w:t>发挥本地特色产业优势，确定展产融合发展方向。充分发挥乐山文化旅游、茶业、中医药、光电信息、民用核技术、先进建材、绿色化工、食品饮料、数字经济等特色产业优势，通过特色优势产业形成优势展会，构建特色会展项目体系，完善产业链。</w:t>
      </w:r>
    </w:p>
    <w:p>
      <w:pPr>
        <w:adjustRightInd w:val="0"/>
        <w:snapToGrid w:val="0"/>
        <w:spacing w:line="540" w:lineRule="exact"/>
        <w:ind w:firstLine="640" w:firstLineChars="200"/>
        <w:rPr>
          <w:rFonts w:hint="eastAsia"/>
        </w:rPr>
      </w:pPr>
      <w:r>
        <w:rPr>
          <w:rFonts w:hint="eastAsia"/>
        </w:rPr>
        <w:t>依托产业优势及区位优势，积极打造会展品牌。借助成渝城市群与四川“一干多支、五区协同”发展机制，充分发挥乐山区位优势和产业优势，构建产业转移承接平台，共建共享，把会展业培育为乐山市支柱产业。加强对重点品牌展会的培育和扶持，形成重品质、重效益、重声誉的会展业发展格局。</w:t>
      </w:r>
    </w:p>
    <w:p>
      <w:pPr>
        <w:adjustRightInd w:val="0"/>
        <w:snapToGrid w:val="0"/>
        <w:spacing w:line="540" w:lineRule="exact"/>
        <w:ind w:firstLine="640" w:firstLineChars="200"/>
        <w:rPr>
          <w:rFonts w:hint="eastAsia"/>
        </w:rPr>
      </w:pPr>
      <w:r>
        <w:rPr>
          <w:rFonts w:hint="eastAsia"/>
        </w:rPr>
        <w:t>出台相关政策，进行支持、引导、规范。借鉴国内会展业发达城市经验，参照省商务厅、省经济合作局和成都市做法，出台《关于促进会展业高质量发展的实施意见》《乐山市会展业发展专项资金管理办法》及实施细则等会展培育扶持政策。</w:t>
      </w:r>
    </w:p>
    <w:p>
      <w:pPr>
        <w:adjustRightInd w:val="0"/>
        <w:snapToGrid w:val="0"/>
        <w:spacing w:line="540" w:lineRule="exact"/>
        <w:ind w:firstLine="640" w:firstLineChars="200"/>
        <w:rPr>
          <w:rFonts w:hint="eastAsia" w:ascii="楷体_GB2312" w:eastAsia="楷体_GB2312"/>
        </w:rPr>
      </w:pPr>
      <w:r>
        <w:rPr>
          <w:rFonts w:hint="eastAsia" w:ascii="楷体_GB2312" w:eastAsia="楷体_GB2312"/>
        </w:rPr>
        <w:t>（三）专业展会发展经验借鉴</w:t>
      </w:r>
    </w:p>
    <w:p>
      <w:pPr>
        <w:adjustRightInd w:val="0"/>
        <w:snapToGrid w:val="0"/>
        <w:spacing w:line="540" w:lineRule="exact"/>
        <w:ind w:firstLine="640" w:firstLineChars="200"/>
        <w:rPr>
          <w:rFonts w:hint="eastAsia"/>
        </w:rPr>
      </w:pPr>
      <w:r>
        <w:rPr>
          <w:rFonts w:hint="eastAsia"/>
        </w:rPr>
        <w:t>搭建专业会展交流平台，进行信息咨询、科技交流。以旅博会、茶博会、药博会、陶博会等专业会展为依托，搭建专业会展交流平台，为参展双方提供文化、经贸、工艺、科技展示交流及信息咨询等服务。</w:t>
      </w:r>
    </w:p>
    <w:p>
      <w:pPr>
        <w:adjustRightInd w:val="0"/>
        <w:snapToGrid w:val="0"/>
        <w:spacing w:line="540" w:lineRule="exact"/>
        <w:ind w:firstLine="640" w:firstLineChars="200"/>
        <w:rPr>
          <w:rFonts w:hint="eastAsia"/>
        </w:rPr>
      </w:pPr>
      <w:r>
        <w:rPr>
          <w:rFonts w:hint="eastAsia"/>
        </w:rPr>
        <w:t>配套丰富的展会活动，丰富展会形式、提升人气。结合大型会展主题，通过线上线下同步、主分会场联动、体验互动等形式同期配套相关会议论坛、特色展览、节庆赛事等系列活动，增强会展吸引力，提升会展人气值。</w:t>
      </w:r>
    </w:p>
    <w:p>
      <w:pPr>
        <w:adjustRightInd w:val="0"/>
        <w:snapToGrid w:val="0"/>
        <w:spacing w:line="540" w:lineRule="exact"/>
        <w:ind w:firstLine="640" w:firstLineChars="200"/>
        <w:rPr>
          <w:rFonts w:hint="eastAsia"/>
        </w:rPr>
      </w:pPr>
      <w:r>
        <w:rPr>
          <w:rFonts w:hint="eastAsia"/>
        </w:rPr>
        <w:t>形成优势产业聚集，实现会展全产业链覆盖。通过特色优势产业品牌会展活动，拓宽合作渠道，减少中间环节，创新交流交易场景，升级优化展区布局，提升服务水平，提高会展活动附加值，吸引产业链上下游企业参展，再通过优化营商环境，吸引参展企业落地，逐步完善本地全产业生态建设。</w:t>
      </w:r>
    </w:p>
    <w:p>
      <w:pPr>
        <w:autoSpaceDE w:val="0"/>
        <w:autoSpaceDN w:val="0"/>
        <w:adjustRightInd w:val="0"/>
        <w:snapToGrid w:val="0"/>
        <w:spacing w:line="540" w:lineRule="exact"/>
        <w:ind w:firstLine="640" w:firstLineChars="200"/>
      </w:pPr>
      <w:r>
        <w:rPr>
          <w:rFonts w:hint="eastAsia"/>
        </w:rPr>
        <w:t>加强基础设施建设，完善会展产业配套。对会展载体进行人性化、标准化、智能化、绿色生态化建设改造，优化交通物流组织，健全交通枢纽、停车场、物流轮候区等基础设施，为核心场馆配套功能服务健全的PCO、DMC组团，提升住宿、餐饮、商业休闲等消费场景服务能力与水平。</w:t>
      </w:r>
      <w:bookmarkStart w:id="786" w:name="_GoBack"/>
      <w:bookmarkEnd w:id="786"/>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方正小标宋简体">
    <w:altName w:val="黑体"/>
    <w:panose1 w:val="03000509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wordWrap w:val="0"/>
      <w:jc w:val="right"/>
      <w:rPr>
        <w:rFonts w:hint="eastAsia"/>
        <w:szCs w:val="22"/>
      </w:rPr>
    </w:pPr>
    <w:r>
      <w:rPr>
        <w:rFonts w:hint="eastAsia"/>
        <w:szCs w:val="22"/>
      </w:rPr>
      <w:t xml:space="preserve">  </w:t>
    </w:r>
    <w:r>
      <w:rPr>
        <w:rFonts w:hint="eastAsia" w:ascii="宋体" w:hAnsi="宋体"/>
        <w:kern w:val="0"/>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0535B2"/>
    <w:multiLevelType w:val="multilevel"/>
    <w:tmpl w:val="9A0535B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B849F3C5"/>
    <w:multiLevelType w:val="multilevel"/>
    <w:tmpl w:val="B849F3C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37DC2D1E"/>
    <w:multiLevelType w:val="multilevel"/>
    <w:tmpl w:val="37DC2D1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AAD4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仿宋_GB2312" w:hAnsi="Times New Roman" w:eastAsia="仿宋_GB2312" w:cs="Times New Roman"/>
      <w:kern w:val="2"/>
      <w:sz w:val="32"/>
      <w:szCs w:val="32"/>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Salutation"/>
    <w:basedOn w:val="1"/>
    <w:next w:val="1"/>
    <w:qFormat/>
    <w:uiPriority w:val="0"/>
    <w:rPr>
      <w:rFonts w:ascii="Calibri" w:hAnsi="Calibri" w:eastAsia="宋体"/>
      <w:sz w:val="21"/>
      <w:szCs w:val="24"/>
    </w:rPr>
  </w:style>
  <w:style w:type="paragraph" w:styleId="3">
    <w:name w:val="footer"/>
    <w:basedOn w:val="1"/>
    <w:qFormat/>
    <w:uiPriority w:val="0"/>
    <w:pPr>
      <w:tabs>
        <w:tab w:val="center" w:pos="4153"/>
        <w:tab w:val="right" w:pos="8306"/>
      </w:tabs>
      <w:snapToGrid w:val="0"/>
      <w:jc w:val="left"/>
    </w:pPr>
    <w:rPr>
      <w:rFonts w:ascii="Times New Roman" w:eastAsia="宋体"/>
      <w:sz w:val="18"/>
      <w:szCs w:val="18"/>
    </w:rPr>
  </w:style>
  <w:style w:type="paragraph" w:styleId="4">
    <w:name w:val="header"/>
    <w:basedOn w:val="1"/>
    <w:uiPriority w:val="0"/>
    <w:pP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00"/>
      <w:u w:val="none"/>
    </w:rPr>
  </w:style>
  <w:style w:type="paragraph" w:customStyle="1" w:styleId="9">
    <w:name w:val="Char1 Char Char"/>
    <w:basedOn w:val="1"/>
    <w:qFormat/>
    <w:uiPriority w:val="0"/>
    <w:pPr>
      <w:widowControl/>
      <w:spacing w:after="160" w:line="240" w:lineRule="exact"/>
      <w:jc w:val="left"/>
    </w:pPr>
    <w:rPr>
      <w:rFonts w:ascii="Verdana" w:hAnsi="Verdana" w:cs="Verdana"/>
      <w:kern w:val="0"/>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E:\&#30427;&#32434;\&#30427;&#32434;\08.&#20048;&#23665;&#24066;&#8220;&#21313;&#22235;&#20116;&#8221;&#20250;&#23637;&#20135;&#19994;&#21457;&#23637;&#35268;&#21010;\&#20250;&#23637;&#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展会活动场次</c:v>
                </c:pt>
              </c:strCache>
            </c:strRef>
          </c:tx>
          <c:spPr>
            <a:solidFill>
              <a:srgbClr val="4F81BD"/>
            </a:solidFill>
            <a:ln>
              <a:noFill/>
            </a:ln>
            <a:effectLst>
              <a:outerShdw blurRad="50800" dist="50800" dir="5400000" algn="ctr" rotWithShape="0">
                <a:sysClr val="windowText" lastClr="000000"/>
              </a:outerShdw>
            </a:effectLst>
          </c:spPr>
          <c:invertIfNegative val="0"/>
          <c:dLbls>
            <c:delete val="1"/>
          </c:dLbls>
          <c:cat>
            <c:strRef>
              <c:f>Sheet1!$A$2:$A$6</c:f>
              <c:strCache>
                <c:ptCount val="5"/>
                <c:pt idx="0">
                  <c:v>2016年</c:v>
                </c:pt>
                <c:pt idx="1">
                  <c:v>2017年</c:v>
                </c:pt>
                <c:pt idx="2">
                  <c:v>2018年</c:v>
                </c:pt>
                <c:pt idx="3">
                  <c:v>2019年</c:v>
                </c:pt>
                <c:pt idx="4">
                  <c:v>2020年</c:v>
                </c:pt>
              </c:strCache>
            </c:strRef>
          </c:cat>
          <c:val>
            <c:numRef>
              <c:f>Sheet1!$B$2:$B$6</c:f>
              <c:numCache>
                <c:formatCode>General</c:formatCode>
                <c:ptCount val="5"/>
                <c:pt idx="0">
                  <c:v>3</c:v>
                </c:pt>
                <c:pt idx="1">
                  <c:v>23</c:v>
                </c:pt>
                <c:pt idx="2">
                  <c:v>27</c:v>
                </c:pt>
                <c:pt idx="3">
                  <c:v>27</c:v>
                </c:pt>
                <c:pt idx="4">
                  <c:v>12</c:v>
                </c:pt>
              </c:numCache>
            </c:numRef>
          </c:val>
        </c:ser>
        <c:ser>
          <c:idx val="1"/>
          <c:order val="1"/>
          <c:tx>
            <c:strRef>
              <c:f>Sheet1!$C$1</c:f>
              <c:strCache>
                <c:ptCount val="1"/>
                <c:pt idx="0">
                  <c:v>总展览面积</c:v>
                </c:pt>
              </c:strCache>
            </c:strRef>
          </c:tx>
          <c:spPr>
            <a:solidFill>
              <a:srgbClr val="C0504D"/>
            </a:solidFill>
            <a:ln>
              <a:noFill/>
            </a:ln>
            <a:effectLst>
              <a:outerShdw blurRad="50800" dist="38100" dir="5400000" algn="t" rotWithShape="0">
                <a:sysClr val="windowText" lastClr="000000">
                  <a:alpha val="40000"/>
                </a:sysClr>
              </a:outerShdw>
            </a:effectLst>
          </c:spPr>
          <c:invertIfNegative val="0"/>
          <c:dLbls>
            <c:delete val="1"/>
          </c:dLbls>
          <c:cat>
            <c:strRef>
              <c:f>Sheet1!$A$2:$A$6</c:f>
              <c:strCache>
                <c:ptCount val="5"/>
                <c:pt idx="0">
                  <c:v>2016年</c:v>
                </c:pt>
                <c:pt idx="1">
                  <c:v>2017年</c:v>
                </c:pt>
                <c:pt idx="2">
                  <c:v>2018年</c:v>
                </c:pt>
                <c:pt idx="3">
                  <c:v>2019年</c:v>
                </c:pt>
                <c:pt idx="4">
                  <c:v>2020年</c:v>
                </c:pt>
              </c:strCache>
            </c:strRef>
          </c:cat>
          <c:val>
            <c:numRef>
              <c:f>Sheet1!$C$2:$C$6</c:f>
              <c:numCache>
                <c:formatCode>General</c:formatCode>
                <c:ptCount val="5"/>
                <c:pt idx="0">
                  <c:v>15.2</c:v>
                </c:pt>
                <c:pt idx="1">
                  <c:v>27.33</c:v>
                </c:pt>
                <c:pt idx="2">
                  <c:v>27.33</c:v>
                </c:pt>
                <c:pt idx="3">
                  <c:v>34.67</c:v>
                </c:pt>
                <c:pt idx="4">
                  <c:v>28</c:v>
                </c:pt>
              </c:numCache>
            </c:numRef>
          </c:val>
        </c:ser>
        <c:dLbls>
          <c:showLegendKey val="0"/>
          <c:showVal val="0"/>
          <c:showCatName val="0"/>
          <c:showSerName val="0"/>
          <c:showPercent val="0"/>
          <c:showBubbleSize val="0"/>
        </c:dLbls>
        <c:gapWidth val="219"/>
        <c:overlap val="-27"/>
        <c:axId val="752316504"/>
        <c:axId val="752314864"/>
      </c:barChart>
      <c:catAx>
        <c:axId val="752316504"/>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752314864"/>
        <c:crosses val="autoZero"/>
        <c:auto val="1"/>
        <c:lblAlgn val="ctr"/>
        <c:lblOffset val="100"/>
        <c:noMultiLvlLbl val="0"/>
      </c:catAx>
      <c:valAx>
        <c:axId val="752314864"/>
        <c:scaling>
          <c:orientation val="minMax"/>
        </c:scaling>
        <c:delete val="0"/>
        <c:axPos val="l"/>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crossAx val="752316504"/>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dTable>
      <c:spPr>
        <a:noFill/>
        <a:ln w="25400">
          <a:noFill/>
        </a:ln>
        <a:effectLst>
          <a:outerShdw blurRad="50800" dist="50800" dir="5400000" algn="ctr" rotWithShape="0">
            <a:sysClr val="window" lastClr="FFFFFF"/>
          </a:outerShdw>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solidFill>
      <a:srgbClr val="FDFDFD"/>
    </a:solidFill>
    <a:ln w="9525" cap="flat" cmpd="sng" algn="ctr">
      <a:solidFill>
        <a:sysClr val="windowText" lastClr="000000">
          <a:lumMod val="15000"/>
          <a:lumOff val="85000"/>
        </a:sys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rgbClr val="FFFFFF"/>
        </a:solidFill>
        <a:round/>
      </a:ln>
    </cs:spPr>
  </cs:dataPointLine>
  <cs:dataPointMarker>
    <cs:lnRef idx="0">
      <cs:styleClr val="auto"/>
    </cs:lnRef>
    <cs:fillRef idx="1">
      <cs:styleClr val="auto"/>
    </cs:fillRef>
    <cs:effectRef idx="0"/>
    <cs:fontRef idx="minor">
      <a:sysClr val="windowText" lastClr="000000"/>
    </cs:fontRef>
    <cs:spPr>
      <a:ln w="9525">
        <a:solidFill>
          <a:srgbClr val="FFFFFF"/>
        </a:solidFill>
      </a:ln>
    </cs:spPr>
  </cs:dataPointMarker>
  <cs:dataPointMarkerLayout symbol="circle" size="5"/>
  <cs:dataPointWireframe>
    <cs:lnRef idx="0">
      <cs:styleClr val="auto"/>
    </cs:lnRef>
    <cs:fillRef idx="1"/>
    <cs:effectRef idx="0"/>
    <cs:fontRef idx="minor">
      <a:sysClr val="windowText" lastClr="000000"/>
    </cs:fontRef>
    <cs:spPr>
      <a:ln w="9525" cap="rnd">
        <a:solidFill>
          <a:srgbClr val="FFFFFF"/>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rgbClr val="FFFFFF"/>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2022-03-21T02:52:11Z</dcterms:created>
  <dc:creator>Administrator</dc:creator>
  <cp:lastModifiedBy>Administrator</cp:lastModifiedBy>
  <dcterms:modified xsi:type="dcterms:W3CDTF">2022-03-21T02:52:39Z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6181CB2786E540E58D2B685381FDE7B0</vt:lpwstr>
  </property>
</Properties>
</file>