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autoSpaceDE/>
        <w:autoSpaceDN/>
        <w:bidi w:val="0"/>
        <w:adjustRightInd/>
        <w:snapToGrid/>
        <w:spacing w:line="1500" w:lineRule="exact"/>
        <w:ind w:left="0" w:leftChars="0" w:firstLine="0" w:firstLineChars="0"/>
        <w:jc w:val="both"/>
        <w:textAlignment w:val="auto"/>
        <w:rPr>
          <w:rFonts w:hint="eastAsia" w:ascii="方正小标宋简体" w:eastAsia="方正小标宋简体"/>
          <w:color w:val="FF0000"/>
          <w:spacing w:val="-26"/>
          <w:w w:val="90"/>
          <w:sz w:val="108"/>
          <w:szCs w:val="108"/>
        </w:rPr>
      </w:pP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ascii="仿宋_GB2312" w:eastAsia="仿宋_GB2312"/>
          <w:sz w:val="32"/>
          <w:szCs w:val="32"/>
        </w:rPr>
      </w:pPr>
      <w:r>
        <w:rPr>
          <w:rFonts w:hint="eastAsia" w:ascii="方正小标宋简体" w:eastAsia="方正小标宋简体"/>
          <w:color w:val="FF0000"/>
          <w:spacing w:val="40"/>
          <w:w w:val="75"/>
          <w:sz w:val="120"/>
          <w:szCs w:val="120"/>
        </w:rPr>
        <w:t>乐山市民政局文件</w:t>
      </w:r>
    </w:p>
    <w:p>
      <w:pPr>
        <w:pStyle w:val="9"/>
      </w:pPr>
    </w:p>
    <w:p/>
    <w:p>
      <w:pPr>
        <w:pStyle w:val="9"/>
      </w:pPr>
    </w:p>
    <w:p/>
    <w:p>
      <w:pPr>
        <w:tabs>
          <w:tab w:val="left" w:pos="2490"/>
        </w:tabs>
        <w:adjustRightInd w:val="0"/>
        <w:snapToGrid w:val="0"/>
        <w:spacing w:line="400" w:lineRule="exact"/>
        <w:ind w:firstLine="320" w:firstLineChars="100"/>
        <w:jc w:val="center"/>
        <w:rPr>
          <w:rFonts w:hint="default" w:ascii="楷体_GB2312" w:hAnsi="楷体_GB2312" w:eastAsia="楷体_GB2312" w:cs="楷体_GB2312"/>
          <w:sz w:val="32"/>
          <w:szCs w:val="32"/>
          <w:lang w:val="en-US"/>
        </w:rPr>
      </w:pPr>
      <w:r>
        <w:rPr>
          <w:rFonts w:hint="eastAsia" w:ascii="仿宋_GB2312" w:eastAsia="仿宋_GB2312"/>
          <w:sz w:val="32"/>
          <w:szCs w:val="32"/>
        </w:rPr>
        <w:t>乐市民政</w:t>
      </w:r>
      <w:r>
        <w:rPr>
          <w:rFonts w:hint="eastAsia" w:ascii="仿宋_GB2312" w:eastAsia="仿宋_GB2312"/>
          <w:sz w:val="32"/>
          <w:szCs w:val="32"/>
          <w:lang w:eastAsia="zh-CN"/>
        </w:rPr>
        <w:t>规</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pPr>
        <w:spacing w:line="520" w:lineRule="exact"/>
        <w:rPr>
          <w:rFonts w:hint="eastAsia" w:ascii="楷体_GB2312" w:eastAsia="楷体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124460</wp:posOffset>
                </wp:positionV>
                <wp:extent cx="5593715" cy="635"/>
                <wp:effectExtent l="0" t="22225" r="6985" b="34290"/>
                <wp:wrapNone/>
                <wp:docPr id="1" name="直线 71"/>
                <wp:cNvGraphicFramePr/>
                <a:graphic xmlns:a="http://schemas.openxmlformats.org/drawingml/2006/main">
                  <a:graphicData uri="http://schemas.microsoft.com/office/word/2010/wordprocessingShape">
                    <wps:wsp>
                      <wps:cNvCnPr/>
                      <wps:spPr>
                        <a:xfrm>
                          <a:off x="0" y="0"/>
                          <a:ext cx="5593715" cy="635"/>
                        </a:xfrm>
                        <a:prstGeom prst="line">
                          <a:avLst/>
                        </a:prstGeom>
                        <a:ln w="44450" cap="flat" cmpd="sng">
                          <a:solidFill>
                            <a:srgbClr val="FF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1.75pt;margin-top:9.8pt;height:0.05pt;width:440.45pt;z-index:251659264;mso-width-relative:page;mso-height-relative:page;" filled="f" stroked="t" coordsize="21600,21600" o:gfxdata="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0ewNB1AAA&#10;AAcBAAAPAAAAAAAAAAEAIAAAADgAAABkcnMvZG93bnJldi54bWxQSwECFAAUAAAACACHTuJAGlLD&#10;Z9MBAACRAwAADgAAAAAAAAABACAAAAA5AQAAZHJzL2Uyb0RvYy54bWxQSwUGAAAAAAYABgBZAQAA&#10;fgUAAAAA&#10;">
                <v:fill on="f" focussize="0,0"/>
                <v:stroke weight="3.5pt" color="#FF0000" joinstyle="round"/>
                <v:imagedata o:title=""/>
                <o:lock v:ext="edit" aspectratio="f"/>
              </v:line>
            </w:pict>
          </mc:Fallback>
        </mc:AlternateContent>
      </w:r>
    </w:p>
    <w:p>
      <w:pPr>
        <w:spacing w:line="520" w:lineRule="exact"/>
        <w:ind w:firstLine="420" w:firstLineChars="200"/>
      </w:pPr>
      <w: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乐山市民政局关于印发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w:t>
      </w:r>
      <w:r>
        <w:rPr>
          <w:rFonts w:hint="eastAsia" w:ascii="方正小标宋简体" w:eastAsia="方正小标宋简体"/>
          <w:sz w:val="44"/>
          <w:szCs w:val="44"/>
        </w:rPr>
        <w:t>乐山市</w:t>
      </w:r>
      <w:r>
        <w:rPr>
          <w:rFonts w:hint="default" w:ascii="方正小标宋简体" w:eastAsia="方正小标宋简体"/>
          <w:sz w:val="44"/>
          <w:szCs w:val="44"/>
          <w:lang w:val="en-US" w:eastAsia="zh-CN"/>
        </w:rPr>
        <w:t>特困人员救助供养</w:t>
      </w:r>
      <w:r>
        <w:rPr>
          <w:rFonts w:hint="eastAsia" w:ascii="方正小标宋简体" w:eastAsia="方正小标宋简体"/>
          <w:sz w:val="44"/>
          <w:szCs w:val="44"/>
          <w:lang w:eastAsia="zh-CN"/>
        </w:rPr>
        <w:t>工作</w:t>
      </w:r>
      <w:r>
        <w:rPr>
          <w:rFonts w:hint="eastAsia" w:ascii="方正小标宋简体" w:eastAsia="方正小标宋简体"/>
          <w:sz w:val="44"/>
          <w:szCs w:val="44"/>
        </w:rPr>
        <w:t>实施细则</w:t>
      </w:r>
      <w:r>
        <w:rPr>
          <w:rFonts w:hint="eastAsia" w:ascii="方正小标宋简体" w:eastAsia="方正小标宋简体"/>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的通知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各区、市、县、自治县民政局，乐山高新区社会管理局</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现将新修订的《乐山市特困人员救助供养工作实施细则》印发你们，请结合实际遵照执行。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乐山市民政局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rPr>
      </w:pPr>
      <w:r>
        <w:rPr>
          <w:rFonts w:hint="eastAsia" w:ascii="仿宋_GB2312" w:hAnsi="仿宋_GB2312" w:eastAsia="仿宋_GB2312" w:cs="仿宋_GB2312"/>
          <w:color w:val="000000"/>
          <w:kern w:val="0"/>
          <w:sz w:val="32"/>
          <w:szCs w:val="32"/>
          <w:lang w:val="en-US" w:eastAsia="zh-CN" w:bidi="ar"/>
        </w:rPr>
        <w:t xml:space="preserve">                           2023年3月22日</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乐山市</w:t>
      </w:r>
      <w:r>
        <w:rPr>
          <w:rFonts w:hint="eastAsia" w:ascii="方正小标宋简体" w:hAnsi="方正小标宋简体" w:eastAsia="方正小标宋简体" w:cs="方正小标宋简体"/>
          <w:sz w:val="44"/>
          <w:szCs w:val="44"/>
          <w:lang w:val="en-US" w:eastAsia="zh-CN"/>
        </w:rPr>
        <w:t>特困人员救助供养</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实施细则</w:t>
      </w:r>
    </w:p>
    <w:p>
      <w:pPr>
        <w:spacing w:line="600" w:lineRule="exact"/>
        <w:jc w:val="both"/>
        <w:rPr>
          <w:rFonts w:hint="eastAsia" w:ascii="黑体" w:hAnsi="黑体" w:eastAsia="黑体"/>
          <w:sz w:val="32"/>
          <w:szCs w:val="32"/>
        </w:rPr>
      </w:pP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color w:val="auto"/>
          <w:sz w:val="32"/>
          <w:szCs w:val="32"/>
        </w:rPr>
        <w:t>为进一步规范</w:t>
      </w:r>
      <w:r>
        <w:rPr>
          <w:rFonts w:hint="eastAsia" w:ascii="仿宋_GB2312" w:hAnsi="仿宋_GB2312" w:eastAsia="仿宋_GB2312" w:cs="仿宋_GB2312"/>
          <w:color w:val="auto"/>
          <w:sz w:val="32"/>
          <w:szCs w:val="32"/>
          <w:lang w:eastAsia="zh-CN"/>
        </w:rPr>
        <w:t>我市</w:t>
      </w:r>
      <w:r>
        <w:rPr>
          <w:rFonts w:hint="eastAsia" w:ascii="仿宋_GB2312" w:hAnsi="仿宋_GB2312" w:eastAsia="仿宋_GB2312" w:cs="仿宋_GB2312"/>
          <w:color w:val="auto"/>
          <w:sz w:val="32"/>
          <w:szCs w:val="32"/>
        </w:rPr>
        <w:t>特困人员救助供养工作，根据《社会救助暂行办法》《国务院关于进一步健全特困人员救助供养制度的意见》《中共中央办公厅 国务院办公厅印发&lt;关于改革完善社会救助制度的意见&gt;的通知》</w:t>
      </w:r>
      <w:r>
        <w:rPr>
          <w:rFonts w:hint="eastAsia" w:ascii="仿宋_GB2312" w:hAnsi="仿宋_GB2312" w:eastAsia="仿宋_GB2312" w:cs="仿宋_GB2312"/>
          <w:color w:val="auto"/>
          <w:sz w:val="32"/>
          <w:szCs w:val="32"/>
          <w:lang w:val="en-US" w:eastAsia="zh-CN"/>
        </w:rPr>
        <w:t>《民政部关于印发〈特困人员认定办法&gt;的通知》</w:t>
      </w:r>
      <w:r>
        <w:rPr>
          <w:rFonts w:hint="eastAsia" w:ascii="仿宋_GB2312" w:hAnsi="仿宋_GB2312" w:eastAsia="仿宋_GB2312" w:cs="仿宋_GB2312"/>
          <w:color w:val="auto"/>
          <w:sz w:val="32"/>
          <w:szCs w:val="32"/>
        </w:rPr>
        <w:t>《中共四川省委办公厅 四川省人民政府办公厅印发〈关于改革完善社会救助制度的实施意见〉的通知》《四川省</w:t>
      </w:r>
      <w:r>
        <w:rPr>
          <w:rFonts w:hint="eastAsia" w:ascii="仿宋_GB2312" w:hAnsi="仿宋_GB2312" w:eastAsia="仿宋_GB2312" w:cs="仿宋_GB2312"/>
          <w:color w:val="auto"/>
          <w:sz w:val="32"/>
          <w:szCs w:val="32"/>
          <w:lang w:val="en-US" w:eastAsia="zh-CN"/>
        </w:rPr>
        <w:t>特困人员救助供养</w:t>
      </w:r>
      <w:r>
        <w:rPr>
          <w:rFonts w:hint="eastAsia" w:ascii="仿宋_GB2312" w:hAnsi="仿宋_GB2312" w:eastAsia="仿宋_GB2312" w:cs="仿宋_GB2312"/>
          <w:color w:val="auto"/>
          <w:sz w:val="32"/>
          <w:szCs w:val="32"/>
        </w:rPr>
        <w:t>工作规程》等</w:t>
      </w:r>
      <w:r>
        <w:rPr>
          <w:rFonts w:hint="eastAsia" w:ascii="仿宋_GB2312" w:hAnsi="仿宋_GB2312" w:eastAsia="仿宋_GB2312" w:cs="仿宋_GB2312"/>
          <w:i w:val="0"/>
          <w:caps w:val="0"/>
          <w:color w:val="222222"/>
          <w:spacing w:val="0"/>
          <w:kern w:val="0"/>
          <w:sz w:val="32"/>
          <w:szCs w:val="32"/>
          <w:shd w:val="clear" w:color="auto" w:fill="FFFFFF"/>
          <w:lang w:val="en-US" w:eastAsia="zh-CN"/>
        </w:rPr>
        <w:t>法规政策</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市实际，制定本细则。</w:t>
      </w:r>
    </w:p>
    <w:p>
      <w:pPr>
        <w:keepNext w:val="0"/>
        <w:keepLines w:val="0"/>
        <w:pageBreakBefore w:val="0"/>
        <w:widowControl/>
        <w:suppressLineNumbers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color w:val="auto"/>
          <w:sz w:val="32"/>
          <w:szCs w:val="32"/>
          <w:lang w:val="en-US" w:eastAsia="zh-CN"/>
        </w:rPr>
        <w:t>县级以上地方人民政府民政部门统筹做好本行政区域内特困人员认定及救助供养工作。县级人民政府民政部门负责特困人员认定的审核确认工作，乡镇人民政府（街道办事处）负责特困人员认定的受理、初审工作。村（居）民委员会协助做好申请递交、入户调查、民主评议、信息公开、动态管理等相关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有条件的地方可按程序将特困人员审核确认权限下放至乡镇（街道），县级人民政府民政部门应制定相应的审核确认办法和监管程序，加强监督指导。</w:t>
      </w:r>
    </w:p>
    <w:p>
      <w:pPr>
        <w:keepNext w:val="0"/>
        <w:keepLines w:val="0"/>
        <w:pageBreakBefore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i w:val="0"/>
          <w:caps w:val="0"/>
          <w:color w:val="000000"/>
          <w:spacing w:val="0"/>
          <w:sz w:val="32"/>
          <w:szCs w:val="32"/>
          <w:highlight w:val="yellow"/>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特困人员认定工作应当遵循以下原则：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_GB2312" w:hAnsi="楷体_GB2312" w:eastAsia="楷体_GB2312" w:cs="楷体_GB2312"/>
          <w:i w:val="0"/>
          <w:caps w:val="0"/>
          <w:color w:val="000000"/>
          <w:spacing w:val="0"/>
          <w:sz w:val="32"/>
          <w:szCs w:val="32"/>
          <w:shd w:val="clear" w:color="auto" w:fill="FFFFFF"/>
          <w:lang w:val="en-US" w:eastAsia="zh-CN"/>
        </w:rPr>
        <w:t>（一）坚持托底供养。</w:t>
      </w:r>
      <w:r>
        <w:rPr>
          <w:rFonts w:hint="eastAsia" w:ascii="仿宋_GB2312" w:hAnsi="仿宋_GB2312" w:eastAsia="仿宋_GB2312" w:cs="仿宋_GB2312"/>
          <w:i w:val="0"/>
          <w:caps w:val="0"/>
          <w:color w:val="000000"/>
          <w:spacing w:val="0"/>
          <w:sz w:val="32"/>
          <w:szCs w:val="32"/>
          <w:shd w:val="clear" w:color="auto" w:fill="FFFFFF"/>
          <w:lang w:val="en-US" w:eastAsia="zh-CN"/>
        </w:rPr>
        <w:t>强化政府托底保障职责，为城乡特困人员提供基本生活、照料服务、疾病治疗和殡葬服务等方面保障，做到应救尽救、应养尽养。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_GB2312" w:hAnsi="楷体_GB2312" w:eastAsia="楷体_GB2312" w:cs="楷体_GB2312"/>
          <w:i w:val="0"/>
          <w:caps w:val="0"/>
          <w:color w:val="000000"/>
          <w:spacing w:val="0"/>
          <w:sz w:val="32"/>
          <w:szCs w:val="32"/>
          <w:shd w:val="clear" w:color="auto" w:fill="FFFFFF"/>
          <w:lang w:val="en-US" w:eastAsia="zh-CN"/>
        </w:rPr>
        <w:t>（二）坚持属地管理。</w:t>
      </w:r>
      <w:r>
        <w:rPr>
          <w:rFonts w:hint="eastAsia" w:ascii="仿宋_GB2312" w:hAnsi="仿宋_GB2312" w:eastAsia="仿宋_GB2312" w:cs="仿宋_GB2312"/>
          <w:i w:val="0"/>
          <w:caps w:val="0"/>
          <w:color w:val="000000"/>
          <w:spacing w:val="0"/>
          <w:sz w:val="32"/>
          <w:szCs w:val="32"/>
          <w:shd w:val="clear" w:color="auto" w:fill="FFFFFF"/>
          <w:lang w:val="en-US" w:eastAsia="zh-CN"/>
        </w:rPr>
        <w:t>县级以上地方人民政府统筹做好本行政区域内特困人员救助供养工作，分级管理，落实责任，强化管理服务和资金保障，为特困人员提供规范、适度的救助供养服务。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_GB2312" w:hAnsi="楷体_GB2312" w:eastAsia="楷体_GB2312" w:cs="楷体_GB2312"/>
          <w:i w:val="0"/>
          <w:caps w:val="0"/>
          <w:color w:val="000000"/>
          <w:spacing w:val="0"/>
          <w:sz w:val="32"/>
          <w:szCs w:val="32"/>
          <w:shd w:val="clear" w:color="auto" w:fill="FFFFFF"/>
          <w:lang w:val="en-US" w:eastAsia="zh-CN"/>
        </w:rPr>
        <w:t>（三）坚持城乡统筹。</w:t>
      </w:r>
      <w:r>
        <w:rPr>
          <w:rFonts w:hint="eastAsia" w:ascii="仿宋_GB2312" w:hAnsi="仿宋_GB2312" w:eastAsia="仿宋_GB2312" w:cs="仿宋_GB2312"/>
          <w:i w:val="0"/>
          <w:caps w:val="0"/>
          <w:color w:val="000000"/>
          <w:spacing w:val="0"/>
          <w:sz w:val="32"/>
          <w:szCs w:val="32"/>
          <w:shd w:val="clear" w:color="auto" w:fill="FFFFFF"/>
          <w:lang w:val="en-US" w:eastAsia="zh-CN"/>
        </w:rPr>
        <w:t>健全城乡特困人员救助供养工作管理体制，在政策目标、资金筹集、对象范围、供养标准、经办服务等方面实现城乡统筹，确保城乡特困人员都能获得救助供养服务。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楷体_GB2312" w:hAnsi="楷体_GB2312" w:eastAsia="楷体_GB2312" w:cs="楷体_GB2312"/>
          <w:i w:val="0"/>
          <w:caps w:val="0"/>
          <w:color w:val="000000"/>
          <w:spacing w:val="0"/>
          <w:sz w:val="32"/>
          <w:szCs w:val="32"/>
          <w:shd w:val="clear" w:color="auto" w:fill="FFFFFF"/>
          <w:lang w:val="en-US" w:eastAsia="zh-CN"/>
        </w:rPr>
        <w:t>（四）坚持适度保障。</w:t>
      </w:r>
      <w:r>
        <w:rPr>
          <w:rFonts w:hint="eastAsia" w:ascii="仿宋_GB2312" w:hAnsi="仿宋_GB2312" w:eastAsia="仿宋_GB2312" w:cs="仿宋_GB2312"/>
          <w:i w:val="0"/>
          <w:caps w:val="0"/>
          <w:color w:val="000000"/>
          <w:spacing w:val="0"/>
          <w:sz w:val="32"/>
          <w:szCs w:val="32"/>
          <w:shd w:val="clear" w:color="auto" w:fill="FFFFFF"/>
          <w:lang w:val="en-US" w:eastAsia="zh-CN"/>
        </w:rPr>
        <w:t>立足经济社会发展水平，科学合理制定救助供养标准，加强与其他社会保障制度衔接，实现特困人员救助供养制度保基本、全覆盖、可持续。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楷体_GB2312" w:hAnsi="楷体_GB2312" w:eastAsia="楷体_GB2312" w:cs="楷体_GB2312"/>
          <w:i w:val="0"/>
          <w:caps w:val="0"/>
          <w:color w:val="000000"/>
          <w:spacing w:val="0"/>
          <w:sz w:val="32"/>
          <w:szCs w:val="32"/>
          <w:shd w:val="clear" w:color="auto" w:fill="FFFFFF"/>
          <w:lang w:val="en-US" w:eastAsia="zh-CN"/>
        </w:rPr>
        <w:t>（五）坚持社会参与。</w:t>
      </w:r>
      <w:r>
        <w:rPr>
          <w:rFonts w:hint="eastAsia" w:ascii="仿宋_GB2312" w:hAnsi="仿宋_GB2312" w:eastAsia="仿宋_GB2312" w:cs="仿宋_GB2312"/>
          <w:i w:val="0"/>
          <w:caps w:val="0"/>
          <w:color w:val="000000"/>
          <w:spacing w:val="0"/>
          <w:sz w:val="32"/>
          <w:szCs w:val="32"/>
          <w:shd w:val="clear" w:color="auto" w:fill="FFFFFF"/>
          <w:lang w:val="en-US" w:eastAsia="zh-CN"/>
        </w:rPr>
        <w:t>鼓励、引导、支持社会力量通过承接政府购买服务、慈善捐赠以及提供志愿服务等方式，为特困人员提供服务和帮扶，形成全社会关心、支持、参与特困人员救助供养工作的良好氛围。</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w:t>
      </w:r>
      <w:r>
        <w:rPr>
          <w:rFonts w:hint="eastAsia" w:ascii="黑体" w:hAnsi="黑体" w:eastAsia="黑体" w:cs="黑体"/>
          <w:sz w:val="32"/>
          <w:szCs w:val="32"/>
          <w:lang w:eastAsia="zh-CN"/>
        </w:rPr>
        <w:t>认定</w:t>
      </w:r>
      <w:r>
        <w:rPr>
          <w:rFonts w:hint="eastAsia" w:ascii="黑体" w:hAnsi="黑体" w:eastAsia="黑体" w:cs="黑体"/>
          <w:sz w:val="32"/>
          <w:szCs w:val="32"/>
        </w:rPr>
        <w:t>条件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第四条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lang w:eastAsia="zh-CN"/>
        </w:rPr>
        <w:t>持有乐山市户籍</w:t>
      </w:r>
      <w:r>
        <w:rPr>
          <w:rFonts w:hint="eastAsia" w:ascii="仿宋_GB2312" w:hAnsi="仿宋_GB2312" w:eastAsia="仿宋_GB2312" w:cs="仿宋_GB2312"/>
          <w:i w:val="0"/>
          <w:caps w:val="0"/>
          <w:color w:val="000000"/>
          <w:spacing w:val="0"/>
          <w:sz w:val="32"/>
          <w:szCs w:val="32"/>
          <w:shd w:val="clear" w:color="auto" w:fill="FFFFFF"/>
        </w:rPr>
        <w:t>，同时具备以下条件的老年人、残疾人和未成年人，应当依法纳入特困人员救助供养范围：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（一）无劳动能力；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（二）无生活来源；</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（三）无法定赡养、抚养、扶养义务人或者其法定义务人无履行义务能力。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第五条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符合下列情形之一的，应当认定为无劳动能力：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（一）60周岁以上的老年人；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（二）未满16周岁的未成年人；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（三）残疾等级为一、二、三级的智力、精神残疾人，残疾等级为一、二级的肢体残疾人，残疾等级为一级的视力残疾人。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i w:val="0"/>
          <w:caps w:val="0"/>
          <w:color w:val="000000"/>
          <w:spacing w:val="0"/>
          <w:sz w:val="32"/>
          <w:szCs w:val="32"/>
          <w:shd w:val="clear" w:color="auto" w:fill="FFFFFF"/>
        </w:rPr>
        <w:t>第六条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收入低于当地最低生活保障标准，且财产符合</w:t>
      </w:r>
      <w:r>
        <w:rPr>
          <w:rFonts w:hint="eastAsia" w:ascii="仿宋_GB2312" w:hAnsi="仿宋_GB2312" w:eastAsia="仿宋_GB2312" w:cs="仿宋_GB2312"/>
          <w:i w:val="0"/>
          <w:caps w:val="0"/>
          <w:color w:val="000000"/>
          <w:spacing w:val="0"/>
          <w:sz w:val="32"/>
          <w:szCs w:val="32"/>
          <w:shd w:val="clear" w:color="auto" w:fill="FFFFFF"/>
          <w:lang w:eastAsia="zh-CN"/>
        </w:rPr>
        <w:t>特困人员</w:t>
      </w:r>
      <w:r>
        <w:rPr>
          <w:rFonts w:hint="eastAsia" w:ascii="仿宋_GB2312" w:hAnsi="仿宋_GB2312" w:eastAsia="仿宋_GB2312" w:cs="仿宋_GB2312"/>
          <w:i w:val="0"/>
          <w:caps w:val="0"/>
          <w:color w:val="000000"/>
          <w:spacing w:val="0"/>
          <w:sz w:val="32"/>
          <w:szCs w:val="32"/>
          <w:shd w:val="clear" w:color="auto" w:fill="FFFFFF"/>
        </w:rPr>
        <w:t>财产状况规定的，应当认定为无生活来源。</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（一）计入特困人员收入的项目</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工资性收入。</w:t>
      </w:r>
      <w:r>
        <w:rPr>
          <w:rFonts w:hint="eastAsia" w:ascii="仿宋_GB2312" w:hAnsi="仿宋_GB2312" w:eastAsia="仿宋_GB2312" w:cs="仿宋_GB2312"/>
          <w:sz w:val="32"/>
          <w:szCs w:val="32"/>
        </w:rPr>
        <w:t>指就业人员</w:t>
      </w:r>
      <w:r>
        <w:rPr>
          <w:rFonts w:hint="eastAsia" w:ascii="仿宋_GB2312" w:hAnsi="仿宋_GB2312" w:eastAsia="仿宋_GB2312" w:cs="仿宋_GB2312"/>
          <w:color w:val="auto"/>
          <w:sz w:val="32"/>
          <w:szCs w:val="32"/>
        </w:rPr>
        <w:t>通过各种途径得到的全部劳动报酬和各种福利并扣除必要的就业成本，</w:t>
      </w:r>
      <w:r>
        <w:rPr>
          <w:rFonts w:hint="eastAsia" w:ascii="仿宋_GB2312" w:hAnsi="仿宋_GB2312" w:eastAsia="仿宋_GB2312" w:cs="仿宋_GB2312"/>
          <w:color w:val="auto"/>
          <w:sz w:val="32"/>
          <w:szCs w:val="32"/>
          <w:lang w:eastAsia="zh-CN"/>
        </w:rPr>
        <w:t>包括</w:t>
      </w:r>
      <w:r>
        <w:rPr>
          <w:rFonts w:hint="eastAsia" w:ascii="仿宋_GB2312" w:hAnsi="仿宋_GB2312" w:eastAsia="仿宋_GB2312" w:cs="仿宋_GB2312"/>
          <w:sz w:val="32"/>
          <w:szCs w:val="32"/>
        </w:rPr>
        <w:t>因任职或者受雇而取得的工资、薪金、奖金、劳动分红、津贴、补贴以及与任职或者受雇有关的其他所得</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经营净收入。</w:t>
      </w:r>
      <w:r>
        <w:rPr>
          <w:rFonts w:hint="eastAsia" w:ascii="仿宋_GB2312" w:hAnsi="仿宋_GB2312" w:eastAsia="仿宋_GB2312" w:cs="仿宋_GB2312"/>
          <w:sz w:val="32"/>
          <w:szCs w:val="32"/>
        </w:rPr>
        <w:t>指从事生产经营及有偿服务活动所获得的净收入，是全部经营收入中扣除经营费用、</w:t>
      </w:r>
      <w:r>
        <w:rPr>
          <w:rFonts w:hint="eastAsia" w:ascii="仿宋_GB2312" w:hAnsi="仿宋_GB2312" w:eastAsia="仿宋_GB2312" w:cs="仿宋_GB2312"/>
          <w:sz w:val="32"/>
          <w:szCs w:val="32"/>
          <w:lang w:eastAsia="zh-CN"/>
        </w:rPr>
        <w:t>生产性固定</w:t>
      </w:r>
      <w:r>
        <w:rPr>
          <w:rFonts w:hint="eastAsia" w:ascii="仿宋_GB2312" w:hAnsi="仿宋_GB2312" w:eastAsia="仿宋_GB2312" w:cs="仿宋_GB2312"/>
          <w:sz w:val="32"/>
          <w:szCs w:val="32"/>
        </w:rPr>
        <w:t>资产折旧和</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税之后得到的收入。包括从事种植、养殖、采集及加工等农林牧渔业的生产收入，从事工业、建筑业、手工业、交通运输业、批发和零售贸易业、餐饮业、文教卫生业和社会服务业等经营及有偿服务活动的收入等；</w:t>
      </w:r>
    </w:p>
    <w:p>
      <w:pPr>
        <w:keepNext w:val="0"/>
        <w:keepLines w:val="0"/>
        <w:pageBreakBefore w:val="0"/>
        <w:kinsoku/>
        <w:wordWrap/>
        <w:overflowPunct/>
        <w:topLinePunct w:val="0"/>
        <w:autoSpaceDE/>
        <w:bidi w:val="0"/>
        <w:adjustRightIn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财产</w:t>
      </w:r>
      <w:r>
        <w:rPr>
          <w:rFonts w:hint="eastAsia" w:ascii="楷体_GB2312" w:hAnsi="楷体_GB2312" w:eastAsia="楷体_GB2312" w:cs="楷体_GB2312"/>
          <w:sz w:val="32"/>
          <w:szCs w:val="32"/>
          <w:lang w:eastAsia="zh-CN"/>
        </w:rPr>
        <w:t>净</w:t>
      </w:r>
      <w:r>
        <w:rPr>
          <w:rFonts w:hint="eastAsia" w:ascii="楷体_GB2312" w:hAnsi="楷体_GB2312" w:eastAsia="楷体_GB2312" w:cs="楷体_GB2312"/>
          <w:sz w:val="32"/>
          <w:szCs w:val="32"/>
        </w:rPr>
        <w:t>收入。</w:t>
      </w:r>
      <w:r>
        <w:rPr>
          <w:rFonts w:hint="eastAsia" w:ascii="仿宋_GB2312" w:hAnsi="仿宋_GB2312" w:eastAsia="仿宋_GB2312" w:cs="仿宋_GB2312"/>
          <w:sz w:val="32"/>
          <w:szCs w:val="32"/>
        </w:rPr>
        <w:t>包括动产收入和不动产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转租承包土地经营权、出租或者出让房产以及其他不动产收入等；</w:t>
      </w:r>
    </w:p>
    <w:p>
      <w:pPr>
        <w:keepNext w:val="0"/>
        <w:keepLines w:val="0"/>
        <w:pageBreakBefore w:val="0"/>
        <w:widowControl/>
        <w:suppressLineNumbers w:val="0"/>
        <w:kinsoku/>
        <w:wordWrap/>
        <w:overflowPunct/>
        <w:topLinePunct w:val="0"/>
        <w:autoSpaceDE/>
        <w:bidi w:val="0"/>
        <w:spacing w:line="560" w:lineRule="exact"/>
        <w:ind w:firstLine="636"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pacing w:val="-1"/>
          <w:sz w:val="32"/>
          <w:szCs w:val="32"/>
          <w:lang w:val="en-US" w:eastAsia="zh-CN"/>
        </w:rPr>
        <w:t>4.</w:t>
      </w:r>
      <w:r>
        <w:rPr>
          <w:rFonts w:hint="eastAsia" w:ascii="楷体_GB2312" w:hAnsi="楷体_GB2312" w:eastAsia="楷体_GB2312" w:cs="楷体_GB2312"/>
          <w:spacing w:val="-1"/>
          <w:sz w:val="32"/>
          <w:szCs w:val="32"/>
        </w:rPr>
        <w:t>转移</w:t>
      </w:r>
      <w:r>
        <w:rPr>
          <w:rFonts w:hint="eastAsia" w:ascii="楷体_GB2312" w:hAnsi="楷体_GB2312" w:eastAsia="楷体_GB2312" w:cs="楷体_GB2312"/>
          <w:spacing w:val="-1"/>
          <w:sz w:val="32"/>
          <w:szCs w:val="32"/>
          <w:lang w:eastAsia="zh-CN"/>
        </w:rPr>
        <w:t>净</w:t>
      </w:r>
      <w:r>
        <w:rPr>
          <w:rFonts w:hint="eastAsia" w:ascii="楷体_GB2312" w:hAnsi="楷体_GB2312" w:eastAsia="楷体_GB2312" w:cs="楷体_GB2312"/>
          <w:spacing w:val="-1"/>
          <w:sz w:val="32"/>
          <w:szCs w:val="32"/>
        </w:rPr>
        <w:t>收入</w:t>
      </w:r>
      <w:r>
        <w:rPr>
          <w:rFonts w:hint="eastAsia" w:ascii="楷体_GB2312" w:hAnsi="楷体_GB2312" w:eastAsia="楷体_GB2312" w:cs="楷体_GB2312"/>
          <w:spacing w:val="-48"/>
          <w:sz w:val="32"/>
          <w:szCs w:val="32"/>
        </w:rPr>
        <w:t>。</w:t>
      </w:r>
      <w:r>
        <w:rPr>
          <w:rFonts w:hint="eastAsia" w:ascii="仿宋_GB2312" w:hAnsi="仿宋_GB2312" w:eastAsia="仿宋_GB2312" w:cs="仿宋_GB2312"/>
          <w:sz w:val="32"/>
          <w:szCs w:val="32"/>
        </w:rPr>
        <w:t>转移净收入指转移性收入扣减转移性支出之后的收入。转移性收入指国家、机关企事业单位、社会组织对居民的各种经常性转移支付和居民之间的经常性收入转移，包括赡养（抚养、扶养）费、离退休金、失业保险金、遗属补助金、赔偿收入、接受捐赠（赠送）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计划生育特别扶助金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suppressLineNumbers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rPr>
        <w:t>其它应计入家庭收入的项目。</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楷体_GB2312" w:hAnsi="楷体_GB2312" w:eastAsia="楷体_GB2312" w:cs="楷体_GB2312"/>
          <w:color w:val="auto"/>
          <w:sz w:val="32"/>
          <w:szCs w:val="32"/>
          <w:lang w:val="en-US" w:eastAsia="zh-CN"/>
        </w:rPr>
        <w:t>（二）不应计入特困人员收入的项目</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国家给予优抚对象和其他人员的特殊照顾待遇。包括优抚对象享受的优待抚恤金；困难残疾人的生活补助和重度残疾人的护理补贴；</w:t>
      </w:r>
      <w:r>
        <w:rPr>
          <w:rFonts w:hint="eastAsia" w:ascii="仿宋_GB2312" w:hAnsi="仿宋_GB2312" w:eastAsia="仿宋_GB2312" w:cs="仿宋_GB2312"/>
          <w:sz w:val="32"/>
          <w:szCs w:val="32"/>
          <w:lang w:val="en-US" w:eastAsia="zh-CN"/>
        </w:rPr>
        <w:t>80岁以上</w:t>
      </w:r>
      <w:r>
        <w:rPr>
          <w:rFonts w:hint="eastAsia" w:ascii="仿宋_GB2312" w:hAnsi="仿宋_GB2312" w:eastAsia="仿宋_GB2312" w:cs="仿宋_GB2312"/>
          <w:sz w:val="32"/>
          <w:szCs w:val="32"/>
        </w:rPr>
        <w:t>高龄老人津贴；建国前入党的农村老党员和未享受离退休待遇的城镇老党员的定期补助等；</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国家、社会及有关单位颁发的非报酬性奖励。包括劳动模范荣誉津贴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奖学金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见义勇为奖金、独生子女父母奖励</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、农村部分计划生育家庭奖励扶助</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等；</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国家、社会及有关单位给予工伤人员的有特定用途的补助资金，包括工伤人员的医疗费、护理费、一次性伤残补助金、抚恤金、残疾辅助器具费、丧葬费</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国家、社会及有关单位给予困难群体的社会救助资金，包括住房、医疗、教育、司法、养老、康复、托养、临时性救助等救助金</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“十四五”期间，中央确定的城乡居民社会养老保险基础养老金</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i w:val="0"/>
          <w:caps w:val="0"/>
          <w:color w:val="auto"/>
          <w:spacing w:val="0"/>
          <w:sz w:val="32"/>
          <w:szCs w:val="32"/>
          <w:shd w:val="clear" w:color="auto" w:fill="FFFFFF"/>
          <w:vertAlign w:val="baseline"/>
        </w:rPr>
        <w:t>县（市、区）级人民政府</w:t>
      </w:r>
      <w:r>
        <w:rPr>
          <w:rFonts w:hint="eastAsia" w:ascii="仿宋_GB2312" w:hAnsi="仿宋_GB2312" w:eastAsia="仿宋_GB2312" w:cs="仿宋_GB2312"/>
          <w:color w:val="000000"/>
          <w:sz w:val="32"/>
          <w:szCs w:val="32"/>
          <w:u w:val="none"/>
        </w:rPr>
        <w:t>认定的其他不应计入的家庭收入。</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color w:val="000000"/>
          <w:sz w:val="32"/>
          <w:szCs w:val="32"/>
          <w:lang w:eastAsia="zh-CN"/>
        </w:rPr>
        <w:t>　　</w:t>
      </w:r>
      <w:r>
        <w:rPr>
          <w:rFonts w:hint="eastAsia" w:ascii="楷体_GB2312" w:hAnsi="楷体_GB2312" w:eastAsia="楷体_GB2312" w:cs="楷体_GB2312"/>
          <w:color w:val="auto"/>
          <w:sz w:val="32"/>
          <w:szCs w:val="32"/>
          <w:lang w:val="en-US" w:eastAsia="zh-CN"/>
        </w:rPr>
        <w:t>（三）特困人员财产状况认定项目</w:t>
      </w:r>
    </w:p>
    <w:p>
      <w:pPr>
        <w:keepNext w:val="0"/>
        <w:keepLines w:val="0"/>
        <w:pageBreakBefore w:val="0"/>
        <w:widowControl/>
        <w:suppressLineNumbers w:val="0"/>
        <w:kinsoku/>
        <w:wordWrap/>
        <w:overflowPunct/>
        <w:topLinePunct w:val="0"/>
        <w:autoSpaceDE/>
        <w:bidi w:val="0"/>
        <w:spacing w:line="560" w:lineRule="exact"/>
        <w:ind w:firstLine="642"/>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特困人员财产状况</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rPr>
        <w:t>共同生活的家庭成员拥有的全部动产和不动产。动产主要包括</w:t>
      </w:r>
      <w:r>
        <w:rPr>
          <w:rFonts w:hint="eastAsia" w:ascii="仿宋_GB2312" w:hAnsi="仿宋_GB2312" w:eastAsia="仿宋_GB2312" w:cs="仿宋_GB2312"/>
          <w:color w:val="auto"/>
          <w:sz w:val="32"/>
          <w:szCs w:val="32"/>
          <w:lang w:eastAsia="zh-CN"/>
        </w:rPr>
        <w:t>现金、</w:t>
      </w:r>
      <w:r>
        <w:rPr>
          <w:rFonts w:hint="eastAsia" w:ascii="仿宋_GB2312" w:hAnsi="仿宋_GB2312" w:eastAsia="仿宋_GB2312" w:cs="仿宋_GB2312"/>
          <w:color w:val="auto"/>
          <w:sz w:val="32"/>
          <w:szCs w:val="32"/>
        </w:rPr>
        <w:t>银行存款、证券、基金、商业保险、债权、互联网金融资产以及机动车辆（残疾人功能性补偿代步机动车辆除外）、船舶等。不动产主要包括房屋、林木等定着物。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七</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法定义务人符合下列情形之一的，应当认定为本细则所称的无履行义务能力：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（一）特困人员；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（二）60周岁以上的最低生活保障对象；</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（三）70周岁以上的老年人，本人收入低于当地上年度人均可支配收入，且其财产符合当地低收入家庭财产状况规定的；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（四）重度残疾人和残疾等级为三级的智力、精神残疾人，本人收入低于当地上年度人均可支配收入，且其财产符合当地低收入家庭财产状况规定的；</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rPr>
        <w:t>（五）无民事行为能力、被宣告失踪或者在监狱服刑的人员，且其财产符合当地低收入家庭财产状况规定的</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color="auto" w:fill="FFFFFF"/>
        </w:rPr>
        <w:t>（六）</w:t>
      </w:r>
      <w:r>
        <w:rPr>
          <w:rFonts w:hint="eastAsia" w:ascii="仿宋_GB2312" w:hAnsi="仿宋_GB2312" w:eastAsia="仿宋_GB2312" w:cs="仿宋_GB2312"/>
          <w:i w:val="0"/>
          <w:caps w:val="0"/>
          <w:color w:val="auto"/>
          <w:spacing w:val="0"/>
          <w:sz w:val="32"/>
          <w:szCs w:val="32"/>
          <w:shd w:val="clear" w:color="auto" w:fill="FFFFFF"/>
          <w:vertAlign w:val="baseline"/>
        </w:rPr>
        <w:t>县（市、区）级人民政府民政部门</w:t>
      </w:r>
      <w:r>
        <w:rPr>
          <w:rFonts w:hint="eastAsia" w:ascii="仿宋_GB2312" w:hAnsi="仿宋_GB2312" w:eastAsia="仿宋_GB2312" w:cs="仿宋_GB2312"/>
          <w:i w:val="0"/>
          <w:caps w:val="0"/>
          <w:color w:val="000000"/>
          <w:spacing w:val="0"/>
          <w:sz w:val="32"/>
          <w:szCs w:val="32"/>
          <w:shd w:val="clear" w:color="auto" w:fill="FFFFFF"/>
        </w:rPr>
        <w:t>规定的其他情形。</w:t>
      </w:r>
    </w:p>
    <w:p>
      <w:pPr>
        <w:keepNext w:val="0"/>
        <w:keepLines w:val="0"/>
        <w:pageBreakBefore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有下列情形之一的，不符合</w:t>
      </w:r>
      <w:r>
        <w:rPr>
          <w:rFonts w:hint="eastAsia" w:ascii="仿宋_GB2312" w:hAnsi="仿宋_GB2312" w:eastAsia="仿宋_GB2312" w:cs="仿宋_GB2312"/>
          <w:color w:val="000000"/>
          <w:sz w:val="32"/>
          <w:szCs w:val="32"/>
          <w:lang w:eastAsia="zh-CN"/>
        </w:rPr>
        <w:t>特困</w:t>
      </w:r>
      <w:r>
        <w:rPr>
          <w:rFonts w:hint="eastAsia" w:ascii="仿宋_GB2312" w:hAnsi="仿宋_GB2312" w:eastAsia="仿宋_GB2312" w:cs="仿宋_GB2312"/>
          <w:color w:val="000000"/>
          <w:sz w:val="32"/>
          <w:szCs w:val="32"/>
        </w:rPr>
        <w:t>认定条件：</w:t>
      </w:r>
    </w:p>
    <w:p>
      <w:pPr>
        <w:keepNext w:val="0"/>
        <w:keepLines w:val="0"/>
        <w:pageBreakBefore w:val="0"/>
        <w:numPr>
          <w:ilvl w:val="0"/>
          <w:numId w:val="1"/>
        </w:numPr>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银行存款（不包括6个月内因病、因学等筹集的存款)、现金、证券、基金、商业保险、债权、互联网金融资产等金融资产总额超过“当地低保月标准(元/人月)×保障人数（人）×24 （月）”的计算数额</w:t>
      </w:r>
      <w:r>
        <w:rPr>
          <w:rFonts w:hint="eastAsia" w:ascii="仿宋_GB2312" w:hAnsi="仿宋_GB2312" w:eastAsia="仿宋_GB2312" w:cs="仿宋_GB2312"/>
          <w:color w:val="000000"/>
          <w:sz w:val="32"/>
          <w:szCs w:val="32"/>
          <w:lang w:val="en-US"/>
        </w:rPr>
        <w:t>;</w:t>
      </w:r>
    </w:p>
    <w:p>
      <w:pPr>
        <w:keepNext w:val="0"/>
        <w:keepLines w:val="0"/>
        <w:pageBreakBefore w:val="0"/>
        <w:numPr>
          <w:ilvl w:val="0"/>
          <w:numId w:val="0"/>
        </w:numPr>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（二）拥有机动车（不含残疾人功能性补偿代步机动车）、经营性大型农机具</w:t>
      </w:r>
      <w:r>
        <w:rPr>
          <w:rFonts w:hint="eastAsia" w:ascii="仿宋_GB2312" w:hAnsi="仿宋_GB2312" w:eastAsia="仿宋_GB2312" w:cs="仿宋_GB2312"/>
          <w:color w:val="000000"/>
          <w:sz w:val="32"/>
          <w:szCs w:val="32"/>
          <w:lang w:eastAsia="zh-CN"/>
        </w:rPr>
        <w:t>、经营性房屋</w:t>
      </w:r>
      <w:r>
        <w:rPr>
          <w:rFonts w:hint="eastAsia" w:ascii="仿宋_GB2312" w:hAnsi="仿宋_GB2312" w:eastAsia="仿宋_GB2312" w:cs="仿宋_GB2312"/>
          <w:color w:val="000000"/>
          <w:sz w:val="32"/>
          <w:szCs w:val="32"/>
        </w:rPr>
        <w:t>，价值超过</w:t>
      </w:r>
      <w:r>
        <w:rPr>
          <w:rFonts w:hint="eastAsia" w:ascii="仿宋_GB2312" w:hAnsi="仿宋_GB2312" w:eastAsia="仿宋_GB2312" w:cs="仿宋_GB2312"/>
          <w:color w:val="000000"/>
          <w:sz w:val="32"/>
          <w:szCs w:val="32"/>
          <w:lang w:eastAsia="zh-CN"/>
        </w:rPr>
        <w:t>我市</w:t>
      </w:r>
      <w:r>
        <w:rPr>
          <w:rFonts w:hint="eastAsia" w:ascii="仿宋_GB2312" w:hAnsi="仿宋_GB2312" w:eastAsia="仿宋_GB2312" w:cs="仿宋_GB2312"/>
          <w:color w:val="000000"/>
          <w:sz w:val="32"/>
          <w:szCs w:val="32"/>
        </w:rPr>
        <w:t>低保月标准24倍的；</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u w:val="none"/>
        </w:rPr>
        <w:t>城市家庭拥有两套以上（含两套）</w:t>
      </w:r>
      <w:r>
        <w:rPr>
          <w:rFonts w:hint="eastAsia" w:ascii="仿宋_GB2312" w:hAnsi="仿宋_GB2312" w:eastAsia="仿宋_GB2312" w:cs="仿宋_GB2312"/>
          <w:color w:val="000000"/>
          <w:sz w:val="32"/>
          <w:szCs w:val="32"/>
          <w:u w:val="none"/>
          <w:lang w:eastAsia="zh-CN"/>
        </w:rPr>
        <w:t>产权</w:t>
      </w:r>
      <w:r>
        <w:rPr>
          <w:rFonts w:hint="eastAsia" w:ascii="仿宋_GB2312" w:hAnsi="仿宋_GB2312" w:eastAsia="仿宋_GB2312" w:cs="仿宋_GB2312"/>
          <w:color w:val="000000"/>
          <w:sz w:val="32"/>
          <w:szCs w:val="32"/>
          <w:u w:val="none"/>
        </w:rPr>
        <w:t>住房，且住房总面积超过当地</w:t>
      </w:r>
      <w:r>
        <w:rPr>
          <w:rFonts w:hint="eastAsia" w:ascii="仿宋_GB2312" w:hAnsi="仿宋_GB2312" w:eastAsia="仿宋_GB2312" w:cs="仿宋_GB2312"/>
          <w:color w:val="000000"/>
          <w:sz w:val="32"/>
          <w:szCs w:val="32"/>
          <w:u w:val="none"/>
          <w:lang w:eastAsia="zh-CN"/>
        </w:rPr>
        <w:t>人均</w:t>
      </w:r>
      <w:r>
        <w:rPr>
          <w:rFonts w:hint="eastAsia" w:ascii="仿宋_GB2312" w:hAnsi="仿宋_GB2312" w:eastAsia="仿宋_GB2312" w:cs="仿宋_GB2312"/>
          <w:color w:val="000000"/>
          <w:sz w:val="32"/>
          <w:szCs w:val="32"/>
          <w:u w:val="none"/>
        </w:rPr>
        <w:t>住房保障标准</w:t>
      </w:r>
      <w:r>
        <w:rPr>
          <w:rFonts w:hint="eastAsia" w:ascii="仿宋_GB2312" w:hAnsi="仿宋_GB2312" w:eastAsia="仿宋_GB2312" w:cs="仿宋_GB2312"/>
          <w:color w:val="000000"/>
          <w:sz w:val="32"/>
          <w:szCs w:val="32"/>
          <w:u w:val="none"/>
          <w:lang w:val="en-US" w:eastAsia="zh-CN"/>
        </w:rPr>
        <w:t>2</w:t>
      </w:r>
      <w:r>
        <w:rPr>
          <w:rFonts w:hint="eastAsia" w:ascii="仿宋_GB2312" w:hAnsi="仿宋_GB2312" w:eastAsia="仿宋_GB2312" w:cs="仿宋_GB2312"/>
          <w:color w:val="000000"/>
          <w:sz w:val="32"/>
          <w:szCs w:val="32"/>
          <w:u w:val="none"/>
        </w:rPr>
        <w:t>倍的；农村家庭拥有两套以上（含两套）</w:t>
      </w:r>
      <w:r>
        <w:rPr>
          <w:rFonts w:hint="eastAsia" w:ascii="仿宋_GB2312" w:hAnsi="仿宋_GB2312" w:eastAsia="仿宋_GB2312" w:cs="仿宋_GB2312"/>
          <w:color w:val="000000"/>
          <w:sz w:val="32"/>
          <w:szCs w:val="32"/>
          <w:u w:val="none"/>
          <w:lang w:eastAsia="zh-CN"/>
        </w:rPr>
        <w:t>住房</w:t>
      </w:r>
      <w:r>
        <w:rPr>
          <w:rFonts w:hint="eastAsia" w:ascii="仿宋_GB2312" w:hAnsi="仿宋_GB2312" w:eastAsia="仿宋_GB2312" w:cs="仿宋_GB2312"/>
          <w:color w:val="000000"/>
          <w:sz w:val="32"/>
          <w:szCs w:val="32"/>
          <w:u w:val="none"/>
        </w:rPr>
        <w:t>的</w:t>
      </w:r>
      <w:r>
        <w:rPr>
          <w:rFonts w:hint="eastAsia" w:ascii="仿宋_GB2312" w:hAnsi="仿宋_GB2312" w:eastAsia="仿宋_GB2312" w:cs="仿宋_GB2312"/>
          <w:color w:val="000000"/>
          <w:sz w:val="32"/>
          <w:szCs w:val="32"/>
          <w:u w:val="none"/>
          <w:lang w:eastAsia="zh-CN"/>
        </w:rPr>
        <w:t>。农村家庭原有宅基地住房被鉴定为Ｄ级危房的，可不纳入统计范围</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（四）拥有其他非生活必需的高值物品（包括贵重金石玉器、收藏品、奢侈消费品等，不包括日常使用的普通手机）等</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val="0"/>
        <w:bidi w:val="0"/>
        <w:spacing w:line="560" w:lineRule="exact"/>
        <w:ind w:firstLine="627" w:firstLineChars="196"/>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none"/>
        </w:rPr>
        <w:t>开办或投资企业、从事个体工商或雇佣他人从事经营性活动的；</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无正当理由拒不配合特困审核确认和复核工作的</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七</w:t>
      </w:r>
      <w:r>
        <w:rPr>
          <w:rFonts w:hint="eastAsia" w:ascii="仿宋_GB2312" w:hAnsi="仿宋_GB2312" w:eastAsia="仿宋_GB2312" w:cs="仿宋_GB2312"/>
          <w:color w:val="000000"/>
          <w:sz w:val="32"/>
          <w:szCs w:val="32"/>
        </w:rPr>
        <w:t>）故意隐瞒</w:t>
      </w:r>
      <w:r>
        <w:rPr>
          <w:rFonts w:hint="eastAsia" w:ascii="仿宋_GB2312" w:hAnsi="仿宋_GB2312" w:eastAsia="仿宋_GB2312" w:cs="仿宋_GB2312"/>
          <w:color w:val="000000"/>
          <w:sz w:val="32"/>
          <w:szCs w:val="32"/>
          <w:lang w:eastAsia="zh-CN"/>
        </w:rPr>
        <w:t>家庭</w:t>
      </w:r>
      <w:r>
        <w:rPr>
          <w:rFonts w:hint="eastAsia" w:ascii="仿宋_GB2312" w:hAnsi="仿宋_GB2312" w:eastAsia="仿宋_GB2312" w:cs="仿宋_GB2312"/>
          <w:color w:val="000000"/>
          <w:sz w:val="32"/>
          <w:szCs w:val="32"/>
        </w:rPr>
        <w:t>真实收入和家庭人口</w:t>
      </w:r>
      <w:r>
        <w:rPr>
          <w:rFonts w:hint="eastAsia" w:ascii="仿宋_GB2312" w:hAnsi="仿宋_GB2312" w:eastAsia="仿宋_GB2312" w:cs="仿宋_GB2312"/>
          <w:color w:val="000000"/>
          <w:sz w:val="32"/>
          <w:szCs w:val="32"/>
          <w:lang w:eastAsia="zh-CN"/>
        </w:rPr>
        <w:t>变动</w:t>
      </w:r>
      <w:r>
        <w:rPr>
          <w:rFonts w:hint="eastAsia" w:ascii="仿宋_GB2312" w:hAnsi="仿宋_GB2312" w:eastAsia="仿宋_GB2312" w:cs="仿宋_GB2312"/>
          <w:color w:val="000000"/>
          <w:sz w:val="32"/>
          <w:szCs w:val="32"/>
        </w:rPr>
        <w:t>情况，或提供虚假材料的；</w:t>
      </w:r>
    </w:p>
    <w:p>
      <w:pPr>
        <w:keepNext w:val="0"/>
        <w:keepLines w:val="0"/>
        <w:pageBreakBefore w:val="0"/>
        <w:kinsoku/>
        <w:wordWrap/>
        <w:overflowPunct/>
        <w:topLinePunct w:val="0"/>
        <w:autoSpaceDE/>
        <w:bidi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lang w:val="en-US" w:eastAsia="zh-CN" w:bidi="ar-SA"/>
        </w:rPr>
        <w:t>八</w:t>
      </w:r>
      <w:r>
        <w:rPr>
          <w:rFonts w:hint="eastAsia" w:ascii="仿宋_GB2312" w:hAnsi="仿宋_GB2312" w:eastAsia="仿宋_GB2312" w:cs="仿宋_GB2312"/>
          <w:color w:val="000000"/>
          <w:sz w:val="32"/>
          <w:szCs w:val="32"/>
        </w:rPr>
        <w:t>）在监狱内服刑人员；</w:t>
      </w:r>
    </w:p>
    <w:p>
      <w:pPr>
        <w:pStyle w:val="2"/>
        <w:keepNext w:val="0"/>
        <w:keepLines w:val="0"/>
        <w:pageBreakBefore w:val="0"/>
        <w:kinsoku/>
        <w:wordWrap/>
        <w:overflowPunct/>
        <w:topLinePunct w:val="0"/>
        <w:autoSpaceDE/>
        <w:bidi w:val="0"/>
        <w:spacing w:after="0" w:line="560" w:lineRule="exact"/>
        <w:ind w:firstLine="64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（九）通过离婚、赠与等形式放弃或转让应得财产份额，或放弃应得赡养费、抚养费、扶养费等经济利益的；</w:t>
      </w:r>
    </w:p>
    <w:p>
      <w:pPr>
        <w:pStyle w:val="2"/>
        <w:keepNext w:val="0"/>
        <w:keepLines w:val="0"/>
        <w:pageBreakBefore w:val="0"/>
        <w:kinsoku/>
        <w:wordWrap/>
        <w:overflowPunct/>
        <w:topLinePunct w:val="0"/>
        <w:autoSpaceDE/>
        <w:bidi w:val="0"/>
        <w:spacing w:after="0" w:line="560" w:lineRule="exact"/>
        <w:ind w:firstLine="64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w:t>
      </w:r>
      <w:r>
        <w:rPr>
          <w:rFonts w:hint="eastAsia" w:ascii="仿宋_GB2312" w:hAnsi="仿宋_GB2312" w:eastAsia="仿宋_GB2312" w:cs="仿宋_GB2312"/>
          <w:i w:val="0"/>
          <w:caps w:val="0"/>
          <w:color w:val="auto"/>
          <w:spacing w:val="0"/>
          <w:sz w:val="32"/>
          <w:szCs w:val="32"/>
          <w:shd w:val="clear" w:color="auto" w:fill="FFFFFF"/>
          <w:vertAlign w:val="baseline"/>
        </w:rPr>
        <w:t>县（市、区）级人民政府民政部门</w:t>
      </w:r>
      <w:r>
        <w:rPr>
          <w:rFonts w:hint="eastAsia" w:ascii="仿宋_GB2312" w:hAnsi="仿宋_GB2312" w:eastAsia="仿宋_GB2312" w:cs="仿宋_GB2312"/>
          <w:color w:val="000000"/>
          <w:kern w:val="2"/>
          <w:sz w:val="32"/>
          <w:szCs w:val="32"/>
          <w:lang w:val="en-US" w:eastAsia="zh-CN" w:bidi="ar-SA"/>
        </w:rPr>
        <w:t>认定的其他情形。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color w:val="000000"/>
          <w:kern w:val="2"/>
          <w:sz w:val="32"/>
          <w:szCs w:val="32"/>
          <w:lang w:val="en-US" w:eastAsia="zh-CN" w:bidi="ar-SA"/>
        </w:rPr>
        <w:t>第九条</w:t>
      </w:r>
      <w:r>
        <w:rPr>
          <w:rFonts w:hint="eastAsia" w:ascii="仿宋_GB2312" w:hAnsi="仿宋_GB2312" w:eastAsia="仿宋_GB2312" w:cs="仿宋_GB2312"/>
          <w:color w:val="000000"/>
          <w:kern w:val="2"/>
          <w:sz w:val="32"/>
          <w:szCs w:val="32"/>
          <w:lang w:val="en-US" w:eastAsia="zh-CN" w:bidi="ar-SA"/>
        </w:rPr>
        <w:t xml:space="preserve">  同时符合特困人员救助供养条件和孤儿、事实无人抚养儿童认定条件的未成年人，选择申请纳入孤儿、事实无人抚养儿童基本生活保障范围的，不再认定为特困人员。纳入特困人员救助供养范围的，不再适用最低生活保障政策。纳入特困人员救助供养范围的残疾人，不再享受困难残疾人生活补贴和重度残疾人护理补贴。</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申请及受理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十</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color w:val="000000"/>
          <w:kern w:val="2"/>
          <w:sz w:val="32"/>
          <w:szCs w:val="32"/>
          <w:lang w:val="en-US" w:eastAsia="zh-CN" w:bidi="ar-SA"/>
        </w:rPr>
        <w:t xml:space="preserve">  特困人员救助供养办理程序按照本人申请，乡镇人民政府（街道办事处）受理、初审，县（市、区）级人民政府民政部门审核、确认的程序实施。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第十</w:t>
      </w:r>
      <w:r>
        <w:rPr>
          <w:rFonts w:hint="eastAsia" w:ascii="仿宋_GB2312" w:hAnsi="仿宋_GB2312" w:eastAsia="仿宋_GB2312" w:cs="仿宋_GB2312"/>
          <w:b/>
          <w:bCs/>
          <w:i w:val="0"/>
          <w:caps w:val="0"/>
          <w:color w:val="000000"/>
          <w:spacing w:val="0"/>
          <w:sz w:val="32"/>
          <w:szCs w:val="32"/>
          <w:shd w:val="clear" w:color="auto" w:fill="FFFFFF"/>
          <w:lang w:eastAsia="zh-CN"/>
        </w:rPr>
        <w:t>一</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申请特困人员救助供养，应当由本人向户籍所在地乡镇人民政府（街道办事处）提出书面申请。本人申请有困难的，可以委托村（居）民委员会或者他人代为提出申请。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持有非农业户口的居民，申请城市特困人员；持有农业户口的居民，申请农村特困人员。取消农业和非农业户口划分的地区，户籍所在地为城镇行政区域且实际居住满1年、无承包土地、不参加农村集体经济收益分配，或实施易地扶贫搬迁至城镇地区的特困人员，可给予城市特困人员救助供养待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申请材料主要包括：申请书，本人有效身份证明，劳动能力、生活来源、财产状况以及赡养、抚养、扶养情况的书面声明，承诺所提供信息真实、完整的承诺书，履行授权核查家庭经济状况的相关手续，残疾人还应当提供中华人民共和国残疾人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乡镇人民政府（街道办事处）、村（居）民委员会应当及时了解掌握辖区内居民的生活情况，发现可能符合特困人员救助供养条件的，应当告知其救助供养政策，对因无民事行为能力或者限制民事行为能力等原因无法自主申请的，应当主动帮助其申请。</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（四）乡镇人民政府（街道办事处）应当对申请人或者其代理人提交的材料进行审查，材料齐备的，予以受理；材料不齐备的，应当一次性告知申请人或其代理人补齐所有规定材料。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i w:val="0"/>
          <w:caps w:val="0"/>
          <w:color w:val="000000"/>
          <w:spacing w:val="0"/>
          <w:sz w:val="32"/>
          <w:szCs w:val="32"/>
          <w:shd w:val="clear" w:color="auto" w:fill="FFFFFF"/>
        </w:rPr>
        <w:t>第十</w:t>
      </w:r>
      <w:r>
        <w:rPr>
          <w:rFonts w:hint="eastAsia" w:ascii="仿宋_GB2312" w:hAnsi="仿宋_GB2312" w:eastAsia="仿宋_GB2312" w:cs="仿宋_GB2312"/>
          <w:b/>
          <w:bCs/>
          <w:i w:val="0"/>
          <w:caps w:val="0"/>
          <w:color w:val="000000"/>
          <w:spacing w:val="0"/>
          <w:sz w:val="32"/>
          <w:szCs w:val="32"/>
          <w:shd w:val="clear" w:color="auto" w:fill="FFFFFF"/>
          <w:lang w:eastAsia="zh-CN"/>
        </w:rPr>
        <w:t>二</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color w:val="000000"/>
          <w:kern w:val="2"/>
          <w:sz w:val="32"/>
          <w:szCs w:val="32"/>
          <w:lang w:val="en-US" w:eastAsia="zh-CN" w:bidi="ar-SA"/>
        </w:rPr>
        <w:t>特困人员救助供养经办人员、村（居）民委员会成员与申请人有近亲属关系的，应当按照有关规定如实报告并主动申请回避，乡镇人民政府（街道办事处）、</w:t>
      </w:r>
      <w:r>
        <w:rPr>
          <w:rFonts w:hint="eastAsia" w:ascii="仿宋_GB2312" w:hAnsi="仿宋_GB2312" w:eastAsia="仿宋_GB2312" w:cs="仿宋_GB2312"/>
          <w:i w:val="0"/>
          <w:caps w:val="0"/>
          <w:color w:val="auto"/>
          <w:spacing w:val="0"/>
          <w:sz w:val="32"/>
          <w:szCs w:val="32"/>
          <w:shd w:val="clear" w:color="auto" w:fill="FFFFFF"/>
          <w:vertAlign w:val="baseline"/>
        </w:rPr>
        <w:t>县（市、区）级人民政府民政部门</w:t>
      </w:r>
      <w:r>
        <w:rPr>
          <w:rFonts w:hint="eastAsia" w:ascii="仿宋_GB2312" w:hAnsi="仿宋_GB2312" w:eastAsia="仿宋_GB2312" w:cs="仿宋_GB2312"/>
          <w:color w:val="000000"/>
          <w:kern w:val="2"/>
          <w:sz w:val="32"/>
          <w:szCs w:val="32"/>
          <w:lang w:val="en-US" w:eastAsia="zh-CN" w:bidi="ar-SA"/>
        </w:rPr>
        <w:t>应当单独登记备案。</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审核确认</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auto"/>
          <w:spacing w:val="0"/>
          <w:sz w:val="32"/>
          <w:szCs w:val="32"/>
          <w:shd w:val="clear" w:color="auto" w:fill="FFFFFF"/>
          <w:vertAlign w:val="baseline"/>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第十</w:t>
      </w:r>
      <w:r>
        <w:rPr>
          <w:rFonts w:hint="eastAsia" w:ascii="仿宋_GB2312" w:hAnsi="仿宋_GB2312" w:eastAsia="仿宋_GB2312" w:cs="仿宋_GB2312"/>
          <w:b/>
          <w:bCs/>
          <w:i w:val="0"/>
          <w:caps w:val="0"/>
          <w:color w:val="000000"/>
          <w:spacing w:val="0"/>
          <w:sz w:val="32"/>
          <w:szCs w:val="32"/>
          <w:shd w:val="clear" w:color="auto" w:fill="FFFFFF"/>
          <w:lang w:eastAsia="zh-CN"/>
        </w:rPr>
        <w:t>三</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vertAlign w:val="baseline"/>
        </w:rPr>
        <w:t>乡镇人民政府（街道办事处）应当自受理申请之日起15个工作日内，通过入户调查、邻里访问、信函索证、信息核对等方式，对申请人的经济状况、实际生活状况以及赡养、抚养、扶养状况等进行调查核实，并组织开展民主评议，提出初审意见。</w:t>
      </w: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auto"/>
          <w:spacing w:val="0"/>
          <w:sz w:val="32"/>
          <w:szCs w:val="32"/>
          <w:shd w:val="clear" w:color="auto" w:fill="FFFFFF"/>
          <w:vertAlign w:val="baseline"/>
        </w:rPr>
        <w:t>调查核实、民主评议参照《</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乐山市</w:t>
      </w:r>
      <w:r>
        <w:rPr>
          <w:rFonts w:hint="eastAsia" w:ascii="仿宋_GB2312" w:hAnsi="仿宋_GB2312" w:eastAsia="仿宋_GB2312" w:cs="仿宋_GB2312"/>
          <w:i w:val="0"/>
          <w:caps w:val="0"/>
          <w:color w:val="auto"/>
          <w:spacing w:val="0"/>
          <w:sz w:val="32"/>
          <w:szCs w:val="32"/>
          <w:shd w:val="clear" w:color="auto" w:fill="FFFFFF"/>
          <w:vertAlign w:val="baseline"/>
        </w:rPr>
        <w:t>最低生活保障工作</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实施细则</w:t>
      </w:r>
      <w:r>
        <w:rPr>
          <w:rFonts w:hint="eastAsia" w:ascii="仿宋_GB2312" w:hAnsi="仿宋_GB2312" w:eastAsia="仿宋_GB2312" w:cs="仿宋_GB2312"/>
          <w:i w:val="0"/>
          <w:caps w:val="0"/>
          <w:color w:val="auto"/>
          <w:spacing w:val="0"/>
          <w:sz w:val="32"/>
          <w:szCs w:val="32"/>
          <w:shd w:val="clear" w:color="auto" w:fill="FFFFFF"/>
          <w:vertAlign w:val="baseline"/>
        </w:rPr>
        <w:t>》进行。</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i w:val="0"/>
          <w:caps w:val="0"/>
          <w:color w:val="auto"/>
          <w:spacing w:val="0"/>
          <w:sz w:val="32"/>
          <w:szCs w:val="32"/>
          <w:shd w:val="clear" w:color="auto" w:fill="FFFFFF"/>
          <w:vertAlign w:val="baseline"/>
        </w:rPr>
      </w:pPr>
      <w:r>
        <w:rPr>
          <w:rFonts w:hint="eastAsia" w:ascii="仿宋_GB2312" w:hAnsi="仿宋_GB2312" w:eastAsia="仿宋_GB2312" w:cs="仿宋_GB2312"/>
          <w:b/>
          <w:bCs/>
          <w:i w:val="0"/>
          <w:caps w:val="0"/>
          <w:color w:val="auto"/>
          <w:spacing w:val="0"/>
          <w:sz w:val="32"/>
          <w:szCs w:val="32"/>
          <w:shd w:val="clear" w:color="auto" w:fill="FFFFFF"/>
          <w:vertAlign w:val="baseline"/>
          <w:lang w:eastAsia="zh-CN"/>
        </w:rPr>
        <w:t>第十四条</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 xml:space="preserve">  </w:t>
      </w:r>
      <w:r>
        <w:rPr>
          <w:rFonts w:hint="eastAsia" w:ascii="仿宋_GB2312" w:hAnsi="仿宋_GB2312" w:eastAsia="仿宋_GB2312" w:cs="仿宋_GB2312"/>
          <w:i w:val="0"/>
          <w:caps w:val="0"/>
          <w:color w:val="auto"/>
          <w:spacing w:val="0"/>
          <w:sz w:val="32"/>
          <w:szCs w:val="32"/>
          <w:shd w:val="clear" w:color="auto" w:fill="FFFFFF"/>
          <w:vertAlign w:val="baseline"/>
        </w:rPr>
        <w:t>对民主评议争议较大的，乡镇人民政府（街道办事处）应当重新组织家庭经济状况调查或信息核对。</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bCs/>
          <w:i w:val="0"/>
          <w:caps w:val="0"/>
          <w:color w:val="000000"/>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对于</w:t>
      </w:r>
      <w:r>
        <w:rPr>
          <w:rFonts w:hint="eastAsia" w:ascii="仿宋_GB2312" w:hAnsi="仿宋_GB2312" w:eastAsia="仿宋_GB2312" w:cs="仿宋_GB2312"/>
          <w:i w:val="0"/>
          <w:caps w:val="0"/>
          <w:color w:val="auto"/>
          <w:spacing w:val="0"/>
          <w:sz w:val="32"/>
          <w:szCs w:val="32"/>
          <w:shd w:val="clear" w:color="auto" w:fill="FFFFFF"/>
          <w:vertAlign w:val="baseline"/>
        </w:rPr>
        <w:t>收入、财产等状况符合特困人员救助供养条件，但民主评议未获通过的，乡镇人民政府（街道办事处）应当重新组织调查核实，在15个工作日内提出审核意见，并重新公示。必要时，乡镇人民政府（街道办事处）可以会同县（市、区）级人民政府民政部门直接入户调查，并根据相关规定作出认定。</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第十</w:t>
      </w:r>
      <w:r>
        <w:rPr>
          <w:rFonts w:hint="eastAsia" w:ascii="仿宋_GB2312" w:hAnsi="仿宋_GB2312" w:eastAsia="仿宋_GB2312" w:cs="仿宋_GB2312"/>
          <w:b/>
          <w:bCs/>
          <w:i w:val="0"/>
          <w:caps w:val="0"/>
          <w:color w:val="000000"/>
          <w:spacing w:val="0"/>
          <w:sz w:val="32"/>
          <w:szCs w:val="32"/>
          <w:shd w:val="clear" w:color="auto" w:fill="FFFFFF"/>
          <w:lang w:eastAsia="zh-CN"/>
        </w:rPr>
        <w:t>五</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乡镇人民政府（街道办事处）应当将初审意见及时在申请人所在村（社区）公示。公示期为7天。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公示期满无异议的，乡镇人民政府（街道办事处）应当在3个工作日内将初审意见连同申请、调查核实等相关材料报送</w:t>
      </w:r>
      <w:r>
        <w:rPr>
          <w:rFonts w:hint="eastAsia" w:ascii="仿宋_GB2312" w:hAnsi="仿宋_GB2312" w:eastAsia="仿宋_GB2312" w:cs="仿宋_GB2312"/>
          <w:color w:val="000000"/>
          <w:sz w:val="32"/>
          <w:szCs w:val="32"/>
          <w:u w:val="none"/>
        </w:rPr>
        <w:t>县（市</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区）</w:t>
      </w:r>
      <w:r>
        <w:rPr>
          <w:rFonts w:hint="eastAsia" w:ascii="仿宋_GB2312" w:hAnsi="仿宋_GB2312" w:eastAsia="仿宋_GB2312" w:cs="仿宋_GB2312"/>
          <w:color w:val="000000"/>
          <w:sz w:val="32"/>
          <w:szCs w:val="32"/>
          <w:u w:val="none"/>
          <w:lang w:eastAsia="zh-CN"/>
        </w:rPr>
        <w:t>级</w:t>
      </w:r>
      <w:r>
        <w:rPr>
          <w:rFonts w:hint="eastAsia" w:ascii="仿宋_GB2312" w:hAnsi="仿宋_GB2312" w:eastAsia="仿宋_GB2312" w:cs="仿宋_GB2312"/>
          <w:color w:val="000000"/>
          <w:sz w:val="32"/>
          <w:szCs w:val="32"/>
          <w:u w:val="none"/>
        </w:rPr>
        <w:t>人民政府</w:t>
      </w:r>
      <w:r>
        <w:rPr>
          <w:rFonts w:hint="eastAsia" w:ascii="仿宋_GB2312" w:hAnsi="仿宋_GB2312" w:eastAsia="仿宋_GB2312" w:cs="仿宋_GB2312"/>
          <w:i w:val="0"/>
          <w:caps w:val="0"/>
          <w:color w:val="000000"/>
          <w:spacing w:val="0"/>
          <w:sz w:val="32"/>
          <w:szCs w:val="32"/>
          <w:shd w:val="clear" w:color="auto" w:fill="FFFFFF"/>
        </w:rPr>
        <w:t>民政部门。对公示有异议的，乡镇人民政府（街道办事处）应当重新组织调查核实，在15个工作日内提出初审意见，并重新公示。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第十</w:t>
      </w:r>
      <w:r>
        <w:rPr>
          <w:rFonts w:hint="eastAsia" w:ascii="仿宋_GB2312" w:hAnsi="仿宋_GB2312" w:eastAsia="仿宋_GB2312" w:cs="仿宋_GB2312"/>
          <w:b/>
          <w:bCs/>
          <w:i w:val="0"/>
          <w:caps w:val="0"/>
          <w:color w:val="000000"/>
          <w:spacing w:val="0"/>
          <w:sz w:val="32"/>
          <w:szCs w:val="32"/>
          <w:shd w:val="clear" w:color="auto" w:fill="FFFFFF"/>
          <w:lang w:eastAsia="zh-CN"/>
        </w:rPr>
        <w:t>六</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lang w:eastAsia="zh-CN"/>
        </w:rPr>
        <w:t>县（市、区）级</w:t>
      </w:r>
      <w:r>
        <w:rPr>
          <w:rFonts w:hint="eastAsia" w:ascii="仿宋_GB2312" w:hAnsi="仿宋_GB2312" w:eastAsia="仿宋_GB2312" w:cs="仿宋_GB2312"/>
          <w:i w:val="0"/>
          <w:caps w:val="0"/>
          <w:color w:val="000000"/>
          <w:spacing w:val="0"/>
          <w:sz w:val="32"/>
          <w:szCs w:val="32"/>
          <w:shd w:val="clear" w:color="auto" w:fill="FFFFFF"/>
        </w:rPr>
        <w:t>人民政府民政部门应当全面审核乡镇人民政府（街道办事处）上报的申请材料、调查材料和初审意见，按照不低于30％的比例随机抽查核实，并在15个工作日内提出确认意见。</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auto"/>
          <w:spacing w:val="0"/>
          <w:sz w:val="32"/>
          <w:szCs w:val="32"/>
          <w:shd w:val="clear" w:color="auto" w:fill="FFFFFF"/>
          <w:vertAlign w:val="baseline"/>
        </w:rPr>
        <w:t>（一）对符合救助供养条件的申请，县（市、区）级人民政府民政部门应当及时予以确认，经分管负责同志和经办人员签字加盖单位公章后“一人一档案”建立救助供养档案，从确认之日下月起给予救助供养待遇，并通过乡镇人民政府（街道办事处）在申请人所在村（社区）公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auto"/>
          <w:spacing w:val="0"/>
          <w:sz w:val="32"/>
          <w:szCs w:val="32"/>
          <w:shd w:val="clear" w:color="auto" w:fill="FFFFFF"/>
          <w:vertAlign w:val="baseline"/>
        </w:rPr>
        <w:t>（二）不符合条件、不予同意的，县（市、区）级人民政府民政部门应当在作出决定3个工作日内，通过乡镇人民政府（街道办事处）书面告知申请人或者其代理人并说明理由。</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highlight w:val="none"/>
          <w:shd w:val="clear" w:color="auto" w:fill="FFFFFF"/>
        </w:rPr>
      </w:pPr>
      <w:r>
        <w:rPr>
          <w:rFonts w:hint="eastAsia" w:ascii="仿宋_GB2312" w:hAnsi="仿宋_GB2312" w:eastAsia="仿宋_GB2312" w:cs="仿宋_GB2312"/>
          <w:b/>
          <w:bCs/>
          <w:i w:val="0"/>
          <w:caps w:val="0"/>
          <w:color w:val="000000"/>
          <w:spacing w:val="0"/>
          <w:sz w:val="32"/>
          <w:szCs w:val="32"/>
          <w:highlight w:val="none"/>
          <w:shd w:val="clear" w:color="auto" w:fill="FFFFFF"/>
        </w:rPr>
        <w:t>第</w:t>
      </w:r>
      <w:r>
        <w:rPr>
          <w:rFonts w:hint="eastAsia" w:ascii="仿宋_GB2312" w:hAnsi="仿宋_GB2312" w:eastAsia="仿宋_GB2312" w:cs="仿宋_GB2312"/>
          <w:b/>
          <w:bCs/>
          <w:i w:val="0"/>
          <w:caps w:val="0"/>
          <w:color w:val="000000"/>
          <w:spacing w:val="0"/>
          <w:sz w:val="32"/>
          <w:szCs w:val="32"/>
          <w:highlight w:val="none"/>
          <w:shd w:val="clear" w:color="auto" w:fill="FFFFFF"/>
          <w:lang w:eastAsia="zh-CN"/>
        </w:rPr>
        <w:t>十七</w:t>
      </w:r>
      <w:r>
        <w:rPr>
          <w:rFonts w:hint="eastAsia" w:ascii="仿宋_GB2312" w:hAnsi="仿宋_GB2312" w:eastAsia="仿宋_GB2312" w:cs="仿宋_GB2312"/>
          <w:b/>
          <w:bCs/>
          <w:i w:val="0"/>
          <w:caps w:val="0"/>
          <w:color w:val="000000"/>
          <w:spacing w:val="0"/>
          <w:sz w:val="32"/>
          <w:szCs w:val="32"/>
          <w:highlight w:val="none"/>
          <w:shd w:val="clear" w:color="auto" w:fill="FFFFFF"/>
        </w:rPr>
        <w:t>条</w:t>
      </w: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highlight w:val="none"/>
          <w:shd w:val="clear" w:color="auto" w:fill="FFFFFF"/>
        </w:rPr>
        <w:t>审核确认期间，申请人生活确实存在困难符合临时救助条件的，可以先行实施临时救助，发放临时救助金，保障申请人基本生活。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bCs/>
          <w:i w:val="0"/>
          <w:caps w:val="0"/>
          <w:color w:val="000000"/>
          <w:spacing w:val="0"/>
          <w:sz w:val="32"/>
          <w:szCs w:val="32"/>
          <w:highlight w:val="none"/>
          <w:shd w:val="clear" w:color="auto" w:fill="FFFFFF"/>
        </w:rPr>
        <w:t>第</w:t>
      </w:r>
      <w:r>
        <w:rPr>
          <w:rFonts w:hint="eastAsia" w:ascii="仿宋_GB2312" w:hAnsi="仿宋_GB2312" w:eastAsia="仿宋_GB2312" w:cs="仿宋_GB2312"/>
          <w:b/>
          <w:bCs/>
          <w:i w:val="0"/>
          <w:caps w:val="0"/>
          <w:color w:val="000000"/>
          <w:spacing w:val="0"/>
          <w:sz w:val="32"/>
          <w:szCs w:val="32"/>
          <w:highlight w:val="none"/>
          <w:shd w:val="clear" w:color="auto" w:fill="FFFFFF"/>
          <w:lang w:eastAsia="zh-CN"/>
        </w:rPr>
        <w:t>十八</w:t>
      </w:r>
      <w:r>
        <w:rPr>
          <w:rFonts w:hint="eastAsia" w:ascii="仿宋_GB2312" w:hAnsi="仿宋_GB2312" w:eastAsia="仿宋_GB2312" w:cs="仿宋_GB2312"/>
          <w:b/>
          <w:bCs/>
          <w:i w:val="0"/>
          <w:caps w:val="0"/>
          <w:color w:val="000000"/>
          <w:spacing w:val="0"/>
          <w:sz w:val="32"/>
          <w:szCs w:val="32"/>
          <w:highlight w:val="none"/>
          <w:shd w:val="clear" w:color="auto" w:fill="FFFFFF"/>
        </w:rPr>
        <w:t>条</w:t>
      </w:r>
      <w:r>
        <w:rPr>
          <w:rFonts w:hint="eastAsia" w:ascii="仿宋_GB2312" w:hAnsi="仿宋_GB2312" w:eastAsia="仿宋_GB2312" w:cs="仿宋_GB2312"/>
          <w:b/>
          <w:bCs/>
          <w:i w:val="0"/>
          <w:caps w:val="0"/>
          <w:color w:val="000000"/>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highlight w:val="none"/>
          <w:shd w:val="clear" w:color="auto" w:fill="FFFFFF"/>
        </w:rPr>
        <w:t>对于公安机关已办理户口登记手续、符合特困人员救助供养条件的流浪乞讨人员，可纳入特困人员救助供养范围，落实救助政策。纳入特困人员救助供养的滞留人员身份查询确认并返乡后，结束特困救助，享受其原户籍地救</w:t>
      </w:r>
      <w:r>
        <w:rPr>
          <w:rFonts w:hint="eastAsia" w:ascii="仿宋_GB2312" w:hAnsi="仿宋_GB2312" w:eastAsia="仿宋_GB2312" w:cs="仿宋_GB2312"/>
          <w:color w:val="000000"/>
          <w:kern w:val="2"/>
          <w:sz w:val="32"/>
          <w:szCs w:val="32"/>
          <w:lang w:val="en-US" w:eastAsia="zh-CN" w:bidi="ar-SA"/>
        </w:rPr>
        <w:t>助保障政策。</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生活自理能力评估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i w:val="0"/>
          <w:caps w:val="0"/>
          <w:color w:val="auto"/>
          <w:spacing w:val="0"/>
          <w:sz w:val="32"/>
          <w:szCs w:val="32"/>
          <w:shd w:val="clear" w:color="auto" w:fill="FFFFFF"/>
          <w:vertAlign w:val="baseline"/>
        </w:rPr>
      </w:pPr>
      <w:r>
        <w:rPr>
          <w:rFonts w:hint="eastAsia" w:ascii="仿宋_GB2312" w:hAnsi="仿宋_GB2312" w:eastAsia="仿宋_GB2312" w:cs="仿宋_GB2312"/>
          <w:b/>
          <w:bCs/>
          <w:color w:val="000000"/>
          <w:kern w:val="2"/>
          <w:sz w:val="32"/>
          <w:szCs w:val="32"/>
          <w:lang w:val="en-US" w:eastAsia="zh-CN" w:bidi="ar-SA"/>
        </w:rPr>
        <w:t xml:space="preserve">第十九条 </w:t>
      </w:r>
      <w:r>
        <w:rPr>
          <w:rFonts w:hint="eastAsia" w:ascii="仿宋_GB2312" w:hAnsi="仿宋_GB2312" w:eastAsia="仿宋_GB2312" w:cs="仿宋_GB2312"/>
          <w:color w:val="000000"/>
          <w:kern w:val="2"/>
          <w:sz w:val="32"/>
          <w:szCs w:val="32"/>
          <w:lang w:val="en-US" w:eastAsia="zh-CN" w:bidi="ar-SA"/>
        </w:rPr>
        <w:t xml:space="preserve"> 县（市、区）级人民政府民政部门应当在乡镇人民政府（街道办事处）、村（居）民委员</w:t>
      </w:r>
      <w:r>
        <w:rPr>
          <w:rFonts w:hint="eastAsia" w:ascii="仿宋_GB2312" w:hAnsi="仿宋_GB2312" w:eastAsia="仿宋_GB2312" w:cs="仿宋_GB2312"/>
          <w:i w:val="0"/>
          <w:caps w:val="0"/>
          <w:color w:val="auto"/>
          <w:spacing w:val="0"/>
          <w:sz w:val="32"/>
          <w:szCs w:val="32"/>
          <w:shd w:val="clear" w:color="auto" w:fill="FFFFFF"/>
          <w:vertAlign w:val="baseline"/>
        </w:rPr>
        <w:t>会协助下，对特困人员生活自理能力进行评估，并根据评估结果确定特困人员应当享受的照料护理标准档次。</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2"/>
          <w:sz w:val="32"/>
          <w:szCs w:val="32"/>
          <w:shd w:val="clear" w:color="auto" w:fill="FFFFFF"/>
          <w:vertAlign w:val="baseline"/>
          <w:lang w:val="en-US" w:eastAsia="zh-CN" w:bidi="ar-SA"/>
        </w:rPr>
      </w:pPr>
      <w:r>
        <w:rPr>
          <w:rFonts w:hint="eastAsia" w:ascii="仿宋_GB2312" w:hAnsi="仿宋_GB2312" w:eastAsia="仿宋_GB2312" w:cs="仿宋_GB2312"/>
          <w:i w:val="0"/>
          <w:caps w:val="0"/>
          <w:color w:val="auto"/>
          <w:spacing w:val="0"/>
          <w:sz w:val="32"/>
          <w:szCs w:val="32"/>
          <w:shd w:val="clear" w:color="auto" w:fill="FFFFFF"/>
          <w:vertAlign w:val="baseline"/>
        </w:rPr>
        <w:t>有条件的地方，可</w:t>
      </w:r>
      <w:r>
        <w:rPr>
          <w:rFonts w:hint="eastAsia" w:ascii="仿宋_GB2312" w:hAnsi="仿宋_GB2312" w:eastAsia="仿宋_GB2312" w:cs="仿宋_GB2312"/>
          <w:i w:val="0"/>
          <w:caps w:val="0"/>
          <w:color w:val="auto"/>
          <w:spacing w:val="0"/>
          <w:kern w:val="2"/>
          <w:sz w:val="32"/>
          <w:szCs w:val="32"/>
          <w:shd w:val="clear" w:color="auto" w:fill="FFFFFF"/>
          <w:vertAlign w:val="baseline"/>
          <w:lang w:val="en-US" w:eastAsia="zh-CN" w:bidi="ar-SA"/>
        </w:rPr>
        <w:t>委托第三方机构开展特困人员生活自理能力评估。</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特困人员生活自理能力一般依据自主吃饭、自主穿衣、自主上下床、自主如厕、室内自主行走、自主洗澡6项指标综合评估。</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第二十</w:t>
      </w:r>
      <w:r>
        <w:rPr>
          <w:rFonts w:hint="eastAsia" w:ascii="仿宋_GB2312" w:hAnsi="仿宋_GB2312" w:eastAsia="仿宋_GB2312" w:cs="仿宋_GB2312"/>
          <w:b/>
          <w:bCs/>
          <w:i w:val="0"/>
          <w:caps w:val="0"/>
          <w:color w:val="000000"/>
          <w:spacing w:val="0"/>
          <w:sz w:val="32"/>
          <w:szCs w:val="32"/>
          <w:shd w:val="clear" w:color="auto" w:fill="FFFFFF"/>
          <w:lang w:eastAsia="zh-CN"/>
        </w:rPr>
        <w:t>一</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根据本细则第二十条规定内容，特困人员生活自理状况6项指标全部达到的，可以视为具备生活自理能力；有3项以下（含3项）指标不能达到的，可以视为部分丧失生活自理能力；有4项以上（含4项）指标不能达到的，可以视为完全丧失生活自理能力。</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第二十</w:t>
      </w:r>
      <w:r>
        <w:rPr>
          <w:rFonts w:hint="eastAsia" w:ascii="仿宋_GB2312" w:hAnsi="仿宋_GB2312" w:eastAsia="仿宋_GB2312" w:cs="仿宋_GB2312"/>
          <w:b/>
          <w:bCs/>
          <w:i w:val="0"/>
          <w:caps w:val="0"/>
          <w:color w:val="000000"/>
          <w:spacing w:val="0"/>
          <w:sz w:val="32"/>
          <w:szCs w:val="32"/>
          <w:shd w:val="clear" w:color="auto" w:fill="FFFFFF"/>
          <w:lang w:eastAsia="zh-CN"/>
        </w:rPr>
        <w:t>二</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生活自理能力发生变化的，本人、照料服务人、村（居）委员会或者供养服务机构应当通过乡镇人民政府（街道办事处）及时报告县（市、区）级人民政府民政部门。县（市、区）级人民政府民政部门应当自接到报告之日起10个工作日内组织复核评估，并根据评估结果调整特困人员生活自理能力认定类别。</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第二十</w:t>
      </w:r>
      <w:r>
        <w:rPr>
          <w:rFonts w:hint="eastAsia" w:ascii="仿宋_GB2312" w:hAnsi="仿宋_GB2312" w:eastAsia="仿宋_GB2312" w:cs="仿宋_GB2312"/>
          <w:b/>
          <w:bCs/>
          <w:i w:val="0"/>
          <w:caps w:val="0"/>
          <w:color w:val="000000"/>
          <w:spacing w:val="0"/>
          <w:sz w:val="32"/>
          <w:szCs w:val="32"/>
          <w:shd w:val="clear" w:color="auto" w:fill="FFFFFF"/>
          <w:lang w:eastAsia="zh-CN"/>
        </w:rPr>
        <w:t>三</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特困人员实行定期核查，动态管理。</w:t>
      </w:r>
      <w:r>
        <w:rPr>
          <w:rFonts w:hint="eastAsia" w:ascii="仿宋_GB2312" w:hAnsi="仿宋_GB2312" w:eastAsia="仿宋_GB2312" w:cs="仿宋_GB2312"/>
          <w:i w:val="0"/>
          <w:caps w:val="0"/>
          <w:color w:val="auto"/>
          <w:spacing w:val="0"/>
          <w:sz w:val="32"/>
          <w:szCs w:val="32"/>
          <w:shd w:val="clear" w:color="auto" w:fill="FFFFFF"/>
          <w:vertAlign w:val="baseline"/>
        </w:rPr>
        <w:t>县（市、区）级人民政府民政部门</w:t>
      </w:r>
      <w:r>
        <w:rPr>
          <w:rFonts w:hint="eastAsia" w:ascii="仿宋_GB2312" w:hAnsi="仿宋_GB2312" w:eastAsia="仿宋_GB2312" w:cs="仿宋_GB2312"/>
          <w:i w:val="0"/>
          <w:caps w:val="0"/>
          <w:color w:val="000000"/>
          <w:spacing w:val="0"/>
          <w:sz w:val="32"/>
          <w:szCs w:val="32"/>
          <w:shd w:val="clear" w:color="auto" w:fill="FFFFFF"/>
        </w:rPr>
        <w:t>应当每年开展一次核查，包括生存认证、经济状况和生活自理能力等情况，发现特困人员具备终止救助供养条件的，应当及时终止救助供养；发现特困人员生活自理能力发生变化的，应当根据本细则第二十、二十</w:t>
      </w:r>
      <w:r>
        <w:rPr>
          <w:rFonts w:hint="eastAsia" w:ascii="仿宋_GB2312" w:hAnsi="仿宋_GB2312" w:eastAsia="仿宋_GB2312" w:cs="仿宋_GB2312"/>
          <w:i w:val="0"/>
          <w:caps w:val="0"/>
          <w:color w:val="000000"/>
          <w:spacing w:val="0"/>
          <w:sz w:val="32"/>
          <w:szCs w:val="32"/>
          <w:shd w:val="clear" w:color="auto" w:fill="FFFFFF"/>
          <w:lang w:eastAsia="zh-CN"/>
        </w:rPr>
        <w:t>一</w:t>
      </w:r>
      <w:r>
        <w:rPr>
          <w:rFonts w:hint="eastAsia" w:ascii="仿宋_GB2312" w:hAnsi="仿宋_GB2312" w:eastAsia="仿宋_GB2312" w:cs="仿宋_GB2312"/>
          <w:i w:val="0"/>
          <w:caps w:val="0"/>
          <w:color w:val="000000"/>
          <w:spacing w:val="0"/>
          <w:sz w:val="32"/>
          <w:szCs w:val="32"/>
          <w:shd w:val="clear" w:color="auto" w:fill="FFFFFF"/>
        </w:rPr>
        <w:t>条规定重新进行评估。</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救助供养内容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highlight w:val="yellow"/>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二十四</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提供基本生活条件。包括供给粮油、副食品</w:t>
      </w:r>
      <w:r>
        <w:rPr>
          <w:rFonts w:hint="eastAsia" w:ascii="仿宋_GB2312" w:hAnsi="仿宋_GB2312" w:eastAsia="仿宋_GB2312" w:cs="仿宋_GB2312"/>
          <w:i w:val="0"/>
          <w:caps w:val="0"/>
          <w:color w:val="auto"/>
          <w:spacing w:val="0"/>
          <w:sz w:val="32"/>
          <w:szCs w:val="32"/>
          <w:shd w:val="clear" w:color="auto" w:fill="FFFFFF"/>
        </w:rPr>
        <w:t>、生活用燃料、</w:t>
      </w:r>
      <w:r>
        <w:rPr>
          <w:rFonts w:hint="eastAsia" w:ascii="仿宋_GB2312" w:hAnsi="仿宋_GB2312" w:eastAsia="仿宋_GB2312" w:cs="仿宋_GB2312"/>
          <w:i w:val="0"/>
          <w:caps w:val="0"/>
          <w:color w:val="000000"/>
          <w:spacing w:val="0"/>
          <w:sz w:val="32"/>
          <w:szCs w:val="32"/>
          <w:shd w:val="clear" w:color="auto" w:fill="FFFFFF"/>
        </w:rPr>
        <w:t>服装、被褥等日常生活用品和零用钱，可以通过实物或者现金的方式予以保障。</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二十五</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对生活不能自理的给予照料。包括日常生活、住院期间的必要照料等基本服务</w:t>
      </w:r>
      <w:r>
        <w:rPr>
          <w:rFonts w:hint="eastAsia" w:ascii="仿宋_GB2312" w:hAnsi="仿宋_GB2312" w:eastAsia="仿宋_GB2312" w:cs="仿宋_GB2312"/>
          <w:i w:val="0"/>
          <w:caps w:val="0"/>
          <w:color w:val="000000"/>
          <w:spacing w:val="0"/>
          <w:sz w:val="32"/>
          <w:szCs w:val="32"/>
          <w:shd w:val="clear" w:color="auto"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二十六</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提供疾病治疗。全额资助参加城乡居民基本医疗保险的个人缴费部分。</w:t>
      </w:r>
      <w:r>
        <w:rPr>
          <w:rFonts w:hint="eastAsia" w:ascii="仿宋_GB2312" w:hAnsi="仿宋_GB2312" w:eastAsia="仿宋_GB2312" w:cs="仿宋_GB2312"/>
          <w:i w:val="0"/>
          <w:caps w:val="0"/>
          <w:color w:val="000000"/>
          <w:spacing w:val="0"/>
          <w:sz w:val="32"/>
          <w:szCs w:val="32"/>
          <w:shd w:val="clear" w:color="auto" w:fill="FFFFFF"/>
          <w:lang w:eastAsia="zh-CN"/>
        </w:rPr>
        <w:t>医疗费用</w:t>
      </w:r>
      <w:r>
        <w:rPr>
          <w:rFonts w:hint="eastAsia" w:ascii="仿宋_GB2312" w:hAnsi="仿宋_GB2312" w:eastAsia="仿宋_GB2312" w:cs="仿宋_GB2312"/>
          <w:i w:val="0"/>
          <w:caps w:val="0"/>
          <w:color w:val="000000"/>
          <w:spacing w:val="0"/>
          <w:sz w:val="32"/>
          <w:szCs w:val="32"/>
          <w:shd w:val="clear" w:color="auto" w:fill="FFFFFF"/>
        </w:rPr>
        <w:t>经基本医疗保险、大病保险</w:t>
      </w:r>
      <w:r>
        <w:rPr>
          <w:rFonts w:hint="eastAsia" w:ascii="仿宋_GB2312" w:hAnsi="仿宋_GB2312" w:eastAsia="仿宋_GB2312" w:cs="仿宋_GB2312"/>
          <w:i w:val="0"/>
          <w:caps w:val="0"/>
          <w:color w:val="000000"/>
          <w:spacing w:val="0"/>
          <w:sz w:val="32"/>
          <w:szCs w:val="32"/>
          <w:shd w:val="clear" w:color="auto" w:fill="FFFFFF"/>
          <w:lang w:eastAsia="zh-CN"/>
        </w:rPr>
        <w:t>和医疗救助</w:t>
      </w:r>
      <w:r>
        <w:rPr>
          <w:rFonts w:hint="eastAsia" w:ascii="仿宋_GB2312" w:hAnsi="仿宋_GB2312" w:eastAsia="仿宋_GB2312" w:cs="仿宋_GB2312"/>
          <w:i w:val="0"/>
          <w:caps w:val="0"/>
          <w:color w:val="000000"/>
          <w:spacing w:val="0"/>
          <w:sz w:val="32"/>
          <w:szCs w:val="32"/>
          <w:shd w:val="clear" w:color="auto" w:fill="FFFFFF"/>
        </w:rPr>
        <w:t>等</w:t>
      </w:r>
      <w:r>
        <w:rPr>
          <w:rFonts w:hint="eastAsia" w:ascii="仿宋_GB2312" w:hAnsi="仿宋_GB2312" w:eastAsia="仿宋_GB2312" w:cs="仿宋_GB2312"/>
          <w:i w:val="0"/>
          <w:caps w:val="0"/>
          <w:color w:val="000000"/>
          <w:spacing w:val="0"/>
          <w:sz w:val="32"/>
          <w:szCs w:val="32"/>
          <w:shd w:val="clear" w:color="auto" w:fill="FFFFFF"/>
          <w:lang w:eastAsia="zh-CN"/>
        </w:rPr>
        <w:t>医疗保障制度规定支付后仍有不足的，由困难群众救助补助资金予以支持</w:t>
      </w:r>
      <w:r>
        <w:rPr>
          <w:rFonts w:hint="eastAsia" w:ascii="仿宋_GB2312" w:hAnsi="仿宋_GB2312" w:eastAsia="仿宋_GB2312" w:cs="仿宋_GB2312"/>
          <w:i w:val="0"/>
          <w:caps w:val="0"/>
          <w:color w:val="000000"/>
          <w:spacing w:val="0"/>
          <w:sz w:val="32"/>
          <w:szCs w:val="32"/>
          <w:shd w:val="clear" w:color="auto" w:fill="FFFFFF"/>
        </w:rPr>
        <w:t>。</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二十七</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办理丧葬事宜。</w:t>
      </w:r>
      <w:r>
        <w:rPr>
          <w:rFonts w:hint="eastAsia" w:ascii="仿宋_GB2312" w:hAnsi="仿宋_GB2312" w:eastAsia="仿宋_GB2312" w:cs="仿宋_GB2312"/>
          <w:i w:val="0"/>
          <w:caps w:val="0"/>
          <w:color w:val="000000"/>
          <w:spacing w:val="0"/>
          <w:kern w:val="2"/>
          <w:sz w:val="32"/>
          <w:szCs w:val="32"/>
          <w:shd w:val="clear" w:color="auto" w:fill="FFFFFF"/>
          <w:lang w:val="en-US" w:eastAsia="zh-CN" w:bidi="ar-SA"/>
        </w:rPr>
        <w:t>特困人员死亡后的丧葬事宜，集中供养的由供养服务机构负责办理，分散供养的按照照料服务协议，由乡镇人民政府（街道办事处）委托村（居）民委员会或者其亲属负责办理。除按省有关政策减免遗体接运、暂存、火化、骨灰寄存等基本殡葬服务费外，其余必要丧葬费用按照总额不超过死者生前一年的基本生活供养标准，据实从困难群众救助补助资金中支出。</w:t>
      </w:r>
    </w:p>
    <w:p>
      <w:pPr>
        <w:keepNext w:val="0"/>
        <w:keepLines w:val="0"/>
        <w:pageBreakBefore w:val="0"/>
        <w:widowControl/>
        <w:suppressLineNumbers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二十八</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提供住房救助。对符合规定标准的住房困难的分散供养特困人员，通过配租公共租赁住房、发放住房租赁补贴、农村危房改造等方式给予住房困难救助。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二十九</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提供教育资助。对在义务教育、高中教育(含中等职业教育)阶段就学的特困人员纳入重点保障范围。</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救助供养标准</w:t>
      </w:r>
    </w:p>
    <w:p>
      <w:pPr>
        <w:keepNext w:val="0"/>
        <w:keepLines w:val="0"/>
        <w:pageBreakBefore w:val="0"/>
        <w:widowControl/>
        <w:suppressLineNumbers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rPr>
        <w:t>特困人员救助供养标准包括统一的基本生活标准和差异化的照料护理标准。</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highlight w:val="none"/>
          <w:lang w:val="en-US" w:eastAsia="zh-CN"/>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三十一</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基本生活标准应当满足基本生活所需，依据全市城乡低保标准低限制定并适时调整，特困人员基本生活标准低限不低于当地城乡低保标准低限的1.3倍。城乡特困人员救助供养标准差距较大的地区，应适当提高农村特困人员供养标准，逐步实现城乡统筹。</w:t>
      </w:r>
    </w:p>
    <w:p>
      <w:pPr>
        <w:keepNext w:val="0"/>
        <w:keepLines w:val="0"/>
        <w:pageBreakBefore w:val="0"/>
        <w:widowControl/>
        <w:suppressLineNumbers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strike/>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三十二</w:t>
      </w:r>
      <w:r>
        <w:rPr>
          <w:rFonts w:hint="eastAsia" w:ascii="仿宋_GB2312" w:hAnsi="仿宋_GB2312" w:eastAsia="仿宋_GB2312" w:cs="仿宋_GB2312"/>
          <w:b/>
          <w:bCs/>
          <w:color w:val="auto"/>
          <w:sz w:val="32"/>
          <w:szCs w:val="32"/>
          <w:highlight w:val="none"/>
          <w:lang w:val="en-US" w:eastAsia="zh-CN"/>
        </w:rPr>
        <w:t>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照料护理标准应当根据特困人员生活自理能力和服务需求、地区及城乡差异、日常生活照料、养老机构护理费用或最低工资标准、区域内财力状况等因素分为完全自理、部分自理、完全不能自理三档制定。</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rPr>
      </w:pPr>
      <w:r>
        <w:rPr>
          <w:rFonts w:hint="eastAsia" w:ascii="仿宋_GB2312" w:hAnsi="仿宋_GB2312" w:eastAsia="仿宋_GB2312" w:cs="仿宋_GB2312"/>
          <w:i w:val="0"/>
          <w:caps w:val="0"/>
          <w:color w:val="auto"/>
          <w:spacing w:val="0"/>
          <w:kern w:val="0"/>
          <w:sz w:val="32"/>
          <w:szCs w:val="32"/>
          <w:vertAlign w:val="baseline"/>
          <w:lang w:val="en-US" w:eastAsia="zh-CN"/>
        </w:rPr>
        <w:t>市人民政府应根据区域经济社会发展情况，研究制定本行政区域内特困人员照料护理标准，并适时调整。</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2" w:firstLineChars="200"/>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auto"/>
          <w:lang w:eastAsia="zh-CN"/>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三十三</w:t>
      </w:r>
      <w:r>
        <w:rPr>
          <w:rFonts w:hint="eastAsia" w:ascii="仿宋_GB2312" w:hAnsi="仿宋_GB2312" w:eastAsia="仿宋_GB2312" w:cs="仿宋_GB2312"/>
          <w:b/>
          <w:bCs/>
          <w:i w:val="0"/>
          <w:caps w:val="0"/>
          <w:color w:val="auto"/>
          <w:spacing w:val="0"/>
          <w:sz w:val="32"/>
          <w:szCs w:val="32"/>
          <w:highlight w:val="none"/>
          <w:shd w:val="clear" w:color="auto" w:fill="auto"/>
          <w:lang w:eastAsia="zh-CN"/>
        </w:rPr>
        <w:t>条</w:t>
      </w:r>
      <w:r>
        <w:rPr>
          <w:rFonts w:hint="eastAsia" w:ascii="仿宋_GB2312" w:hAnsi="仿宋_GB2312" w:eastAsia="仿宋_GB2312" w:cs="仿宋_GB2312"/>
          <w:i w:val="0"/>
          <w:caps w:val="0"/>
          <w:color w:val="auto"/>
          <w:spacing w:val="0"/>
          <w:sz w:val="32"/>
          <w:szCs w:val="32"/>
          <w:highlight w:val="none"/>
          <w:shd w:val="clear" w:color="auto" w:fill="auto"/>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医疗、住房等救助标准按照社会救助相关政策执行。教育资助标准按照特困供养学生就读各学段资助政策执行。</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救助供养形式</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三十四</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特困人员救助供养形式分为在当地的供养服务机构集中供养和在家分散供养两种形式，供养对象可自行选择供养形式。</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三十五</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具备生活自理能力的，鼓励其在家分散供养；完全或者部分丧失生活自理能力的，根据个人意愿优先为其提供集中供养服务。</w:t>
      </w:r>
    </w:p>
    <w:p>
      <w:pPr>
        <w:keepNext w:val="0"/>
        <w:keepLines w:val="0"/>
        <w:pageBreakBefore w:val="0"/>
        <w:widowControl/>
        <w:suppressLineNumbers w:val="0"/>
        <w:kinsoku/>
        <w:wordWrap/>
        <w:overflowPunct/>
        <w:topLinePunct w:val="0"/>
        <w:autoSpaceDE/>
        <w:bidi w:val="0"/>
        <w:spacing w:line="56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三十六</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分散供养特困人员，经本人同意，乡镇人民政府（街道办事处）可通过签定照料服务协议的方式，明确照料服务的具体内容及责任义务，委托其亲友或村（居）民委员会、供养服务机构、社会组织、社会工作服务机构等提供日常看护、生活照料、住院陪护等服务。有条件的地方，可为分散供养特困人员提供无偿或低偿的日间照料服务，确保平时有人照应，生病有人看护。</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i w:val="0"/>
          <w:caps w:val="0"/>
          <w:color w:val="000000"/>
          <w:spacing w:val="0"/>
          <w:sz w:val="32"/>
          <w:szCs w:val="32"/>
          <w:shd w:val="clear" w:color="auto" w:fill="FFFFFF"/>
        </w:rPr>
        <w:t>　　</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三十七</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需要集中供养特困人员，由县（市、区）级人民政府民政部门按照统筹协调、便于管理的原则，就近安排到相应的供养服务机构。鼓励按照集约资源、方便照料原则，多个毗邻乡镇人民政府（街道办事处）组成协作区域，选择该区域内一所设施条件较好、服务能力较强的区域性供养服务机构作为定点机构，统一接收区域内特困人员；区域内供养服务机构不能满足供养服务需求的，可安排特困人员到辖区内社会办养老机构，通过政府购买服务方式，解决特困人员集中供养问题。县（市、区）级人民政府民政部门要统筹区域内供养服务机构保留一定比例床位，做好集中供养特困人员服务保障。每个县至少设置1所以失能、部分失能特困人员专业照护为主的县级供养服务设施（敬老院），确保有集中供养意愿的失能和半失能特困人员全部入院接受专业照护。</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highlight w:val="yellow"/>
          <w:shd w:val="clear" w:color="auto" w:fill="FFFFFF"/>
        </w:rPr>
      </w:pPr>
      <w:r>
        <w:rPr>
          <w:rFonts w:hint="eastAsia" w:ascii="仿宋_GB2312" w:hAnsi="仿宋_GB2312" w:eastAsia="仿宋_GB2312" w:cs="仿宋_GB2312"/>
          <w:i w:val="0"/>
          <w:caps w:val="0"/>
          <w:color w:val="auto"/>
          <w:spacing w:val="0"/>
          <w:kern w:val="0"/>
          <w:sz w:val="32"/>
          <w:szCs w:val="32"/>
          <w:vertAlign w:val="baseline"/>
          <w:lang w:val="en-US" w:eastAsia="zh-CN"/>
        </w:rPr>
        <w:t>未满16周岁的，安置到儿童福利机构。患有精神疾病、传染病的，应当安置到专门的医疗卫生机构。</w:t>
      </w:r>
      <w:r>
        <w:rPr>
          <w:rFonts w:hint="eastAsia" w:ascii="仿宋_GB2312" w:hAnsi="仿宋_GB2312" w:eastAsia="仿宋_GB2312" w:cs="仿宋_GB2312"/>
          <w:b/>
          <w:bCs/>
          <w:i w:val="0"/>
          <w:caps w:val="0"/>
          <w:color w:val="000000"/>
          <w:spacing w:val="0"/>
          <w:sz w:val="32"/>
          <w:szCs w:val="32"/>
          <w:shd w:val="clear" w:color="auto" w:fill="FFFFFF"/>
        </w:rPr>
        <w:t xml:space="preserve"> </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章  终止救助供养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三十八</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特困人员有下列情形之一的，应当及时终止救助供养：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（一）死亡或者被宣告死亡、被宣告失踪；</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（二）具备或恢复劳动能力；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（三）依法被判处刑罚，且在监所服刑；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（四）收入和财产状况不再符合本细则规定条件；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（五）法定义务人具有了履行义务能力或者新增具有履行义务能力的法定义务人；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（六）自愿申请退出救助供养。</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lang w:eastAsia="zh-CN"/>
        </w:rPr>
        <w:t>　　</w:t>
      </w: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三十九</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特困人员中的未成年人，可继续享有救助供养待遇至18周岁。年满18周岁仍在接受义务教育或者在普通高中、中等职业学校就读的，可继续享有救助供养待遇。</w:t>
      </w:r>
    </w:p>
    <w:p>
      <w:pPr>
        <w:keepNext w:val="0"/>
        <w:keepLines w:val="0"/>
        <w:pageBreakBefore w:val="0"/>
        <w:widowControl/>
        <w:suppressLineNumbers w:val="0"/>
        <w:kinsoku/>
        <w:wordWrap/>
        <w:overflowPunct/>
        <w:topLinePunct w:val="0"/>
        <w:autoSpaceDE/>
        <w:bidi w:val="0"/>
        <w:spacing w:line="560" w:lineRule="exact"/>
        <w:ind w:firstLine="642"/>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四十</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不再符合救助供养条件的，本人、照料服务人、村（居）民委员会或者供养服务机构应当及时告知乡镇人民政府（街道办事处），由乡镇人民政府（街道办事处）调查核实并报县（市、区）级人民政府民政部门核准。</w:t>
      </w:r>
    </w:p>
    <w:p>
      <w:pPr>
        <w:keepNext w:val="0"/>
        <w:keepLines w:val="0"/>
        <w:pageBreakBefore w:val="0"/>
        <w:widowControl/>
        <w:suppressLineNumbers w:val="0"/>
        <w:kinsoku/>
        <w:wordWrap/>
        <w:overflowPunct/>
        <w:topLinePunct w:val="0"/>
        <w:autoSpaceDE/>
        <w:bidi w:val="0"/>
        <w:spacing w:line="560" w:lineRule="exact"/>
        <w:ind w:firstLine="64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四十一</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县（市、区）级人民政府民政部门、乡镇人民政府（街道办事处）在工作中发现特困人员不再符合救助供养条件的，应当及时办理终止救助供养手续。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四十二</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b/>
          <w:bCs/>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对拟终止救助供养的特困人员，县（市、区）级人民政府民政部门应当通过乡镇人民政府（街道办事处），在其所在村（社区）或者供养服务机构公示，公示期为7天。</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320" w:firstLineChars="1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auto"/>
          <w:spacing w:val="0"/>
          <w:sz w:val="32"/>
          <w:szCs w:val="32"/>
          <w:shd w:val="clear" w:color="auto" w:fill="FFFFFF"/>
          <w:vertAlign w:val="baseline"/>
        </w:rPr>
        <w:t>（一）公示期满无异议的，县（市、区）级人民政府民政部门应当作出终止决定并从下月起终止救助供养。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auto"/>
          <w:spacing w:val="0"/>
          <w:sz w:val="32"/>
          <w:szCs w:val="32"/>
          <w:shd w:val="clear" w:color="auto" w:fill="FFFFFF"/>
          <w:vertAlign w:val="baseline"/>
        </w:rPr>
        <w:t>（二）对公示有异议的，县（市、区）级人民政府民政部门应当组织调查核实，在15个工作日内作出是否终止救助供养决定，并重新公示。</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auto"/>
          <w:spacing w:val="0"/>
          <w:sz w:val="32"/>
          <w:szCs w:val="32"/>
          <w:shd w:val="clear" w:color="auto" w:fill="FFFFFF"/>
          <w:vertAlign w:val="baseline"/>
        </w:rPr>
        <w:t>（三）对决定终止救助供养的，应当通过乡镇人民政府（街道办事处）将终止理由书面告知当事人、村（居）民委员会或者其亲属。</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bCs/>
          <w:i w:val="0"/>
          <w:caps w:val="0"/>
          <w:color w:val="000000"/>
          <w:spacing w:val="0"/>
          <w:sz w:val="32"/>
          <w:szCs w:val="32"/>
          <w:shd w:val="clear" w:color="auto" w:fill="FFFFFF"/>
        </w:rPr>
        <w:t>第</w:t>
      </w:r>
      <w:r>
        <w:rPr>
          <w:rFonts w:hint="eastAsia" w:ascii="仿宋_GB2312" w:hAnsi="仿宋_GB2312" w:eastAsia="仿宋_GB2312" w:cs="仿宋_GB2312"/>
          <w:b/>
          <w:bCs/>
          <w:i w:val="0"/>
          <w:caps w:val="0"/>
          <w:color w:val="000000"/>
          <w:spacing w:val="0"/>
          <w:sz w:val="32"/>
          <w:szCs w:val="32"/>
          <w:shd w:val="clear" w:color="auto" w:fill="FFFFFF"/>
          <w:lang w:eastAsia="zh-CN"/>
        </w:rPr>
        <w:t>四十三</w:t>
      </w:r>
      <w:r>
        <w:rPr>
          <w:rFonts w:hint="eastAsia" w:ascii="仿宋_GB2312" w:hAnsi="仿宋_GB2312" w:eastAsia="仿宋_GB2312" w:cs="仿宋_GB2312"/>
          <w:b/>
          <w:bCs/>
          <w:i w:val="0"/>
          <w:caps w:val="0"/>
          <w:color w:val="000000"/>
          <w:spacing w:val="0"/>
          <w:sz w:val="32"/>
          <w:szCs w:val="32"/>
          <w:shd w:val="clear" w:color="auto" w:fill="FFFFFF"/>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rPr>
        <w:t>对终止救助供养的特困人员，符合最低生活保障、临时救助等其他社会救助条件的，应当按规定及时纳入相应救助范围。</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w:t>
      </w:r>
      <w:r>
        <w:rPr>
          <w:rFonts w:hint="eastAsia" w:ascii="黑体" w:hAnsi="黑体" w:eastAsia="黑体" w:cs="黑体"/>
          <w:sz w:val="32"/>
          <w:szCs w:val="32"/>
        </w:rPr>
        <w:t>章  服务管理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bCs/>
          <w:i w:val="0"/>
          <w:caps w:val="0"/>
          <w:color w:val="000000"/>
          <w:spacing w:val="0"/>
          <w:sz w:val="32"/>
          <w:szCs w:val="32"/>
          <w:shd w:val="clear" w:color="auto" w:fill="FFFFFF"/>
          <w:lang w:eastAsia="zh-CN"/>
        </w:rPr>
        <w:t>四十四</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县级以上</w:t>
      </w:r>
      <w:r>
        <w:rPr>
          <w:rFonts w:hint="eastAsia" w:ascii="仿宋_GB2312" w:hAnsi="仿宋_GB2312" w:eastAsia="仿宋_GB2312" w:cs="仿宋_GB2312"/>
          <w:color w:val="auto"/>
          <w:sz w:val="32"/>
          <w:szCs w:val="32"/>
          <w:highlight w:val="none"/>
        </w:rPr>
        <w:t>人民政府应将特困人员供养</w:t>
      </w:r>
      <w:r>
        <w:rPr>
          <w:rFonts w:hint="eastAsia" w:ascii="仿宋_GB2312" w:hAnsi="仿宋_GB2312" w:eastAsia="仿宋_GB2312" w:cs="仿宋_GB2312"/>
          <w:bCs/>
          <w:color w:val="auto"/>
          <w:sz w:val="32"/>
          <w:szCs w:val="32"/>
          <w:highlight w:val="none"/>
        </w:rPr>
        <w:t>服务</w:t>
      </w:r>
      <w:r>
        <w:rPr>
          <w:rFonts w:hint="eastAsia" w:ascii="仿宋_GB2312" w:hAnsi="仿宋_GB2312" w:eastAsia="仿宋_GB2312" w:cs="仿宋_GB2312"/>
          <w:color w:val="auto"/>
          <w:sz w:val="32"/>
          <w:szCs w:val="32"/>
          <w:highlight w:val="none"/>
        </w:rPr>
        <w:t>机构建设纳入经济社会发展总体规划，强化其托底保障功能，完善工作协调机制，切实担负起资金投入、工作条件保障和监督</w:t>
      </w:r>
      <w:r>
        <w:rPr>
          <w:rFonts w:hint="eastAsia" w:ascii="仿宋_GB2312" w:hAnsi="仿宋_GB2312" w:eastAsia="仿宋_GB2312" w:cs="仿宋_GB2312"/>
          <w:color w:val="auto"/>
          <w:sz w:val="32"/>
          <w:szCs w:val="32"/>
          <w:highlight w:val="none"/>
          <w:lang w:eastAsia="zh-CN"/>
        </w:rPr>
        <w:t>管理</w:t>
      </w:r>
      <w:r>
        <w:rPr>
          <w:rFonts w:hint="eastAsia" w:ascii="仿宋_GB2312" w:hAnsi="仿宋_GB2312" w:eastAsia="仿宋_GB2312" w:cs="仿宋_GB2312"/>
          <w:color w:val="auto"/>
          <w:sz w:val="32"/>
          <w:szCs w:val="32"/>
          <w:highlight w:val="none"/>
        </w:rPr>
        <w:t>责任。</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四十五</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Cs/>
          <w:color w:val="auto"/>
          <w:sz w:val="32"/>
          <w:szCs w:val="32"/>
          <w:highlight w:val="none"/>
        </w:rPr>
        <w:t>特困人员实行</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一人一档案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其档案包括：申请书、户口本、身份证、残疾证、房产证、相关困难证明材料等原件或复印件，家庭经济状况调查授权书，家庭经济状况核对报告，入户调查表，民主评议记录，公示照片，特困人员审核审批表等。</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firstLineChars="0"/>
        <w:jc w:val="both"/>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四十六</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供养服务机构应当依法办理法人登记证。供养服务机构应按照管理规范化、服务标准化要求，制定供养机构工作人员岗位职责，建立民主管理、院务公开、财务管理、安全消防、卫生保洁、会议学习、后勤保障及突发事件应急处置等规章制度，完善保健、护理、康复等服务规程。</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四十七</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县级以上地方人民政府应采取撤并、改扩建等办法改造“小、散、远”及设施简陋、有消防等安全隐患的供养服务机构。有条件的供养服务机构经卫生行政部门批准可设立医务室或者护理站。</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firstLineChars="0"/>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四十八</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供养服务机构应根据服务对象人数和照料护理需求，按照一定比例配备工作人员。按照完全具备生活自理能力、部分丧失生活自理能力和完全丧失生活自理能力集中供养对象不低于10:1、6:1、3:1的比例配备照料护理人员。</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四十九</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采取多种形式开展管理服务人员培训，提高管理服务水平和质量。供养服务机构负责人和从事餐饮、消防、医疗等重要岗位服务人员应经过专业培训持证上岗，其他服务人员应参加养老护理员岗前培训，掌握与岗位要求相适应的知识技能。</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right="0" w:firstLine="642" w:firstLineChars="200"/>
        <w:jc w:val="both"/>
        <w:textAlignment w:val="auto"/>
        <w:rPr>
          <w:rFonts w:hint="eastAsia" w:ascii="仿宋_GB2312" w:hAnsi="仿宋_GB2312" w:eastAsia="仿宋_GB2312" w:cs="仿宋_GB2312"/>
          <w:i w:val="0"/>
          <w:caps w:val="0"/>
          <w:color w:val="auto"/>
          <w:spacing w:val="0"/>
          <w:sz w:val="32"/>
          <w:szCs w:val="32"/>
          <w:shd w:val="clear" w:color="auto" w:fill="FFFFFF"/>
          <w:vertAlign w:val="baseli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w:t>
      </w:r>
      <w:r>
        <w:rPr>
          <w:rFonts w:hint="eastAsia" w:ascii="仿宋_GB2312" w:hAnsi="仿宋_GB2312" w:eastAsia="仿宋_GB2312" w:cs="仿宋_GB2312"/>
          <w:b/>
          <w:color w:val="auto"/>
          <w:sz w:val="32"/>
          <w:szCs w:val="32"/>
          <w:highlight w:val="none"/>
        </w:rPr>
        <w:t>十条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供养服务机构服务人员不足的，应面向社会公开聘用工作人员。县（市、区）级人民政府民政、财政部门应指导供养服务机构根据不同工作岗位确定工作人员的具体薪酬，依法签订劳动合同，建立劳动关系。</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30"/>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i w:val="0"/>
          <w:caps w:val="0"/>
          <w:color w:val="auto"/>
          <w:spacing w:val="0"/>
          <w:kern w:val="0"/>
          <w:sz w:val="32"/>
          <w:szCs w:val="32"/>
          <w:vertAlign w:val="baseline"/>
          <w:lang w:val="en-US" w:eastAsia="zh-CN"/>
        </w:rPr>
        <w:t>工作人员的工资待遇不得低于当地最低工资标准，并按照有关规定提供基本养老、基本医疗等社会保险待遇。建立健全工作人员服务考核制度，具体工资保障及考核办法由县（市、区）级人民政府民政部门牵头制定。</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集中供养特困人员，供养服务机构应当对其进行入院评估（包括但不限于生活自理能力评估、传染病筛查、心理精神状况评估等），办理入院手续，建立个人档案，签订照料服务协议，并根据其需求特点提供相应服务。</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五十二</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分散供养特困人员，乡镇人民政府（街道办事处）民政工作人员应每季度至少与分散供养特困人员见面1次，做好针对性救助供养工作。村（居）委会应建立专人联系机制，经常走访看望分散供养特困人员，随时掌握其日常生活及身体状况，协助做好就医转诊和丧葬处理等工作。特困人员生病住院或者去世，3天内应报告乡镇人民政府（街道办事处）。  </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五十三</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市、区）级人民政府民政部门应规范照料服务协议，明确协议中服务项目、费用标准、责任追究等内容，指导乡镇人民政府（街道办事处）与散居特困人员受委托照料方签订照料服务协议，加强对协议履行情况的监督，督促约定服务事项落实到位。</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就医坚持就近就医，分级诊疗原则，原则上在属地民政部门指定医疗保险定点公立医疗机构就近就医，如患重特大疾病当地医院无法诊疗的，必须由医院做出病情鉴定,办理按级转诊相关手续，严禁不按规定程序就医，未按规定转诊的特困人员，所发生的医疗费用原则上不纳入医疗救助范围。</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29"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五十五</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探索和创新服务管理模式，鼓励采取公建民营、民办公助等模式提高供养服务机构服务管理水平。</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章  资金管理</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五十六</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救助供养资金管理严格按照中央和四川省财政困难群众救助补助资金管理办法执行，实行专款专用，不得擅自扩大补助资金支出范围，不得以任何形式挤占、挪用、截留和滞留补助资金，不得向救助对象收取任何管理费用。</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五十七</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县级以上地方人民政府应将政府设立的特困供养服务机构运转、特困人员救助供养等资金列入财政预算，确保特困人员供养服务机构有序运行。</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bCs w:val="0"/>
          <w:color w:val="auto"/>
          <w:sz w:val="32"/>
          <w:szCs w:val="32"/>
          <w:highlight w:val="none"/>
          <w:lang w:eastAsia="zh-CN"/>
        </w:rPr>
        <w:t>　　</w:t>
      </w: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五十八</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市、区）级人民政府民政部门应根据本年度实际保障对象数量测算下年度所需资金，并及时向同级财政部门提出下年度资金支出计划。同级财政部门审核后按规定程序纳入财政预算。有农村集体经营等收入的地方，可从中安排资金用于特困人员救助供养工作。</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color w:val="auto"/>
          <w:sz w:val="32"/>
          <w:szCs w:val="32"/>
          <w:highlight w:val="none"/>
          <w:lang w:eastAsia="zh-CN"/>
        </w:rPr>
        <w:t>　　</w:t>
      </w: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五十九</w:t>
      </w:r>
      <w:r>
        <w:rPr>
          <w:rFonts w:hint="eastAsia" w:ascii="仿宋_GB2312" w:hAnsi="仿宋_GB2312" w:eastAsia="仿宋_GB2312" w:cs="仿宋_GB2312"/>
          <w:b/>
          <w:bCs w:val="0"/>
          <w:color w:val="auto"/>
          <w:sz w:val="32"/>
          <w:szCs w:val="32"/>
          <w:highlight w:val="none"/>
        </w:rPr>
        <w:t>条</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救助供养金中的照料护理费用，由县（市、区）级人民政府民政部门统筹用于特困人员照料护理服务。集中供养的，统一由供养服务机构用于照料护理开支；分散供养的，由乡镇人民政府（街道办事处）按照照料服务协议，用于照料护理费用开支。</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outlineLvl w:val="9"/>
        <w:rPr>
          <w:rFonts w:hint="eastAsia" w:ascii="仿宋_GB2312" w:hAnsi="仿宋_GB2312" w:eastAsia="仿宋_GB2312" w:cs="仿宋_GB2312"/>
          <w:bCs/>
          <w:color w:val="auto"/>
          <w:kern w:val="2"/>
          <w:sz w:val="32"/>
          <w:szCs w:val="32"/>
          <w:highlight w:val="none"/>
        </w:rPr>
      </w:pPr>
      <w:r>
        <w:rPr>
          <w:rFonts w:hint="eastAsia" w:ascii="仿宋_GB2312" w:hAnsi="仿宋_GB2312" w:eastAsia="仿宋_GB2312" w:cs="仿宋_GB2312"/>
          <w:b/>
          <w:bCs w:val="0"/>
          <w:color w:val="auto"/>
          <w:sz w:val="32"/>
          <w:szCs w:val="32"/>
          <w:highlight w:val="none"/>
        </w:rPr>
        <w:t>第</w:t>
      </w:r>
      <w:r>
        <w:rPr>
          <w:rFonts w:hint="eastAsia" w:ascii="仿宋_GB2312" w:hAnsi="仿宋_GB2312" w:eastAsia="仿宋_GB2312" w:cs="仿宋_GB2312"/>
          <w:b/>
          <w:bCs w:val="0"/>
          <w:color w:val="auto"/>
          <w:sz w:val="32"/>
          <w:szCs w:val="32"/>
          <w:highlight w:val="none"/>
          <w:lang w:eastAsia="zh-CN"/>
        </w:rPr>
        <w:t>六</w:t>
      </w:r>
      <w:r>
        <w:rPr>
          <w:rFonts w:hint="eastAsia" w:ascii="仿宋_GB2312" w:hAnsi="仿宋_GB2312" w:eastAsia="仿宋_GB2312" w:cs="仿宋_GB2312"/>
          <w:b/>
          <w:bCs w:val="0"/>
          <w:color w:val="auto"/>
          <w:sz w:val="32"/>
          <w:szCs w:val="32"/>
          <w:highlight w:val="none"/>
        </w:rPr>
        <w:t>十条</w:t>
      </w: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特困人员基本生活供养金,集中供养的发放给供养服务机构；分散供养的通过惠民惠农财政补贴资金“一卡通”系统，按月足额发放到特困人员本人账户。</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章  监督管理</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拒绝配合经办人员对其家庭经济状况进行调查，致使无法核实其家庭收入和家庭财产状况的，县（市、区）级人民政府民政部门和乡镇人民政府（街道办事处）可以终止审核确认程序。</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六十二</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规范特困人员认定程序，强化审核、审批等关键环节责任。县（市、区）级人民政府承担特困人员救助供养主体责任，县（市、区）级人民政府民政部门和乡镇人民政府（街道办事处）承担具体责任，民政部门经办人员承担直接责任。</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六十三</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县级以上地方人民政府民政部门和乡镇人民政府（街道办事处）应当公开特困人员救助供养监督咨询电话，主动接受社会和群众的监督、投诉和举报。</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color w:val="auto"/>
          <w:sz w:val="32"/>
          <w:szCs w:val="32"/>
          <w:highlight w:val="none"/>
        </w:rPr>
        <w:t>十</w:t>
      </w:r>
      <w:r>
        <w:rPr>
          <w:rFonts w:hint="eastAsia" w:ascii="仿宋_GB2312" w:hAnsi="仿宋_GB2312" w:eastAsia="仿宋_GB2312" w:cs="仿宋_GB2312"/>
          <w:b/>
          <w:color w:val="auto"/>
          <w:sz w:val="32"/>
          <w:szCs w:val="32"/>
          <w:highlight w:val="none"/>
          <w:lang w:eastAsia="zh-CN"/>
        </w:rPr>
        <w:t>四</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bCs/>
          <w:color w:val="auto"/>
          <w:kern w:val="0"/>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县级以上地方人民政府民政部门和乡镇人民政府（街道办事处）应当健全完善举报核查制度，对接到的实名举报，应当逐一核查，并及时向举报人反馈核查处理结果。</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六十</w:t>
      </w:r>
      <w:r>
        <w:rPr>
          <w:rFonts w:hint="eastAsia" w:ascii="仿宋_GB2312" w:hAnsi="仿宋_GB2312" w:eastAsia="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市、县两级人民政府民政部门应会同同级财政、审计、纪检监察等部门，每年对特困人员救助供养工作进行一次专项检查。对查出的违法、违纪行为，按照有关法律规定严肃处理。</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i w:val="0"/>
          <w:caps w:val="0"/>
          <w:color w:val="auto"/>
          <w:spacing w:val="0"/>
          <w:kern w:val="0"/>
          <w:sz w:val="32"/>
          <w:szCs w:val="32"/>
          <w:vertAlign w:val="baseline"/>
          <w:lang w:val="en-US" w:eastAsia="zh-CN"/>
        </w:rPr>
        <w:t>县级人民政府民政部门、乡镇人民政府（街道办事处）及其从事特困人员救助供养工作的人员有下列情形之一的，由上级行政机关或者监察机关责令改正；对直接负责的主管人员和其他直接责任人员依法给予处分。</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i w:val="0"/>
          <w:caps w:val="0"/>
          <w:color w:val="auto"/>
          <w:spacing w:val="0"/>
          <w:kern w:val="0"/>
          <w:sz w:val="32"/>
          <w:szCs w:val="32"/>
          <w:vertAlign w:val="baseline"/>
          <w:lang w:val="en-US" w:eastAsia="zh-CN"/>
        </w:rPr>
        <w:t>1.对符合本操作规程规定的特困申请，不予受理，或者不予审核、审批的；</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2.对符合特困人员认定条件的人员，故意不予批准的；</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3.对不符合特困人员认定条件的人员，予以批准的；</w:t>
      </w:r>
    </w:p>
    <w:p>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645"/>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4.未按规定履行告知、保密职责的；</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29" w:firstLine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5.截留、挤占、挪用、私分特困人员救助供养资金的。</w:t>
      </w:r>
    </w:p>
    <w:p>
      <w:pPr>
        <w:keepNext w:val="0"/>
        <w:keepLines w:val="0"/>
        <w:pageBreakBefore w:val="0"/>
        <w:widowControl/>
        <w:suppressLineNumbers w:val="0"/>
        <w:kinsoku/>
        <w:wordWrap/>
        <w:overflowPunct/>
        <w:topLinePunct w:val="0"/>
        <w:autoSpaceDE/>
        <w:bidi w:val="0"/>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lang w:eastAsia="zh-CN"/>
        </w:rPr>
        <w:t>　　</w:t>
      </w: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六十</w:t>
      </w:r>
      <w:r>
        <w:rPr>
          <w:rFonts w:hint="eastAsia" w:ascii="仿宋_GB2312" w:hAnsi="仿宋_GB2312" w:eastAsia="仿宋_GB2312" w:cs="仿宋_GB2312"/>
          <w:b/>
          <w:color w:val="auto"/>
          <w:sz w:val="32"/>
          <w:szCs w:val="32"/>
          <w:highlight w:val="none"/>
          <w:lang w:val="en-US" w:eastAsia="zh-CN"/>
        </w:rPr>
        <w:t>六</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对县（市、区）级人民政府民政部门作出的不予批准特困救助供养申请，或者减发、停发特困救助供养金决定不服的，可以依法申请行政复议或者提起行政诉讼。</w:t>
      </w:r>
    </w:p>
    <w:p>
      <w:pPr>
        <w:pStyle w:val="1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29" w:firstLineChars="0"/>
        <w:jc w:val="both"/>
        <w:textAlignment w:val="auto"/>
        <w:outlineLvl w:val="9"/>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六十</w:t>
      </w:r>
      <w:r>
        <w:rPr>
          <w:rFonts w:hint="eastAsia" w:ascii="仿宋_GB2312" w:hAnsi="仿宋_GB2312" w:eastAsia="仿宋_GB2312" w:cs="仿宋_GB2312"/>
          <w:b/>
          <w:color w:val="auto"/>
          <w:sz w:val="32"/>
          <w:szCs w:val="32"/>
          <w:highlight w:val="none"/>
          <w:lang w:val="en-US" w:eastAsia="zh-CN"/>
        </w:rPr>
        <w:t>七</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对违反本规程规定，发生重大问题，造成严重社会影响的单位和个人，依纪依法追究责任。</w:t>
      </w:r>
    </w:p>
    <w:p>
      <w:pPr>
        <w:keepNext w:val="0"/>
        <w:keepLines w:val="0"/>
        <w:pageBreakBefore w:val="0"/>
        <w:kinsoku/>
        <w:wordWrap/>
        <w:overflowPunct/>
        <w:topLinePunct w:val="0"/>
        <w:autoSpaceDE/>
        <w:bidi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十三</w:t>
      </w:r>
      <w:r>
        <w:rPr>
          <w:rFonts w:hint="eastAsia" w:ascii="黑体" w:hAnsi="黑体" w:eastAsia="黑体" w:cs="黑体"/>
          <w:sz w:val="32"/>
          <w:szCs w:val="32"/>
        </w:rPr>
        <w:t>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六十</w:t>
      </w:r>
      <w:r>
        <w:rPr>
          <w:rFonts w:hint="eastAsia" w:ascii="仿宋_GB2312" w:hAnsi="仿宋_GB2312" w:eastAsia="仿宋_GB2312" w:cs="仿宋_GB2312"/>
          <w:b/>
          <w:color w:val="auto"/>
          <w:sz w:val="32"/>
          <w:szCs w:val="32"/>
          <w:highlight w:val="none"/>
          <w:lang w:val="en-US" w:eastAsia="zh-CN"/>
        </w:rPr>
        <w:t>八</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县级民政部门从本地实际出发，可制定本细则实施办法，并报乐山市民政局备案。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六十</w:t>
      </w:r>
      <w:r>
        <w:rPr>
          <w:rFonts w:hint="eastAsia" w:ascii="仿宋_GB2312" w:hAnsi="仿宋_GB2312" w:eastAsia="仿宋_GB2312" w:cs="仿宋_GB2312"/>
          <w:b/>
          <w:color w:val="auto"/>
          <w:sz w:val="32"/>
          <w:szCs w:val="32"/>
          <w:highlight w:val="none"/>
          <w:lang w:val="en-US" w:eastAsia="zh-CN"/>
        </w:rPr>
        <w:t>九</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本细则由乐山市民政局负责解释。</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2" w:firstLineChars="200"/>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七十</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vertAlign w:val="baseline"/>
          <w:lang w:val="en-US" w:eastAsia="zh-CN"/>
        </w:rPr>
        <w:t>本细则自2023年3月22日起施行。原本级审核认定相关规定与本细则不一致的，以本细则为准。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vertAlign w:val="baseline"/>
          <w:lang w:val="en-US" w:eastAsia="zh-CN" w:bidi="ar"/>
        </w:rPr>
      </w:pPr>
    </w:p>
    <w:p>
      <w:pPr>
        <w:pStyle w:val="29"/>
        <w:shd w:val="clear" w:color="auto" w:fill="auto"/>
        <w:adjustRightInd w:val="0"/>
        <w:snapToGrid w:val="0"/>
        <w:spacing w:before="0" w:after="0" w:line="596" w:lineRule="exact"/>
        <w:jc w:val="both"/>
        <w:rPr>
          <w:rFonts w:hint="eastAsia" w:ascii="仿宋_GB2312" w:eastAsia="仿宋_GB2312" w:cs="仿宋_GB2312"/>
          <w:i w:val="0"/>
          <w:caps w:val="0"/>
          <w:color w:val="000000"/>
          <w:spacing w:val="0"/>
          <w:kern w:val="0"/>
          <w:sz w:val="32"/>
          <w:szCs w:val="32"/>
          <w:highlight w:val="none"/>
          <w:shd w:val="clear" w:color="auto" w:fill="FFFFFF"/>
          <w:lang w:val="en-US" w:eastAsia="zh-CN" w:bidi="ar"/>
        </w:rPr>
        <w:sectPr>
          <w:footerReference r:id="rId3" w:type="default"/>
          <w:pgSz w:w="11906" w:h="16838"/>
          <w:pgMar w:top="2098" w:right="1474" w:bottom="1984" w:left="1587" w:header="851" w:footer="992" w:gutter="0"/>
          <w:pgNumType w:fmt="decimal"/>
          <w:cols w:space="720" w:num="1"/>
          <w:docGrid w:type="lines" w:linePitch="312" w:charSpace="0"/>
        </w:sectPr>
      </w:pPr>
    </w:p>
    <w:p>
      <w:pPr>
        <w:pStyle w:val="2"/>
        <w:jc w:val="both"/>
        <w:rPr>
          <w:rFonts w:hint="eastAsia" w:ascii="方正小标宋简体" w:hAnsi="方正小标宋简体" w:eastAsia="方正小标宋简体" w:cs="方正小标宋简体"/>
          <w:kern w:val="1"/>
          <w:sz w:val="32"/>
          <w:szCs w:val="32"/>
        </w:rPr>
      </w:pPr>
    </w:p>
    <w:p>
      <w:pPr>
        <w:spacing w:line="500" w:lineRule="exact"/>
        <w:ind w:firstLine="280"/>
        <w:rPr>
          <w:rFonts w:hint="eastAsia" w:ascii="仿宋_GB2312" w:hAnsi="仿宋_GB2312" w:eastAsia="仿宋_GB2312" w:cs="仿宋_GB2312"/>
          <w:kern w:val="1"/>
          <w:sz w:val="32"/>
          <w:szCs w:val="32"/>
        </w:rPr>
      </w:pPr>
      <w:r>
        <w:rPr>
          <w:rFonts w:hint="eastAsia" w:ascii="方正小标宋简体" w:hAnsi="方正小标宋简体" w:eastAsia="方正小标宋简体" w:cs="方正小标宋简体"/>
          <w:sz w:val="32"/>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284480</wp:posOffset>
                </wp:positionV>
                <wp:extent cx="5610225" cy="0"/>
                <wp:effectExtent l="0" t="9525" r="9525" b="9525"/>
                <wp:wrapNone/>
                <wp:docPr id="2" name="线条2"/>
                <wp:cNvGraphicFramePr/>
                <a:graphic xmlns:a="http://schemas.openxmlformats.org/drawingml/2006/main">
                  <a:graphicData uri="http://schemas.microsoft.com/office/word/2010/wordprocessingShape">
                    <wps:wsp>
                      <wps:cNvCnPr/>
                      <wps:spPr>
                        <a:xfrm>
                          <a:off x="0" y="0"/>
                          <a:ext cx="561022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线条2" o:spid="_x0000_s1026" o:spt="20" style="position:absolute;left:0pt;margin-left:-0.4pt;margin-top:22.4pt;height:0pt;width:441.75pt;z-index:251660288;mso-width-relative:page;mso-height-relative:page;" filled="f" stroked="t" coordsize="21600,21600" o:gfxdata="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KhLsPTAAAABwEAAA8A&#10;AAAAAAAAAQAgAAAAOAAAAGRycy9kb3ducmV2LnhtbFBLAQIUABQAAAAIAIdO4kBlpB5qzQEAAI0D&#10;AAAOAAAAAAAAAAEAIAAAADgBAABkcnMvZTJvRG9jLnhtbFBLBQYAAAAABgAGAFkBAAB3BQAAAAA=&#10;">
                <v:fill on="f" focussize="0,0"/>
                <v:stroke weight="1.5pt" color="#000000" joinstyle="round"/>
                <v:imagedata o:title=""/>
                <o:lock v:ext="edit" aspectratio="f"/>
              </v:line>
            </w:pict>
          </mc:Fallback>
        </mc:AlternateContent>
      </w:r>
    </w:p>
    <w:p>
      <w:pPr>
        <w:spacing w:line="500" w:lineRule="exact"/>
        <w:ind w:firstLine="280"/>
        <w:rPr>
          <w:rFonts w:hint="eastAsia" w:ascii="仿宋_GB2312" w:hAnsi="宋体" w:eastAsia="仿宋_GB2312"/>
          <w:sz w:val="32"/>
          <w:szCs w:val="32"/>
        </w:rPr>
      </w:pPr>
      <w:r>
        <w:rPr>
          <w:rFonts w:hint="eastAsia" w:ascii="仿宋_GB2312" w:hAnsi="仿宋_GB2312" w:eastAsia="仿宋_GB2312" w:cs="仿宋_GB2312"/>
          <w:kern w:val="1"/>
          <w:sz w:val="32"/>
          <w:szCs w:val="32"/>
        </w:rPr>
        <w:t xml:space="preserve">乐山市民政局办公室           </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 xml:space="preserve">  202</w:t>
      </w: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23</w:t>
      </w:r>
      <w:r>
        <w:rPr>
          <w:rFonts w:hint="eastAsia" w:ascii="仿宋_GB2312" w:hAnsi="仿宋_GB2312" w:eastAsia="仿宋_GB2312" w:cs="仿宋_GB2312"/>
          <w:kern w:val="1"/>
          <w:sz w:val="32"/>
          <w:szCs w:val="32"/>
        </w:rPr>
        <w:t xml:space="preserve">日印发 </w:t>
      </w:r>
    </w:p>
    <w:p>
      <w:pPr>
        <w:tabs>
          <w:tab w:val="left" w:pos="1965"/>
        </w:tabs>
        <w:jc w:val="left"/>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15875</wp:posOffset>
                </wp:positionV>
                <wp:extent cx="5615940" cy="0"/>
                <wp:effectExtent l="0" t="9525" r="3810" b="9525"/>
                <wp:wrapNone/>
                <wp:docPr id="4" name="线条3"/>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线条3" o:spid="_x0000_s1026" o:spt="20" style="position:absolute;left:0pt;margin-left:-0.15pt;margin-top:1.25pt;height:0pt;width:442.2pt;z-index:251661312;mso-width-relative:page;mso-height-relative:page;" filled="f" stroked="t" coordsize="21600,21600" o:gfxdata="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GSmnRbSAAAABQEAAA8A&#10;AAAAAAAAAQAgAAAAOAAAAGRycy9kb3ducmV2LnhtbFBLAQIUABQAAAAIAIdO4kCu3DxYzgEAAI0D&#10;AAAOAAAAAAAAAAEAIAAAADcBAABkcnMvZTJvRG9jLnhtbFBLBQYAAAAABgAGAFkBAAB3BQAAAAA=&#10;">
                <v:fill on="f" focussize="0,0"/>
                <v:stroke weight="1.5pt" color="#000000" joinstyle="round"/>
                <v:imagedata o:title=""/>
                <o:lock v:ext="edit" aspectratio="f"/>
              </v:line>
            </w:pict>
          </mc:Fallback>
        </mc:AlternateContent>
      </w:r>
    </w:p>
    <w:sectPr>
      <w:headerReference r:id="rId4" w:type="default"/>
      <w:footerReference r:id="rId5" w:type="default"/>
      <w:type w:val="continuous"/>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szCs w:val="2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jyxTwFQIAABMEAAAOAAAAAAAAAAEAIAAAADUBAABkcnMvZTJvRG9jLnhtbFBLBQYAAAAABgAG&#10;AFkBAAC8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203200</wp:posOffset>
              </wp:positionV>
              <wp:extent cx="1828800" cy="2032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203200"/>
                      </a:xfrm>
                      <a:prstGeom prst="rect">
                        <a:avLst/>
                      </a:prstGeom>
                      <a:noFill/>
                      <a:ln w="9525">
                        <a:noFill/>
                      </a:ln>
                      <a:effectLst/>
                    </wps:spPr>
                    <wps:txbx>
                      <w:txbxContent>
                        <w:p>
                          <w:pPr>
                            <w:pStyle w:val="6"/>
                            <w:rPr>
                              <w:rFonts w:ascii="宋体" w:cs="宋体"/>
                              <w:sz w:val="28"/>
                              <w:szCs w:val="28"/>
                            </w:rPr>
                          </w:pPr>
                        </w:p>
                      </w:txbxContent>
                    </wps:txbx>
                    <wps:bodyPr vert="horz" wrap="none" lIns="0" tIns="0" rIns="0" bIns="0" anchor="t" anchorCtr="0">
                      <a:noAutofit/>
                    </wps:bodyPr>
                  </wps:wsp>
                </a:graphicData>
              </a:graphic>
            </wp:anchor>
          </w:drawing>
        </mc:Choice>
        <mc:Fallback>
          <w:pict>
            <v:shape id="文本框 1" o:spid="_x0000_s1026" o:spt="202" type="#_x0000_t202" style="position:absolute;left:0pt;margin-top:16pt;height:16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WQEER1AAAAAYBAAAP&#10;AAAAAAAAAAEAIAAAADgAAABkcnMvZG93bnJldi54bWxQSwECFAAUAAAACACHTuJAjwg6f80BAAB6&#10;AwAADgAAAAAAAAABACAAAAA5AQAAZHJzL2Uyb0RvYy54bWxQSwUGAAAAAAYABgBZAQAAeAUAAAAA&#10;">
              <v:fill on="f" focussize="0,0"/>
              <v:stroke on="f"/>
              <v:imagedata o:title=""/>
              <o:lock v:ext="edit" aspectratio="f"/>
              <v:textbox inset="0mm,0mm,0mm,0mm">
                <w:txbxContent>
                  <w:p>
                    <w:pPr>
                      <w:pStyle w:val="6"/>
                      <w:rPr>
                        <w:rFonts w:ascii="宋体" w:cs="宋体"/>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zM2NiODBjZDc3Y2MyODg0YThiNGVjMTJkOTY2ZTcifQ=="/>
  </w:docVars>
  <w:rsids>
    <w:rsidRoot w:val="00CE5115"/>
    <w:rsid w:val="00011AB9"/>
    <w:rsid w:val="00064430"/>
    <w:rsid w:val="00070BC7"/>
    <w:rsid w:val="00076FF8"/>
    <w:rsid w:val="000A2A2C"/>
    <w:rsid w:val="000D26C7"/>
    <w:rsid w:val="001B4F42"/>
    <w:rsid w:val="001D35D1"/>
    <w:rsid w:val="00272D1B"/>
    <w:rsid w:val="00274069"/>
    <w:rsid w:val="002C5092"/>
    <w:rsid w:val="0032406F"/>
    <w:rsid w:val="003447D3"/>
    <w:rsid w:val="00382481"/>
    <w:rsid w:val="003A1E49"/>
    <w:rsid w:val="003C08DC"/>
    <w:rsid w:val="003F0AC2"/>
    <w:rsid w:val="00411A96"/>
    <w:rsid w:val="004737ED"/>
    <w:rsid w:val="004B525F"/>
    <w:rsid w:val="004F4579"/>
    <w:rsid w:val="005C3D97"/>
    <w:rsid w:val="005F4D24"/>
    <w:rsid w:val="006330A8"/>
    <w:rsid w:val="006A371D"/>
    <w:rsid w:val="006F5416"/>
    <w:rsid w:val="008444D0"/>
    <w:rsid w:val="008A1E97"/>
    <w:rsid w:val="008D5FB9"/>
    <w:rsid w:val="00973BAE"/>
    <w:rsid w:val="009B2354"/>
    <w:rsid w:val="009C55D2"/>
    <w:rsid w:val="00A43252"/>
    <w:rsid w:val="00A437B3"/>
    <w:rsid w:val="00A677EC"/>
    <w:rsid w:val="00AF042F"/>
    <w:rsid w:val="00BF722A"/>
    <w:rsid w:val="00C11D60"/>
    <w:rsid w:val="00C14DB7"/>
    <w:rsid w:val="00C274F4"/>
    <w:rsid w:val="00C9458D"/>
    <w:rsid w:val="00CE5115"/>
    <w:rsid w:val="00D003BC"/>
    <w:rsid w:val="00D73E2E"/>
    <w:rsid w:val="00DA3064"/>
    <w:rsid w:val="00DD2D6C"/>
    <w:rsid w:val="00E44095"/>
    <w:rsid w:val="00E80655"/>
    <w:rsid w:val="00E869CA"/>
    <w:rsid w:val="00EB3F05"/>
    <w:rsid w:val="00EE3B2D"/>
    <w:rsid w:val="00F50469"/>
    <w:rsid w:val="00FA65CB"/>
    <w:rsid w:val="00FE748A"/>
    <w:rsid w:val="025649B6"/>
    <w:rsid w:val="04D341EF"/>
    <w:rsid w:val="06DB44D3"/>
    <w:rsid w:val="096706A3"/>
    <w:rsid w:val="09BE2330"/>
    <w:rsid w:val="0A6E4CAB"/>
    <w:rsid w:val="0C8F3D96"/>
    <w:rsid w:val="0CE045F1"/>
    <w:rsid w:val="0EB16245"/>
    <w:rsid w:val="0F7614C5"/>
    <w:rsid w:val="12194132"/>
    <w:rsid w:val="133D454B"/>
    <w:rsid w:val="19D75FB0"/>
    <w:rsid w:val="19E11589"/>
    <w:rsid w:val="1AED77AD"/>
    <w:rsid w:val="1E4F14A7"/>
    <w:rsid w:val="1FD36F91"/>
    <w:rsid w:val="21065624"/>
    <w:rsid w:val="219C76EE"/>
    <w:rsid w:val="225A2F42"/>
    <w:rsid w:val="226A05C7"/>
    <w:rsid w:val="28B9420B"/>
    <w:rsid w:val="2BCF06A3"/>
    <w:rsid w:val="2C70381A"/>
    <w:rsid w:val="305A1716"/>
    <w:rsid w:val="314E571E"/>
    <w:rsid w:val="31822E3A"/>
    <w:rsid w:val="328703DF"/>
    <w:rsid w:val="337551E4"/>
    <w:rsid w:val="345474EF"/>
    <w:rsid w:val="39C7ABA6"/>
    <w:rsid w:val="3BAD6037"/>
    <w:rsid w:val="3BB0060F"/>
    <w:rsid w:val="3C5C56AB"/>
    <w:rsid w:val="3E5720B6"/>
    <w:rsid w:val="3EF11058"/>
    <w:rsid w:val="40033103"/>
    <w:rsid w:val="44505570"/>
    <w:rsid w:val="473719CB"/>
    <w:rsid w:val="483E5AA6"/>
    <w:rsid w:val="4B452A58"/>
    <w:rsid w:val="4C115B43"/>
    <w:rsid w:val="4D106251"/>
    <w:rsid w:val="52AF5708"/>
    <w:rsid w:val="5540344C"/>
    <w:rsid w:val="5BFB4401"/>
    <w:rsid w:val="5D19D7F1"/>
    <w:rsid w:val="5D8F413D"/>
    <w:rsid w:val="5EC41EF2"/>
    <w:rsid w:val="5EFA12F3"/>
    <w:rsid w:val="602F3998"/>
    <w:rsid w:val="655475CA"/>
    <w:rsid w:val="658E0C57"/>
    <w:rsid w:val="659C103C"/>
    <w:rsid w:val="67134F80"/>
    <w:rsid w:val="69D13205"/>
    <w:rsid w:val="6A08000A"/>
    <w:rsid w:val="6B0D6375"/>
    <w:rsid w:val="6B267286"/>
    <w:rsid w:val="6BFB4755"/>
    <w:rsid w:val="6CD40BF2"/>
    <w:rsid w:val="6E2E1D72"/>
    <w:rsid w:val="6F6F554A"/>
    <w:rsid w:val="6FFFB6DE"/>
    <w:rsid w:val="73FE32C7"/>
    <w:rsid w:val="769FDD9A"/>
    <w:rsid w:val="779C7AED"/>
    <w:rsid w:val="77DF766A"/>
    <w:rsid w:val="780659D7"/>
    <w:rsid w:val="7BB80FC4"/>
    <w:rsid w:val="7BBC25AC"/>
    <w:rsid w:val="7D4D0C4D"/>
    <w:rsid w:val="7DA7A8DE"/>
    <w:rsid w:val="7DFFBF93"/>
    <w:rsid w:val="7EDF1D77"/>
    <w:rsid w:val="7F89D757"/>
    <w:rsid w:val="7FF5080E"/>
    <w:rsid w:val="7FF5BB9F"/>
    <w:rsid w:val="7FF6B165"/>
    <w:rsid w:val="8CE70A0A"/>
    <w:rsid w:val="ADFD1117"/>
    <w:rsid w:val="BEF3FB76"/>
    <w:rsid w:val="BF34AC30"/>
    <w:rsid w:val="BFCE5BC0"/>
    <w:rsid w:val="BFE7B857"/>
    <w:rsid w:val="BFEF7DF4"/>
    <w:rsid w:val="D9C34161"/>
    <w:rsid w:val="DACDF98F"/>
    <w:rsid w:val="DF79696E"/>
    <w:rsid w:val="DFE79513"/>
    <w:rsid w:val="F32F87D8"/>
    <w:rsid w:val="F3FB7409"/>
    <w:rsid w:val="F7ED1F7C"/>
    <w:rsid w:val="F7FED103"/>
    <w:rsid w:val="FEEEF506"/>
    <w:rsid w:val="FF722063"/>
    <w:rsid w:val="FFDFDFDD"/>
    <w:rsid w:val="FFFB8B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pPr>
      <w:spacing w:after="120"/>
    </w:pPr>
  </w:style>
  <w:style w:type="paragraph" w:styleId="3">
    <w:name w:val="Salutation"/>
    <w:basedOn w:val="1"/>
    <w:next w:val="1"/>
    <w:link w:val="19"/>
    <w:qFormat/>
    <w:uiPriority w:val="99"/>
    <w:rPr>
      <w:b/>
      <w:sz w:val="36"/>
      <w:szCs w:val="24"/>
    </w:rPr>
  </w:style>
  <w:style w:type="paragraph" w:styleId="4">
    <w:name w:val="Date"/>
    <w:basedOn w:val="1"/>
    <w:next w:val="1"/>
    <w:link w:val="21"/>
    <w:semiHidden/>
    <w:qFormat/>
    <w:uiPriority w:val="99"/>
    <w:pPr>
      <w:ind w:left="100" w:leftChars="2500"/>
    </w:pPr>
  </w:style>
  <w:style w:type="paragraph" w:styleId="5">
    <w:name w:val="Balloon Text"/>
    <w:basedOn w:val="1"/>
    <w:link w:val="22"/>
    <w:semiHidden/>
    <w:qFormat/>
    <w:uiPriority w:val="99"/>
    <w:rPr>
      <w:sz w:val="18"/>
      <w:szCs w:val="18"/>
    </w:rPr>
  </w:style>
  <w:style w:type="paragraph" w:styleId="6">
    <w:name w:val="footer"/>
    <w:basedOn w:val="1"/>
    <w:link w:val="23"/>
    <w:semiHidden/>
    <w:qFormat/>
    <w:uiPriority w:val="99"/>
    <w:pPr>
      <w:tabs>
        <w:tab w:val="center" w:pos="4153"/>
        <w:tab w:val="right" w:pos="8306"/>
      </w:tabs>
      <w:snapToGrid w:val="0"/>
      <w:jc w:val="left"/>
    </w:pPr>
    <w:rPr>
      <w:sz w:val="18"/>
      <w:szCs w:val="18"/>
    </w:rPr>
  </w:style>
  <w:style w:type="paragraph" w:styleId="7">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locked/>
    <w:uiPriority w:val="0"/>
  </w:style>
  <w:style w:type="paragraph" w:styleId="9">
    <w:name w:val="table of figures"/>
    <w:basedOn w:val="1"/>
    <w:next w:val="1"/>
    <w:unhideWhenUsed/>
    <w:qFormat/>
    <w:uiPriority w:val="99"/>
    <w:pPr>
      <w:ind w:leftChars="200" w:hanging="200" w:hangingChars="200"/>
    </w:pPr>
  </w:style>
  <w:style w:type="paragraph" w:styleId="10">
    <w:name w:val="toc 2"/>
    <w:basedOn w:val="1"/>
    <w:next w:val="1"/>
    <w:qFormat/>
    <w:locked/>
    <w:uiPriority w:val="0"/>
    <w:pPr>
      <w:ind w:left="420" w:leftChars="200"/>
    </w:p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99"/>
    <w:pPr>
      <w:spacing w:before="100" w:beforeAutospacing="1" w:after="100" w:afterAutospacing="1"/>
      <w:jc w:val="left"/>
    </w:pPr>
    <w:rPr>
      <w:kern w:val="0"/>
      <w:sz w:val="24"/>
    </w:rPr>
  </w:style>
  <w:style w:type="paragraph" w:styleId="13">
    <w:name w:val="Title"/>
    <w:basedOn w:val="1"/>
    <w:next w:val="1"/>
    <w:qFormat/>
    <w:locked/>
    <w:uiPriority w:val="99"/>
    <w:pPr>
      <w:spacing w:before="240" w:after="60"/>
      <w:jc w:val="center"/>
      <w:outlineLvl w:val="0"/>
    </w:pPr>
    <w:rPr>
      <w:rFonts w:ascii="Arial" w:hAnsi="Arial" w:eastAsia="仿宋_GB2312" w:cs="Arial"/>
      <w:b/>
      <w:bCs/>
      <w:sz w:val="32"/>
      <w:szCs w:val="32"/>
    </w:rPr>
  </w:style>
  <w:style w:type="paragraph" w:styleId="14">
    <w:name w:val="Body Text First Indent"/>
    <w:basedOn w:val="2"/>
    <w:qFormat/>
    <w:uiPriority w:val="0"/>
    <w:pPr>
      <w:ind w:firstLine="420" w:firstLineChars="100"/>
    </w:pPr>
  </w:style>
  <w:style w:type="character" w:styleId="17">
    <w:name w:val="page number"/>
    <w:basedOn w:val="16"/>
    <w:qFormat/>
    <w:uiPriority w:val="0"/>
  </w:style>
  <w:style w:type="paragraph" w:customStyle="1" w:styleId="18">
    <w:name w:val="常用样式（方正仿宋简）"/>
    <w:basedOn w:val="1"/>
    <w:qFormat/>
    <w:uiPriority w:val="0"/>
    <w:pPr>
      <w:spacing w:line="560" w:lineRule="exact"/>
      <w:ind w:firstLine="640" w:firstLineChars="200"/>
    </w:pPr>
    <w:rPr>
      <w:rFonts w:eastAsia="方正仿宋简体"/>
      <w:sz w:val="32"/>
    </w:rPr>
  </w:style>
  <w:style w:type="character" w:customStyle="1" w:styleId="19">
    <w:name w:val="称呼 字符"/>
    <w:basedOn w:val="16"/>
    <w:link w:val="3"/>
    <w:semiHidden/>
    <w:qFormat/>
    <w:uiPriority w:val="99"/>
  </w:style>
  <w:style w:type="character" w:customStyle="1" w:styleId="20">
    <w:name w:val="正文文本 字符"/>
    <w:basedOn w:val="16"/>
    <w:link w:val="2"/>
    <w:semiHidden/>
    <w:qFormat/>
    <w:uiPriority w:val="99"/>
  </w:style>
  <w:style w:type="character" w:customStyle="1" w:styleId="21">
    <w:name w:val="日期 字符"/>
    <w:basedOn w:val="16"/>
    <w:link w:val="4"/>
    <w:semiHidden/>
    <w:qFormat/>
    <w:locked/>
    <w:uiPriority w:val="99"/>
    <w:rPr>
      <w:rFonts w:cs="Times New Roman"/>
    </w:rPr>
  </w:style>
  <w:style w:type="character" w:customStyle="1" w:styleId="22">
    <w:name w:val="批注框文本 字符"/>
    <w:basedOn w:val="16"/>
    <w:link w:val="5"/>
    <w:semiHidden/>
    <w:qFormat/>
    <w:locked/>
    <w:uiPriority w:val="99"/>
    <w:rPr>
      <w:rFonts w:cs="Times New Roman"/>
      <w:kern w:val="2"/>
      <w:sz w:val="18"/>
      <w:szCs w:val="18"/>
    </w:rPr>
  </w:style>
  <w:style w:type="character" w:customStyle="1" w:styleId="23">
    <w:name w:val="页脚 字符"/>
    <w:basedOn w:val="16"/>
    <w:link w:val="6"/>
    <w:semiHidden/>
    <w:qFormat/>
    <w:locked/>
    <w:uiPriority w:val="99"/>
    <w:rPr>
      <w:rFonts w:cs="Times New Roman"/>
      <w:kern w:val="2"/>
      <w:sz w:val="18"/>
      <w:szCs w:val="18"/>
    </w:rPr>
  </w:style>
  <w:style w:type="character" w:customStyle="1" w:styleId="24">
    <w:name w:val="页眉 字符"/>
    <w:basedOn w:val="16"/>
    <w:link w:val="7"/>
    <w:semiHidden/>
    <w:qFormat/>
    <w:locked/>
    <w:uiPriority w:val="99"/>
    <w:rPr>
      <w:rFonts w:cs="Times New Roman"/>
      <w:kern w:val="2"/>
      <w:sz w:val="18"/>
      <w:szCs w:val="18"/>
    </w:rPr>
  </w:style>
  <w:style w:type="character" w:customStyle="1" w:styleId="25">
    <w:name w:val="NormalCharacter"/>
    <w:qFormat/>
    <w:uiPriority w:val="0"/>
    <w:rPr>
      <w:rFonts w:ascii="Times New Roman" w:hAnsi="Times New Roman" w:eastAsia="宋体"/>
    </w:rPr>
  </w:style>
  <w:style w:type="paragraph" w:customStyle="1" w:styleId="26">
    <w:name w:val="MessageHeader"/>
    <w:basedOn w:val="1"/>
    <w:next w:val="1"/>
    <w:qFormat/>
    <w:uiPriority w:val="0"/>
    <w:pPr>
      <w:pBdr>
        <w:top w:val="none" w:color="000000" w:sz="0" w:space="1"/>
        <w:left w:val="none" w:color="000000" w:sz="0" w:space="1"/>
        <w:bottom w:val="none" w:color="000000" w:sz="0" w:space="1"/>
        <w:right w:val="none" w:color="000000" w:sz="0" w:space="1"/>
      </w:pBdr>
      <w:spacing w:line="360" w:lineRule="auto"/>
      <w:textAlignment w:val="baseline"/>
    </w:pPr>
    <w:rPr>
      <w:rFonts w:ascii="Cambria" w:hAnsi="Cambria" w:eastAsia="宋体"/>
      <w:sz w:val="24"/>
      <w:szCs w:val="24"/>
    </w:rPr>
  </w:style>
  <w:style w:type="paragraph" w:customStyle="1" w:styleId="27">
    <w:name w:val="0"/>
    <w:basedOn w:val="1"/>
    <w:unhideWhenUsed/>
    <w:qFormat/>
    <w:uiPriority w:val="99"/>
    <w:pPr>
      <w:snapToGrid w:val="0"/>
    </w:pPr>
    <w:rPr>
      <w:kern w:val="0"/>
      <w:sz w:val="20"/>
    </w:rPr>
  </w:style>
  <w:style w:type="paragraph" w:customStyle="1" w:styleId="28">
    <w:name w:val="UserStyle_3"/>
    <w:basedOn w:val="1"/>
    <w:qFormat/>
    <w:uiPriority w:val="0"/>
    <w:pPr>
      <w:spacing w:line="560" w:lineRule="exact"/>
      <w:ind w:firstLine="640" w:firstLineChars="200"/>
      <w:jc w:val="both"/>
      <w:textAlignment w:val="baseline"/>
    </w:pPr>
    <w:rPr>
      <w:rFonts w:ascii="Calibri" w:hAnsi="Calibri" w:eastAsia="方正仿宋简体"/>
      <w:kern w:val="2"/>
      <w:sz w:val="32"/>
      <w:szCs w:val="32"/>
      <w:lang w:val="en-US" w:eastAsia="zh-CN" w:bidi="ar-SA"/>
    </w:rPr>
  </w:style>
  <w:style w:type="paragraph" w:customStyle="1" w:styleId="29">
    <w:name w:val="正文文本1"/>
    <w:basedOn w:val="1"/>
    <w:qFormat/>
    <w:uiPriority w:val="0"/>
    <w:pPr>
      <w:shd w:val="clear" w:color="auto" w:fill="FFFFFF"/>
      <w:spacing w:before="1020" w:after="1380" w:line="0" w:lineRule="atLeast"/>
      <w:jc w:val="center"/>
    </w:pPr>
    <w:rPr>
      <w:rFonts w:ascii="宋体" w:hAnsi="宋体" w:cs="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10455</Words>
  <Characters>10512</Characters>
  <Lines>14</Lines>
  <Paragraphs>4</Paragraphs>
  <TotalTime>1</TotalTime>
  <ScaleCrop>false</ScaleCrop>
  <LinksUpToDate>false</LinksUpToDate>
  <CharactersWithSpaces>10821</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2022-03-27T19:52:00Z</dcterms:created>
  <dc:creator>Administrator</dc:creator>
  <cp:lastModifiedBy>user</cp:lastModifiedBy>
  <cp:lastPrinted>2023-02-15T18:50:00Z</cp:lastPrinted>
  <dcterms:modified xsi:type="dcterms:W3CDTF">2023-03-23T17:01:07Z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0822F93FED5548E9B7ECAA827128237A</vt:lpwstr>
  </property>
  <property fmtid="{D5CDD505-2E9C-101B-9397-08002B2CF9AE}" pid="4" name="commondata">
    <vt:lpwstr>eyJoZGlkIjoiN2VkOGNkNzMwYmRhYmI4NmQxMmViNTdiMTlkYWFlOWQifQ==</vt:lpwstr>
  </property>
</Properties>
</file>