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4"/>
        <w:jc w:val="center"/>
        <w:spacing w:lineRule="exact" w:line="580"/>
        <w:rPr>
          <w:color w:val="auto"/>
          <w:sz w:val="44"/>
          <w:szCs w:val="44"/>
          <w:rFonts w:ascii="方正小标宋简体" w:eastAsia="方正小标宋简体" w:hAnsi="宋体"/>
        </w:rPr>
      </w:pPr>
      <w:r>
        <w:rPr>
          <w:color w:val="auto"/>
          <w:sz w:val="44"/>
          <w:szCs w:val="44"/>
          <w:rFonts w:ascii="方正小标宋简体" w:eastAsia="方正小标宋简体" w:hAnsi="宋体" w:hint="eastAsia"/>
        </w:rPr>
        <w:t>对企业公益性</w:t>
      </w:r>
      <w:r>
        <w:rPr>
          <w:color w:val="auto"/>
          <w:sz w:val="44"/>
          <w:szCs w:val="44"/>
          <w:rFonts w:ascii="方正小标宋简体" w:eastAsia="方正小标宋简体" w:hAnsi="宋体" w:hint="eastAsia"/>
        </w:rPr>
        <w:t>项目绩效自评报告</w:t>
      </w:r>
    </w:p>
    <w:p>
      <w:pPr>
        <w:pStyle w:val="PO154"/>
        <w:jc w:val="center"/>
        <w:spacing w:lineRule="exact" w:line="580"/>
        <w:rPr>
          <w:color w:val="FF0000"/>
          <w:sz w:val="44"/>
          <w:szCs w:val="44"/>
          <w:rFonts w:ascii="方正小标宋简体" w:eastAsia="方正小标宋简体" w:hAnsi="宋体"/>
        </w:rPr>
      </w:pPr>
    </w:p>
    <w:p>
      <w:pPr>
        <w:spacing w:lineRule="exact" w:line="580"/>
        <w:ind w:firstLine="720"/>
        <w:rPr>
          <w:b w:val="1"/>
          <w:rFonts w:ascii="黑体" w:eastAsia="黑体" w:hAnsi="宋体"/>
        </w:rPr>
        <w:snapToGrid w:val="off"/>
      </w:pPr>
      <w:r>
        <w:rPr>
          <w:b w:val="1"/>
          <w:rFonts w:ascii="黑体" w:eastAsia="黑体" w:hAnsi="宋体" w:hint="eastAsia"/>
        </w:rPr>
        <w:t>一、基本情况</w:t>
      </w:r>
    </w:p>
    <w:p>
      <w:pPr>
        <w:spacing w:lineRule="exact" w:line="580"/>
        <w:ind w:firstLine="720"/>
        <w:rPr>
          <w:b w:val="1"/>
          <w:rFonts w:ascii="楷体_GB2312" w:eastAsia="楷体_GB2312" w:hAnsi="宋体"/>
          <w:lang w:val="zh-CN"/>
        </w:rPr>
        <w:snapToGrid w:val="off"/>
      </w:pPr>
      <w:r>
        <w:rPr>
          <w:b w:val="1"/>
          <w:rFonts w:ascii="楷体_GB2312" w:eastAsia="楷体_GB2312" w:hAnsi="宋体" w:hint="eastAsia"/>
          <w:lang w:val="zh-CN"/>
        </w:rPr>
        <w:t>（一）项目概况。</w:t>
      </w:r>
    </w:p>
    <w:p>
      <w:pPr>
        <w:spacing w:lineRule="exact" w:line="600"/>
        <w:ind w:firstLine="666"/>
        <w:rPr>
          <w:rFonts w:ascii="仿宋_GB2312" w:hAnsi="仿宋_GB2312" w:cs="仿宋_GB2312"/>
        </w:rPr>
      </w:pPr>
      <w:r>
        <w:rPr>
          <w:b w:val="1"/>
          <w:rFonts w:ascii="楷体_GB2312" w:eastAsia="楷体_GB2312" w:hAnsi="宋体" w:hint="eastAsia"/>
        </w:rPr>
        <w:t>1、项目背景。</w:t>
      </w:r>
      <w:r>
        <w:rPr>
          <w:rFonts w:ascii="仿宋_GB2312" w:hAnsi="仿宋_GB2312" w:cs="仿宋_GB2312" w:hint="eastAsia"/>
        </w:rPr>
        <w:t>2020年大佛景区管委会对乐山大佛</w:t>
      </w:r>
      <w:r>
        <w:rPr>
          <w:rFonts w:ascii="仿宋_GB2312" w:hAnsi="仿宋_GB2312" w:cs="仿宋_GB2312" w:hint="eastAsia"/>
        </w:rPr>
        <w:t>旅游投资开发（集团）有限公司（以下简称：大佛旅投</w:t>
      </w:r>
      <w:r>
        <w:rPr>
          <w:rFonts w:ascii="仿宋_GB2312" w:hAnsi="仿宋_GB2312" w:cs="仿宋_GB2312" w:hint="eastAsia"/>
        </w:rPr>
        <w:t>集团）经营项目资金补助总计257.31万元，主要是对</w:t>
      </w:r>
      <w:r>
        <w:rPr>
          <w:rFonts w:ascii="仿宋_GB2312" w:hAnsi="仿宋_GB2312" w:cs="仿宋_GB2312" w:hint="eastAsia"/>
        </w:rPr>
        <w:t>企业承担的公益性经营项目进行补助，减轻企业负担，</w:t>
      </w:r>
      <w:r>
        <w:rPr>
          <w:rFonts w:ascii="仿宋_GB2312" w:hAnsi="仿宋_GB2312" w:cs="仿宋_GB2312" w:hint="eastAsia"/>
        </w:rPr>
        <w:t>增强企业发展活力。</w:t>
      </w:r>
    </w:p>
    <w:p>
      <w:pPr>
        <w:ind w:firstLine="640"/>
        <w:rPr>
          <w:rFonts w:ascii="仿宋_GB2312" w:hAnsi="仿宋_GB2312" w:cs="仿宋_GB2312"/>
        </w:rPr>
      </w:pPr>
      <w:r>
        <w:rPr>
          <w:b w:val="1"/>
          <w:rFonts w:ascii="楷体_GB2312" w:eastAsia="楷体_GB2312" w:hAnsi="宋体" w:hint="eastAsia"/>
        </w:rPr>
        <w:t>2、主要内容。</w:t>
      </w:r>
      <w:r>
        <w:rPr>
          <w:rFonts w:ascii="仿宋_GB2312" w:hAnsi="仿宋_GB2312" w:cs="仿宋_GB2312" w:hint="eastAsia"/>
        </w:rPr>
        <w:t>主要包括麻浩河绿化美化工程项目监</w:t>
      </w:r>
      <w:r>
        <w:rPr>
          <w:rFonts w:ascii="仿宋_GB2312" w:hAnsi="仿宋_GB2312" w:cs="仿宋_GB2312" w:hint="eastAsia"/>
        </w:rPr>
        <w:t>理费12.24万元、中央文化人才专项经费2万元、</w:t>
      </w:r>
      <w:r>
        <w:rPr>
          <w:rFonts w:ascii="仿宋_GB2312" w:hAnsi="仿宋_GB2312" w:cs="仿宋_GB2312" w:hint="eastAsia"/>
        </w:rPr>
        <w:t>旅博会经费9.34万元、南游客中心项目疫情防控专项</w:t>
      </w:r>
      <w:r>
        <w:rPr>
          <w:rFonts w:ascii="仿宋_GB2312" w:hAnsi="仿宋_GB2312" w:cs="仿宋_GB2312" w:hint="eastAsia"/>
        </w:rPr>
        <w:t>经费50万元、农村水路客运成品油价格补助23.73</w:t>
      </w:r>
      <w:r>
        <w:rPr>
          <w:rFonts w:ascii="仿宋_GB2312" w:hAnsi="仿宋_GB2312" w:cs="仿宋_GB2312" w:hint="eastAsia"/>
        </w:rPr>
        <w:t>万元、购买景区责任险补助30万元、经营补贴13万元。</w:t>
      </w:r>
    </w:p>
    <w:p>
      <w:pPr>
        <w:ind w:firstLine="640"/>
        <w:rPr>
          <w:rFonts w:ascii="仿宋_GB2312" w:hAnsi="仿宋_GB2312" w:cs="仿宋_GB2312"/>
        </w:rPr>
      </w:pPr>
      <w:r>
        <w:rPr>
          <w:b w:val="1"/>
          <w:rFonts w:ascii="楷体_GB2312" w:eastAsia="楷体_GB2312" w:hAnsi="宋体" w:hint="eastAsia"/>
        </w:rPr>
        <w:t>3、实施情况。</w:t>
      </w:r>
      <w:r>
        <w:rPr>
          <w:rFonts w:ascii="仿宋_GB2312" w:hAnsi="仿宋_GB2312" w:cs="仿宋_GB2312" w:hint="eastAsia"/>
        </w:rPr>
        <w:t>按照文件规定的用途专款专用。</w:t>
      </w:r>
    </w:p>
    <w:p>
      <w:pPr>
        <w:spacing w:lineRule="exact" w:line="600"/>
        <w:ind w:firstLine="666"/>
        <w:rPr>
          <w:rFonts w:ascii="仿宋_GB2312" w:hAnsi="仿宋_GB2312" w:cs="仿宋_GB2312" w:hint="eastAsia"/>
        </w:rPr>
      </w:pPr>
      <w:r>
        <w:rPr>
          <w:b w:val="1"/>
          <w:rFonts w:ascii="楷体_GB2312" w:eastAsia="楷体_GB2312" w:hAnsi="宋体" w:hint="eastAsia"/>
        </w:rPr>
        <w:t>4、资金投入和使用情况。</w:t>
      </w:r>
      <w:r>
        <w:rPr>
          <w:rFonts w:ascii="仿宋_GB2312" w:hAnsi="仿宋_GB2312" w:cs="仿宋_GB2312" w:hint="eastAsia"/>
        </w:rPr>
        <w:t>大佛景区管委会按照年初</w:t>
      </w:r>
      <w:r>
        <w:rPr>
          <w:rFonts w:ascii="仿宋_GB2312" w:hAnsi="仿宋_GB2312" w:cs="仿宋_GB2312" w:hint="eastAsia"/>
        </w:rPr>
        <w:t>预算，将以上资金拨付给大佛旅投集团。资金使用严格</w:t>
      </w:r>
      <w:r>
        <w:rPr>
          <w:rFonts w:ascii="仿宋_GB2312" w:hAnsi="仿宋_GB2312" w:cs="仿宋_GB2312" w:hint="eastAsia"/>
        </w:rPr>
        <w:t>按照上级相关文件规定，由大佛旅投集团用于对应项目，</w:t>
      </w:r>
      <w:r>
        <w:rPr>
          <w:rFonts w:ascii="仿宋_GB2312" w:hAnsi="仿宋_GB2312" w:cs="仿宋_GB2312" w:hint="eastAsia"/>
        </w:rPr>
        <w:t>主要用于公司项目建设和日常经营发展。</w:t>
      </w:r>
    </w:p>
    <w:p>
      <w:p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（二）项目绩效目标。</w:t>
      </w:r>
    </w:p>
    <w:p>
      <w:pPr>
        <w:spacing w:lineRule="exact" w:line="600"/>
        <w:ind w:firstLine="509"/>
        <w:rPr>
          <w:rFonts w:ascii="仿宋_GB2312" w:hAnsi="仿宋_GB2312" w:cs="仿宋_GB2312" w:hint="eastAsia"/>
        </w:rPr>
      </w:pPr>
      <w:r>
        <w:rPr>
          <w:b w:val="1"/>
          <w:rFonts w:ascii="楷体_GB2312" w:eastAsia="楷体_GB2312" w:hAnsi="宋体" w:hint="eastAsia"/>
        </w:rPr>
        <w:t>总体目标：</w:t>
      </w:r>
      <w:r>
        <w:rPr>
          <w:rFonts w:ascii="仿宋_GB2312" w:hAnsi="仿宋_GB2312" w:cs="仿宋_GB2312" w:hint="eastAsia"/>
        </w:rPr>
        <w:t>加快建设世界重要旅游目的地，推动旅游</w:t>
      </w:r>
      <w:r>
        <w:rPr>
          <w:rFonts w:ascii="仿宋_GB2312" w:hAnsi="仿宋_GB2312" w:cs="仿宋_GB2312" w:hint="eastAsia"/>
        </w:rPr>
        <w:t>兴市，全面融入全省“四向拓展、全域开放”立体全面</w:t>
      </w:r>
      <w:r>
        <w:rPr>
          <w:rFonts w:ascii="仿宋_GB2312" w:hAnsi="仿宋_GB2312" w:cs="仿宋_GB2312" w:hint="eastAsia"/>
        </w:rPr>
        <w:t>开放新态势。努力实现大佛景区更有质量、更高效益、更</w:t>
      </w:r>
      <w:r>
        <w:rPr>
          <w:rFonts w:ascii="仿宋_GB2312" w:hAnsi="仿宋_GB2312" w:cs="仿宋_GB2312" w:hint="eastAsia"/>
        </w:rPr>
        <w:t>可持续的发展。</w:t>
      </w:r>
    </w:p>
    <w:p>
      <w:pPr>
        <w:spacing w:lineRule="exact" w:line="600"/>
        <w:ind w:firstLine="509"/>
        <w:rPr>
          <w:rFonts w:ascii="仿宋_GB2312" w:hAnsi="仿宋_GB2312" w:cs="仿宋_GB2312" w:hint="eastAsia"/>
        </w:rPr>
      </w:pPr>
      <w:r>
        <w:rPr>
          <w:b w:val="1"/>
          <w:rFonts w:ascii="楷体_GB2312" w:eastAsia="楷体_GB2312" w:hAnsi="宋体" w:hint="eastAsia"/>
        </w:rPr>
        <w:t>阶段性目标：</w:t>
      </w:r>
      <w:r>
        <w:rPr>
          <w:rFonts w:ascii="仿宋_GB2312" w:hAnsi="仿宋_GB2312" w:cs="仿宋_GB2312" w:hint="eastAsia"/>
        </w:rPr>
        <w:t>做大做强大佛旅投集团，保证公司基本</w:t>
      </w:r>
      <w:r>
        <w:rPr>
          <w:rFonts w:ascii="仿宋_GB2312" w:hAnsi="仿宋_GB2312" w:cs="仿宋_GB2312" w:hint="eastAsia"/>
        </w:rPr>
        <w:t>现金流量，为景区项目建设和公司可持续发展提供保障。</w:t>
      </w:r>
    </w:p>
    <w:p>
      <w:pPr>
        <w:spacing w:lineRule="exact" w:line="600"/>
        <w:ind w:firstLine="503"/>
        <w:rPr>
          <w:b w:val="1"/>
          <w:rFonts w:ascii="黑体" w:eastAsia="黑体" w:hAnsi="黑体" w:cs="黑体"/>
        </w:rPr>
      </w:pPr>
      <w:r>
        <w:rPr>
          <w:b w:val="1"/>
          <w:rFonts w:ascii="黑体" w:eastAsia="黑体" w:hAnsi="黑体" w:cs="黑体" w:hint="eastAsia"/>
        </w:rPr>
        <w:t>二、绩效评价工作开展情况</w:t>
      </w:r>
    </w:p>
    <w:p>
      <w:pPr>
        <w:spacing w:lineRule="exact" w:line="600"/>
        <w:ind w:firstLine="157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（一）绩效评价目的、对象和范围</w:t>
      </w:r>
    </w:p>
    <w:p>
      <w:pPr>
        <w:spacing w:lineRule="exact" w:line="600"/>
        <w:ind w:firstLine="504"/>
        <w:rPr>
          <w:rFonts w:ascii="仿宋_GB2312" w:hAnsi="仿宋_GB2312" w:cs="仿宋_GB2312" w:hint="eastAsia"/>
        </w:rPr>
      </w:pPr>
      <w:r>
        <w:rPr>
          <w:rFonts w:ascii="仿宋_GB2312" w:hAnsi="宋体" w:cs="仿宋_GB2312" w:hint="eastAsia"/>
        </w:rPr>
        <w:t>评价目的，就是评价专项的补助资金使用效果，是否</w:t>
      </w:r>
      <w:r>
        <w:rPr>
          <w:rFonts w:ascii="仿宋_GB2312" w:hAnsi="宋体" w:cs="仿宋_GB2312" w:hint="eastAsia"/>
        </w:rPr>
        <w:t>达到预期目标，评价对象为2020年大佛景区管委会拨</w:t>
      </w:r>
      <w:r>
        <w:rPr>
          <w:rFonts w:ascii="仿宋_GB2312" w:hAnsi="宋体" w:cs="仿宋_GB2312" w:hint="eastAsia"/>
        </w:rPr>
        <w:t>付的</w:t>
      </w:r>
      <w:r>
        <w:rPr>
          <w:rFonts w:ascii="仿宋_GB2312" w:hAnsi="仿宋_GB2312" w:cs="仿宋_GB2312" w:hint="eastAsia"/>
        </w:rPr>
        <w:t>经营项目补助资金257.31万元，评价范围包括</w:t>
      </w:r>
      <w:r>
        <w:rPr>
          <w:rFonts w:ascii="仿宋_GB2312" w:hAnsi="仿宋_GB2312" w:cs="仿宋_GB2312" w:hint="eastAsia"/>
        </w:rPr>
        <w:t>公司正常经营活动的开展，项目建设的正常推进，防疫</w:t>
      </w:r>
      <w:r>
        <w:rPr>
          <w:rFonts w:ascii="仿宋_GB2312" w:hAnsi="仿宋_GB2312" w:cs="仿宋_GB2312" w:hint="eastAsia"/>
        </w:rPr>
        <w:t>工作的有序保障。</w:t>
      </w:r>
    </w:p>
    <w:p>
      <w:pPr>
        <w:numPr>
          <w:ilvl w:val="0"/>
          <w:numId w:val="2"/>
        </w:num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绩效评价原则、评价指标体系、评价方法</w:t>
      </w:r>
    </w:p>
    <w:p>
      <w:pPr>
        <w:spacing w:lineRule="exact" w:line="600"/>
        <w:ind w:firstLine="196"/>
        <w:rPr>
          <w:b w:val="1"/>
          <w:rFonts w:ascii="仿宋_GB2312" w:hAnsi="宋体" w:cs="仿宋_GB2312"/>
        </w:rPr>
      </w:pPr>
      <w:r>
        <w:rPr>
          <w:b w:val="1"/>
          <w:rFonts w:ascii="仿宋_GB2312" w:hAnsi="宋体" w:cs="仿宋_GB2312" w:hint="eastAsia"/>
        </w:rPr>
        <w:t>绩效评价原则：</w:t>
      </w:r>
    </w:p>
    <w:p>
      <w:pPr>
        <w:numPr>
          <w:ilvl w:val="0"/>
          <w:numId w:val="3"/>
        </w:numPr>
        <w:spacing w:lineRule="exact" w:line="600"/>
        <w:ind w:firstLine="196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科学规范原则。严格执行规定的持续，按照科学</w:t>
      </w:r>
      <w:r>
        <w:rPr>
          <w:rFonts w:ascii="仿宋_GB2312" w:hAnsi="宋体" w:cs="仿宋_GB2312" w:hint="eastAsia"/>
        </w:rPr>
        <w:t>可行的要求，采用定量与定性分析的方法。</w:t>
      </w:r>
    </w:p>
    <w:p>
      <w:pPr>
        <w:numPr>
          <w:ilvl w:val="0"/>
          <w:numId w:val="3"/>
        </w:numPr>
        <w:spacing w:lineRule="exact" w:line="600"/>
        <w:ind w:firstLine="196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客观公正原则。符合真实、客观、公正的要求。</w:t>
      </w:r>
    </w:p>
    <w:p>
      <w:pPr>
        <w:spacing w:lineRule="exact" w:line="600"/>
        <w:ind w:firstLine="196"/>
        <w:rPr>
          <w:rFonts w:ascii="仿宋_GB2312" w:hAnsi="宋体" w:cs="仿宋_GB2312"/>
        </w:rPr>
      </w:pPr>
      <w:r>
        <w:rPr>
          <w:b w:val="1"/>
          <w:rFonts w:ascii="仿宋_GB2312" w:hAnsi="宋体" w:cs="仿宋_GB2312" w:hint="eastAsia"/>
        </w:rPr>
        <w:t>评价方法：</w:t>
      </w:r>
      <w:r>
        <w:rPr>
          <w:rFonts w:ascii="仿宋_GB2312" w:hAnsi="宋体" w:cs="仿宋_GB2312" w:hint="eastAsia"/>
        </w:rPr>
        <w:t>主要采用比较法、公正评判法、因素分析法。</w:t>
      </w:r>
    </w:p>
    <w:p>
      <w:pPr>
        <w:spacing w:lineRule="exact" w:line="600"/>
        <w:ind w:firstLine="196"/>
        <w:rPr>
          <w:rFonts w:ascii="仿宋_GB2312" w:hAnsi="宋体" w:cs="仿宋_GB2312"/>
        </w:rPr>
      </w:pPr>
      <w:r>
        <w:rPr>
          <w:b w:val="1"/>
          <w:rFonts w:ascii="仿宋_GB2312" w:hAnsi="宋体" w:cs="仿宋_GB2312" w:hint="eastAsia"/>
        </w:rPr>
        <w:t>评价指标体系</w:t>
      </w:r>
      <w:r>
        <w:rPr>
          <w:rFonts w:ascii="仿宋_GB2312" w:hAnsi="宋体" w:cs="仿宋_GB2312" w:hint="eastAsia"/>
        </w:rPr>
        <w:t>：根据省、市预算支出项目绩效评价的相</w:t>
      </w:r>
      <w:r>
        <w:rPr>
          <w:rFonts w:ascii="仿宋_GB2312" w:hAnsi="宋体" w:cs="仿宋_GB2312" w:hint="eastAsia"/>
        </w:rPr>
        <w:t>关规定，结合本项目实际，设立个性指标。</w:t>
      </w:r>
    </w:p>
    <w:p>
      <w:pPr>
        <w:numPr>
          <w:ilvl w:val="0"/>
          <w:numId w:val="2"/>
        </w:num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绩效评价工作过程</w:t>
      </w:r>
    </w:p>
    <w:p>
      <w:pPr>
        <w:spacing w:lineRule="exact" w:line="600"/>
        <w:ind w:firstLine="660"/>
        <w:rPr>
          <w:rFonts w:ascii="仿宋_GB2312" w:hAnsi="宋体" w:cs="仿宋_GB2312"/>
        </w:rPr>
        <w:wordWrap w:val="off"/>
      </w:pPr>
      <w:r>
        <w:rPr>
          <w:rFonts w:ascii="仿宋_GB2312" w:hAnsi="宋体" w:cs="仿宋_GB2312" w:hint="eastAsia"/>
        </w:rPr>
        <w:t>根据管委会相关部门的要求和评价体系，通知大佛</w:t>
      </w:r>
      <w:r>
        <w:rPr>
          <w:rFonts w:ascii="仿宋_GB2312" w:hAnsi="宋体" w:cs="仿宋_GB2312" w:hint="eastAsia"/>
        </w:rPr>
        <w:t>旅投集团提供材料；实地考察；形成现场评价结果和最</w:t>
      </w:r>
      <w:r>
        <w:rPr>
          <w:rFonts w:ascii="仿宋_GB2312" w:hAnsi="宋体" w:cs="仿宋_GB2312" w:hint="eastAsia"/>
        </w:rPr>
        <w:t>终评价结果。</w:t>
      </w:r>
    </w:p>
    <w:p>
      <w:pPr>
        <w:spacing w:lineRule="exact" w:line="600"/>
        <w:ind w:firstLine="669"/>
        <w:rPr>
          <w:rFonts w:ascii="仿宋_GB2312" w:hAnsi="仿宋_GB2312" w:cs="仿宋_GB2312"/>
        </w:rPr>
        <w:wordWrap w:val="off"/>
      </w:pPr>
      <w:r>
        <w:rPr>
          <w:b w:val="1"/>
          <w:rFonts w:ascii="黑体" w:eastAsia="黑体" w:hAnsi="黑体" w:cs="黑体" w:hint="eastAsia"/>
        </w:rPr>
        <w:t>三、综合评价情况及评价结论</w:t>
      </w:r>
    </w:p>
    <w:p>
      <w:pPr>
        <w:spacing w:lineRule="exact" w:line="600"/>
        <w:ind w:firstLine="654"/>
        <w:rPr>
          <w:rFonts w:ascii="仿宋_GB2312" w:hAnsi="宋体" w:cs="仿宋_GB2312" w:hint="eastAsia"/>
        </w:rPr>
      </w:pPr>
      <w:r>
        <w:rPr>
          <w:rFonts w:ascii="仿宋_GB2312" w:hAnsi="宋体" w:cs="仿宋_GB2312" w:hint="eastAsia"/>
        </w:rPr>
        <w:t>对大佛旅投集团的经营情况进行调研，检查麻浩河</w:t>
      </w:r>
      <w:r>
        <w:rPr>
          <w:rFonts w:ascii="仿宋_GB2312" w:hAnsi="宋体" w:cs="仿宋_GB2312" w:hint="eastAsia"/>
        </w:rPr>
        <w:t>项目监理费支付情况，查看南游客中心项目防疫物资购</w:t>
      </w:r>
      <w:r>
        <w:rPr>
          <w:rFonts w:ascii="仿宋_GB2312" w:hAnsi="宋体" w:cs="仿宋_GB2312" w:hint="eastAsia"/>
        </w:rPr>
        <w:t>买和使用情况等。</w:t>
      </w:r>
    </w:p>
    <w:p>
      <w:pPr>
        <w:spacing w:lineRule="exact" w:line="600"/>
        <w:ind w:firstLine="660"/>
        <w:rPr>
          <w:rFonts w:ascii="仿宋_GB2312" w:hAnsi="宋体" w:cs="仿宋_GB2312"/>
        </w:rPr>
        <w:wordWrap w:val="off"/>
      </w:pPr>
      <w:r>
        <w:rPr>
          <w:rFonts w:ascii="仿宋_GB2312" w:hAnsi="宋体" w:cs="仿宋_GB2312" w:hint="eastAsia"/>
        </w:rPr>
        <w:t>综合评价为良。</w:t>
      </w:r>
    </w:p>
    <w:p>
      <w:pPr>
        <w:spacing w:lineRule="exact" w:line="600"/>
        <w:ind w:firstLine="666"/>
        <w:rPr>
          <w:b w:val="1"/>
          <w:rFonts w:ascii="黑体" w:eastAsia="黑体" w:hAnsi="黑体" w:cs="黑体"/>
        </w:rPr>
      </w:pPr>
      <w:r>
        <w:rPr>
          <w:b w:val="1"/>
          <w:rFonts w:ascii="黑体" w:eastAsia="黑体" w:hAnsi="黑体" w:cs="黑体" w:hint="eastAsia"/>
        </w:rPr>
        <w:t>四、绩效评价指标分析</w:t>
      </w:r>
    </w:p>
    <w:p>
      <w:pPr>
        <w:spacing w:lineRule="exact" w:line="600"/>
        <w:ind w:firstLine="157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（一）项目决策情况</w:t>
      </w:r>
    </w:p>
    <w:p>
      <w:pPr>
        <w:spacing w:lineRule="exact" w:line="600"/>
        <w:ind w:firstLine="504"/>
        <w:rPr>
          <w:rFonts w:ascii="仿宋_GB2312" w:hAnsi="宋体" w:cs="仿宋_GB2312" w:hint="eastAsia"/>
        </w:rPr>
      </w:pPr>
      <w:r>
        <w:rPr>
          <w:rFonts w:ascii="仿宋_GB2312" w:hAnsi="宋体" w:cs="仿宋_GB2312" w:hint="eastAsia"/>
        </w:rPr>
        <w:t>2020项目是按照大佛旅投集团实际支付金额、省</w:t>
      </w:r>
      <w:r>
        <w:rPr>
          <w:rFonts w:ascii="仿宋_GB2312" w:hAnsi="宋体" w:cs="仿宋_GB2312" w:hint="eastAsia"/>
        </w:rPr>
        <w:t>级文件审批补贴金额纳入财政预算，按实拨付给大佛旅</w:t>
      </w:r>
      <w:r>
        <w:rPr>
          <w:rFonts w:ascii="仿宋_GB2312" w:hAnsi="宋体" w:cs="仿宋_GB2312" w:hint="eastAsia"/>
        </w:rPr>
        <w:t>投集团。</w:t>
      </w:r>
    </w:p>
    <w:p>
      <w:pPr>
        <w:numPr>
          <w:ilvl w:val="0"/>
          <w:numId w:val="4"/>
        </w:num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项目过程情况</w:t>
      </w:r>
    </w:p>
    <w:p>
      <w:pPr>
        <w:spacing w:lineRule="exact" w:line="600"/>
        <w:ind w:firstLine="504"/>
        <w:rPr>
          <w:color w:val="FF0000"/>
          <w:rFonts w:ascii="仿宋_GB2312" w:hAnsi="宋体" w:cs="仿宋_GB2312" w:hint="eastAsia"/>
        </w:rPr>
      </w:pPr>
      <w:r>
        <w:rPr>
          <w:rFonts w:ascii="仿宋_GB2312" w:hAnsi="仿宋_GB2312" w:cs="仿宋_GB2312" w:hint="eastAsia"/>
        </w:rPr>
        <w:t>麻浩河绿化美化工程项目监理费由大佛旅投集团根</w:t>
      </w:r>
      <w:r>
        <w:rPr>
          <w:rFonts w:ascii="仿宋_GB2312" w:hAnsi="仿宋_GB2312" w:cs="仿宋_GB2312" w:hint="eastAsia"/>
        </w:rPr>
        <w:t>据合同按程序支付；中央文化人才专项经费按规定支付</w:t>
      </w:r>
      <w:r>
        <w:rPr>
          <w:rFonts w:ascii="仿宋_GB2312" w:hAnsi="仿宋_GB2312" w:cs="仿宋_GB2312" w:hint="eastAsia"/>
        </w:rPr>
        <w:t>给公司扶贫人员；旅博会</w:t>
      </w:r>
      <w:r>
        <w:rPr>
          <w:color w:val="000000"/>
          <w:rFonts w:ascii="仿宋_GB2312" w:hAnsi="仿宋_GB2312" w:cs="仿宋_GB2312" w:hint="eastAsia"/>
          <w:lang/>
        </w:rPr>
        <w:t>项目对丰富群众文化生活，推</w:t>
      </w:r>
      <w:r>
        <w:rPr>
          <w:color w:val="000000"/>
          <w:rFonts w:ascii="仿宋_GB2312" w:hAnsi="仿宋_GB2312" w:cs="仿宋_GB2312" w:hint="eastAsia"/>
          <w:lang/>
        </w:rPr>
        <w:t>动当地文化、事业发展，提高城市文化品位、优化区域</w:t>
      </w:r>
      <w:r>
        <w:rPr>
          <w:color w:val="000000"/>
          <w:rFonts w:ascii="仿宋_GB2312" w:hAnsi="仿宋_GB2312" w:cs="仿宋_GB2312" w:hint="eastAsia"/>
          <w:lang/>
        </w:rPr>
        <w:t>投资环境具有重要意义；</w:t>
      </w:r>
      <w:r>
        <w:rPr>
          <w:rFonts w:ascii="仿宋_GB2312" w:hAnsi="仿宋_GB2312" w:cs="仿宋_GB2312" w:hint="eastAsia"/>
        </w:rPr>
        <w:t>南游客中心项目疫情防控专项</w:t>
      </w:r>
      <w:r>
        <w:rPr>
          <w:rFonts w:ascii="仿宋_GB2312" w:hAnsi="仿宋_GB2312" w:cs="仿宋_GB2312" w:hint="eastAsia"/>
        </w:rPr>
        <w:t>经费用于该项目防疫物资采购；其他经营补贴专项用于</w:t>
      </w:r>
      <w:r>
        <w:rPr>
          <w:rFonts w:ascii="仿宋_GB2312" w:hAnsi="仿宋_GB2312" w:cs="仿宋_GB2312" w:hint="eastAsia"/>
        </w:rPr>
        <w:t>企业生产经营所需。</w:t>
      </w:r>
    </w:p>
    <w:p>
      <w:pPr>
        <w:numPr>
          <w:ilvl w:val="0"/>
          <w:numId w:val="4"/>
        </w:num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项目产出情况</w:t>
      </w:r>
    </w:p>
    <w:p>
      <w:pPr>
        <w:spacing w:lineRule="exact" w:line="600"/>
        <w:ind w:firstLine="46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大佛旅投集团正常经营活动开展，项目建设正常推进，</w:t>
      </w:r>
      <w:r>
        <w:rPr>
          <w:rFonts w:ascii="仿宋_GB2312" w:hAnsi="仿宋_GB2312" w:cs="仿宋_GB2312" w:hint="eastAsia"/>
        </w:rPr>
        <w:t>防疫工作有序保障。</w:t>
      </w:r>
    </w:p>
    <w:p>
      <w:pPr>
        <w:numPr>
          <w:ilvl w:val="0"/>
          <w:numId w:val="4"/>
        </w:numPr>
        <w:spacing w:lineRule="exact" w:line="600"/>
        <w:ind w:firstLine="196"/>
        <w:rPr>
          <w:b w:val="1"/>
          <w:rFonts w:ascii="楷体_GB2312" w:eastAsia="楷体_GB2312" w:hAnsi="宋体"/>
        </w:rPr>
      </w:pPr>
      <w:r>
        <w:rPr>
          <w:b w:val="1"/>
          <w:rFonts w:ascii="楷体_GB2312" w:eastAsia="楷体_GB2312" w:hAnsi="宋体" w:hint="eastAsia"/>
        </w:rPr>
        <w:t>项目效益情况</w:t>
      </w:r>
    </w:p>
    <w:p>
      <w:pPr>
        <w:spacing w:lineRule="exact" w:line="600"/>
        <w:ind w:firstLine="46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2020年受疫情影响，大佛旅投集团营业收入大幅度</w:t>
      </w:r>
      <w:r>
        <w:rPr>
          <w:rFonts w:ascii="仿宋_GB2312" w:hAnsi="仿宋_GB2312" w:cs="仿宋_GB2312" w:hint="eastAsia"/>
        </w:rPr>
        <w:t>下降，经营困难，亏损严重，大佛管委会对公司的项目</w:t>
      </w:r>
      <w:r>
        <w:rPr>
          <w:rFonts w:ascii="仿宋_GB2312" w:hAnsi="仿宋_GB2312" w:cs="仿宋_GB2312" w:hint="eastAsia"/>
        </w:rPr>
        <w:t>补贴，增加了公司的现金流量，减少了企业亏损，缓解</w:t>
      </w:r>
      <w:r>
        <w:rPr>
          <w:rFonts w:ascii="仿宋_GB2312" w:hAnsi="仿宋_GB2312" w:cs="仿宋_GB2312" w:hint="eastAsia"/>
        </w:rPr>
        <w:t>了公司经营负担。</w:t>
      </w:r>
    </w:p>
    <w:p>
      <w:pPr>
        <w:spacing w:lineRule="exact" w:line="600"/>
        <w:ind w:firstLine="314"/>
        <w:rPr>
          <w:b w:val="1"/>
          <w:rFonts w:ascii="黑体" w:eastAsia="黑体" w:hAnsi="黑体" w:cs="黑体"/>
        </w:rPr>
      </w:pPr>
      <w:r>
        <w:rPr>
          <w:b w:val="1"/>
          <w:rFonts w:ascii="黑体" w:eastAsia="黑体" w:hAnsi="黑体" w:cs="黑体" w:hint="eastAsia"/>
        </w:rPr>
        <w:t>五、存在问题及建议</w:t>
      </w:r>
    </w:p>
    <w:p>
      <w:pPr>
        <w:spacing w:lineRule="exact" w:line="600"/>
        <w:ind w:firstLine="351"/>
        <w:rPr>
          <w:b w:val="1"/>
          <w:rFonts w:ascii="方正楷体_GBK" w:eastAsia="方正楷体_GBK" w:hAnsi="方正楷体_GBK" w:cs="方正楷体_GBK"/>
        </w:rPr>
        <w:wordWrap w:val="off"/>
      </w:pPr>
      <w:r>
        <w:rPr>
          <w:b w:val="1"/>
          <w:rFonts w:ascii="方正楷体_GBK" w:eastAsia="方正楷体_GBK" w:hAnsi="方正楷体_GBK" w:cs="方正楷体_GBK" w:hint="eastAsia"/>
        </w:rPr>
        <w:t>（一）存在主要问题</w:t>
      </w:r>
    </w:p>
    <w:p>
      <w:pPr>
        <w:spacing w:lineRule="exact" w:line="600"/>
        <w:ind w:firstLine="501"/>
        <w:rPr>
          <w:rFonts w:ascii="仿宋_GB2312" w:hAnsi="仿宋_GB2312" w:cs="仿宋_GB2312"/>
        </w:rPr>
        <w:wordWrap w:val="off"/>
      </w:pPr>
      <w:r>
        <w:rPr>
          <w:rFonts w:ascii="仿宋_GB2312" w:hAnsi="仿宋_GB2312" w:cs="仿宋_GB2312" w:hint="eastAsia"/>
        </w:rPr>
        <w:t>受疫情影响，今年财政困难，财政资金拨付不够及时。</w:t>
      </w:r>
    </w:p>
    <w:p>
      <w:pPr>
        <w:spacing w:lineRule="exact" w:line="600"/>
        <w:ind w:firstLine="351"/>
        <w:rPr>
          <w:b w:val="1"/>
          <w:rFonts w:ascii="方正楷体_GBK" w:eastAsia="方正楷体_GBK" w:hAnsi="方正楷体_GBK" w:cs="方正楷体_GBK"/>
        </w:rPr>
        <w:wordWrap w:val="off"/>
      </w:pPr>
      <w:r>
        <w:rPr>
          <w:b w:val="1"/>
          <w:rFonts w:ascii="方正楷体_GBK" w:eastAsia="方正楷体_GBK" w:hAnsi="方正楷体_GBK" w:cs="方正楷体_GBK" w:hint="eastAsia"/>
        </w:rPr>
        <w:t>（二）建议</w:t>
      </w:r>
    </w:p>
    <w:p>
      <w:pPr>
        <w:spacing w:lineRule="exact" w:line="600"/>
        <w:ind w:firstLine="504"/>
        <w:rPr>
          <w:rFonts w:ascii="仿宋_GB2312" w:hAnsi="仿宋_GB2312" w:cs="仿宋_GB2312"/>
        </w:rPr>
        <w:wordWrap w:val="off"/>
      </w:pPr>
      <w:r>
        <w:rPr>
          <w:rFonts w:ascii="仿宋_GB2312" w:hAnsi="仿宋_GB2312" w:cs="仿宋_GB2312" w:hint="eastAsia"/>
        </w:rPr>
        <w:t>对大佛旅投集团的项目补贴和经营补贴继续按时拨</w:t>
      </w:r>
      <w:r>
        <w:rPr>
          <w:rFonts w:ascii="仿宋_GB2312" w:hAnsi="仿宋_GB2312" w:cs="仿宋_GB2312" w:hint="eastAsia"/>
        </w:rPr>
        <w:t>付，支持公司经营活动的正常运行和景区建设项目的有</w:t>
      </w:r>
      <w:r>
        <w:rPr>
          <w:rFonts w:ascii="仿宋_GB2312" w:hAnsi="仿宋_GB2312" w:cs="仿宋_GB2312" w:hint="eastAsia"/>
        </w:rPr>
        <w:t>序推进。</w:t>
      </w:r>
    </w:p>
    <w:p>
      <w:pPr>
        <w:spacing w:lineRule="exact" w:line="600"/>
        <w:ind w:firstLine="196"/>
        <w:rPr>
          <w:color w:val="FF0000"/>
          <w:rFonts w:ascii="黑体" w:eastAsia="黑体" w:hAnsi="黑体" w:cs="黑体" w:hint="eastAsia"/>
        </w:rPr>
        <w:wordWrap w:val="off"/>
      </w:pPr>
      <w:r>
        <w:rPr>
          <w:color w:val="FF0000"/>
          <w:rFonts w:ascii="黑体" w:eastAsia="黑体" w:hAnsi="黑体" w:cs="黑体" w:hint="eastAsia"/>
        </w:rPr>
        <w:t xml:space="preserve"> </w:t>
      </w:r>
    </w:p>
    <w:p>
      <w:pPr>
        <w:spacing w:lineRule="exact" w:line="600"/>
        <w:ind w:firstLine="196"/>
        <w:rPr>
          <w:color w:val="FF0000"/>
          <w:rFonts w:ascii="黑体" w:eastAsia="黑体" w:hAnsi="黑体" w:cs="黑体" w:hint="eastAsia"/>
        </w:rPr>
        <w:wordWrap w:val="off"/>
      </w:pPr>
    </w:p>
    <w:p>
      <w:pPr>
        <w:spacing w:lineRule="exact" w:line="600"/>
        <w:ind w:firstLine="196"/>
        <w:rPr>
          <w:color w:val="FF0000"/>
          <w:rFonts w:ascii="黑体" w:eastAsia="黑体" w:hAnsi="黑体" w:cs="黑体" w:hint="eastAsia"/>
        </w:rPr>
        <w:wordWrap w:val="off"/>
      </w:pPr>
    </w:p>
    <w:p>
      <w:pPr>
        <w:jc w:val="right"/>
        <w:spacing w:lineRule="exact" w:line="600"/>
        <w:ind w:firstLine="196"/>
        <w:rPr>
          <w:rFonts w:ascii="仿宋_GB2312" w:hAnsi="仿宋_GB2312" w:cs="仿宋_GB2312" w:hint="eastAsia"/>
        </w:rPr>
        <w:wordWrap w:val="off"/>
      </w:pPr>
      <w:r>
        <w:rPr>
          <w:rFonts w:ascii="仿宋_GB2312" w:hAnsi="仿宋_GB2312" w:cs="仿宋_GB2312" w:hint="eastAsia"/>
        </w:rPr>
        <w:t>乐山大佛旅游投资开发（集团）有限公司</w:t>
      </w:r>
    </w:p>
    <w:p>
      <w:pPr>
        <w:spacing w:lineRule="exact" w:line="600"/>
        <w:ind w:right="624" w:firstLine="4648"/>
        <w:rPr>
          <w:color w:val="FF0000"/>
          <w:rFonts w:ascii="仿宋_GB2312" w:hAnsi="仿宋_GB2312" w:cs="仿宋_GB2312"/>
        </w:rPr>
        <w:wordWrap w:val="off"/>
      </w:pPr>
      <w:r>
        <w:rPr>
          <w:rFonts w:ascii="仿宋_GB2312" w:hAnsi="仿宋_GB2312" w:cs="仿宋_GB2312" w:hint="eastAsia"/>
        </w:rPr>
        <w:t>2021年8月24日</w:t>
      </w:r>
    </w:p>
    <w:sectPr>
      <w:headerReference w:type="default" r:id="rId5"/>
      <w:footerReference w:type="even" r:id="rId6"/>
      <w:footerReference w:type="default" r:id="rId7"/>
      <w:pgSz w:w="11906" w:h="16838"/>
      <w:pgMar w:top="2098" w:left="1588" w:bottom="2041" w:right="1531" w:header="851" w:footer="1418" w:gutter="0"/>
      <w:pgNumType w:fmt="numberInDash"/>
      <w:docGrid w:type="linesAndChars" w:linePitch="577" w:charSpace="-1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134"/>
    <w:family w:val="modern"/>
    <w:pitch w:val="fixed"/>
    <w:sig w:usb0="00000001" w:usb1="080e0000" w:usb2="00000010" w:usb3="00000000" w:csb0="00040000" w:csb1="00000000"/>
  </w:font>
  <w:font w:name="??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134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134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panose1/>
    <w:charset w:val="52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ind w:firstLine="100"/>
      <w:rPr>
        <w:sz w:val="28"/>
        <w:szCs w:val="28"/>
        <w:rFonts w:ascii="宋体" w:eastAsia="宋体" w:hAnsi="宋体"/>
      </w:rPr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3"/>
        <w:sz w:val="28"/>
        <w:szCs w:val="28"/>
        <w:rFonts w:ascii="宋体" w:eastAsia="宋体" w:hAnsi="宋体"/>
      </w:rPr>
      <w:t xml:space="preserve">- 26 -</w:t>
    </w:r>
    <w:r>
      <w:rPr>
        <w:rStyle w:val="PO153"/>
        <w:sz w:val="28"/>
        <w:szCs w:val="28"/>
        <w:rFonts w:ascii="宋体" w:eastAsia="宋体" w:hAnsi="宋体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right"/>
      <w:ind w:right="307" w:firstLine="0"/>
      <w:rPr>
        <w:sz w:val="28"/>
        <w:szCs w:val="28"/>
        <w:rFonts w:ascii="宋体" w:eastAsia="宋体" w:hAnsi="宋体"/>
      </w:rPr>
    </w:pPr>
    <w:r>
      <w:rPr>
        <w:sz w:val="20"/>
      </w:rPr>
      <w:pict>
        <v:shape id="_x0000_s5" style="position:absolute;left:0;margin-left:0pt;mso-position-horizontal:right;mso-position-horizontal-relative:margin;margin-top:0pt;mso-position-vertical:absolute;mso-position-vertical-relative:text;width:35.6pt;height:36.3pt;z-index:251624960;mso-wrap-style:none" coordsize="452120,461010" path="m0,0l452120,0l452120,461010l0,461010xe" stroked="f" filled="f">
          <v:textbox style="mso-fit-shape-to-text:t;" inset="0pt,0pt,0pt,0pt">
            <w:txbxContent>
              <w:p>
                <w:pPr>
                  <w:pStyle w:val="PO151"/>
                  <w:jc w:val="right"/>
                  <w:ind w:right="307" w:firstLine="0"/>
                  <w:rPr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>PAGE  \* MERGEFORMAT</w:instrText>
                </w:r>
                <w:r>
                  <w:fldChar w:fldCharType="separate"/>
                </w:r>
                <w:r>
                  <w:rPr>
                    <w:rStyle w:val="PO153"/>
                    <w:sz w:val="28"/>
                    <w:szCs w:val="28"/>
                    <w:rFonts w:ascii="宋体" w:eastAsia="宋体" w:hAnsi="宋体"/>
                  </w:rPr>
                  <w:t xml:space="preserve">- 1 </w:t>
                </w:r>
                <w:r>
                  <w:fldChar w:fldCharType="separate"/>
                </w:r>
                <w:r>
                  <w:rPr>
                    <w:rStyle w:val="PO153"/>
                    <w:sz w:val="28"/>
                    <w:szCs w:val="28"/>
                    <w:rFonts w:ascii="宋体" w:eastAsia="宋体" w:hAnsi="宋体"/>
                  </w:rPr>
                  <w:t>-</w:t>
                </w:r>
                <w:r>
                  <w:rPr>
                    <w:rStyle w:val="PO153"/>
                    <w:sz w:val="28"/>
                    <w:szCs w:val="28"/>
                    <w:rFonts w:ascii="宋体" w:eastAsia="宋体" w:hAnsi="宋体"/>
                  </w:rPr>
                  <w:fldChar w:fldCharType="end"/>
                </w:r>
              </w:p>
            </w:txbxContent>
          </v:textbox>
        </v:shape>
      </w:pict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both"/>
      <w:pBdr>
        <w:bottom w:val="nil" w:sz="0" w:space="0" w:color="000000"/>
      </w:pBd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chineseCounting"/>
      <w:start w:val="2"/>
      <w:suff w:val="nothing"/>
      <w:rPr>
        <w:rFonts w:hint="eastAsia"/>
      </w:rPr>
      <w:lvlText w:val="（%1）"/>
    </w:lvl>
    <w:lvl w:ilvl="1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2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3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4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5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6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7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8">
      <w:lvlJc w:val="left"/>
      <w:numFmt w:val="bullet"/>
      <w:suff w:val="tab"/>
      <w:pPr>
        <w:tabs>
          <w:tab w:val="left" w:pos="360"/>
        </w:tabs>
        <w:rPr/>
      </w:pPr>
      <w:rPr/>
      <w:lvlText w:val=""/>
    </w:lvl>
  </w:abstractNum>
  <w:abstractNum w:abstractNumId="1">
    <w:multiLevelType w:val="hybridMultilevel"/>
    <w:nsid w:val="2F000001"/>
    <w:tmpl w:val="1F002411"/>
    <w:lvl w:ilvl="0">
      <w:lvlJc w:val="left"/>
      <w:numFmt w:val="chineseCounting"/>
      <w:start w:val="1"/>
      <w:suff w:val="space"/>
      <w:rPr>
        <w:rFonts w:hint="eastAsia"/>
      </w:rPr>
      <w:lvlText w:val="第%1部分"/>
    </w:lvl>
    <w:lvl w:ilvl="1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2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3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4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5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6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7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8">
      <w:lvlJc w:val="left"/>
      <w:numFmt w:val="bullet"/>
      <w:suff w:val="tab"/>
      <w:pPr>
        <w:tabs>
          <w:tab w:val="left" w:pos="360"/>
        </w:tabs>
        <w:rPr/>
      </w:pPr>
      <w:rPr/>
      <w:lvlText w:val="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1"/>
      <w:suff w:val="nothing"/>
      <w:rPr/>
      <w:lvlText w:val="%1、"/>
    </w:lvl>
    <w:lvl w:ilvl="1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2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3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4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5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6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7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8">
      <w:lvlJc w:val="left"/>
      <w:numFmt w:val="bullet"/>
      <w:suff w:val="tab"/>
      <w:pPr>
        <w:tabs>
          <w:tab w:val="left" w:pos="360"/>
        </w:tabs>
        <w:rPr/>
      </w:pPr>
      <w:rPr/>
      <w:lvlText w:val=""/>
    </w:lvl>
  </w:abstractNum>
  <w:abstractNum w:abstractNumId="3">
    <w:multiLevelType w:val="hybridMultilevel"/>
    <w:nsid w:val="2F000003"/>
    <w:tmpl w:val="1F0033C2"/>
    <w:lvl w:ilvl="0">
      <w:lvlJc w:val="left"/>
      <w:numFmt w:val="chineseCounting"/>
      <w:start w:val="2"/>
      <w:suff w:val="nothing"/>
      <w:rPr>
        <w:rFonts w:hint="eastAsia"/>
      </w:rPr>
      <w:lvlText w:val="（%1）"/>
    </w:lvl>
    <w:lvl w:ilvl="1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2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3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4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5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6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7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8">
      <w:lvlJc w:val="left"/>
      <w:numFmt w:val="bullet"/>
      <w:suff w:val="tab"/>
      <w:pPr>
        <w:tabs>
          <w:tab w:val="left" w:pos="360"/>
        </w:tabs>
        <w:rPr/>
      </w:pPr>
      <w:rPr/>
      <w:lvlText w:val="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1"/>
      <w:suff w:val="nothing"/>
      <w:rPr/>
      <w:lvlText w:val="%1、"/>
    </w:lvl>
    <w:lvl w:ilvl="1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2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3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4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5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6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7">
      <w:lvlJc w:val="left"/>
      <w:numFmt w:val="bullet"/>
      <w:suff w:val="tab"/>
      <w:pPr>
        <w:tabs>
          <w:tab w:val="left" w:pos="360"/>
        </w:tabs>
        <w:rPr/>
      </w:pPr>
      <w:rPr/>
      <w:lvlText w:val=""/>
    </w:lvl>
    <w:lvl w:ilvl="8">
      <w:lvlJc w:val="left"/>
      <w:numFmt w:val="bullet"/>
      <w:suff w:val="tab"/>
      <w:pPr>
        <w:tabs>
          <w:tab w:val="left" w:pos="360"/>
        </w:tabs>
        <w:rPr/>
      </w:pPr>
      <w:rPr/>
      <w:lvlText w:val="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32"/>
      <w:szCs w:val="32"/>
      <w:rFonts w:ascii="Times New Roman" w:eastAsia="仿宋_GB2312" w:hAnsi="Times New Roman" w:cs="Times New Roman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ind w:firstLine="420"/>
      <w:rPr/>
    </w:pPr>
  </w:style>
  <w:style w:styleId="PO151" w:type="paragraph">
    <w:name w:val="footer"/>
    <w:basedOn w:val="PO1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qFormat/>
    <w:uiPriority w:val="152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character">
    <w:name w:val="page number"/>
    <w:qFormat/>
    <w:uiPriority w:val="153"/>
  </w:style>
  <w:style w:customStyle="1" w:styleId="PO154" w:type="paragraph">
    <w:name w:val="四号正文"/>
    <w:basedOn w:val="PO1"/>
    <w:qFormat/>
    <w:uiPriority w:val="154"/>
    <w:pPr>
      <w:spacing w:lineRule="auto" w:line="360"/>
      <w:rPr/>
    </w:pPr>
    <w:rPr>
      <w:color w:val="000000"/>
      <w:sz w:val="28"/>
      <w:szCs w:val="28"/>
      <w:rFonts w:ascii="??" w:eastAsia="宋体" w:hAnsi="??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3.xml"></Relationship><Relationship Id="rId7" Type="http://schemas.openxmlformats.org/officeDocument/2006/relationships/footer" Target="footer4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1469</Characters>
  <CharactersWithSpaces>0</CharactersWithSpaces>
  <DocSecurity>0</DocSecurity>
  <HyperlinksChanged>false</HyperlinksChanged>
  <Lines>10</Lines>
  <LinksUpToDate>false</LinksUpToDate>
  <Pages>4</Pages>
  <Paragraphs>2</Paragraphs>
  <Words>219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2021-08-25T03:08:00Z</dcterms:modified>
</cp:coreProperties>
</file>