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A36" w:rsidRDefault="00B53A36">
      <w:pPr>
        <w:spacing w:line="560" w:lineRule="exact"/>
        <w:rPr>
          <w:rFonts w:ascii="黑体" w:eastAsia="黑体" w:hAnsi="黑体"/>
        </w:rPr>
      </w:pPr>
    </w:p>
    <w:p w:rsidR="00B077BD" w:rsidRDefault="00B077BD" w:rsidP="00B077BD">
      <w:pPr>
        <w:tabs>
          <w:tab w:val="left" w:pos="1440"/>
        </w:tabs>
        <w:spacing w:line="560" w:lineRule="exact"/>
        <w:rPr>
          <w:rFonts w:ascii="方正小标宋简体" w:eastAsia="方正小标宋简体" w:hAnsi="宋体"/>
          <w:sz w:val="44"/>
          <w:szCs w:val="44"/>
        </w:rPr>
      </w:pPr>
      <w:bookmarkStart w:id="0" w:name="_GoBack"/>
      <w:bookmarkEnd w:id="0"/>
      <w:r w:rsidRPr="00B077BD">
        <w:rPr>
          <w:rFonts w:ascii="方正小标宋简体" w:eastAsia="方正小标宋简体" w:hAnsi="宋体" w:hint="eastAsia"/>
          <w:sz w:val="44"/>
          <w:szCs w:val="44"/>
        </w:rPr>
        <w:t>乐山市体育中心备战省十四运会经费</w:t>
      </w:r>
    </w:p>
    <w:p w:rsidR="00B53A36" w:rsidRDefault="004B6F67" w:rsidP="00B077BD">
      <w:pPr>
        <w:tabs>
          <w:tab w:val="left" w:pos="1440"/>
        </w:tabs>
        <w:spacing w:line="560" w:lineRule="exact"/>
        <w:ind w:firstLineChars="300" w:firstLine="1320"/>
        <w:rPr>
          <w:rFonts w:ascii="方正小标宋简体" w:eastAsia="方正小标宋简体" w:hAnsi="宋体"/>
          <w:sz w:val="44"/>
          <w:szCs w:val="44"/>
        </w:rPr>
      </w:pPr>
      <w:r>
        <w:rPr>
          <w:rFonts w:ascii="方正小标宋简体" w:eastAsia="方正小标宋简体" w:hAnsi="宋体" w:hint="eastAsia"/>
          <w:sz w:val="44"/>
          <w:szCs w:val="44"/>
        </w:rPr>
        <w:t>项目支出绩效自评报告</w:t>
      </w:r>
    </w:p>
    <w:p w:rsidR="008C5568" w:rsidRDefault="008C5568" w:rsidP="008C5568">
      <w:pPr>
        <w:pStyle w:val="a3"/>
        <w:spacing w:line="560" w:lineRule="exact"/>
        <w:jc w:val="center"/>
        <w:rPr>
          <w:rFonts w:ascii="仿宋_GB2312" w:eastAsia="仿宋_GB2312" w:hAnsi="宋体"/>
          <w:color w:val="auto"/>
          <w:kern w:val="2"/>
          <w:sz w:val="32"/>
          <w:szCs w:val="32"/>
        </w:rPr>
      </w:pPr>
    </w:p>
    <w:p w:rsidR="008C5568" w:rsidRDefault="008C5568" w:rsidP="008C5568">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介绍项目基本情况：</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（一）项目资金申报及批复情况。</w:t>
      </w:r>
    </w:p>
    <w:p w:rsidR="008C5568" w:rsidRDefault="008C5568" w:rsidP="008C5568">
      <w:pPr>
        <w:adjustRightInd w:val="0"/>
        <w:snapToGrid w:val="0"/>
        <w:spacing w:line="560" w:lineRule="exact"/>
        <w:ind w:firstLine="720"/>
        <w:rPr>
          <w:rFonts w:ascii="仿宋_GB2312" w:hAnsi="宋体" w:hint="eastAsia"/>
          <w:lang w:val="zh-CN"/>
        </w:rPr>
      </w:pPr>
      <w:r w:rsidRPr="008C5568">
        <w:rPr>
          <w:rFonts w:ascii="仿宋_GB2312" w:hAnsi="宋体" w:hint="eastAsia"/>
          <w:lang w:val="zh-CN"/>
        </w:rPr>
        <w:t>为切实抓好省第十四届运动会备战任务，确保顺利完成总体参赛目标。</w:t>
      </w:r>
      <w:r>
        <w:rPr>
          <w:rFonts w:ascii="仿宋_GB2312" w:hAnsi="宋体" w:hint="eastAsia"/>
          <w:lang w:val="zh-CN"/>
        </w:rPr>
        <w:t>特申报预算金额2000000元，预算批复2000000元，2021年度支付金额</w:t>
      </w:r>
      <w:r>
        <w:rPr>
          <w:rFonts w:ascii="仿宋_GB2312" w:hAnsi="宋体"/>
          <w:lang w:val="zh-CN"/>
        </w:rPr>
        <w:t>63</w:t>
      </w:r>
      <w:r w:rsidRPr="008C5568">
        <w:rPr>
          <w:rFonts w:ascii="仿宋_GB2312" w:hAnsi="宋体"/>
          <w:lang w:val="zh-CN"/>
        </w:rPr>
        <w:t>33029</w:t>
      </w:r>
      <w:r>
        <w:rPr>
          <w:rFonts w:ascii="仿宋_GB2312" w:hAnsi="宋体" w:hint="eastAsia"/>
          <w:lang w:val="zh-CN"/>
        </w:rPr>
        <w:t>元，执行率为</w:t>
      </w:r>
      <w:r w:rsidRPr="008C5568">
        <w:rPr>
          <w:rFonts w:ascii="仿宋_GB2312" w:hAnsi="宋体"/>
          <w:lang w:val="zh-CN"/>
        </w:rPr>
        <w:t>31.67%</w:t>
      </w:r>
      <w:r>
        <w:rPr>
          <w:rFonts w:ascii="仿宋_GB2312" w:hAnsi="宋体" w:hint="eastAsia"/>
          <w:lang w:val="zh-CN"/>
        </w:rPr>
        <w:t>。</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8C5568" w:rsidRDefault="008C5568" w:rsidP="008C5568">
      <w:pPr>
        <w:adjustRightInd w:val="0"/>
        <w:snapToGrid w:val="0"/>
        <w:spacing w:line="560" w:lineRule="exact"/>
        <w:ind w:firstLine="720"/>
        <w:rPr>
          <w:rFonts w:ascii="仿宋_GB2312" w:hAnsi="宋体"/>
          <w:lang w:val="zh-CN"/>
        </w:rPr>
      </w:pPr>
      <w:r w:rsidRPr="0025430C">
        <w:rPr>
          <w:rFonts w:ascii="仿宋_GB2312" w:hAnsi="宋体" w:hint="eastAsia"/>
          <w:lang w:val="zh-CN"/>
        </w:rPr>
        <w:t>2021年需大量水、电保障，需购消毒用、体品育耗材、场馆工作人员服装；需聘用工作人员为各场馆提供保安、卫生、设备管理工作；需去各地考察、学习；需聘用第三方工作人员提供各场馆绿化工作、提供工作餐保障；需购置国民体质监测专用设备。</w:t>
      </w:r>
      <w:r>
        <w:rPr>
          <w:rFonts w:ascii="仿宋_GB2312" w:hAnsi="宋体" w:hint="eastAsia"/>
          <w:lang w:val="zh-CN"/>
        </w:rPr>
        <w:t>为保障</w:t>
      </w:r>
      <w:r w:rsidRPr="0025430C">
        <w:rPr>
          <w:rFonts w:ascii="仿宋_GB2312" w:hAnsi="宋体" w:hint="eastAsia"/>
          <w:lang w:val="zh-CN"/>
        </w:rPr>
        <w:t>中心体育馆、体育场、游泳场正常有序开放，</w:t>
      </w:r>
      <w:r>
        <w:rPr>
          <w:rFonts w:ascii="仿宋_GB2312" w:hAnsi="宋体" w:hint="eastAsia"/>
          <w:lang w:val="zh-CN"/>
        </w:rPr>
        <w:t>中心根据项目资金的使用制定了一系列项目绩效目标。</w:t>
      </w:r>
    </w:p>
    <w:p w:rsidR="008C5568" w:rsidRDefault="008C5568" w:rsidP="008C5568">
      <w:pPr>
        <w:adjustRightInd w:val="0"/>
        <w:snapToGrid w:val="0"/>
        <w:spacing w:line="560" w:lineRule="exact"/>
        <w:ind w:firstLine="720"/>
        <w:rPr>
          <w:rFonts w:ascii="仿宋_GB2312" w:hAnsi="宋体"/>
          <w:lang w:val="zh-CN"/>
        </w:rPr>
      </w:pPr>
      <w:r w:rsidRPr="004C020D">
        <w:rPr>
          <w:rFonts w:ascii="仿宋_GB2312" w:hAnsi="宋体" w:hint="eastAsia"/>
          <w:lang w:val="zh-CN"/>
        </w:rPr>
        <w:t>投入与管理</w:t>
      </w:r>
      <w:r>
        <w:rPr>
          <w:rFonts w:ascii="仿宋_GB2312" w:hAnsi="宋体" w:hint="eastAsia"/>
          <w:lang w:val="zh-CN"/>
        </w:rPr>
        <w:t>：1、</w:t>
      </w:r>
      <w:r w:rsidRPr="004C020D">
        <w:rPr>
          <w:rFonts w:ascii="仿宋_GB2312" w:hAnsi="宋体" w:hint="eastAsia"/>
          <w:lang w:val="zh-CN"/>
        </w:rPr>
        <w:t>投入管理</w:t>
      </w:r>
      <w:r>
        <w:rPr>
          <w:rFonts w:ascii="仿宋_GB2312" w:hAnsi="宋体" w:hint="eastAsia"/>
          <w:lang w:val="zh-CN"/>
        </w:rPr>
        <w:t>：</w:t>
      </w:r>
      <w:r w:rsidRPr="004C020D">
        <w:rPr>
          <w:rFonts w:ascii="仿宋_GB2312" w:hAnsi="宋体" w:hint="eastAsia"/>
          <w:lang w:val="zh-CN"/>
        </w:rPr>
        <w:t>预算编制合理</w:t>
      </w:r>
      <w:r>
        <w:rPr>
          <w:rFonts w:ascii="仿宋_GB2312" w:hAnsi="宋体" w:hint="eastAsia"/>
          <w:lang w:val="zh-CN"/>
        </w:rPr>
        <w:t>，</w:t>
      </w:r>
      <w:r w:rsidRPr="004C020D">
        <w:rPr>
          <w:rFonts w:ascii="仿宋_GB2312" w:hAnsi="宋体" w:hint="eastAsia"/>
          <w:lang w:val="zh-CN"/>
        </w:rPr>
        <w:t>预算资金到位率</w:t>
      </w:r>
      <w:r>
        <w:rPr>
          <w:rFonts w:ascii="仿宋_GB2312" w:hAnsi="宋体" w:hint="eastAsia"/>
          <w:lang w:val="zh-CN"/>
        </w:rPr>
        <w:t>100%，</w:t>
      </w:r>
      <w:r w:rsidRPr="004C020D">
        <w:rPr>
          <w:rFonts w:ascii="仿宋_GB2312" w:hAnsi="宋体" w:hint="eastAsia"/>
          <w:lang w:val="zh-CN"/>
        </w:rPr>
        <w:t>预算执行率</w:t>
      </w:r>
      <w:r>
        <w:rPr>
          <w:rFonts w:ascii="仿宋_GB2312" w:hAnsi="宋体" w:hint="eastAsia"/>
          <w:lang w:val="zh-CN"/>
        </w:rPr>
        <w:t>100%。2、财务管理：资金使用规范，</w:t>
      </w:r>
      <w:r w:rsidRPr="004C020D">
        <w:rPr>
          <w:rFonts w:ascii="仿宋_GB2312" w:hAnsi="宋体" w:hint="eastAsia"/>
          <w:lang w:val="zh-CN"/>
        </w:rPr>
        <w:t>财务监控有效性</w:t>
      </w:r>
      <w:r>
        <w:rPr>
          <w:rFonts w:ascii="仿宋_GB2312" w:hAnsi="宋体" w:hint="eastAsia"/>
          <w:lang w:val="zh-CN"/>
        </w:rPr>
        <w:t>，</w:t>
      </w:r>
      <w:r w:rsidRPr="004C020D">
        <w:rPr>
          <w:rFonts w:ascii="仿宋_GB2312" w:hAnsi="宋体" w:hint="eastAsia"/>
          <w:lang w:val="zh-CN"/>
        </w:rPr>
        <w:t>财务管理制度健全性</w:t>
      </w:r>
      <w:r>
        <w:rPr>
          <w:rFonts w:ascii="仿宋_GB2312" w:hAnsi="宋体" w:hint="eastAsia"/>
          <w:lang w:val="zh-CN"/>
        </w:rPr>
        <w:t>。3、</w:t>
      </w:r>
      <w:r w:rsidRPr="004C020D">
        <w:rPr>
          <w:rFonts w:ascii="仿宋_GB2312" w:hAnsi="宋体" w:hint="eastAsia"/>
          <w:lang w:val="zh-CN"/>
        </w:rPr>
        <w:t>实施管理</w:t>
      </w:r>
      <w:r>
        <w:rPr>
          <w:rFonts w:ascii="仿宋_GB2312" w:hAnsi="宋体" w:hint="eastAsia"/>
          <w:lang w:val="zh-CN"/>
        </w:rPr>
        <w:t>：</w:t>
      </w:r>
      <w:r w:rsidRPr="004C020D">
        <w:rPr>
          <w:rFonts w:ascii="仿宋_GB2312" w:hAnsi="宋体" w:hint="eastAsia"/>
          <w:lang w:val="zh-CN"/>
        </w:rPr>
        <w:t>项目质量可控</w:t>
      </w:r>
      <w:r>
        <w:rPr>
          <w:rFonts w:ascii="仿宋_GB2312" w:hAnsi="宋体" w:hint="eastAsia"/>
          <w:lang w:val="zh-CN"/>
        </w:rPr>
        <w:t>，</w:t>
      </w:r>
      <w:r w:rsidRPr="004C020D">
        <w:rPr>
          <w:rFonts w:ascii="仿宋_GB2312" w:hAnsi="宋体" w:hint="eastAsia"/>
          <w:lang w:val="zh-CN"/>
        </w:rPr>
        <w:t>合同管理完备</w:t>
      </w:r>
      <w:r>
        <w:rPr>
          <w:rFonts w:ascii="仿宋_GB2312" w:hAnsi="宋体" w:hint="eastAsia"/>
          <w:lang w:val="zh-CN"/>
        </w:rPr>
        <w:t>，</w:t>
      </w:r>
      <w:r w:rsidRPr="004C020D">
        <w:rPr>
          <w:rFonts w:ascii="仿宋_GB2312" w:hAnsi="宋体" w:hint="eastAsia"/>
          <w:lang w:val="zh-CN"/>
        </w:rPr>
        <w:t>政府采购规范</w:t>
      </w:r>
      <w:r>
        <w:rPr>
          <w:rFonts w:ascii="仿宋_GB2312" w:hAnsi="宋体" w:hint="eastAsia"/>
          <w:lang w:val="zh-CN"/>
        </w:rPr>
        <w:t>，</w:t>
      </w:r>
      <w:r w:rsidRPr="004C020D">
        <w:rPr>
          <w:rFonts w:ascii="仿宋_GB2312" w:hAnsi="宋体" w:hint="eastAsia"/>
          <w:lang w:val="zh-CN"/>
        </w:rPr>
        <w:t>项目管理制度健全</w:t>
      </w:r>
      <w:r>
        <w:rPr>
          <w:rFonts w:ascii="仿宋_GB2312" w:hAnsi="宋体" w:hint="eastAsia"/>
          <w:lang w:val="zh-CN"/>
        </w:rPr>
        <w:t>。</w:t>
      </w:r>
    </w:p>
    <w:p w:rsidR="00E81F7D" w:rsidRDefault="008C5568" w:rsidP="008C5568">
      <w:pPr>
        <w:adjustRightInd w:val="0"/>
        <w:snapToGrid w:val="0"/>
        <w:spacing w:line="560" w:lineRule="exact"/>
        <w:ind w:firstLine="720"/>
        <w:rPr>
          <w:rFonts w:ascii="仿宋_GB2312" w:hAnsi="宋体" w:hint="eastAsia"/>
          <w:lang w:val="zh-CN"/>
        </w:rPr>
      </w:pPr>
      <w:r w:rsidRPr="004C020D">
        <w:rPr>
          <w:rFonts w:ascii="仿宋_GB2312" w:hAnsi="宋体" w:hint="eastAsia"/>
          <w:lang w:val="zh-CN"/>
        </w:rPr>
        <w:lastRenderedPageBreak/>
        <w:t>产出指标</w:t>
      </w:r>
      <w:r>
        <w:rPr>
          <w:rFonts w:ascii="仿宋_GB2312" w:hAnsi="宋体" w:hint="eastAsia"/>
          <w:lang w:val="zh-CN"/>
        </w:rPr>
        <w:t>：</w:t>
      </w:r>
      <w:r w:rsidR="00E81F7D">
        <w:rPr>
          <w:rFonts w:ascii="仿宋_GB2312" w:hAnsi="宋体" w:hint="eastAsia"/>
          <w:lang w:val="zh-CN"/>
        </w:rPr>
        <w:t xml:space="preserve"> </w:t>
      </w:r>
      <w:r w:rsidR="0096287A">
        <w:rPr>
          <w:rFonts w:ascii="仿宋_GB2312" w:hAnsi="宋体" w:hint="eastAsia"/>
          <w:lang w:val="zh-CN"/>
        </w:rPr>
        <w:t>100%</w:t>
      </w:r>
      <w:r w:rsidR="00E81F7D">
        <w:rPr>
          <w:rFonts w:ascii="仿宋_GB2312" w:hAnsi="宋体" w:hint="eastAsia"/>
          <w:lang w:val="zh-CN"/>
        </w:rPr>
        <w:t>完成省运会比赛项目。</w:t>
      </w:r>
    </w:p>
    <w:p w:rsidR="00E81F7D" w:rsidRDefault="008C5568" w:rsidP="008C5568">
      <w:pPr>
        <w:adjustRightInd w:val="0"/>
        <w:snapToGrid w:val="0"/>
        <w:spacing w:line="560" w:lineRule="exact"/>
        <w:ind w:firstLine="720"/>
        <w:rPr>
          <w:rFonts w:ascii="仿宋_GB2312" w:hAnsi="宋体" w:hint="eastAsia"/>
          <w:lang w:val="zh-CN"/>
        </w:rPr>
      </w:pPr>
      <w:r w:rsidRPr="00D46794">
        <w:rPr>
          <w:rFonts w:ascii="仿宋_GB2312" w:hAnsi="宋体" w:hint="eastAsia"/>
          <w:lang w:val="zh-CN"/>
        </w:rPr>
        <w:t>效益指标</w:t>
      </w:r>
      <w:r>
        <w:rPr>
          <w:rFonts w:ascii="仿宋_GB2312" w:hAnsi="宋体" w:hint="eastAsia"/>
          <w:lang w:val="zh-CN"/>
        </w:rPr>
        <w:t>：</w:t>
      </w:r>
      <w:r w:rsidR="00E81F7D" w:rsidRPr="00E81F7D">
        <w:rPr>
          <w:rFonts w:ascii="仿宋_GB2312" w:hAnsi="宋体" w:hint="eastAsia"/>
          <w:lang w:val="zh-CN"/>
        </w:rPr>
        <w:t>培养优秀体育后备人才</w:t>
      </w:r>
    </w:p>
    <w:p w:rsidR="008C5568" w:rsidRDefault="008C5568" w:rsidP="00E81F7D">
      <w:pPr>
        <w:adjustRightInd w:val="0"/>
        <w:snapToGrid w:val="0"/>
        <w:spacing w:line="560" w:lineRule="exact"/>
        <w:ind w:firstLineChars="250" w:firstLine="800"/>
        <w:rPr>
          <w:rFonts w:ascii="仿宋_GB2312" w:hAnsi="宋体"/>
          <w:lang w:val="zh-CN"/>
        </w:rPr>
      </w:pPr>
      <w:r w:rsidRPr="00D46794">
        <w:rPr>
          <w:rFonts w:ascii="仿宋_GB2312" w:hAnsi="宋体" w:hint="eastAsia"/>
          <w:lang w:val="zh-CN"/>
        </w:rPr>
        <w:t>满意度指标</w:t>
      </w:r>
      <w:r>
        <w:rPr>
          <w:rFonts w:ascii="仿宋_GB2312" w:hAnsi="宋体" w:hint="eastAsia"/>
          <w:lang w:val="zh-CN"/>
        </w:rPr>
        <w:t>：</w:t>
      </w:r>
      <w:r w:rsidR="00E81F7D" w:rsidRPr="00E81F7D">
        <w:rPr>
          <w:rFonts w:ascii="仿宋_GB2312" w:hAnsi="宋体" w:hint="eastAsia"/>
          <w:lang w:val="zh-CN"/>
        </w:rPr>
        <w:t>赛事满意度</w:t>
      </w:r>
      <w:r w:rsidRPr="00D46794">
        <w:rPr>
          <w:rFonts w:ascii="仿宋_GB2312" w:hAnsi="宋体"/>
          <w:lang w:val="zh-CN"/>
        </w:rPr>
        <w:t>90%</w:t>
      </w:r>
      <w:r>
        <w:rPr>
          <w:rFonts w:ascii="仿宋_GB2312" w:hAnsi="宋体" w:hint="eastAsia"/>
          <w:lang w:val="zh-CN"/>
        </w:rPr>
        <w:t>。</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（三）项目资金申报相符性。</w:t>
      </w:r>
    </w:p>
    <w:p w:rsidR="008C5568" w:rsidRDefault="008C5568" w:rsidP="008C5568">
      <w:pPr>
        <w:adjustRightInd w:val="0"/>
        <w:snapToGrid w:val="0"/>
        <w:spacing w:line="560" w:lineRule="exact"/>
        <w:ind w:firstLine="720"/>
        <w:rPr>
          <w:rFonts w:ascii="仿宋_GB2312" w:hAnsi="宋体" w:hint="eastAsia"/>
          <w:lang w:val="zh-CN"/>
        </w:rPr>
      </w:pPr>
      <w:r>
        <w:rPr>
          <w:rFonts w:ascii="仿宋_GB2312" w:hAnsi="宋体" w:hint="eastAsia"/>
          <w:lang w:val="zh-CN"/>
        </w:rPr>
        <w:t>项目</w:t>
      </w:r>
      <w:r w:rsidRPr="005F6308">
        <w:rPr>
          <w:rFonts w:ascii="仿宋_GB2312" w:hAnsi="宋体" w:hint="eastAsia"/>
          <w:lang w:val="zh-CN"/>
        </w:rPr>
        <w:t>预算实施总方案</w:t>
      </w:r>
      <w:r>
        <w:rPr>
          <w:rFonts w:ascii="仿宋_GB2312" w:hAnsi="宋体" w:hint="eastAsia"/>
          <w:lang w:val="zh-CN"/>
        </w:rPr>
        <w:t>：</w:t>
      </w:r>
    </w:p>
    <w:p w:rsidR="003D4EA4" w:rsidRDefault="003D4EA4" w:rsidP="008C5568">
      <w:pPr>
        <w:adjustRightInd w:val="0"/>
        <w:snapToGrid w:val="0"/>
        <w:spacing w:line="560" w:lineRule="exact"/>
        <w:ind w:firstLine="720"/>
        <w:rPr>
          <w:rFonts w:ascii="仿宋_GB2312" w:hAnsi="宋体"/>
          <w:lang w:val="zh-CN"/>
        </w:rPr>
      </w:pPr>
      <w:r w:rsidRPr="003D4EA4">
        <w:rPr>
          <w:rFonts w:ascii="仿宋_GB2312" w:hAnsi="宋体" w:hint="eastAsia"/>
          <w:lang w:val="zh-CN"/>
        </w:rPr>
        <w:t>参赛费</w:t>
      </w:r>
      <w:r>
        <w:rPr>
          <w:rFonts w:ascii="仿宋_GB2312" w:hAnsi="宋体" w:hint="eastAsia"/>
          <w:lang w:val="zh-CN"/>
        </w:rPr>
        <w:t>：</w:t>
      </w:r>
      <w:r w:rsidRPr="003D4EA4">
        <w:rPr>
          <w:rFonts w:ascii="仿宋_GB2312" w:hAnsi="宋体" w:hint="eastAsia"/>
          <w:lang w:val="zh-CN"/>
        </w:rPr>
        <w:t>省年度青少年体育锦标赛所有食宿费、交通费、体检费、保险费等</w:t>
      </w:r>
      <w:r>
        <w:rPr>
          <w:rFonts w:ascii="仿宋_GB2312" w:hAnsi="宋体" w:hint="eastAsia"/>
          <w:lang w:val="zh-CN"/>
        </w:rPr>
        <w:t>40万元；</w:t>
      </w:r>
      <w:r w:rsidRPr="003D4EA4">
        <w:rPr>
          <w:rFonts w:ascii="仿宋_GB2312" w:hAnsi="宋体" w:hint="eastAsia"/>
          <w:lang w:val="zh-CN"/>
        </w:rPr>
        <w:t>训练费</w:t>
      </w:r>
      <w:r>
        <w:rPr>
          <w:rFonts w:ascii="仿宋_GB2312" w:hAnsi="宋体" w:hint="eastAsia"/>
          <w:lang w:val="zh-CN"/>
        </w:rPr>
        <w:t>：</w:t>
      </w:r>
      <w:r w:rsidRPr="003D4EA4">
        <w:rPr>
          <w:rFonts w:ascii="仿宋_GB2312" w:hAnsi="宋体" w:hint="eastAsia"/>
          <w:lang w:val="zh-CN"/>
        </w:rPr>
        <w:t>训练、比赛服、优秀运动员生活补助、集训费等103.6万</w:t>
      </w:r>
      <w:r>
        <w:rPr>
          <w:rFonts w:ascii="仿宋_GB2312" w:hAnsi="宋体" w:hint="eastAsia"/>
          <w:lang w:val="zh-CN"/>
        </w:rPr>
        <w:t>元；</w:t>
      </w:r>
      <w:r w:rsidRPr="003D4EA4">
        <w:rPr>
          <w:rFonts w:ascii="仿宋_GB2312" w:hAnsi="宋体" w:hint="eastAsia"/>
          <w:lang w:val="zh-CN"/>
        </w:rPr>
        <w:t>场地器材费</w:t>
      </w:r>
      <w:r>
        <w:rPr>
          <w:rFonts w:ascii="仿宋_GB2312" w:hAnsi="宋体" w:hint="eastAsia"/>
          <w:lang w:val="zh-CN"/>
        </w:rPr>
        <w:t>：</w:t>
      </w:r>
      <w:r w:rsidRPr="003D4EA4">
        <w:rPr>
          <w:rFonts w:ascii="仿宋_GB2312" w:hAnsi="宋体" w:hint="eastAsia"/>
          <w:lang w:val="zh-CN"/>
        </w:rPr>
        <w:t>151.4万</w:t>
      </w:r>
      <w:r>
        <w:rPr>
          <w:rFonts w:ascii="仿宋_GB2312" w:hAnsi="宋体" w:hint="eastAsia"/>
          <w:lang w:val="zh-CN"/>
        </w:rPr>
        <w:t>；</w:t>
      </w:r>
      <w:r w:rsidRPr="003D4EA4">
        <w:rPr>
          <w:rFonts w:ascii="仿宋_GB2312" w:hAnsi="宋体" w:hint="eastAsia"/>
          <w:lang w:val="zh-CN"/>
        </w:rPr>
        <w:t>运动队共建费</w:t>
      </w:r>
      <w:r>
        <w:rPr>
          <w:rFonts w:ascii="仿宋_GB2312" w:hAnsi="宋体" w:hint="eastAsia"/>
          <w:lang w:val="zh-CN"/>
        </w:rPr>
        <w:t>：</w:t>
      </w:r>
      <w:r w:rsidRPr="003D4EA4">
        <w:rPr>
          <w:rFonts w:ascii="仿宋_GB2312" w:hAnsi="宋体" w:hint="eastAsia"/>
          <w:lang w:val="zh-CN"/>
        </w:rPr>
        <w:t>与省队共建散打、跳水项目</w:t>
      </w:r>
      <w:r>
        <w:rPr>
          <w:rFonts w:ascii="仿宋_GB2312" w:hAnsi="宋体" w:hint="eastAsia"/>
          <w:lang w:val="zh-CN"/>
        </w:rPr>
        <w:t>15万元；</w:t>
      </w:r>
      <w:r w:rsidRPr="003D4EA4">
        <w:rPr>
          <w:rFonts w:ascii="仿宋_GB2312" w:hAnsi="宋体" w:hint="eastAsia"/>
          <w:lang w:val="zh-CN"/>
        </w:rPr>
        <w:t>办赛费</w:t>
      </w:r>
      <w:r>
        <w:rPr>
          <w:rFonts w:ascii="仿宋_GB2312" w:hAnsi="宋体" w:hint="eastAsia"/>
          <w:lang w:val="zh-CN"/>
        </w:rPr>
        <w:t>：</w:t>
      </w:r>
      <w:r w:rsidRPr="003D4EA4">
        <w:rPr>
          <w:rFonts w:ascii="仿宋_GB2312" w:hAnsi="宋体" w:hint="eastAsia"/>
          <w:lang w:val="zh-CN"/>
        </w:rPr>
        <w:t>承办2020年四川省青少年锦标赛</w:t>
      </w:r>
      <w:r>
        <w:rPr>
          <w:rFonts w:ascii="仿宋_GB2312" w:hAnsi="宋体" w:hint="eastAsia"/>
          <w:lang w:val="zh-CN"/>
        </w:rPr>
        <w:t>40万元。</w:t>
      </w: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8C5568" w:rsidRDefault="008C5568" w:rsidP="008C5568">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1．资金计划及到位及时。</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lang w:val="zh-CN"/>
        </w:rPr>
        <w:t>2．资金使用均按目标计划安排申请使用。</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8C5568" w:rsidRPr="005C3D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为进一步加强财务管理制，健全财务制度，规范财务行为，确保单位财务规则合法合规，规范运行，根据《中华人民共和国会计法》《中华人民共和国预算法》《中华人民共和国政府采购法》财政部《行政事业单位财务规则》、《行政事业单位会计制度》等法律法规和各项财经制度，结合我单位实际，特制定本财务管理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一、管理原则</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严格执行国家有关法律、法规和财务规章制度，按照“量</w:t>
      </w:r>
      <w:r>
        <w:rPr>
          <w:rFonts w:ascii="仿宋_GB2312" w:eastAsia="仿宋_GB2312" w:hAnsi="仿宋_GB2312" w:cs="仿宋_GB2312" w:hint="eastAsia"/>
          <w:sz w:val="32"/>
          <w:szCs w:val="32"/>
        </w:rPr>
        <w:lastRenderedPageBreak/>
        <w:t>入为出、保障重点，兼顾一般，厉行节约，制止奢侈浪费，降低运行成本，注重资金使用效益”的原则，加强财务监督，确保财务运行规范，并接受纪检监察、审计、财政等部门的监督。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二、预算管理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（一）科学编制年初预算。按照合法性、真实性、完整性、稳妥性原则编制年初预算，科学合理安排资金，确保资金使用安全、规范、高效。</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（二）完善预算审批程序。年初预算需经单位领导班子研究、报经市财政局审定、批准同意后实施。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（三）合理申报项目预算。各科室项目预算申请应结合我单位工作目标总体规划，突出重点，科学合理申报项目预算。</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预算绩效管理。各科室、应根据批复的预算安排各项收支，加强预算绩效管理，对项目资金申报、执行、决算及项目实施、验收进行全过程绩效监管，确保预算严格有效执行。财务部门完整、准确、及时编制决算，如实反映单位预算执行情况。</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三、收入管理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规范收入来源。各项收入的取得必须符合国家相关政策规定，不得超标准、超范围、自立项目收费。</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（二）加强收入核算。各收入必须全部纳入单位财务统一核算，统一管理，不得公款私存。业务科室应当在涉及收</w:t>
      </w:r>
      <w:r>
        <w:rPr>
          <w:rFonts w:ascii="仿宋_GB2312" w:eastAsia="仿宋_GB2312" w:hAnsi="仿宋_GB2312" w:cs="仿宋_GB2312" w:hint="eastAsia"/>
          <w:sz w:val="32"/>
          <w:szCs w:val="32"/>
        </w:rPr>
        <w:lastRenderedPageBreak/>
        <w:t>入的合同协议签订后及时将合同等有关材料提交财务科作为账务处理依据、确保各项收入应收尽收，及时入账。</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（三）规范使用票据。各项收入必须使用财政部门提供的票据，不得使用任何自制票据，并严格票据的购领、使用、缴毁、保管制度。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四、支出管理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执行年初预算。坚持收支平衡，事情审定、分级把关，专款专用，合理安排使用各项资金。各科室经批准的项目支出应于每月8日前将用款计划告知财务部门，财务部门根据各科室支出安排及项目工作进度向市财政局报送每月用款计划，经审核通过后执行。</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二）规范使用项目资金。项目资金使用必须符合《大型体育场馆免费低收费开放补助资金管理办法》、《中央集中彩票公益金支持体育事业专项资金管理办法》《四川省体育发展专项资金管理办法的通知》等相关文件规定，专款专用，不得截留、挤占、挪用、浪费、套取、转移专项资金。</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（三）严格审批程序。单位重大资金安排及分配须由相关科室提出方案、经费预算及绩效目标，按程序审核同意实施， 2万元以上的项目资金安排，行政办公会研究同意后实施；2万元以下的项目资金安排，相关科室制定方案及经费预算，由分管领导审核并经中心主要领导批准后实施。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1.各项支出由财务科按照有关规定审核办理，按批准的</w:t>
      </w:r>
      <w:r>
        <w:rPr>
          <w:rFonts w:ascii="仿宋_GB2312" w:eastAsia="仿宋_GB2312" w:hAnsi="仿宋_GB2312" w:cs="仿宋_GB2312" w:hint="eastAsia"/>
          <w:sz w:val="32"/>
          <w:szCs w:val="32"/>
        </w:rPr>
        <w:lastRenderedPageBreak/>
        <w:t>预算据实报销，不得以任何形式套取资金。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一切支出均须取得合法的原始凭证，且内容真实、完整。报销费用需填制报账单，并附发票及相关凭据。经经办人签字、科室负责人审核签字、财务科审核签字、业务分管领导审核签字、财务分管领导审核签字、单位主要领导审核签字后方可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3.严格执行《政府采购法》、《乐山市体育局采购工作管理办法》等相关规定，按要求规范采购程序，完善采购手续，加强履约验收。</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办公设备由业务科室按照配置标准，在上年末提出采购计，经单位领导同意后，报市机关事务管理局、市财政批复后按程序购买。办公用品填报《办公设备用品采购申请表》，由办公室统一在定点采购单位集中购买。</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务接待要严格按《乐山市党政机关国内公务接待管理实施细则》（乐委办〔2015〕5号）、《乐山市体育局公务接待管理制度》等相关规定执行。坚持“先审批、后接待”的管理程序，根据派出单位公函由对口科室拟定接待方案，报请单位领导同意后由办公室统一安排。每批次公务接待活动结束后，应当按规定及时结算，报销时应提供原始票据（含菜单）、派出单位公函和接待清单（简称“三单”）。“三单”不齐全或者内容不一致的，不得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6.差旅费根据遵照乐市财政行〔2014〕39号《乐山市市直机关差旅费管理办法》（乐市财政行〔2014〕39号）、</w:t>
      </w:r>
      <w:r>
        <w:rPr>
          <w:rFonts w:ascii="仿宋_GB2312" w:eastAsia="仿宋_GB2312" w:hAnsi="仿宋_GB2312" w:cs="仿宋_GB2312" w:hint="eastAsia"/>
          <w:sz w:val="32"/>
          <w:szCs w:val="32"/>
        </w:rPr>
        <w:lastRenderedPageBreak/>
        <w:t>《乐乐山市体育局差旅费管理实施细则》等相关规定执行，报销时应将出差审批单、出差票据、出差文件作为附件粘贴在报销单上一并送交财务部门，按规定在标准范围内结算。</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7.</w:t>
      </w:r>
      <w:r w:rsidRPr="00B5633B">
        <w:rPr>
          <w:rFonts w:ascii="仿宋_GB2312" w:hAnsi="仿宋_GB2312" w:cs="仿宋_GB2312" w:hint="eastAsia"/>
        </w:rPr>
        <w:t xml:space="preserve"> </w:t>
      </w:r>
      <w:r>
        <w:rPr>
          <w:rFonts w:ascii="仿宋_GB2312" w:hAnsi="仿宋_GB2312" w:cs="仿宋_GB2312" w:hint="eastAsia"/>
        </w:rPr>
        <w:t>会议费遵照《乐山市市级机关会议费管理办法》（乐市财政行〔2014〕9号）、《乐山市财政局关于进一步加强会议费管理的通知》（乐市财政行〔2014〕14号）等相关规定执行，事前需由相关科室提出方案及经费预算，按程序报相关管理部门批复后实施。报账时需提供批复文件、发票、会议通知、签到表、费用明细清单等相关凭据。</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8.培训费遵照《乐山市市级机关培训费管理办法》（乐市财政行〔2017〕38号）、《乐山市财政局  中共乐山市委组织部关于进一步加强市级教育培训和培训费使用管理的通知》（乐市财政行〔2020〕25号）等相关规定执行，事前需有相关科室提出方案及经费预算，按程序报相关管理部门批复后实施。报账时需提供批复文件、发票、培训通知、签到表或学员名册、费用明细清单、绩效考核等相关凭据。</w:t>
      </w:r>
    </w:p>
    <w:p w:rsidR="008C5568"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9.赛事活动经费。由相关科室提出方案、经费预算及绩效目标等，可参照政府向社会力量购买公共文化服务工作的相关要求，按程序审定后实施。大型赛事活动方案需报体育局审定后实施。报账时需提供发票、赛事活动方案（通知）、合同、履约验收资料、费用明细单、绩效考核预等相关凭据。</w:t>
      </w:r>
    </w:p>
    <w:p w:rsidR="008C5568" w:rsidRPr="0046626B"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10.通讯费按相关规定执行。</w:t>
      </w:r>
    </w:p>
    <w:p w:rsidR="008C55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11.因公出国（境）经费遵照《四川省财政厅 四川省人民</w:t>
      </w:r>
      <w:r>
        <w:rPr>
          <w:rFonts w:ascii="仿宋_GB2312" w:hAnsi="仿宋_GB2312" w:cs="仿宋_GB2312" w:hint="eastAsia"/>
        </w:rPr>
        <w:lastRenderedPageBreak/>
        <w:t>政府外事办公室关于转发﹤因公临时出国经费管理办法的通知﹥的通知》等相关规定执行。</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购置费、会议费、接待费、住宿费等各类开支须严格按照国库集中支付制度和公务卡管理有关规定，采取银行转账或者公务卡方式结算，不得以现金方式支付。不具备条件确需以现金方式支付的，应当由经办人书面说明原因，并经分管领导审批。</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五、合同管理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（一）加强合同管理，规范合同的签订、履行和监管，预防和减少合同纠纷，防范法律风险。</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（二）承办科室和承办人具体负责合同的谈判、起草、履行等事宜，并对合同相关条款进行审核；办公室负责对单位合同合法性进行审核；财务部门负责对合同支付等经济事项审核把关。</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审批签订程序。合同金额3万元以下的合同，需经业务科室负责人、分管领导审核后，经单位主要领导同意后由分管领导签订；合同金额3万元（含3万元）以上的合同，需经业务科室负责人、分管领导审核后，由单位主要领导签订。</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承办科室应当按照合同约定做好履行合同的相关工作，合同履行过程中出现违约情形的，承办科室应当及时主张权利，积极采取措施预防和应对风险，并及时将相关情况告知分管领导及主要领导，认真研究处理措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（五）合同订立过程中形成的材料和资料，合同承办科室应当立卷归档。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（六）合同承办科室工作人员违反规定在签订、履行合同工作中徇私舞弊、失职渎职，造成重大经济损失和严重后果的，依照有关规定追究责任。</w:t>
      </w:r>
    </w:p>
    <w:p w:rsidR="008C5568" w:rsidRPr="003B486C" w:rsidRDefault="008C5568" w:rsidP="008C5568">
      <w:pPr>
        <w:spacing w:line="600" w:lineRule="exact"/>
        <w:ind w:firstLineChars="250" w:firstLine="800"/>
        <w:rPr>
          <w:rFonts w:ascii="黑体" w:eastAsia="黑体" w:hAnsi="黑体" w:cs="黑体"/>
        </w:rPr>
      </w:pPr>
      <w:r w:rsidRPr="003B486C">
        <w:rPr>
          <w:rFonts w:ascii="黑体" w:eastAsia="黑体" w:hAnsi="黑体" w:cs="黑体" w:hint="eastAsia"/>
        </w:rPr>
        <w:t>六、现金管理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（一）严格按照现金管理制度和市国库支付中心核定的限额和范围提取现金。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（二）出纳应加强备用金的管理，建立健全现金账簿，每日核对账款是否相符，每月核对账账、账实是否相符，做到日清月结。</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（三）现金收付业务应做到手续严密、数额准确，不得私自挪用现金和以白条冲抵库存现金，不得谎报用途套取现金。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因公出差或公务所需借用备用金时，必须由借款本人填写《乐山市体育中心借款申请表》，说明借款事由，5仟元及以下借款需经科室负责人、业务分管领导、财务分管领导、审批同意。5仟元及以上借款需经科室负责人、业务分管领导、财务分管领导、中心主任审批同意。借款人应在工作结束后15日内完善相关财务手续，结清借款。任何人不得挪用、拖欠公款。公款不得用于职工个人借支。</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七、加强督查</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（一）自觉接受纪检监察、审计、财政、主管部门等部</w:t>
      </w:r>
      <w:r>
        <w:rPr>
          <w:rFonts w:ascii="仿宋_GB2312" w:eastAsia="仿宋_GB2312" w:hAnsi="仿宋_GB2312" w:cs="仿宋_GB2312" w:hint="eastAsia"/>
          <w:sz w:val="32"/>
          <w:szCs w:val="32"/>
        </w:rPr>
        <w:lastRenderedPageBreak/>
        <w:t>门的监督检查。每年开展一次财务自查，聘请第三方专业机构进行内部审计检查，确保经济活动合法合规、资产安全和使用有效及财务信息真实完整。</w:t>
      </w:r>
    </w:p>
    <w:p w:rsidR="008C5568" w:rsidRPr="005C3D68"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（二）每年报告预算执行情况，发现问题及时整改。</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C137C4" w:rsidRDefault="00C137C4" w:rsidP="00C137C4">
      <w:pPr>
        <w:adjustRightInd w:val="0"/>
        <w:snapToGrid w:val="0"/>
        <w:spacing w:line="560" w:lineRule="exact"/>
        <w:ind w:firstLine="720"/>
        <w:rPr>
          <w:rFonts w:ascii="仿宋_GB2312" w:hAnsi="宋体" w:hint="eastAsia"/>
          <w:lang w:val="zh-CN"/>
        </w:rPr>
      </w:pPr>
      <w:r>
        <w:rPr>
          <w:rFonts w:ascii="仿宋_GB2312" w:hAnsi="宋体" w:hint="eastAsia"/>
          <w:lang w:val="zh-CN"/>
        </w:rPr>
        <w:t>项目预算金额2000000元，预算批复2000000元，2021年度支付金额</w:t>
      </w:r>
      <w:r>
        <w:rPr>
          <w:rFonts w:ascii="仿宋_GB2312" w:hAnsi="宋体"/>
          <w:lang w:val="zh-CN"/>
        </w:rPr>
        <w:t>63</w:t>
      </w:r>
      <w:r w:rsidRPr="008C5568">
        <w:rPr>
          <w:rFonts w:ascii="仿宋_GB2312" w:hAnsi="宋体"/>
          <w:lang w:val="zh-CN"/>
        </w:rPr>
        <w:t>33029</w:t>
      </w:r>
      <w:r>
        <w:rPr>
          <w:rFonts w:ascii="仿宋_GB2312" w:hAnsi="宋体" w:hint="eastAsia"/>
          <w:lang w:val="zh-CN"/>
        </w:rPr>
        <w:t>元，执行率为</w:t>
      </w:r>
      <w:r w:rsidRPr="008C5568">
        <w:rPr>
          <w:rFonts w:ascii="仿宋_GB2312" w:hAnsi="宋体"/>
          <w:lang w:val="zh-CN"/>
        </w:rPr>
        <w:t>31.67%</w:t>
      </w:r>
      <w:r>
        <w:rPr>
          <w:rFonts w:ascii="仿宋_GB2312" w:hAnsi="宋体" w:hint="eastAsia"/>
          <w:lang w:val="zh-CN"/>
        </w:rPr>
        <w:t>。剩余资金在2022年度完成支付。</w:t>
      </w:r>
    </w:p>
    <w:p w:rsidR="00C137C4" w:rsidRDefault="00C137C4" w:rsidP="008C5568">
      <w:pPr>
        <w:adjustRightInd w:val="0"/>
        <w:snapToGrid w:val="0"/>
        <w:spacing w:line="560" w:lineRule="exact"/>
        <w:ind w:firstLine="720"/>
        <w:rPr>
          <w:rFonts w:ascii="宋体" w:hAnsi="宋体"/>
          <w:szCs w:val="21"/>
        </w:rPr>
      </w:pP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（二）相关建议。</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无</w:t>
      </w: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 xml:space="preserve">                                 乐山市体育中心</w:t>
      </w:r>
    </w:p>
    <w:p w:rsidR="008C5568" w:rsidRDefault="008C5568" w:rsidP="008C5568">
      <w:pPr>
        <w:adjustRightInd w:val="0"/>
        <w:snapToGrid w:val="0"/>
        <w:spacing w:line="560" w:lineRule="exact"/>
        <w:ind w:firstLine="720"/>
      </w:pPr>
      <w:r>
        <w:rPr>
          <w:rFonts w:ascii="仿宋_GB2312" w:hAnsi="宋体" w:hint="eastAsia"/>
          <w:lang w:val="zh-CN"/>
        </w:rPr>
        <w:t xml:space="preserve">                               2022年6月16日</w:t>
      </w:r>
    </w:p>
    <w:p w:rsidR="00B53A36" w:rsidRDefault="00B53A36" w:rsidP="008C5568">
      <w:pPr>
        <w:adjustRightInd w:val="0"/>
        <w:snapToGrid w:val="0"/>
        <w:spacing w:line="560" w:lineRule="exact"/>
      </w:pPr>
    </w:p>
    <w:sectPr w:rsidR="00B53A36" w:rsidSect="007E6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0F5" w:rsidRDefault="000F70F5" w:rsidP="00417211">
      <w:r>
        <w:separator/>
      </w:r>
    </w:p>
  </w:endnote>
  <w:endnote w:type="continuationSeparator" w:id="0">
    <w:p w:rsidR="000F70F5" w:rsidRDefault="000F70F5" w:rsidP="004172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0F5" w:rsidRDefault="000F70F5" w:rsidP="00417211">
      <w:r>
        <w:separator/>
      </w:r>
    </w:p>
  </w:footnote>
  <w:footnote w:type="continuationSeparator" w:id="0">
    <w:p w:rsidR="000F70F5" w:rsidRDefault="000F70F5" w:rsidP="004172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1C455A"/>
    <w:rsid w:val="BFFE83F2"/>
    <w:rsid w:val="D7FDD76B"/>
    <w:rsid w:val="000F70F5"/>
    <w:rsid w:val="003D4EA4"/>
    <w:rsid w:val="0040112F"/>
    <w:rsid w:val="00417211"/>
    <w:rsid w:val="004B6F67"/>
    <w:rsid w:val="007E6BB3"/>
    <w:rsid w:val="008C5568"/>
    <w:rsid w:val="0096287A"/>
    <w:rsid w:val="00B077BD"/>
    <w:rsid w:val="00B53A36"/>
    <w:rsid w:val="00BC7ADB"/>
    <w:rsid w:val="00C137C4"/>
    <w:rsid w:val="00E81F7D"/>
    <w:rsid w:val="00FE5C83"/>
    <w:rsid w:val="0EDB478C"/>
    <w:rsid w:val="291C455A"/>
    <w:rsid w:val="36926D0C"/>
    <w:rsid w:val="4DAF2BCF"/>
    <w:rsid w:val="4DDB6F66"/>
    <w:rsid w:val="792F2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BB3"/>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7E6BB3"/>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 w:type="paragraph" w:styleId="a6">
    <w:name w:val="List Paragraph"/>
    <w:basedOn w:val="a"/>
    <w:uiPriority w:val="34"/>
    <w:qFormat/>
    <w:rsid w:val="008C5568"/>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641</Words>
  <Characters>3660</Characters>
  <Application>Microsoft Office Word</Application>
  <DocSecurity>0</DocSecurity>
  <Lines>30</Lines>
  <Paragraphs>8</Paragraphs>
  <ScaleCrop>false</ScaleCrop>
  <Company/>
  <LinksUpToDate>false</LinksUpToDate>
  <CharactersWithSpaces>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9</cp:revision>
  <dcterms:created xsi:type="dcterms:W3CDTF">2020-07-01T00:19:00Z</dcterms:created>
  <dcterms:modified xsi:type="dcterms:W3CDTF">2022-06-16T08:15:00Z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