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7"/>
        <w:spacing w:line="560" w:lineRule="exact"/>
        <w:jc w:val="center"/>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乐山市实验小学</w:t>
      </w:r>
    </w:p>
    <w:p>
      <w:pPr>
        <w:pStyle w:val="7"/>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w:t>
      </w:r>
    </w:p>
    <w:p>
      <w:pPr>
        <w:pStyle w:val="7"/>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w:t>
      </w:r>
      <w:r>
        <w:rPr>
          <w:rFonts w:hint="eastAsia" w:ascii="方正小标宋简体" w:hAnsi="宋体" w:eastAsia="方正小标宋简体"/>
          <w:sz w:val="44"/>
          <w:szCs w:val="44"/>
          <w:lang w:val="en-US" w:eastAsia="zh-CN"/>
        </w:rPr>
        <w:t>2021年公益岗位工资及社保补贴项目</w:t>
      </w:r>
      <w:r>
        <w:rPr>
          <w:rFonts w:hint="eastAsia" w:ascii="方正小标宋简体" w:hAnsi="宋体" w:eastAsia="方正小标宋简体"/>
          <w:sz w:val="44"/>
          <w:szCs w:val="44"/>
          <w:lang w:eastAsia="zh-CN"/>
        </w:rPr>
        <w:t>）</w:t>
      </w:r>
    </w:p>
    <w:p>
      <w:pPr>
        <w:pStyle w:val="7"/>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640" w:firstLineChars="200"/>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公益性岗位补贴的人员范围为就业困难人员，重点是大龄失业人员和零就业家庭人员。对公益性岗位安置的就业困难人员给予岗位补贴，补贴标准参照当地最低工资标准执行。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right="0"/>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公益性岗位补贴财政资金能够为一些符合条件的人员提供资金支持和就业引导，使待就业人员获得就业技能，帮助就业人员树立正确的就业观，从而引导我国的就业状况朝着好的方向发展</w:t>
      </w:r>
      <w:r>
        <w:rPr>
          <w:rFonts w:hint="eastAsia" w:ascii="仿宋_GB2312" w:hAnsi="宋体" w:cs="Times New Roman"/>
          <w:kern w:val="2"/>
          <w:sz w:val="32"/>
          <w:szCs w:val="32"/>
          <w:lang w:val="en-US" w:eastAsia="zh-CN" w:bidi="ar-SA"/>
        </w:rPr>
        <w:t>，</w:t>
      </w:r>
      <w:r>
        <w:rPr>
          <w:rFonts w:hint="eastAsia" w:ascii="仿宋_GB2312" w:hAnsi="宋体" w:eastAsia="仿宋_GB2312" w:cs="Times New Roman"/>
          <w:kern w:val="2"/>
          <w:sz w:val="32"/>
          <w:szCs w:val="32"/>
          <w:lang w:val="en-US" w:eastAsia="zh-CN" w:bidi="ar-SA"/>
        </w:rPr>
        <w:t>该类岗位补贴资金在一定程度上促进待就业人员的稳定就业，解决民生问题，从而有利于维护社会的稳定和长治久安。</w:t>
      </w:r>
    </w:p>
    <w:p>
      <w:pPr>
        <w:numPr>
          <w:ilvl w:val="0"/>
          <w:numId w:val="1"/>
        </w:numPr>
        <w:adjustRightInd w:val="0"/>
        <w:snapToGrid w:val="0"/>
        <w:spacing w:line="560" w:lineRule="exact"/>
        <w:ind w:firstLine="720"/>
        <w:rPr>
          <w:rFonts w:hint="eastAsia" w:ascii="仿宋_GB2312" w:hAnsi="宋体"/>
          <w:lang w:val="en-US" w:eastAsia="zh-CN"/>
        </w:rPr>
      </w:pPr>
      <w:r>
        <w:rPr>
          <w:rFonts w:hint="eastAsia" w:ascii="楷体_GB2312" w:hAnsi="宋体" w:eastAsia="楷体_GB2312"/>
          <w:b/>
          <w:lang w:val="zh-CN"/>
        </w:rPr>
        <w:t>项目资金申报及批复情况。</w:t>
      </w:r>
    </w:p>
    <w:p>
      <w:pPr>
        <w:adjustRightInd w:val="0"/>
        <w:snapToGrid w:val="0"/>
        <w:spacing w:line="560" w:lineRule="exact"/>
        <w:ind w:firstLine="720"/>
        <w:rPr>
          <w:rFonts w:hint="default" w:ascii="仿宋_GB2312" w:hAnsi="宋体" w:eastAsia="仿宋_GB2312"/>
          <w:lang w:val="en-US" w:eastAsia="zh-CN"/>
        </w:rPr>
      </w:pPr>
      <w:r>
        <w:rPr>
          <w:rFonts w:hint="eastAsia" w:ascii="仿宋_GB2312" w:hAnsi="宋体"/>
          <w:lang w:val="en-US" w:eastAsia="zh-CN"/>
        </w:rPr>
        <w:t>2021年公益岗位工资及社保补贴项目预算数58057.00元，批复数58057.00元。</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项目绩效目标。</w:t>
      </w:r>
    </w:p>
    <w:p>
      <w:pPr>
        <w:adjustRightInd w:val="0"/>
        <w:snapToGrid w:val="0"/>
        <w:spacing w:line="560" w:lineRule="exact"/>
        <w:ind w:firstLine="720"/>
        <w:rPr>
          <w:rFonts w:hint="default" w:ascii="仿宋_GB2312" w:hAnsi="宋体"/>
          <w:lang w:val="en-US" w:eastAsia="zh-CN"/>
        </w:rPr>
      </w:pPr>
      <w:r>
        <w:rPr>
          <w:rFonts w:hint="eastAsia" w:ascii="仿宋_GB2312" w:hAnsi="宋体"/>
          <w:lang w:val="en-US" w:eastAsia="zh-CN"/>
        </w:rPr>
        <w:t>每月按时发放公益性岗位人员工资及社保。</w:t>
      </w:r>
    </w:p>
    <w:p>
      <w:pPr>
        <w:numPr>
          <w:ilvl w:val="0"/>
          <w:numId w:val="1"/>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项目资金申报相符性。</w:t>
      </w:r>
    </w:p>
    <w:p>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宋体"/>
          <w:lang w:val="en-US" w:eastAsia="zh-CN"/>
        </w:rPr>
        <w:t>2021年公益岗位工资及社保补贴项目</w:t>
      </w:r>
      <w:r>
        <w:rPr>
          <w:rFonts w:hint="eastAsia" w:ascii="仿宋_GB2312" w:hAnsi="宋体"/>
          <w:lang w:val="zh-CN"/>
        </w:rPr>
        <w:t>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adjustRightInd w:val="0"/>
        <w:snapToGrid w:val="0"/>
        <w:spacing w:line="560" w:lineRule="exact"/>
        <w:ind w:firstLine="720"/>
        <w:rPr>
          <w:rFonts w:ascii="仿宋_GB2312" w:hAnsi="宋体"/>
          <w:lang w:val="zh-CN"/>
        </w:rPr>
      </w:pPr>
      <w:r>
        <w:rPr>
          <w:rFonts w:hint="eastAsia" w:ascii="仿宋_GB2312" w:hAnsi="宋体"/>
          <w:lang w:val="en-US" w:eastAsia="zh-CN"/>
        </w:rPr>
        <w:t>2021年公益岗位工资及社保补贴项目</w:t>
      </w:r>
      <w:r>
        <w:rPr>
          <w:rFonts w:hint="eastAsia" w:ascii="仿宋_GB2312" w:hAnsi="宋体" w:cs="Times New Roman"/>
          <w:kern w:val="2"/>
          <w:sz w:val="32"/>
          <w:szCs w:val="32"/>
          <w:lang w:val="en-US" w:eastAsia="zh-CN" w:bidi="ar-SA"/>
        </w:rPr>
        <w:t>到位市级财政资金58057.00元，</w:t>
      </w:r>
      <w:r>
        <w:rPr>
          <w:rFonts w:hint="eastAsia" w:ascii="仿宋_GB2312" w:hAnsi="宋体"/>
          <w:lang w:val="zh-CN"/>
        </w:rPr>
        <w:t>资金到位率</w:t>
      </w:r>
      <w:r>
        <w:rPr>
          <w:rFonts w:hint="eastAsia" w:ascii="仿宋_GB2312" w:hAnsi="宋体"/>
          <w:lang w:val="en-US" w:eastAsia="zh-CN"/>
        </w:rPr>
        <w:t>100%</w:t>
      </w:r>
      <w:r>
        <w:rPr>
          <w:rFonts w:hint="eastAsia" w:ascii="仿宋_GB2312" w:hAnsi="宋体"/>
          <w:lang w:val="zh-CN"/>
        </w:rPr>
        <w:t>、到位及时性</w:t>
      </w:r>
      <w:r>
        <w:rPr>
          <w:rFonts w:hint="eastAsia" w:ascii="仿宋_GB2312" w:hAnsi="宋体"/>
          <w:lang w:val="en-US" w:eastAsia="zh-CN"/>
        </w:rPr>
        <w:t>100%</w:t>
      </w:r>
      <w:r>
        <w:rPr>
          <w:rFonts w:hint="eastAsia" w:ascii="仿宋_GB2312" w:hAnsi="宋体"/>
          <w:lang w:val="zh-CN"/>
        </w:rPr>
        <w:t>。</w:t>
      </w:r>
    </w:p>
    <w:p>
      <w:pPr>
        <w:numPr>
          <w:ilvl w:val="0"/>
          <w:numId w:val="2"/>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numPr>
          <w:ilvl w:val="0"/>
          <w:numId w:val="0"/>
        </w:numPr>
        <w:adjustRightInd w:val="0"/>
        <w:snapToGrid w:val="0"/>
        <w:spacing w:line="560" w:lineRule="exact"/>
        <w:ind w:firstLine="640" w:firstLineChars="200"/>
        <w:rPr>
          <w:rFonts w:hint="default" w:ascii="仿宋_GB2312" w:hAnsi="宋体"/>
          <w:lang w:val="en-US"/>
        </w:rPr>
      </w:pPr>
      <w:r>
        <w:rPr>
          <w:rFonts w:hint="eastAsia" w:ascii="仿宋_GB2312" w:hAnsi="宋体"/>
          <w:lang w:val="en-US" w:eastAsia="zh-CN"/>
        </w:rPr>
        <w:t>学校及时发放2位公益性岗位人员工资，截止评价时点，该项目资金已支出58057.00元，全部用于公益性岗位人员工资和社保，预算执行率100%。</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spacing w:line="580" w:lineRule="exact"/>
        <w:ind w:firstLine="640" w:firstLineChars="200"/>
        <w:rPr>
          <w:rFonts w:hint="eastAsia" w:ascii="仿宋_GB2312" w:hAnsi="宋体"/>
          <w:lang w:val="en-US" w:eastAsia="zh-CN"/>
        </w:rPr>
      </w:pPr>
      <w:r>
        <w:rPr>
          <w:rFonts w:hint="eastAsia" w:ascii="仿宋_GB2312" w:hAnsi="宋体"/>
          <w:lang w:val="en-US" w:eastAsia="zh-CN"/>
        </w:rPr>
        <w:t>学校</w:t>
      </w:r>
      <w:r>
        <w:rPr>
          <w:rFonts w:hint="eastAsia" w:ascii="仿宋_GB2312" w:hAnsi="宋体"/>
          <w:lang w:val="zh-CN"/>
        </w:rPr>
        <w:t>严格执行财务管理制度，</w:t>
      </w:r>
      <w:r>
        <w:rPr>
          <w:rFonts w:hint="eastAsia" w:ascii="宋体" w:hAnsi="宋体" w:cs="宋体"/>
          <w:sz w:val="32"/>
          <w:szCs w:val="32"/>
          <w:lang w:val="en-US" w:eastAsia="zh-CN"/>
        </w:rPr>
        <w:t>通过银行转账方式进行支付</w:t>
      </w:r>
      <w:r>
        <w:rPr>
          <w:rFonts w:hint="eastAsia" w:ascii="宋体" w:hAnsi="宋体" w:cs="宋体"/>
          <w:sz w:val="32"/>
          <w:szCs w:val="32"/>
          <w:lang w:eastAsia="zh-CN"/>
        </w:rPr>
        <w:t>，</w:t>
      </w:r>
      <w:r>
        <w:rPr>
          <w:rFonts w:hint="eastAsia" w:ascii="宋体" w:hAnsi="宋体" w:cs="宋体"/>
          <w:sz w:val="32"/>
          <w:szCs w:val="32"/>
          <w:lang w:val="en-US" w:eastAsia="zh-CN"/>
        </w:rPr>
        <w:t>按规定</w:t>
      </w:r>
      <w:r>
        <w:rPr>
          <w:rFonts w:hint="eastAsia" w:ascii="仿宋_GB2312" w:hAnsi="宋体"/>
          <w:lang w:val="en-US" w:eastAsia="zh-CN"/>
        </w:rPr>
        <w:t xml:space="preserve">及时进行了财务处理和会计核算。  </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ascii="微软雅黑" w:hAnsi="微软雅黑" w:eastAsia="微软雅黑" w:cs="微软雅黑"/>
          <w:i w:val="0"/>
          <w:iCs w:val="0"/>
          <w:caps w:val="0"/>
          <w:color w:val="333333"/>
          <w:spacing w:val="0"/>
          <w:sz w:val="24"/>
          <w:szCs w:val="24"/>
        </w:rPr>
      </w:pPr>
      <w:r>
        <w:rPr>
          <w:rFonts w:ascii="仿宋" w:hAnsi="仿宋" w:eastAsia="仿宋" w:cs="仿宋"/>
          <w:i w:val="0"/>
          <w:iCs w:val="0"/>
          <w:caps w:val="0"/>
          <w:color w:val="333333"/>
          <w:spacing w:val="0"/>
          <w:sz w:val="31"/>
          <w:szCs w:val="31"/>
          <w:bdr w:val="none" w:color="auto" w:sz="0" w:space="0"/>
          <w:shd w:val="clear" w:fill="FFFFFF"/>
        </w:rPr>
        <w:t>财政安排</w:t>
      </w:r>
      <w:r>
        <w:rPr>
          <w:rFonts w:hint="eastAsia" w:ascii="仿宋" w:hAnsi="仿宋" w:eastAsia="仿宋" w:cs="仿宋"/>
          <w:i w:val="0"/>
          <w:iCs w:val="0"/>
          <w:caps w:val="0"/>
          <w:color w:val="333333"/>
          <w:spacing w:val="0"/>
          <w:sz w:val="31"/>
          <w:szCs w:val="31"/>
          <w:bdr w:val="none" w:color="auto" w:sz="0" w:space="0"/>
          <w:shd w:val="clear" w:fill="FFFFFF"/>
          <w:lang w:val="en-US" w:eastAsia="zh-CN"/>
        </w:rPr>
        <w:t>市</w:t>
      </w:r>
      <w:r>
        <w:rPr>
          <w:rFonts w:ascii="仿宋" w:hAnsi="仿宋" w:eastAsia="仿宋" w:cs="仿宋"/>
          <w:i w:val="0"/>
          <w:iCs w:val="0"/>
          <w:caps w:val="0"/>
          <w:color w:val="333333"/>
          <w:spacing w:val="0"/>
          <w:sz w:val="31"/>
          <w:szCs w:val="31"/>
          <w:bdr w:val="none" w:color="auto" w:sz="0" w:space="0"/>
          <w:shd w:val="clear" w:fill="FFFFFF"/>
        </w:rPr>
        <w:t>级资金</w:t>
      </w:r>
      <w:r>
        <w:rPr>
          <w:rFonts w:hint="eastAsia" w:ascii="仿宋" w:hAnsi="仿宋" w:eastAsia="仿宋" w:cs="仿宋"/>
          <w:i w:val="0"/>
          <w:iCs w:val="0"/>
          <w:caps w:val="0"/>
          <w:color w:val="333333"/>
          <w:spacing w:val="0"/>
          <w:sz w:val="31"/>
          <w:szCs w:val="31"/>
          <w:bdr w:val="none" w:color="auto" w:sz="0" w:space="0"/>
          <w:shd w:val="clear" w:fill="FFFFFF"/>
          <w:lang w:val="en-US" w:eastAsia="zh-CN"/>
        </w:rPr>
        <w:t>58057.00</w:t>
      </w:r>
      <w:r>
        <w:rPr>
          <w:rFonts w:hint="eastAsia" w:ascii="仿宋" w:hAnsi="仿宋" w:eastAsia="仿宋" w:cs="仿宋"/>
          <w:i w:val="0"/>
          <w:iCs w:val="0"/>
          <w:caps w:val="0"/>
          <w:color w:val="333333"/>
          <w:spacing w:val="0"/>
          <w:sz w:val="31"/>
          <w:szCs w:val="31"/>
          <w:bdr w:val="none" w:color="auto" w:sz="0" w:space="0"/>
          <w:shd w:val="clear" w:fill="FFFFFF"/>
        </w:rPr>
        <w:t>元专项用于公益性岗位工资。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31"/>
          <w:szCs w:val="31"/>
          <w:bdr w:val="none" w:color="auto" w:sz="0" w:space="0"/>
          <w:shd w:val="clear" w:fill="FFFFFF"/>
        </w:rPr>
        <w:t>截至今日，公益性岗位工资项目已完成，资金已全部支付，用于支付</w:t>
      </w:r>
      <w:r>
        <w:rPr>
          <w:rFonts w:hint="eastAsia" w:ascii="仿宋" w:hAnsi="仿宋" w:eastAsia="仿宋" w:cs="仿宋"/>
          <w:i w:val="0"/>
          <w:iCs w:val="0"/>
          <w:caps w:val="0"/>
          <w:color w:val="333333"/>
          <w:spacing w:val="0"/>
          <w:sz w:val="31"/>
          <w:szCs w:val="31"/>
          <w:bdr w:val="none" w:color="auto" w:sz="0" w:space="0"/>
          <w:shd w:val="clear" w:fill="FFFFFF"/>
          <w:lang w:val="en-US" w:eastAsia="zh-CN"/>
        </w:rPr>
        <w:t>本校2位</w:t>
      </w:r>
      <w:r>
        <w:rPr>
          <w:rFonts w:hint="eastAsia" w:ascii="仿宋" w:hAnsi="仿宋" w:eastAsia="仿宋" w:cs="仿宋"/>
          <w:i w:val="0"/>
          <w:iCs w:val="0"/>
          <w:caps w:val="0"/>
          <w:color w:val="333333"/>
          <w:spacing w:val="0"/>
          <w:sz w:val="31"/>
          <w:szCs w:val="31"/>
          <w:bdr w:val="none" w:color="auto" w:sz="0" w:space="0"/>
          <w:shd w:val="clear" w:fill="FFFFFF"/>
        </w:rPr>
        <w:t>公益性岗位</w:t>
      </w:r>
      <w:r>
        <w:rPr>
          <w:rFonts w:hint="eastAsia" w:ascii="仿宋" w:hAnsi="仿宋" w:eastAsia="仿宋" w:cs="仿宋"/>
          <w:i w:val="0"/>
          <w:iCs w:val="0"/>
          <w:caps w:val="0"/>
          <w:color w:val="333333"/>
          <w:spacing w:val="0"/>
          <w:sz w:val="31"/>
          <w:szCs w:val="31"/>
          <w:bdr w:val="none" w:color="auto" w:sz="0" w:space="0"/>
          <w:shd w:val="clear" w:fill="FFFFFF"/>
          <w:lang w:val="en-US" w:eastAsia="zh-CN"/>
        </w:rPr>
        <w:t>人员</w:t>
      </w:r>
      <w:r>
        <w:rPr>
          <w:rFonts w:hint="eastAsia" w:ascii="仿宋" w:hAnsi="仿宋" w:eastAsia="仿宋" w:cs="仿宋"/>
          <w:i w:val="0"/>
          <w:iCs w:val="0"/>
          <w:caps w:val="0"/>
          <w:color w:val="333333"/>
          <w:spacing w:val="0"/>
          <w:sz w:val="31"/>
          <w:szCs w:val="31"/>
          <w:bdr w:val="none" w:color="auto" w:sz="0" w:space="0"/>
          <w:shd w:val="clear" w:fill="FFFFFF"/>
        </w:rPr>
        <w:t>的</w:t>
      </w:r>
      <w:r>
        <w:rPr>
          <w:rFonts w:hint="eastAsia" w:ascii="仿宋" w:hAnsi="仿宋" w:eastAsia="仿宋" w:cs="仿宋"/>
          <w:i w:val="0"/>
          <w:iCs w:val="0"/>
          <w:caps w:val="0"/>
          <w:color w:val="333333"/>
          <w:spacing w:val="0"/>
          <w:sz w:val="31"/>
          <w:szCs w:val="31"/>
          <w:bdr w:val="none" w:color="auto" w:sz="0" w:space="0"/>
          <w:shd w:val="clear" w:fill="FFFFFF"/>
          <w:lang w:val="en-US" w:eastAsia="zh-CN"/>
        </w:rPr>
        <w:t>工资和社保</w:t>
      </w:r>
      <w:r>
        <w:rPr>
          <w:rFonts w:ascii="仿宋_GB2312" w:hAnsi="微软雅黑" w:eastAsia="仿宋_GB2312" w:cs="仿宋_GB2312"/>
          <w:i w:val="0"/>
          <w:iCs w:val="0"/>
          <w:caps w:val="0"/>
          <w:color w:val="333333"/>
          <w:spacing w:val="0"/>
          <w:sz w:val="31"/>
          <w:szCs w:val="31"/>
          <w:bdr w:val="none" w:color="auto" w:sz="0" w:space="0"/>
          <w:shd w:val="clear" w:fill="FFFFFF"/>
        </w:rPr>
        <w:t>。</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numPr>
          <w:ilvl w:val="0"/>
          <w:numId w:val="0"/>
        </w:numPr>
        <w:adjustRightInd w:val="0"/>
        <w:snapToGrid w:val="0"/>
        <w:spacing w:line="560" w:lineRule="exact"/>
        <w:ind w:firstLine="640" w:firstLineChars="200"/>
        <w:rPr>
          <w:rFonts w:hint="default" w:ascii="仿宋_GB2312" w:hAnsi="宋体"/>
          <w:lang w:val="en-US" w:eastAsia="zh-CN"/>
        </w:rPr>
      </w:pPr>
      <w:r>
        <w:rPr>
          <w:rFonts w:hint="eastAsia" w:ascii="仿宋_GB2312" w:hAnsi="宋体"/>
          <w:lang w:val="en-US" w:eastAsia="zh-CN"/>
        </w:rPr>
        <w:t>2021年通过公益性岗位补贴资金的有效使用，再就业政策得到有效落实，促进就业效果明显。学</w:t>
      </w:r>
      <w:r>
        <w:rPr>
          <w:rFonts w:hint="eastAsia" w:ascii="仿宋_GB2312" w:hAnsi="宋体"/>
          <w:lang w:val="en-US" w:eastAsia="zh-CN"/>
        </w:rPr>
        <w:t>校严格按照项目资金使用范围，每月及时发</w:t>
      </w:r>
      <w:bookmarkStart w:id="0" w:name="_GoBack"/>
      <w:bookmarkEnd w:id="0"/>
      <w:r>
        <w:rPr>
          <w:rFonts w:hint="eastAsia" w:ascii="仿宋_GB2312" w:hAnsi="宋体"/>
          <w:lang w:val="en-US" w:eastAsia="zh-CN"/>
        </w:rPr>
        <w:t>放公益性岗位人员工资及社保。</w:t>
      </w:r>
    </w:p>
    <w:p>
      <w:pPr>
        <w:numPr>
          <w:ilvl w:val="0"/>
          <w:numId w:val="3"/>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pPr>
        <w:numPr>
          <w:ilvl w:val="0"/>
          <w:numId w:val="0"/>
        </w:numPr>
        <w:adjustRightInd w:val="0"/>
        <w:snapToGrid w:val="0"/>
        <w:spacing w:line="560" w:lineRule="exact"/>
        <w:ind w:firstLine="640" w:firstLineChars="200"/>
        <w:rPr>
          <w:rFonts w:hint="default" w:ascii="楷体_GB2312" w:hAnsi="宋体" w:eastAsia="仿宋_GB2312"/>
          <w:b/>
          <w:lang w:val="en-US" w:eastAsia="zh-CN"/>
        </w:rPr>
      </w:pPr>
      <w:r>
        <w:rPr>
          <w:rFonts w:hint="eastAsia" w:ascii="仿宋_GB2312" w:hAnsi="宋体"/>
          <w:lang w:val="en-US" w:eastAsia="zh-CN"/>
        </w:rPr>
        <w:t>从社会效益指标分析评价，解决劳动力就业人数2人；</w:t>
      </w:r>
      <w:r>
        <w:rPr>
          <w:rFonts w:hint="eastAsia" w:ascii="仿宋_GB2312" w:hAnsi="宋体"/>
          <w:lang w:val="zh-CN"/>
        </w:rPr>
        <w:t>从满意度</w:t>
      </w:r>
      <w:r>
        <w:rPr>
          <w:rFonts w:hint="eastAsia" w:ascii="仿宋_GB2312" w:hAnsi="宋体"/>
          <w:lang w:val="en-US" w:eastAsia="zh-CN"/>
        </w:rPr>
        <w:t>指标</w:t>
      </w:r>
      <w:r>
        <w:rPr>
          <w:rFonts w:hint="eastAsia" w:ascii="仿宋_GB2312" w:hAnsi="宋体"/>
          <w:lang w:val="zh-CN"/>
        </w:rPr>
        <w:t>分析评价，公共就业服务满意度</w:t>
      </w:r>
      <w:r>
        <w:rPr>
          <w:rFonts w:hint="eastAsia" w:ascii="仿宋_GB2312" w:hAnsi="宋体"/>
          <w:lang w:val="en-US" w:eastAsia="zh-CN"/>
        </w:rPr>
        <w:t>为100%。</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numPr>
          <w:ilvl w:val="0"/>
          <w:numId w:val="0"/>
        </w:numPr>
        <w:adjustRightInd w:val="0"/>
        <w:snapToGrid w:val="0"/>
        <w:spacing w:line="560" w:lineRule="exact"/>
        <w:ind w:left="720" w:leftChars="0"/>
        <w:rPr>
          <w:rFonts w:hint="eastAsia" w:ascii="楷体_GB2312" w:hAnsi="宋体" w:eastAsia="楷体_GB2312"/>
          <w:b/>
          <w:lang w:val="en-US" w:eastAsia="zh-CN"/>
        </w:rPr>
      </w:pPr>
      <w:r>
        <w:rPr>
          <w:rFonts w:hint="eastAsia"/>
          <w:lang w:val="en-US" w:eastAsia="zh-CN"/>
        </w:rPr>
        <w:t>无。</w:t>
      </w:r>
    </w:p>
    <w:p>
      <w:pPr>
        <w:numPr>
          <w:ilvl w:val="0"/>
          <w:numId w:val="3"/>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相关建议。</w:t>
      </w:r>
    </w:p>
    <w:p>
      <w:pPr>
        <w:numPr>
          <w:ilvl w:val="0"/>
          <w:numId w:val="0"/>
        </w:numPr>
        <w:adjustRightInd w:val="0"/>
        <w:snapToGrid w:val="0"/>
        <w:spacing w:line="560" w:lineRule="exact"/>
        <w:ind w:left="720" w:leftChars="0"/>
        <w:rPr>
          <w:rFonts w:hint="eastAsia" w:eastAsia="仿宋_GB2312"/>
          <w:lang w:val="en-US" w:eastAsia="zh-CN"/>
        </w:rPr>
      </w:pPr>
      <w:r>
        <w:rPr>
          <w:rFonts w:hint="eastAsia"/>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7E8BB"/>
    <w:multiLevelType w:val="singleLevel"/>
    <w:tmpl w:val="F607E8BB"/>
    <w:lvl w:ilvl="0" w:tentative="0">
      <w:start w:val="2"/>
      <w:numFmt w:val="decimal"/>
      <w:suff w:val="nothing"/>
      <w:lvlText w:val="%1．"/>
      <w:lvlJc w:val="left"/>
    </w:lvl>
  </w:abstractNum>
  <w:abstractNum w:abstractNumId="1">
    <w:nsid w:val="5FD2B761"/>
    <w:multiLevelType w:val="singleLevel"/>
    <w:tmpl w:val="5FD2B761"/>
    <w:lvl w:ilvl="0" w:tentative="0">
      <w:start w:val="2"/>
      <w:numFmt w:val="chineseCounting"/>
      <w:suff w:val="nothing"/>
      <w:lvlText w:val="（%1）"/>
      <w:lvlJc w:val="left"/>
      <w:rPr>
        <w:rFonts w:hint="eastAsia"/>
      </w:rPr>
    </w:lvl>
  </w:abstractNum>
  <w:abstractNum w:abstractNumId="2">
    <w:nsid w:val="6030FC1C"/>
    <w:multiLevelType w:val="singleLevel"/>
    <w:tmpl w:val="6030FC1C"/>
    <w:lvl w:ilvl="0" w:tentative="0">
      <w:start w:val="1"/>
      <w:numFmt w:val="chineseCounting"/>
      <w:suff w:val="nothing"/>
      <w:lvlText w:val="（%1）"/>
      <w:lvlJc w:val="left"/>
      <w:rPr>
        <w:rFonts w:hint="eastAsia"/>
        <w:b/>
        <w:bC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hMmU1Nzc4MDEyZWYxNzU4NWQ0ODM1MGY1NDhjN2EifQ=="/>
  </w:docVars>
  <w:rsids>
    <w:rsidRoot w:val="291C455A"/>
    <w:rsid w:val="00417211"/>
    <w:rsid w:val="004B6F67"/>
    <w:rsid w:val="00B53A36"/>
    <w:rsid w:val="0EDB478C"/>
    <w:rsid w:val="14750B91"/>
    <w:rsid w:val="22445508"/>
    <w:rsid w:val="24615888"/>
    <w:rsid w:val="25CF54AB"/>
    <w:rsid w:val="28A6139D"/>
    <w:rsid w:val="291C455A"/>
    <w:rsid w:val="2D644DD8"/>
    <w:rsid w:val="2FE3046B"/>
    <w:rsid w:val="35166B44"/>
    <w:rsid w:val="36837A07"/>
    <w:rsid w:val="36926D0C"/>
    <w:rsid w:val="426C6DEA"/>
    <w:rsid w:val="45FC062D"/>
    <w:rsid w:val="4871658A"/>
    <w:rsid w:val="4D75779D"/>
    <w:rsid w:val="4DAF2BCF"/>
    <w:rsid w:val="4DDB6F66"/>
    <w:rsid w:val="528D2C96"/>
    <w:rsid w:val="55452810"/>
    <w:rsid w:val="636A7714"/>
    <w:rsid w:val="69D97C95"/>
    <w:rsid w:val="704C40BE"/>
    <w:rsid w:val="72423460"/>
    <w:rsid w:val="792F2AEE"/>
    <w:rsid w:val="7993614A"/>
    <w:rsid w:val="79DC2A4B"/>
    <w:rsid w:val="7F5E69B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3"/>
    <w:qFormat/>
    <w:uiPriority w:val="0"/>
    <w:rPr>
      <w:rFonts w:ascii="Times New Roman" w:hAnsi="Times New Roman" w:eastAsia="仿宋_GB2312" w:cs="Times New Roman"/>
      <w:kern w:val="2"/>
      <w:sz w:val="18"/>
      <w:szCs w:val="18"/>
    </w:rPr>
  </w:style>
  <w:style w:type="character" w:customStyle="1" w:styleId="9">
    <w:name w:val="页脚 Char"/>
    <w:basedOn w:val="6"/>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735</Words>
  <Characters>782</Characters>
  <Lines>6</Lines>
  <Paragraphs>1</Paragraphs>
  <TotalTime>19</TotalTime>
  <ScaleCrop>false</ScaleCrop>
  <LinksUpToDate>false</LinksUpToDate>
  <CharactersWithSpaces>786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泡子</cp:lastModifiedBy>
  <dcterms:modified xsi:type="dcterms:W3CDTF">2022-06-14T07:02:46Z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12C399094C644D14B5C19956121B32AF</vt:lpwstr>
  </property>
</Properties>
</file>