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绩效管理经费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en-US" w:eastAsia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绩效管理经费</w:t>
      </w:r>
      <w:r>
        <w:rPr>
          <w:rFonts w:hint="eastAsia" w:ascii="黑体" w:hAnsi="宋体" w:eastAsia="黑体"/>
          <w:lang w:val="zh-CN"/>
        </w:rPr>
        <w:t>）</w:t>
      </w:r>
    </w:p>
    <w:p>
      <w:pPr>
        <w:numPr>
          <w:numId w:val="0"/>
        </w:numPr>
        <w:adjustRightInd w:val="0"/>
        <w:snapToGrid w:val="0"/>
        <w:spacing w:line="560" w:lineRule="exact"/>
        <w:ind w:firstLine="960" w:firstLineChars="3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乐山开放大学是伴随着国家开放大学和四川开放大学于1979年成立的。乐署函【1984】1号文件同意将乐山电大工作站更名为“四川广播电视大学乐山分校”，乐府函复（2021）15号，更名为乐山开放大学，由市政府主办、市教育局主管，运用现代信息技术开展远程开放教育的市属综合性成人高校，学校开展乐学历教育，非学历教育，承担了全市中小学校教师培训工作，目前全市有11个分校，学员共计7000余人，校本部学院2000余人，乐山开大既有办学的独立性，它既是管理机构，又是办学实体，其教学业务受国家开放大学和四川开放大学直接管理。</w:t>
      </w:r>
    </w:p>
    <w:p>
      <w:pPr>
        <w:numPr>
          <w:numId w:val="0"/>
        </w:numPr>
        <w:adjustRightInd w:val="0"/>
        <w:snapToGrid w:val="0"/>
        <w:spacing w:line="560" w:lineRule="exact"/>
        <w:ind w:firstLine="960" w:firstLineChars="3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（一）</w:t>
      </w: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default" w:ascii="仿宋_GB2312" w:hAnsi="宋体" w:eastAsia="仿宋_GB2312"/>
          <w:color w:val="auto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  项目资金为年初预算教育局统一批复、下达的计划，无调整预算。项目资</w:t>
      </w:r>
      <w:r>
        <w:rPr>
          <w:rFonts w:hint="eastAsia" w:ascii="仿宋_GB2312" w:hAnsi="宋体"/>
          <w:color w:val="auto"/>
          <w:lang w:val="en-US" w:eastAsia="zh-CN"/>
        </w:rPr>
        <w:t>金</w:t>
      </w:r>
      <w:r>
        <w:rPr>
          <w:rFonts w:hint="eastAsia" w:ascii="仿宋_GB2312" w:hAnsi="宋体"/>
          <w:color w:val="auto"/>
          <w:lang w:val="zh-CN"/>
        </w:rPr>
        <w:t>符合资金管理办法等相关规定。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numPr>
          <w:numId w:val="0"/>
        </w:numPr>
        <w:adjustRightInd w:val="0"/>
        <w:snapToGrid w:val="0"/>
        <w:spacing w:line="56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为保障学校正常运转，四川电大于2016年3月16日下发了“四川广播电视大学关于印发《四川广播电视大学市（州、系统）、县级电大及分校成人和开放教育工作酬金发放指导标准》的通知”，要求各基层电大结合自身情况，制定酬金发放标准，以促进电大事业的健康发展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numId w:val="0"/>
        </w:numPr>
        <w:adjustRightInd w:val="0"/>
        <w:snapToGrid w:val="0"/>
        <w:spacing w:line="560" w:lineRule="exact"/>
        <w:ind w:left="720" w:leftChars="0" w:firstLine="320" w:firstLineChars="1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结合我单位实际情况，特向财政局、教育局申请，批准备案后，实施该项目。项目申报内容与具体实施内容相符、申报目标可行。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资金计划及到位，</w:t>
      </w:r>
      <w:r>
        <w:rPr>
          <w:rFonts w:hint="eastAsia" w:ascii="仿宋_GB2312" w:hAnsi="宋体"/>
          <w:lang w:val="zh-CN"/>
        </w:rPr>
        <w:t>支付率达到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  <w:r>
        <w:rPr>
          <w:rFonts w:hint="eastAsia" w:ascii="仿宋_GB2312" w:hAnsi="宋体"/>
          <w:lang w:val="zh-CN"/>
        </w:rPr>
        <w:t>增量绩效实际支付</w:t>
      </w:r>
      <w:r>
        <w:rPr>
          <w:rFonts w:hint="eastAsia" w:ascii="仿宋_GB2312" w:hAnsi="宋体"/>
          <w:lang w:val="en-US" w:eastAsia="zh-CN"/>
        </w:rPr>
        <w:t>453602.2元</w:t>
      </w:r>
      <w:r>
        <w:rPr>
          <w:rFonts w:hint="eastAsia" w:ascii="仿宋_GB2312" w:hAnsi="宋体"/>
          <w:lang w:val="zh-CN"/>
        </w:rPr>
        <w:t>，按照乐教函</w:t>
      </w:r>
      <w:r>
        <w:rPr>
          <w:rFonts w:hint="eastAsia" w:ascii="仿宋_GB2312" w:hAnsi="宋体"/>
          <w:lang w:val="en-US" w:eastAsia="zh-CN"/>
        </w:rPr>
        <w:t>[2020]159号文件使用资金，标准为人均1.68万元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项目财务管理制度建设、机构设置都是按照三重一大要求完善。会计核算及账务处理等都都是严格执行财务管理制度，</w:t>
      </w:r>
      <w:r>
        <w:rPr>
          <w:rFonts w:hint="eastAsia" w:ascii="仿宋_GB2312" w:hAnsi="宋体"/>
          <w:color w:val="auto"/>
          <w:lang w:val="zh-CN"/>
        </w:rPr>
        <w:t>规范的会计核算，并</w:t>
      </w:r>
      <w:r>
        <w:rPr>
          <w:rFonts w:hint="eastAsia" w:ascii="仿宋_GB2312" w:hAnsi="宋体"/>
          <w:lang w:val="zh-CN"/>
        </w:rPr>
        <w:t>及时进行财务处理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项目组织实施完成。</w:t>
      </w:r>
    </w:p>
    <w:p>
      <w:pPr>
        <w:adjustRightInd w:val="0"/>
        <w:snapToGrid w:val="0"/>
        <w:spacing w:line="56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项目已完成，支付率达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仿宋_GB2312" w:hAnsi="宋体"/>
          <w:lang w:val="zh-CN"/>
        </w:rPr>
        <w:t>本项目为</w:t>
      </w:r>
      <w:r>
        <w:rPr>
          <w:rFonts w:hint="eastAsia" w:ascii="仿宋_GB2312" w:hAnsi="宋体"/>
          <w:lang w:val="en-US" w:eastAsia="zh-CN"/>
        </w:rPr>
        <w:t>2021年1月-12月增量绩效，已全部支付。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numId w:val="0"/>
        </w:numPr>
        <w:adjustRightInd w:val="0"/>
        <w:snapToGrid w:val="0"/>
        <w:spacing w:line="560" w:lineRule="exact"/>
        <w:ind w:firstLine="960" w:firstLineChars="300"/>
        <w:rPr>
          <w:rFonts w:hint="default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学生及教职工满意度达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95%以上。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1687" w:firstLineChars="525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BFA42E"/>
    <w:multiLevelType w:val="singleLevel"/>
    <w:tmpl w:val="A5BFA4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C401810"/>
    <w:multiLevelType w:val="singleLevel"/>
    <w:tmpl w:val="BC401810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D7E74520"/>
    <w:multiLevelType w:val="singleLevel"/>
    <w:tmpl w:val="D7E7452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Y2ExNjUwZDg2YTMwZjhlMGE3YmJmNDgyMDlhZDEifQ=="/>
  </w:docVars>
  <w:rsids>
    <w:rsidRoot w:val="291C455A"/>
    <w:rsid w:val="00417211"/>
    <w:rsid w:val="004B6F67"/>
    <w:rsid w:val="00B53A36"/>
    <w:rsid w:val="0EB06A01"/>
    <w:rsid w:val="0EDB478C"/>
    <w:rsid w:val="1A7C542C"/>
    <w:rsid w:val="291C455A"/>
    <w:rsid w:val="36926D0C"/>
    <w:rsid w:val="4DAF2BCF"/>
    <w:rsid w:val="4DDB6F66"/>
    <w:rsid w:val="5BBC6E8C"/>
    <w:rsid w:val="5DAA63D2"/>
    <w:rsid w:val="6A2B376F"/>
    <w:rsid w:val="792F2AEE"/>
    <w:rsid w:val="7AC16537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862</Words>
  <Characters>914</Characters>
  <Lines>6</Lines>
  <Paragraphs>1</Paragraphs>
  <TotalTime>4</TotalTime>
  <ScaleCrop>false</ScaleCrop>
  <LinksUpToDate>false</LinksUpToDate>
  <CharactersWithSpaces>923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02</cp:lastModifiedBy>
  <dcterms:modified xsi:type="dcterms:W3CDTF">2022-06-14T08:02:32Z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C0A479E8FDA84E68A8E616F82582EE11</vt:lpwstr>
  </property>
</Properties>
</file>