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2021年干部教育培训重点项目市级资金（年初预留代编市级培训费）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2021年干部教育培训重点项目市级资金</w:t>
      </w:r>
      <w:r>
        <w:rPr>
          <w:rFonts w:hint="eastAsia" w:ascii="黑体" w:hAnsi="宋体" w:eastAsia="黑体"/>
          <w:lang w:val="zh-CN"/>
        </w:rPr>
        <w:t>）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乐山广播电视大学是</w:t>
      </w:r>
      <w:r>
        <w:rPr>
          <w:rFonts w:ascii="仿宋_GB2312" w:eastAsia="仿宋_GB2312" w:cs="仿宋_GB2312"/>
          <w:color w:val="000000"/>
          <w:kern w:val="0"/>
          <w:sz w:val="32"/>
          <w:szCs w:val="32"/>
        </w:rPr>
        <w:t>1979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年经市政府批准建立的地方综合型成人高校，并于</w:t>
      </w:r>
      <w:r>
        <w:rPr>
          <w:rFonts w:ascii="仿宋_GB2312" w:eastAsia="仿宋_GB2312" w:cs="仿宋_GB2312"/>
          <w:color w:val="000000"/>
          <w:kern w:val="0"/>
          <w:sz w:val="32"/>
          <w:szCs w:val="32"/>
        </w:rPr>
        <w:t>2006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年正式建立乐山市中小学教师培训中心，学校实行一套班子，两块牌子。学校于2</w:t>
      </w:r>
      <w:r>
        <w:rPr>
          <w:rFonts w:ascii="仿宋_GB2312" w:eastAsia="仿宋_GB2312" w:cs="仿宋_GB2312"/>
          <w:color w:val="000000"/>
          <w:kern w:val="0"/>
          <w:sz w:val="32"/>
          <w:szCs w:val="32"/>
        </w:rPr>
        <w:t>021年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更名为乐山开放大学。学校有峨眉、犍为、井研、五通、沙湾、夹江、峨边、马边、金口河、沐川十所分校，目前各层次在籍学生近</w:t>
      </w:r>
      <w:r>
        <w:rPr>
          <w:rFonts w:ascii="仿宋_GB2312" w:eastAsia="仿宋_GB2312" w:cs="仿宋_GB2312"/>
          <w:color w:val="000000"/>
          <w:kern w:val="0"/>
          <w:sz w:val="32"/>
          <w:szCs w:val="32"/>
        </w:rPr>
        <w:t>8000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余人，其中校本部学生</w:t>
      </w:r>
      <w:r>
        <w:rPr>
          <w:rFonts w:ascii="仿宋_GB2312" w:eastAsia="仿宋_GB2312" w:cs="仿宋_GB2312"/>
          <w:color w:val="000000"/>
          <w:kern w:val="0"/>
          <w:sz w:val="32"/>
          <w:szCs w:val="32"/>
        </w:rPr>
        <w:t>1800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余人。</w:t>
      </w:r>
      <w:r>
        <w:rPr>
          <w:rFonts w:hint="eastAsia" w:ascii="仿宋_GB2312" w:hAnsi="宋体"/>
          <w:lang w:val="zh-CN"/>
        </w:rPr>
        <w:t>按照市委组织部印发的《2021年市级干部教育培训重点项目》内容，以及市教育局培训通知要求，对送培的现任小学校级干部培训，提升其专业素质和解决市级问题的能力，推进基础教育改革发展的能力与水平。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default" w:ascii="仿宋_GB2312" w:hAnsi="宋体" w:eastAsia="仿宋_GB2312"/>
          <w:color w:val="auto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  项目资金为年初预算教育局统一批复、下达的计划，中期无调整预算。项目资</w:t>
      </w:r>
      <w:r>
        <w:rPr>
          <w:rFonts w:hint="eastAsia" w:ascii="仿宋_GB2312" w:hAnsi="宋体"/>
          <w:color w:val="auto"/>
          <w:lang w:val="en-US" w:eastAsia="zh-CN"/>
        </w:rPr>
        <w:t>金</w:t>
      </w:r>
      <w:r>
        <w:rPr>
          <w:rFonts w:hint="eastAsia" w:ascii="仿宋_GB2312" w:hAnsi="宋体"/>
          <w:color w:val="auto"/>
          <w:lang w:val="zh-CN"/>
        </w:rPr>
        <w:t>符合资金管理办法等相关规定。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对送培的现任小学校级干部共计</w:t>
      </w:r>
      <w:r>
        <w:rPr>
          <w:rFonts w:hint="eastAsia" w:ascii="仿宋_GB2312" w:hAnsi="宋体"/>
          <w:lang w:val="en-US" w:eastAsia="zh-CN"/>
        </w:rPr>
        <w:t>145人</w:t>
      </w:r>
      <w:r>
        <w:rPr>
          <w:rFonts w:hint="eastAsia" w:ascii="仿宋_GB2312" w:hAnsi="宋体"/>
          <w:lang w:val="zh-CN"/>
        </w:rPr>
        <w:t>培训，提升其专业素质和解决市级问题的能力，推进基础教育</w:t>
      </w:r>
      <w:bookmarkStart w:id="0" w:name="_GoBack"/>
      <w:bookmarkEnd w:id="0"/>
      <w:r>
        <w:rPr>
          <w:rFonts w:hint="eastAsia" w:ascii="仿宋_GB2312" w:hAnsi="宋体"/>
          <w:lang w:val="zh-CN"/>
        </w:rPr>
        <w:t>改革发展的能力与水平。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numId w:val="0"/>
        </w:numPr>
        <w:adjustRightInd w:val="0"/>
        <w:snapToGrid w:val="0"/>
        <w:spacing w:line="560" w:lineRule="exact"/>
        <w:ind w:leftChars="200" w:firstLine="320" w:firstLineChars="1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资金计划及到位，</w:t>
      </w:r>
      <w:r>
        <w:rPr>
          <w:rFonts w:hint="eastAsia" w:ascii="仿宋_GB2312" w:hAnsi="宋体"/>
          <w:lang w:val="zh-CN"/>
        </w:rPr>
        <w:t>支付率达到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lang w:val="zh-CN"/>
        </w:rPr>
        <w:t>项目财务管理制度建设、机构设置都是按照三重一大要求完善。会计核算及账务处理等都都是严格执行财务管理制度，</w:t>
      </w:r>
      <w:r>
        <w:rPr>
          <w:rFonts w:hint="eastAsia" w:ascii="仿宋_GB2312" w:hAnsi="宋体"/>
          <w:color w:val="auto"/>
          <w:lang w:val="zh-CN"/>
        </w:rPr>
        <w:t>规范的会计核算，并</w:t>
      </w:r>
      <w:r>
        <w:rPr>
          <w:rFonts w:hint="eastAsia" w:ascii="仿宋_GB2312" w:hAnsi="宋体"/>
          <w:lang w:val="zh-CN"/>
        </w:rPr>
        <w:t>及时进行财务处理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项目组织实施完成。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项目已完成，支付率达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3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 w:firstLine="320" w:firstLineChars="1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项目服务对象满意度达</w:t>
      </w:r>
      <w:r>
        <w:rPr>
          <w:rFonts w:hint="eastAsia" w:ascii="仿宋_GB2312" w:hAnsi="宋体"/>
          <w:lang w:val="en-US" w:eastAsia="zh-CN"/>
        </w:rPr>
        <w:t>95%以上，保障了培训对象顺利结业。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52512B"/>
    <w:multiLevelType w:val="singleLevel"/>
    <w:tmpl w:val="4852512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Y2ExNjUwZDg2YTMwZjhlMGE3YmJmNDgyMDlhZDEifQ=="/>
  </w:docVars>
  <w:rsids>
    <w:rsidRoot w:val="291C455A"/>
    <w:rsid w:val="00417211"/>
    <w:rsid w:val="004B6F67"/>
    <w:rsid w:val="00B53A36"/>
    <w:rsid w:val="0EDB478C"/>
    <w:rsid w:val="1A2C33BE"/>
    <w:rsid w:val="1A7C542C"/>
    <w:rsid w:val="1E593ECA"/>
    <w:rsid w:val="291C455A"/>
    <w:rsid w:val="36926D0C"/>
    <w:rsid w:val="4DAF2BCF"/>
    <w:rsid w:val="4DDB6F66"/>
    <w:rsid w:val="55C44FF6"/>
    <w:rsid w:val="5BBC6E8C"/>
    <w:rsid w:val="5E262C50"/>
    <w:rsid w:val="6A8B5567"/>
    <w:rsid w:val="733A1E8F"/>
    <w:rsid w:val="792F2AEE"/>
    <w:rsid w:val="7A1B0EAB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660</Characters>
  <Lines>6</Lines>
  <Paragraphs>1</Paragraphs>
  <TotalTime>3</TotalTime>
  <ScaleCrop>false</ScaleCrop>
  <LinksUpToDate>false</LinksUpToDate>
  <CharactersWithSpaces>668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02</cp:lastModifiedBy>
  <dcterms:modified xsi:type="dcterms:W3CDTF">2022-06-14T08:31:26Z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C0A479E8FDA84E68A8E616F82582EE11</vt:lpwstr>
  </property>
</Properties>
</file>