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pPr>
        <w:pStyle w:val="6"/>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项目预留-大型修缮</w:t>
      </w:r>
      <w:r>
        <w:rPr>
          <w:rFonts w:hint="eastAsia" w:ascii="仿宋_GB2312" w:hAnsi="宋体" w:eastAsia="仿宋_GB2312"/>
          <w:color w:val="auto"/>
          <w:kern w:val="2"/>
          <w:sz w:val="32"/>
          <w:szCs w:val="32"/>
        </w:rPr>
        <w:t>）</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hint="eastAsia" w:ascii="黑体" w:hAnsi="宋体" w:eastAsia="黑体"/>
          <w:lang w:val="en-US" w:eastAsia="zh-CN"/>
        </w:rPr>
      </w:pPr>
      <w:r>
        <w:rPr>
          <w:rFonts w:hint="eastAsia" w:ascii="黑体" w:hAnsi="宋体" w:eastAsia="黑体"/>
        </w:rPr>
        <w:t>一、</w:t>
      </w:r>
      <w:r>
        <w:rPr>
          <w:rFonts w:hint="eastAsia" w:ascii="黑体" w:hAnsi="宋体" w:eastAsia="黑体"/>
          <w:lang w:val="zh-CN"/>
        </w:rPr>
        <w:t>项目概况（</w:t>
      </w:r>
      <w:r>
        <w:rPr>
          <w:rFonts w:hint="eastAsia" w:ascii="仿宋_GB2312" w:hAnsi="宋体" w:eastAsia="仿宋_GB2312"/>
          <w:color w:val="auto"/>
          <w:kern w:val="2"/>
          <w:sz w:val="32"/>
          <w:szCs w:val="32"/>
          <w:lang w:val="en-US" w:eastAsia="zh-CN"/>
        </w:rPr>
        <w:t>大型修缮</w:t>
      </w:r>
      <w:r>
        <w:rPr>
          <w:rFonts w:hint="eastAsia" w:ascii="黑体" w:hAnsi="宋体" w:eastAsia="黑体"/>
          <w:lang w:val="zh-CN"/>
        </w:rPr>
        <w:t>）</w:t>
      </w:r>
    </w:p>
    <w:p>
      <w:pPr>
        <w:adjustRightInd w:val="0"/>
        <w:snapToGrid w:val="0"/>
        <w:spacing w:line="560" w:lineRule="exact"/>
        <w:ind w:firstLine="1040" w:firstLineChars="325"/>
        <w:rPr>
          <w:rFonts w:hint="eastAsia" w:ascii="仿宋_GB2312" w:hAnsi="宋体"/>
          <w:lang w:val="zh-CN"/>
        </w:rPr>
      </w:pPr>
      <w:r>
        <w:rPr>
          <w:rFonts w:hint="eastAsia" w:ascii="仿宋_GB2312" w:hAnsi="宋体"/>
          <w:lang w:val="zh-CN"/>
        </w:rPr>
        <w:t>乐山广播电视大学是由市政府主办，市教育局主管的综合性成人高校，学校教学楼、办公楼始建于1988年，老旧的设备已不能满足现代教学要求，为保障学校教学正常运转，需进行改造和装修。</w:t>
      </w:r>
    </w:p>
    <w:p>
      <w:pPr>
        <w:numPr>
          <w:ilvl w:val="0"/>
          <w:numId w:val="1"/>
        </w:numPr>
        <w:adjustRightInd w:val="0"/>
        <w:snapToGrid w:val="0"/>
        <w:spacing w:line="560" w:lineRule="exact"/>
        <w:ind w:firstLine="643" w:firstLineChars="200"/>
        <w:rPr>
          <w:rFonts w:hint="eastAsia" w:ascii="仿宋_GB2312" w:hAnsi="宋体"/>
          <w:lang w:val="zh-CN"/>
        </w:rPr>
      </w:pPr>
      <w:r>
        <w:rPr>
          <w:rFonts w:hint="eastAsia" w:ascii="楷体_GB2312" w:hAnsi="宋体" w:eastAsia="楷体_GB2312"/>
          <w:b/>
          <w:lang w:val="zh-CN"/>
        </w:rPr>
        <w:t>项目资金申报及批复情况。</w:t>
      </w:r>
    </w:p>
    <w:p>
      <w:pPr>
        <w:numPr>
          <w:ilvl w:val="0"/>
          <w:numId w:val="0"/>
        </w:numPr>
        <w:adjustRightInd w:val="0"/>
        <w:snapToGrid w:val="0"/>
        <w:spacing w:line="560" w:lineRule="exact"/>
        <w:rPr>
          <w:rFonts w:hint="default" w:ascii="仿宋_GB2312" w:hAnsi="宋体" w:eastAsia="仿宋_GB2312"/>
          <w:color w:val="auto"/>
          <w:lang w:val="en-US" w:eastAsia="zh-CN"/>
        </w:rPr>
      </w:pPr>
      <w:r>
        <w:rPr>
          <w:rFonts w:hint="eastAsia" w:ascii="仿宋_GB2312" w:hAnsi="宋体"/>
          <w:lang w:val="en-US" w:eastAsia="zh-CN"/>
        </w:rPr>
        <w:t xml:space="preserve">      项目资金为年初预算机关事务管理局批准后教育局统一下达的计划，中期无调整预算。项目资</w:t>
      </w:r>
      <w:r>
        <w:rPr>
          <w:rFonts w:hint="eastAsia" w:ascii="仿宋_GB2312" w:hAnsi="宋体"/>
          <w:color w:val="auto"/>
          <w:lang w:val="en-US" w:eastAsia="zh-CN"/>
        </w:rPr>
        <w:t>金</w:t>
      </w:r>
      <w:r>
        <w:rPr>
          <w:rFonts w:hint="eastAsia" w:ascii="仿宋_GB2312" w:hAnsi="宋体"/>
          <w:color w:val="auto"/>
          <w:lang w:val="zh-CN"/>
        </w:rPr>
        <w:t>符合资金管理办法等相关规定。</w:t>
      </w:r>
    </w:p>
    <w:p>
      <w:pPr>
        <w:numPr>
          <w:ilvl w:val="0"/>
          <w:numId w:val="1"/>
        </w:numPr>
        <w:adjustRightInd w:val="0"/>
        <w:snapToGrid w:val="0"/>
        <w:spacing w:line="560" w:lineRule="exact"/>
        <w:ind w:left="0" w:leftChars="0" w:firstLine="643" w:firstLineChars="200"/>
        <w:rPr>
          <w:rFonts w:hint="eastAsia" w:ascii="仿宋_GB2312" w:hAnsi="宋体"/>
          <w:lang w:val="zh-CN"/>
        </w:rPr>
      </w:pPr>
      <w:r>
        <w:rPr>
          <w:rFonts w:hint="eastAsia" w:ascii="楷体_GB2312" w:hAnsi="宋体" w:eastAsia="楷体_GB2312"/>
          <w:b/>
          <w:lang w:val="zh-CN"/>
        </w:rPr>
        <w:t>项目绩效目标。</w:t>
      </w:r>
    </w:p>
    <w:p>
      <w:pPr>
        <w:adjustRightInd w:val="0"/>
        <w:snapToGrid w:val="0"/>
        <w:spacing w:line="560" w:lineRule="exact"/>
        <w:ind w:firstLine="1040" w:firstLineChars="325"/>
        <w:rPr>
          <w:rFonts w:hint="default" w:ascii="仿宋_GB2312" w:hAnsi="宋体" w:eastAsia="仿宋_GB2312"/>
          <w:lang w:val="en-US" w:eastAsia="zh-CN"/>
        </w:rPr>
      </w:pPr>
      <w:r>
        <w:rPr>
          <w:rFonts w:hint="eastAsia" w:ascii="仿宋_GB2312" w:hAnsi="宋体"/>
          <w:lang w:val="zh-CN"/>
        </w:rPr>
        <w:t>教学楼、办公楼大型维修面积共计</w:t>
      </w:r>
      <w:r>
        <w:rPr>
          <w:rFonts w:hint="eastAsia" w:ascii="仿宋_GB2312" w:hAnsi="宋体"/>
          <w:lang w:val="en-US" w:eastAsia="zh-CN"/>
        </w:rPr>
        <w:t>2078平方米。为全校师生提供安全和舒适的环境。</w:t>
      </w:r>
    </w:p>
    <w:p>
      <w:pPr>
        <w:numPr>
          <w:ilvl w:val="0"/>
          <w:numId w:val="1"/>
        </w:numPr>
        <w:adjustRightInd w:val="0"/>
        <w:snapToGrid w:val="0"/>
        <w:spacing w:line="560" w:lineRule="exact"/>
        <w:ind w:left="0" w:leftChars="0" w:firstLine="643" w:firstLineChars="200"/>
        <w:rPr>
          <w:rFonts w:hint="eastAsia" w:ascii="楷体_GB2312" w:hAnsi="宋体" w:eastAsia="楷体_GB2312"/>
          <w:b/>
          <w:lang w:val="zh-CN"/>
        </w:rPr>
      </w:pPr>
      <w:r>
        <w:rPr>
          <w:rFonts w:hint="eastAsia" w:ascii="楷体_GB2312" w:hAnsi="宋体" w:eastAsia="楷体_GB2312"/>
          <w:b/>
          <w:lang w:val="zh-CN"/>
        </w:rPr>
        <w:t>项目资金申报相符性。</w:t>
      </w:r>
    </w:p>
    <w:p>
      <w:pPr>
        <w:numPr>
          <w:ilvl w:val="0"/>
          <w:numId w:val="0"/>
        </w:numPr>
        <w:adjustRightInd w:val="0"/>
        <w:snapToGrid w:val="0"/>
        <w:spacing w:line="560" w:lineRule="exact"/>
        <w:ind w:leftChars="200" w:firstLine="320" w:firstLineChars="100"/>
        <w:rPr>
          <w:rFonts w:ascii="仿宋_GB2312" w:hAnsi="宋体"/>
          <w:lang w:val="zh-CN"/>
        </w:rPr>
      </w:pPr>
      <w:r>
        <w:rPr>
          <w:rFonts w:hint="eastAsia" w:ascii="仿宋_GB2312" w:hAnsi="宋体"/>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1040" w:firstLineChars="325"/>
        <w:rPr>
          <w:rFonts w:hint="eastAsia" w:ascii="仿宋_GB2312" w:hAnsi="宋体"/>
          <w:lang w:val="zh-CN"/>
        </w:rPr>
      </w:pPr>
      <w:r>
        <w:rPr>
          <w:rFonts w:hint="eastAsia" w:ascii="楷体_GB2312" w:hAnsi="宋体" w:eastAsia="楷体_GB2312"/>
          <w:lang w:val="zh-CN"/>
        </w:rPr>
        <w:t>资金计划及到位，</w:t>
      </w:r>
      <w:r>
        <w:rPr>
          <w:rFonts w:hint="eastAsia" w:ascii="仿宋_GB2312" w:hAnsi="宋体"/>
          <w:lang w:val="zh-CN"/>
        </w:rPr>
        <w:t>支付率达到</w:t>
      </w:r>
      <w:r>
        <w:rPr>
          <w:rFonts w:hint="eastAsia" w:ascii="仿宋_GB2312" w:hAnsi="宋体"/>
          <w:lang w:val="en-US" w:eastAsia="zh-CN"/>
        </w:rPr>
        <w:t>100%</w:t>
      </w:r>
      <w:r>
        <w:rPr>
          <w:rFonts w:hint="eastAsia" w:ascii="仿宋_GB2312" w:hAnsi="宋体"/>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hint="eastAsia" w:ascii="仿宋_GB2312" w:hAnsi="宋体"/>
          <w:color w:val="auto"/>
          <w:lang w:val="zh-CN"/>
        </w:rPr>
      </w:pPr>
      <w:r>
        <w:rPr>
          <w:rFonts w:hint="eastAsia" w:ascii="仿宋_GB2312" w:hAnsi="宋体"/>
          <w:lang w:val="zh-CN"/>
        </w:rPr>
        <w:t>项目财务管理制度建设、机构设置都是按照三重一大要求完善。会计核算及账务处理等都都是严格执行财务管理制度，</w:t>
      </w:r>
      <w:r>
        <w:rPr>
          <w:rFonts w:hint="eastAsia" w:ascii="仿宋_GB2312" w:hAnsi="宋体"/>
          <w:color w:val="auto"/>
          <w:lang w:val="zh-CN"/>
        </w:rPr>
        <w:t>规范的会计核算，并</w:t>
      </w:r>
      <w:r>
        <w:rPr>
          <w:rFonts w:hint="eastAsia" w:ascii="仿宋_GB2312" w:hAnsi="宋体"/>
          <w:lang w:val="zh-CN"/>
        </w:rPr>
        <w:t>及时进行财务处理</w:t>
      </w:r>
      <w:r>
        <w:rPr>
          <w:rFonts w:hint="eastAsia" w:ascii="仿宋_GB2312" w:hAnsi="宋体"/>
          <w:color w:val="auto"/>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640" w:firstLineChars="200"/>
        <w:rPr>
          <w:rFonts w:hint="eastAsia" w:ascii="楷体_GB2312" w:hAnsi="宋体" w:eastAsia="楷体_GB2312"/>
          <w:b w:val="0"/>
          <w:bCs/>
          <w:lang w:val="en-US" w:eastAsia="zh-CN"/>
        </w:rPr>
      </w:pPr>
      <w:r>
        <w:rPr>
          <w:rFonts w:hint="eastAsia" w:ascii="楷体_GB2312" w:hAnsi="宋体" w:eastAsia="楷体_GB2312"/>
          <w:b w:val="0"/>
          <w:bCs/>
          <w:lang w:val="en-US" w:eastAsia="zh-CN"/>
        </w:rPr>
        <w:t>我校维修改造实施流程为：总务后勤科动议拟定维修计划——学校办公会评估通过——上报市教育局、市机关事务管理局报批——维修预算送审财评——根据财评要求进行招标——成立评标小组，确定中标公司——成立维修监督领导小组，对维修工作进行督促监管——组织党政工各部门负责人及维修相关人员进行验收。</w:t>
      </w:r>
    </w:p>
    <w:p>
      <w:pPr>
        <w:adjustRightInd w:val="0"/>
        <w:snapToGrid w:val="0"/>
        <w:spacing w:line="560" w:lineRule="exact"/>
        <w:ind w:firstLine="640" w:firstLineChars="200"/>
        <w:rPr>
          <w:rFonts w:hint="eastAsia" w:ascii="楷体_GB2312" w:hAnsi="宋体" w:eastAsia="楷体_GB2312"/>
          <w:b w:val="0"/>
          <w:bCs/>
          <w:lang w:val="en-US" w:eastAsia="zh-CN"/>
        </w:rPr>
      </w:pPr>
      <w:r>
        <w:rPr>
          <w:rFonts w:hint="eastAsia" w:ascii="楷体_GB2312" w:hAnsi="宋体" w:eastAsia="楷体_GB2312"/>
          <w:b w:val="0"/>
          <w:bCs/>
          <w:lang w:val="en-US" w:eastAsia="zh-CN"/>
        </w:rPr>
        <w:t>2020年，由于学校校舍及附属建筑年久失修，存在严重的安全隐患，学校经校长办公会多次研究，拟定了21年维修计划，并于2020年12月1日向市教育局上报了2021年校园排危维修计划的报告（乐电校﹝2020﹞27号），市教育局立即向市机关事务管理局上报，市机关事务管理局于2020年12月14日对我校维修改造进行了批复（乐机管函﹝2020﹞384号），同意我校进行维修改造。维修项目列入部门预算后，我校按照程序，将维修工程预算明细及施工平面图纸等相关资料报市财政评审中心进行评审，工程送审价格449840.78元，审定金额447371.65元。实际支付金额：445041.96元。剩余4958.04元已</w:t>
      </w:r>
      <w:bookmarkStart w:id="0" w:name="_GoBack"/>
      <w:bookmarkEnd w:id="0"/>
      <w:r>
        <w:rPr>
          <w:rFonts w:hint="eastAsia" w:ascii="楷体_GB2312" w:hAnsi="宋体" w:eastAsia="楷体_GB2312"/>
          <w:b w:val="0"/>
          <w:bCs/>
          <w:lang w:val="en-US" w:eastAsia="zh-CN"/>
        </w:rPr>
        <w:t>用于本项目日常零星维修。根据财评的项目，学校在公示栏进行了询价公示，并成立了评标小组，确定了中标公司。为了对维修工作进行督促监管，学校成立了维修监督领导小组，确保工程保质保量完成。工程完成后，学校向市教育局进行了汇报，按要求组织党政工各部门负责人及维修相关人员进行验收。</w:t>
      </w:r>
    </w:p>
    <w:p>
      <w:pPr>
        <w:adjustRightInd w:val="0"/>
        <w:snapToGrid w:val="0"/>
        <w:spacing w:line="560" w:lineRule="exact"/>
        <w:ind w:firstLine="960" w:firstLineChars="30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1040" w:firstLineChars="325"/>
        <w:rPr>
          <w:rFonts w:ascii="楷体_GB2312" w:hAnsi="宋体" w:eastAsia="楷体_GB2312"/>
          <w:b/>
          <w:lang w:val="zh-CN"/>
        </w:rPr>
      </w:pPr>
      <w:r>
        <w:rPr>
          <w:rFonts w:hint="eastAsia" w:ascii="仿宋_GB2312" w:hAnsi="宋体"/>
          <w:lang w:val="zh-CN"/>
        </w:rPr>
        <w:t>项目已完成，支付率达</w:t>
      </w:r>
      <w:r>
        <w:rPr>
          <w:rFonts w:hint="eastAsia" w:ascii="仿宋_GB2312" w:hAnsi="宋体"/>
          <w:lang w:val="en-US" w:eastAsia="zh-CN"/>
        </w:rPr>
        <w:t>100%</w:t>
      </w:r>
      <w:r>
        <w:rPr>
          <w:rFonts w:hint="eastAsia" w:ascii="仿宋_GB2312" w:hAnsi="宋体"/>
          <w:lang w:val="zh-CN"/>
        </w:rPr>
        <w:t>。</w:t>
      </w:r>
    </w:p>
    <w:p>
      <w:pPr>
        <w:numPr>
          <w:ilvl w:val="0"/>
          <w:numId w:val="1"/>
        </w:numPr>
        <w:adjustRightInd w:val="0"/>
        <w:snapToGrid w:val="0"/>
        <w:spacing w:line="560" w:lineRule="exact"/>
        <w:ind w:left="0" w:leftChars="0" w:firstLine="643" w:firstLineChars="200"/>
        <w:rPr>
          <w:rFonts w:hint="eastAsia" w:ascii="仿宋_GB2312" w:hAnsi="宋体"/>
          <w:lang w:val="en-US" w:eastAsia="zh-CN"/>
        </w:rPr>
      </w:pPr>
      <w:r>
        <w:rPr>
          <w:rFonts w:hint="eastAsia" w:ascii="楷体_GB2312" w:hAnsi="宋体" w:eastAsia="楷体_GB2312"/>
          <w:b/>
          <w:lang w:val="zh-CN"/>
        </w:rPr>
        <w:t>项目效益情况。</w:t>
      </w:r>
    </w:p>
    <w:p>
      <w:pPr>
        <w:numPr>
          <w:ilvl w:val="0"/>
          <w:numId w:val="0"/>
        </w:numPr>
        <w:adjustRightInd w:val="0"/>
        <w:snapToGrid w:val="0"/>
        <w:spacing w:line="560" w:lineRule="exact"/>
        <w:ind w:leftChars="200" w:firstLine="320" w:firstLineChars="100"/>
        <w:rPr>
          <w:rFonts w:hint="eastAsia" w:ascii="仿宋_GB2312" w:hAnsi="宋体"/>
          <w:lang w:val="en-US" w:eastAsia="zh-CN"/>
        </w:rPr>
      </w:pPr>
      <w:r>
        <w:rPr>
          <w:rFonts w:hint="eastAsia" w:ascii="仿宋_GB2312" w:hAnsi="宋体"/>
          <w:lang w:val="zh-CN"/>
        </w:rPr>
        <w:t>项目服务对象满意度达</w:t>
      </w:r>
      <w:r>
        <w:rPr>
          <w:rFonts w:hint="eastAsia" w:ascii="仿宋_GB2312" w:hAnsi="宋体"/>
          <w:lang w:val="en-US" w:eastAsia="zh-CN"/>
        </w:rPr>
        <w:t>95%以上，教师满意度达100%。</w:t>
      </w:r>
    </w:p>
    <w:p>
      <w:pPr>
        <w:numPr>
          <w:ilvl w:val="0"/>
          <w:numId w:val="1"/>
        </w:numPr>
        <w:adjustRightInd w:val="0"/>
        <w:snapToGrid w:val="0"/>
        <w:spacing w:line="560" w:lineRule="exact"/>
        <w:ind w:left="0" w:leftChars="0" w:firstLine="640" w:firstLineChars="20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无</w:t>
      </w:r>
    </w:p>
    <w:p>
      <w:pPr>
        <w:numPr>
          <w:ilvl w:val="0"/>
          <w:numId w:val="2"/>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adjustRightInd w:val="0"/>
        <w:snapToGrid w:val="0"/>
        <w:spacing w:line="560" w:lineRule="exact"/>
        <w:rPr>
          <w:rFonts w:hint="default" w:ascii="楷体_GB2312" w:hAnsi="宋体" w:eastAsia="楷体_GB2312"/>
          <w:b/>
          <w:lang w:val="en-US" w:eastAsia="zh-CN"/>
        </w:rPr>
      </w:pPr>
      <w:r>
        <w:rPr>
          <w:rFonts w:hint="eastAsia" w:ascii="楷体_GB2312" w:hAnsi="宋体" w:eastAsia="楷体_GB2312"/>
          <w:b/>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7F667"/>
    <w:multiLevelType w:val="singleLevel"/>
    <w:tmpl w:val="84E7F667"/>
    <w:lvl w:ilvl="0" w:tentative="0">
      <w:start w:val="2"/>
      <w:numFmt w:val="chineseCounting"/>
      <w:suff w:val="nothing"/>
      <w:lvlText w:val="（%1）"/>
      <w:lvlJc w:val="left"/>
      <w:rPr>
        <w:rFonts w:hint="eastAsia"/>
      </w:rPr>
    </w:lvl>
  </w:abstractNum>
  <w:abstractNum w:abstractNumId="1">
    <w:nsid w:val="4852512B"/>
    <w:multiLevelType w:val="singleLevel"/>
    <w:tmpl w:val="4852512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Y2ExNjUwZDg2YTMwZjhlMGE3YmJmNDgyMDlhZDEifQ=="/>
  </w:docVars>
  <w:rsids>
    <w:rsidRoot w:val="291C455A"/>
    <w:rsid w:val="00417211"/>
    <w:rsid w:val="004B6F67"/>
    <w:rsid w:val="00B53A36"/>
    <w:rsid w:val="02CA48C0"/>
    <w:rsid w:val="05F0613C"/>
    <w:rsid w:val="06DC7139"/>
    <w:rsid w:val="0AE8009D"/>
    <w:rsid w:val="0EDB478C"/>
    <w:rsid w:val="1A1B5A15"/>
    <w:rsid w:val="1A2C33BE"/>
    <w:rsid w:val="1A7C542C"/>
    <w:rsid w:val="291C455A"/>
    <w:rsid w:val="36926D0C"/>
    <w:rsid w:val="4DAF2BCF"/>
    <w:rsid w:val="4DDB6F66"/>
    <w:rsid w:val="55C44FF6"/>
    <w:rsid w:val="5AD13EA9"/>
    <w:rsid w:val="5BBC6E8C"/>
    <w:rsid w:val="5E262C50"/>
    <w:rsid w:val="6A8B5567"/>
    <w:rsid w:val="6ADC49E7"/>
    <w:rsid w:val="719A2F76"/>
    <w:rsid w:val="733A1E8F"/>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988</Words>
  <Characters>1046</Characters>
  <Lines>6</Lines>
  <Paragraphs>1</Paragraphs>
  <TotalTime>26</TotalTime>
  <ScaleCrop>false</ScaleCrop>
  <LinksUpToDate>false</LinksUpToDate>
  <CharactersWithSpaces>1058</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02</cp:lastModifiedBy>
  <dcterms:modified xsi:type="dcterms:W3CDTF">2022-06-15T03:01:14Z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C0A479E8FDA84E68A8E616F82582EE11</vt:lpwstr>
  </property>
</Properties>
</file>