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rPr>
      </w:pPr>
      <w:r>
        <w:rPr>
          <w:rFonts w:hint="eastAsia" w:ascii="黑体" w:hAnsi="黑体" w:eastAsia="黑体"/>
        </w:rPr>
        <w:t>附件6</w:t>
      </w:r>
    </w:p>
    <w:p>
      <w:pPr>
        <w:keepNext w:val="0"/>
        <w:keepLines w:val="0"/>
        <w:pageBreakBefore w:val="0"/>
        <w:widowControl w:val="0"/>
        <w:kinsoku/>
        <w:wordWrap/>
        <w:overflowPunct/>
        <w:topLinePunct w:val="0"/>
        <w:autoSpaceDE/>
        <w:autoSpaceDN/>
        <w:bidi w:val="0"/>
        <w:adjustRightInd/>
        <w:snapToGrid/>
        <w:spacing w:line="560" w:lineRule="exact"/>
        <w:ind w:left="482" w:firstLine="31680"/>
        <w:jc w:val="center"/>
        <w:textAlignment w:val="auto"/>
        <w:rPr>
          <w:rFonts w:ascii="方正小标宋简体" w:hAnsi="宋体" w:eastAsia="方正小标宋简体"/>
          <w:sz w:val="44"/>
          <w:szCs w:val="44"/>
        </w:rPr>
      </w:pPr>
      <w:r>
        <w:rPr>
          <w:rFonts w:hint="eastAsia" w:ascii="方正小标宋简体" w:hAnsi="Times New Roman" w:eastAsia="方正小标宋简体" w:cs="方正小标宋简体"/>
          <w:sz w:val="30"/>
          <w:szCs w:val="30"/>
        </w:rPr>
        <w:t>乐</w:t>
      </w:r>
      <w:r>
        <w:rPr>
          <w:rFonts w:hint="eastAsia" w:ascii="方正小标宋简体" w:hAnsi="宋体" w:eastAsia="方正小标宋简体" w:cs="Times New Roman"/>
          <w:color w:val="000000"/>
          <w:kern w:val="0"/>
          <w:sz w:val="44"/>
          <w:szCs w:val="44"/>
          <w:lang w:val="zh-CN" w:eastAsia="zh-CN" w:bidi="ar-SA"/>
        </w:rPr>
        <w:t>乐山市教育局关于</w:t>
      </w:r>
      <w:r>
        <w:rPr>
          <w:rFonts w:hint="eastAsia" w:ascii="方正小标宋简体" w:hAnsi="宋体" w:eastAsia="方正小标宋简体" w:cs="Times New Roman"/>
          <w:color w:val="000000"/>
          <w:kern w:val="0"/>
          <w:sz w:val="44"/>
          <w:szCs w:val="44"/>
          <w:lang w:val="en-US" w:eastAsia="zh-CN" w:bidi="ar-SA"/>
        </w:rPr>
        <w:t>3所民办中学2021年</w:t>
      </w:r>
      <w:r>
        <w:rPr>
          <w:rFonts w:hint="eastAsia" w:ascii="方正小标宋简体" w:hAnsi="宋体" w:eastAsia="方正小标宋简体" w:cs="Times New Roman"/>
          <w:color w:val="000000"/>
          <w:kern w:val="0"/>
          <w:sz w:val="44"/>
          <w:szCs w:val="44"/>
          <w:lang w:val="zh-CN" w:eastAsia="zh-CN" w:bidi="ar-SA"/>
        </w:rPr>
        <w:t>教育质量奖补</w:t>
      </w:r>
      <w:r>
        <w:rPr>
          <w:rFonts w:hint="eastAsia" w:ascii="方正小标宋简体" w:hAnsi="宋体" w:eastAsia="方正小标宋简体"/>
          <w:sz w:val="44"/>
          <w:szCs w:val="44"/>
        </w:rPr>
        <w:t>支出绩效自评报告</w:t>
      </w:r>
    </w:p>
    <w:p>
      <w:pPr>
        <w:pStyle w:val="6"/>
        <w:spacing w:line="560" w:lineRule="exact"/>
        <w:ind w:firstLine="640"/>
        <w:jc w:val="center"/>
        <w:rPr>
          <w:rFonts w:ascii="宋体" w:hAnsi="宋体"/>
          <w:color w:val="auto"/>
          <w:kern w:val="2"/>
          <w:sz w:val="32"/>
          <w:szCs w:val="32"/>
        </w:rPr>
      </w:pPr>
    </w:p>
    <w:p>
      <w:pPr>
        <w:numPr>
          <w:ilvl w:val="0"/>
          <w:numId w:val="1"/>
        </w:numPr>
        <w:adjustRightInd w:val="0"/>
        <w:snapToGrid w:val="0"/>
        <w:spacing w:line="560" w:lineRule="exact"/>
        <w:ind w:firstLine="720"/>
        <w:rPr>
          <w:rFonts w:hint="eastAsia" w:ascii="黑体" w:hAnsi="宋体" w:eastAsia="黑体"/>
          <w:lang w:val="zh-CN"/>
        </w:rPr>
      </w:pPr>
      <w:r>
        <w:rPr>
          <w:rFonts w:hint="eastAsia" w:ascii="黑体" w:hAnsi="宋体" w:eastAsia="黑体"/>
          <w:lang w:val="zh-CN"/>
        </w:rPr>
        <w:t>项目概况</w:t>
      </w:r>
    </w:p>
    <w:p>
      <w:pPr>
        <w:numPr>
          <w:ilvl w:val="0"/>
          <w:numId w:val="0"/>
        </w:numPr>
        <w:adjustRightInd w:val="0"/>
        <w:snapToGrid w:val="0"/>
        <w:spacing w:line="560" w:lineRule="exact"/>
        <w:ind w:firstLine="642" w:firstLineChars="200"/>
        <w:rPr>
          <w:rFonts w:ascii="仿宋_GB2312" w:hAnsi="宋体"/>
          <w:lang w:val="zh-CN"/>
        </w:rPr>
      </w:pPr>
      <w:r>
        <w:rPr>
          <w:rFonts w:hint="eastAsia" w:ascii="楷体_GB2312" w:hAnsi="宋体" w:eastAsia="楷体_GB2312"/>
          <w:b/>
          <w:lang w:val="zh-CN"/>
        </w:rPr>
        <w:t>（一）项目资金申报及批复情况。</w:t>
      </w:r>
      <w:r>
        <w:rPr>
          <w:rFonts w:hint="eastAsia" w:ascii="仿宋_GB2312" w:hAnsi="仿宋_GB2312" w:cs="仿宋_GB2312"/>
          <w:b w:val="0"/>
          <w:bCs/>
          <w:lang w:val="en-US" w:eastAsia="zh-CN"/>
        </w:rPr>
        <w:t>2021年，</w:t>
      </w:r>
      <w:r>
        <w:rPr>
          <w:rFonts w:hint="eastAsia" w:ascii="仿宋_GB2312" w:hAnsi="仿宋_GB2312" w:cs="仿宋_GB2312"/>
          <w:b w:val="0"/>
          <w:bCs/>
          <w:lang w:val="zh-CN" w:eastAsia="zh-CN"/>
        </w:rPr>
        <w:t>乐山外国语学校、更生学校、乐山艺术实验学校的教育质量奖补资金</w:t>
      </w:r>
      <w:r>
        <w:rPr>
          <w:rFonts w:hint="eastAsia" w:ascii="仿宋_GB2312" w:hAnsi="仿宋_GB2312" w:cs="仿宋_GB2312"/>
          <w:b w:val="0"/>
          <w:bCs/>
          <w:lang w:val="en-US" w:eastAsia="zh-CN"/>
        </w:rPr>
        <w:t>47万元</w:t>
      </w:r>
      <w:r>
        <w:rPr>
          <w:rFonts w:hint="eastAsia" w:ascii="仿宋_GB2312" w:hAnsi="仿宋_GB2312" w:cs="仿宋_GB2312"/>
          <w:b w:val="0"/>
          <w:bCs/>
          <w:lang w:val="zh-CN" w:eastAsia="zh-CN"/>
        </w:rPr>
        <w:t>属于</w:t>
      </w:r>
      <w:r>
        <w:rPr>
          <w:rFonts w:hint="eastAsia" w:ascii="仿宋_GB2312" w:hAnsi="仿宋_GB2312" w:cs="仿宋_GB2312"/>
          <w:b w:val="0"/>
          <w:bCs/>
          <w:lang w:val="en-US" w:eastAsia="zh-CN"/>
        </w:rPr>
        <w:t>乐山市普通高中教育质量奖补资金（总额700万元）的一部分。2021年10月13日，成立以成定彬局长为组长的</w:t>
      </w:r>
      <w:r>
        <w:rPr>
          <w:rFonts w:hint="eastAsia" w:ascii="仿宋_GB2312" w:hAnsi="仿宋_GB2312" w:cs="仿宋_GB2312"/>
          <w:b w:val="0"/>
          <w:bCs/>
          <w:lang w:val="zh-CN" w:eastAsia="zh-CN"/>
        </w:rPr>
        <w:t>高中教育质量综合</w:t>
      </w:r>
      <w:r>
        <w:rPr>
          <w:rFonts w:hint="eastAsia" w:ascii="仿宋_GB2312" w:hAnsi="仿宋_GB2312" w:cs="仿宋_GB2312"/>
          <w:b w:val="0"/>
          <w:bCs/>
          <w:lang w:val="en-US" w:eastAsia="zh-CN"/>
        </w:rPr>
        <w:t>评估领导小组，</w:t>
      </w:r>
      <w:r>
        <w:rPr>
          <w:rFonts w:hint="eastAsia" w:ascii="仿宋_GB2312" w:hAnsi="仿宋_GB2312" w:cs="仿宋_GB2312"/>
          <w:b w:val="0"/>
          <w:bCs/>
          <w:lang w:val="zh-CN" w:eastAsia="zh-CN"/>
        </w:rPr>
        <w:t>根据《乐山市普通高中教育质量综合评价办法（修订稿》（乐教发〔</w:t>
      </w:r>
      <w:r>
        <w:rPr>
          <w:rFonts w:hint="eastAsia" w:ascii="仿宋_GB2312" w:hAnsi="仿宋_GB2312" w:cs="仿宋_GB2312"/>
          <w:b w:val="0"/>
          <w:bCs/>
          <w:lang w:val="en-US" w:eastAsia="zh-CN"/>
        </w:rPr>
        <w:t>2018</w:t>
      </w:r>
      <w:r>
        <w:rPr>
          <w:rFonts w:hint="eastAsia" w:ascii="仿宋_GB2312" w:hAnsi="仿宋_GB2312" w:cs="仿宋_GB2312"/>
          <w:b w:val="0"/>
          <w:bCs/>
          <w:lang w:val="zh-CN" w:eastAsia="zh-CN"/>
        </w:rPr>
        <w:t>〕</w:t>
      </w:r>
      <w:r>
        <w:rPr>
          <w:rFonts w:hint="eastAsia" w:ascii="仿宋_GB2312" w:hAnsi="仿宋_GB2312" w:cs="仿宋_GB2312"/>
          <w:b w:val="0"/>
          <w:bCs/>
          <w:lang w:val="en-US" w:eastAsia="zh-CN"/>
        </w:rPr>
        <w:t>31号</w:t>
      </w:r>
      <w:r>
        <w:rPr>
          <w:rFonts w:hint="eastAsia" w:ascii="仿宋_GB2312" w:hAnsi="仿宋_GB2312" w:cs="仿宋_GB2312"/>
          <w:b w:val="0"/>
          <w:bCs/>
          <w:lang w:val="zh-CN" w:eastAsia="zh-CN"/>
        </w:rPr>
        <w:t>），</w:t>
      </w:r>
      <w:r>
        <w:rPr>
          <w:rFonts w:hint="eastAsia" w:ascii="仿宋_GB2312" w:hAnsi="仿宋_GB2312" w:cs="仿宋_GB2312"/>
          <w:b w:val="0"/>
          <w:bCs/>
          <w:lang w:val="en-US" w:eastAsia="zh-CN"/>
        </w:rPr>
        <w:t>对直属（管）相关学校（单位）的2021年教育质量进行客观、公正的考核、评价。市教育局会同市财政局拟定了2021年市直属（管）学校和单位教育质量综合评估绩效资金分配方案和资金预算表，根据考核结果，拟定乐山外国语学校、更生学校、乐山艺术实验学校绩效增加总量各为25万、10万、12万元。绩效资金分配方案经市教育局党组研究通过后，于2021年12月24日报市政府；2021年12月29日，市政府对资金分配方案作了同意批复。</w:t>
      </w:r>
    </w:p>
    <w:p>
      <w:pPr>
        <w:numPr>
          <w:ilvl w:val="0"/>
          <w:numId w:val="0"/>
        </w:numPr>
        <w:adjustRightInd w:val="0"/>
        <w:snapToGrid w:val="0"/>
        <w:spacing w:line="560" w:lineRule="exact"/>
        <w:ind w:firstLine="642" w:firstLineChars="200"/>
        <w:rPr>
          <w:rFonts w:hint="eastAsia" w:ascii="楷体_GB2312" w:hAnsi="宋体" w:eastAsia="楷体_GB2312"/>
          <w:b/>
          <w:lang w:val="zh-CN"/>
        </w:rPr>
      </w:pPr>
      <w:r>
        <w:rPr>
          <w:rFonts w:hint="eastAsia" w:ascii="楷体_GB2312" w:hAnsi="宋体" w:eastAsia="楷体_GB2312"/>
          <w:b/>
          <w:lang w:val="zh-CN"/>
        </w:rPr>
        <w:t>（二）项目绩效目标。</w:t>
      </w:r>
      <w:r>
        <w:rPr>
          <w:rFonts w:hint="eastAsia" w:hAnsi="Times New Roman"/>
        </w:rPr>
        <w:t>本着全面贯彻党的教育方针、全面推进素质教育、全面提高教育质量的宗旨，坚持有利于普通高中形成办学特色、有利于各层次普通高中提高办学水平、有利于普通高中可持续发展的目标，科学、客观、公平、公正地评价普通高中教育质量，</w:t>
      </w:r>
      <w:r>
        <w:rPr>
          <w:rFonts w:hint="eastAsia"/>
          <w:szCs w:val="32"/>
        </w:rPr>
        <w:t>建立完善教育教学评价和激励机制，调动广大教职员工参与教育教学的积极性，促进</w:t>
      </w:r>
      <w:r>
        <w:rPr>
          <w:rFonts w:hint="eastAsia"/>
          <w:szCs w:val="32"/>
          <w:lang w:eastAsia="zh-CN"/>
        </w:rPr>
        <w:t>乐山外国语学校、更生学校提高教学质量</w:t>
      </w:r>
      <w:r>
        <w:rPr>
          <w:rFonts w:hint="eastAsia"/>
          <w:szCs w:val="32"/>
        </w:rPr>
        <w:t>，</w:t>
      </w:r>
      <w:r>
        <w:rPr>
          <w:rFonts w:hint="eastAsia"/>
          <w:szCs w:val="32"/>
          <w:lang w:eastAsia="zh-CN"/>
        </w:rPr>
        <w:t>乐山艺术实验学校培养并留住更多初中优质生源。</w:t>
      </w:r>
    </w:p>
    <w:p>
      <w:pPr>
        <w:numPr>
          <w:ilvl w:val="0"/>
          <w:numId w:val="0"/>
        </w:numPr>
        <w:adjustRightInd w:val="0"/>
        <w:snapToGrid w:val="0"/>
        <w:spacing w:line="560" w:lineRule="exact"/>
        <w:ind w:firstLine="642" w:firstLineChars="200"/>
        <w:rPr>
          <w:rFonts w:ascii="仿宋_GB2312" w:hAnsi="宋体"/>
          <w:lang w:val="zh-CN"/>
        </w:rPr>
      </w:pPr>
      <w:r>
        <w:rPr>
          <w:rFonts w:hint="eastAsia" w:ascii="楷体_GB2312" w:hAnsi="宋体" w:eastAsia="楷体_GB2312"/>
          <w:b/>
          <w:lang w:val="zh-CN"/>
        </w:rPr>
        <w:t>（三）项目资金申报相符性。</w:t>
      </w:r>
      <w:r>
        <w:rPr>
          <w:rFonts w:hint="eastAsia" w:ascii="仿宋_GB2312" w:hAnsi="仿宋_GB2312" w:cs="仿宋_GB2312"/>
          <w:b w:val="0"/>
          <w:bCs/>
          <w:lang w:val="en-US" w:eastAsia="zh-CN"/>
        </w:rPr>
        <w:t>普通高中教育质量奖补资金</w:t>
      </w:r>
      <w:r>
        <w:rPr>
          <w:rFonts w:hint="eastAsia" w:ascii="仿宋_GB2312" w:hAnsi="宋体"/>
          <w:lang w:val="zh-CN"/>
        </w:rPr>
        <w:t>项目申报内容与具体实施内容相符，申报目标合理可行。</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pPr>
        <w:adjustRightInd w:val="0"/>
        <w:snapToGrid w:val="0"/>
        <w:spacing w:line="560" w:lineRule="exact"/>
        <w:ind w:firstLine="720"/>
        <w:rPr>
          <w:rFonts w:ascii="仿宋_GB2312" w:hAnsi="宋体"/>
          <w:lang w:val="zh-CN"/>
        </w:rPr>
      </w:pPr>
      <w:r>
        <w:rPr>
          <w:rFonts w:hint="eastAsia" w:ascii="楷体_GB2312" w:hAnsi="宋体" w:eastAsia="楷体_GB2312"/>
          <w:lang w:val="zh-CN"/>
        </w:rPr>
        <w:t>1．资金计划及到位。</w:t>
      </w:r>
      <w:r>
        <w:rPr>
          <w:rFonts w:hint="eastAsia" w:ascii="仿宋_GB2312" w:hAnsi="仿宋_GB2312" w:cs="仿宋_GB2312"/>
          <w:b w:val="0"/>
          <w:bCs/>
          <w:lang w:val="en-US" w:eastAsia="zh-CN"/>
        </w:rPr>
        <w:t>乐山市普通高中教育质量奖补</w:t>
      </w:r>
      <w:r>
        <w:rPr>
          <w:rFonts w:hint="eastAsia" w:ascii="仿宋_GB2312" w:hAnsi="宋体"/>
          <w:lang w:val="en-US" w:eastAsia="zh-CN"/>
        </w:rPr>
        <w:t>项目通过了2021年初预算批复，于2021年1月下达</w:t>
      </w:r>
      <w:r>
        <w:rPr>
          <w:rFonts w:hint="eastAsia" w:ascii="仿宋_GB2312" w:hAnsi="宋体"/>
          <w:lang w:val="zh-CN"/>
        </w:rPr>
        <w:t>资金</w:t>
      </w:r>
      <w:r>
        <w:rPr>
          <w:rFonts w:hint="eastAsia" w:ascii="仿宋_GB2312" w:hAnsi="宋体"/>
          <w:lang w:val="en-US" w:eastAsia="zh-CN"/>
        </w:rPr>
        <w:t>指标</w:t>
      </w:r>
      <w:r>
        <w:rPr>
          <w:rFonts w:hint="eastAsia" w:ascii="仿宋_GB2312" w:hAnsi="宋体"/>
          <w:lang w:val="zh-CN"/>
        </w:rPr>
        <w:t>，资金到位率</w:t>
      </w:r>
      <w:r>
        <w:rPr>
          <w:rFonts w:hint="eastAsia" w:ascii="仿宋_GB2312" w:hAnsi="宋体"/>
          <w:lang w:val="en-US" w:eastAsia="zh-CN"/>
        </w:rPr>
        <w:t>100%</w:t>
      </w:r>
      <w:r>
        <w:rPr>
          <w:rFonts w:hint="eastAsia" w:ascii="仿宋_GB2312" w:hAnsi="宋体"/>
          <w:lang w:val="zh-CN"/>
        </w:rPr>
        <w:t>、到位及时性</w:t>
      </w:r>
      <w:r>
        <w:rPr>
          <w:rFonts w:hint="eastAsia" w:ascii="仿宋_GB2312" w:hAnsi="宋体"/>
          <w:lang w:val="en-US" w:eastAsia="zh-CN"/>
        </w:rPr>
        <w:t>100%</w:t>
      </w:r>
      <w:r>
        <w:rPr>
          <w:rFonts w:hint="eastAsia" w:ascii="仿宋_GB2312" w:hAnsi="宋体"/>
          <w:lang w:val="zh-CN"/>
        </w:rPr>
        <w:t>。</w:t>
      </w:r>
    </w:p>
    <w:p>
      <w:pPr>
        <w:numPr>
          <w:ilvl w:val="0"/>
          <w:numId w:val="0"/>
        </w:numPr>
        <w:adjustRightInd w:val="0"/>
        <w:snapToGrid w:val="0"/>
        <w:spacing w:line="560" w:lineRule="exact"/>
        <w:ind w:firstLine="640" w:firstLineChars="200"/>
        <w:rPr>
          <w:rFonts w:hint="eastAsia" w:ascii="仿宋_GB2312" w:hAnsi="宋体"/>
          <w:lang w:val="en-US" w:eastAsia="zh-CN"/>
        </w:rPr>
      </w:pPr>
      <w:r>
        <w:rPr>
          <w:rFonts w:hint="eastAsia" w:ascii="楷体_GB2312" w:hAnsi="宋体" w:eastAsia="楷体_GB2312"/>
          <w:lang w:val="zh-CN"/>
        </w:rPr>
        <w:t>2．资金使用。</w:t>
      </w:r>
      <w:r>
        <w:rPr>
          <w:rFonts w:hint="eastAsia" w:ascii="仿宋_GB2312" w:hAnsi="宋体"/>
          <w:lang w:val="en-US" w:eastAsia="zh-CN"/>
        </w:rPr>
        <w:t>2022年初，按照荣誉共享、按质分配、优质优酬的原则，三所学校制定了绩效奖励分配方案，经校行政会通过后报市教育局审核备案。乐山外国语学校25万元资金分初中学生输送优生奖3.55万元、高中学生培养优生奖8.95万元、管理奖12.5万元三部分发放，更生学校10万元资金分管理奖1.08万元、高三年级管理团队奖0.6万元、高三一线教师和班主任奖8.32万元三部分发放，乐山艺术实验学校分为荣誉奖2.4万元、初三教学质量教学管理奖3.6万元、初三口控制优生流失奖6万元三部分发放。</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spacing w:line="580" w:lineRule="exact"/>
        <w:ind w:firstLine="640" w:firstLineChars="200"/>
        <w:rPr>
          <w:rFonts w:hint="eastAsia" w:ascii="仿宋_GB2312" w:hAnsi="宋体"/>
          <w:lang w:val="en-US" w:eastAsia="zh-CN"/>
        </w:rPr>
      </w:pPr>
      <w:r>
        <w:rPr>
          <w:rFonts w:hint="eastAsia" w:ascii="仿宋_GB2312" w:hAnsi="宋体"/>
          <w:lang w:val="en-US" w:eastAsia="zh-CN"/>
        </w:rPr>
        <w:t>三所学校</w:t>
      </w:r>
      <w:r>
        <w:rPr>
          <w:rFonts w:hint="eastAsia" w:ascii="仿宋_GB2312" w:hAnsi="宋体"/>
          <w:lang w:val="zh-CN"/>
        </w:rPr>
        <w:t>严格执行财务管理制度，</w:t>
      </w:r>
      <w:r>
        <w:rPr>
          <w:rFonts w:hint="eastAsia" w:ascii="宋体" w:hAnsi="宋体" w:cs="宋体"/>
          <w:sz w:val="32"/>
          <w:szCs w:val="32"/>
          <w:lang w:val="en-US" w:eastAsia="zh-CN"/>
        </w:rPr>
        <w:t>通过银行转账方式进行</w:t>
      </w:r>
      <w:r>
        <w:rPr>
          <w:rFonts w:hint="eastAsia" w:ascii="宋体" w:hAnsi="宋体" w:cs="宋体"/>
          <w:sz w:val="32"/>
          <w:szCs w:val="32"/>
          <w:lang w:eastAsia="zh-CN"/>
        </w:rPr>
        <w:t>发放，</w:t>
      </w:r>
      <w:r>
        <w:rPr>
          <w:rFonts w:hint="eastAsia" w:ascii="宋体" w:hAnsi="宋体" w:cs="宋体"/>
          <w:sz w:val="32"/>
          <w:szCs w:val="32"/>
          <w:lang w:val="en-US" w:eastAsia="zh-CN"/>
        </w:rPr>
        <w:t>按规定</w:t>
      </w:r>
      <w:r>
        <w:rPr>
          <w:rFonts w:hint="eastAsia" w:ascii="仿宋_GB2312" w:hAnsi="宋体"/>
          <w:lang w:val="en-US" w:eastAsia="zh-CN"/>
        </w:rPr>
        <w:t xml:space="preserve">及时进行了财务处理和会计核算。  </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numPr>
          <w:ilvl w:val="0"/>
          <w:numId w:val="0"/>
        </w:numPr>
        <w:adjustRightInd w:val="0"/>
        <w:snapToGrid w:val="0"/>
        <w:spacing w:line="560" w:lineRule="exact"/>
        <w:ind w:firstLine="640" w:firstLineChars="200"/>
        <w:rPr>
          <w:rFonts w:hint="default" w:ascii="仿宋_GB2312" w:hAnsi="宋体"/>
          <w:color w:val="auto"/>
          <w:lang w:val="en-US" w:eastAsia="zh-CN"/>
        </w:rPr>
      </w:pPr>
      <w:r>
        <w:rPr>
          <w:rFonts w:hint="eastAsia" w:ascii="仿宋_GB2312" w:hAnsi="宋体"/>
          <w:color w:val="auto"/>
          <w:lang w:val="en-US" w:eastAsia="zh-CN"/>
        </w:rPr>
        <w:t>三所学校广泛征集教职员意见，经校行政会讨论通过后，形成绩效奖励分配方案，并报市教育局审核备案，再由年级组或行政管理团队分别实施。</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仿宋_GB2312" w:hAnsi="仿宋_GB2312" w:cs="仿宋_GB2312"/>
          <w:b w:val="0"/>
          <w:bCs/>
          <w:lang w:val="en-US" w:eastAsia="zh-CN"/>
        </w:rPr>
      </w:pPr>
      <w:r>
        <w:rPr>
          <w:rFonts w:hint="eastAsia"/>
          <w:szCs w:val="32"/>
          <w:lang w:val="en-US" w:eastAsia="zh-CN"/>
        </w:rPr>
        <w:t>经市</w:t>
      </w:r>
      <w:r>
        <w:rPr>
          <w:rFonts w:hint="eastAsia" w:ascii="仿宋_GB2312" w:hAnsi="仿宋_GB2312" w:cs="仿宋_GB2312"/>
          <w:b w:val="0"/>
          <w:bCs/>
          <w:lang w:val="zh-CN" w:eastAsia="zh-CN"/>
        </w:rPr>
        <w:t>高中教育质量综合</w:t>
      </w:r>
      <w:r>
        <w:rPr>
          <w:rFonts w:hint="eastAsia" w:ascii="仿宋_GB2312" w:hAnsi="仿宋_GB2312" w:cs="仿宋_GB2312"/>
          <w:b w:val="0"/>
          <w:bCs/>
          <w:lang w:val="en-US" w:eastAsia="zh-CN"/>
        </w:rPr>
        <w:t>评估领导小组</w:t>
      </w:r>
      <w:r>
        <w:rPr>
          <w:rFonts w:hint="eastAsia"/>
          <w:szCs w:val="32"/>
          <w:lang w:eastAsia="zh-CN"/>
        </w:rPr>
        <w:t>对市直属（管）学校和单位综合进行评估，</w:t>
      </w:r>
      <w:r>
        <w:rPr>
          <w:rFonts w:hint="eastAsia" w:ascii="仿宋_GB2312" w:hAnsi="仿宋_GB2312" w:cs="仿宋_GB2312"/>
          <w:b w:val="0"/>
          <w:bCs/>
          <w:lang w:val="zh-CN" w:eastAsia="zh-CN"/>
        </w:rPr>
        <w:t>乐山外国语学校获普通高中教育质量特别贡献奖和普通高中教学质量综合评估二等奖，乐山外国语学校和更生学校获普通高中学校艺体单项评估二等奖，乐山外国语学校和乐山艺术实验学校获向普通高中教育输送优质生源奖，按照奖励办法，乐山外国语学校、更生学校、</w:t>
      </w:r>
      <w:r>
        <w:rPr>
          <w:rFonts w:hint="eastAsia" w:ascii="仿宋_GB2312" w:hAnsi="仿宋_GB2312" w:cs="仿宋_GB2312"/>
          <w:b w:val="0"/>
          <w:bCs/>
          <w:lang w:val="en-US" w:eastAsia="zh-CN"/>
        </w:rPr>
        <w:t>乐山艺术实验学校各获得绩效增加总量为25万、10万、12万元，共计47万元。</w:t>
      </w:r>
    </w:p>
    <w:p>
      <w:pPr>
        <w:numPr>
          <w:ilvl w:val="0"/>
          <w:numId w:val="0"/>
        </w:numPr>
        <w:adjustRightInd w:val="0"/>
        <w:snapToGrid w:val="0"/>
        <w:spacing w:line="560" w:lineRule="exact"/>
        <w:ind w:firstLine="642" w:firstLineChars="200"/>
        <w:rPr>
          <w:rFonts w:hint="eastAsia"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en-US" w:eastAsia="zh-CN"/>
        </w:rPr>
        <w:t>从社会效益指标分析评价，</w:t>
      </w:r>
      <w:r>
        <w:rPr>
          <w:rFonts w:hint="eastAsia" w:ascii="仿宋_GB2312" w:hAnsi="宋体"/>
          <w:lang w:val="zh-CN" w:eastAsia="zh-CN"/>
        </w:rPr>
        <w:t>促进了普通高中教育质量的提升</w:t>
      </w:r>
      <w:r>
        <w:rPr>
          <w:rFonts w:hint="eastAsia" w:ascii="仿宋_GB2312" w:hAnsi="宋体"/>
          <w:lang w:val="en-US" w:eastAsia="zh-CN"/>
        </w:rPr>
        <w:t>；</w:t>
      </w:r>
      <w:r>
        <w:rPr>
          <w:rFonts w:hint="eastAsia" w:ascii="仿宋_GB2312" w:hAnsi="宋体"/>
          <w:lang w:val="zh-CN"/>
        </w:rPr>
        <w:t>从服务对象满意度分析评价，</w:t>
      </w:r>
      <w:r>
        <w:rPr>
          <w:rFonts w:hint="eastAsia" w:ascii="仿宋_GB2312" w:hAnsi="宋体"/>
          <w:lang w:val="en-US" w:eastAsia="zh-CN"/>
        </w:rPr>
        <w:t>社会效益≥95%，满意度</w:t>
      </w:r>
      <w:r>
        <w:rPr>
          <w:rFonts w:hint="eastAsia" w:ascii="仿宋_GB2312" w:hAnsi="仿宋_GB2312" w:eastAsia="仿宋_GB2312" w:cs="仿宋_GB2312"/>
          <w:lang w:val="en-US" w:eastAsia="zh-CN"/>
        </w:rPr>
        <w:t>＞</w:t>
      </w:r>
      <w:r>
        <w:rPr>
          <w:rFonts w:hint="eastAsia" w:ascii="仿宋_GB2312" w:hAnsi="宋体"/>
          <w:lang w:val="en-US" w:eastAsia="zh-CN"/>
        </w:rPr>
        <w:t>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仿宋_GB2312" w:hAnsi="仿宋_GB2312" w:eastAsia="仿宋_GB2312" w:cs="仿宋_GB2312"/>
          <w:b w:val="0"/>
          <w:bCs/>
          <w:lang w:val="zh-CN"/>
        </w:rPr>
      </w:pPr>
      <w:r>
        <w:rPr>
          <w:rFonts w:hint="eastAsia" w:ascii="楷体_GB2312" w:hAnsi="宋体" w:eastAsia="楷体_GB2312"/>
          <w:b/>
          <w:lang w:val="zh-CN"/>
        </w:rPr>
        <w:t>（一）存在的问题。</w:t>
      </w:r>
      <w:r>
        <w:rPr>
          <w:rFonts w:hint="eastAsia" w:ascii="仿宋_GB2312" w:hAnsi="仿宋_GB2312" w:eastAsia="仿宋_GB2312" w:cs="仿宋_GB2312"/>
          <w:b w:val="0"/>
          <w:bCs/>
          <w:lang w:val="zh-CN"/>
        </w:rPr>
        <w:t>无</w:t>
      </w:r>
    </w:p>
    <w:p>
      <w:pPr>
        <w:adjustRightInd w:val="0"/>
        <w:snapToGrid w:val="0"/>
        <w:spacing w:line="560" w:lineRule="exact"/>
        <w:ind w:firstLine="720"/>
      </w:pPr>
      <w:r>
        <w:rPr>
          <w:rFonts w:hint="eastAsia" w:ascii="楷体_GB2312" w:hAnsi="宋体" w:eastAsia="楷体_GB2312"/>
          <w:b/>
          <w:lang w:val="zh-CN"/>
        </w:rPr>
        <w:t>（二）相关建议。</w:t>
      </w:r>
      <w:r>
        <w:rPr>
          <w:rFonts w:hint="eastAsia" w:ascii="仿宋_GB2312" w:hAnsi="宋体"/>
          <w:lang w:val="zh-CN"/>
        </w:rPr>
        <w:t>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华文彩云">
    <w:panose1 w:val="02010800040101010101"/>
    <w:charset w:val="86"/>
    <w:family w:val="auto"/>
    <w:pitch w:val="default"/>
    <w:sig w:usb0="00000001" w:usb1="080F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7D4058"/>
    <w:multiLevelType w:val="singleLevel"/>
    <w:tmpl w:val="FF7D405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1C455A"/>
    <w:rsid w:val="00417211"/>
    <w:rsid w:val="004B6F67"/>
    <w:rsid w:val="00B53A36"/>
    <w:rsid w:val="08F9CF3A"/>
    <w:rsid w:val="0EDB478C"/>
    <w:rsid w:val="291C455A"/>
    <w:rsid w:val="36926D0C"/>
    <w:rsid w:val="39EFB552"/>
    <w:rsid w:val="3FB93594"/>
    <w:rsid w:val="3FFE9368"/>
    <w:rsid w:val="4DAF2BCF"/>
    <w:rsid w:val="4DDB6F66"/>
    <w:rsid w:val="57CD4A4C"/>
    <w:rsid w:val="5EDFC13E"/>
    <w:rsid w:val="77DDB16E"/>
    <w:rsid w:val="792F2AEE"/>
    <w:rsid w:val="7AC2537A"/>
    <w:rsid w:val="94FFCF0F"/>
    <w:rsid w:val="97BDEB13"/>
    <w:rsid w:val="9FF771AA"/>
    <w:rsid w:val="B7FD85CA"/>
    <w:rsid w:val="BEEFBE93"/>
    <w:rsid w:val="BFFE83F2"/>
    <w:rsid w:val="D7FDD76B"/>
    <w:rsid w:val="DD771162"/>
    <w:rsid w:val="DFEAD060"/>
    <w:rsid w:val="E77A4BF1"/>
    <w:rsid w:val="EF3F2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132</Words>
  <Characters>755</Characters>
  <Lines>6</Lines>
  <Paragraphs>1</Paragraphs>
  <TotalTime>6</TotalTime>
  <ScaleCrop>false</ScaleCrop>
  <LinksUpToDate>false</LinksUpToDate>
  <CharactersWithSpaces>886</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2020-07-02T16:19:00Z</dcterms:created>
  <dc:creator>Administrator</dc:creator>
  <cp:lastModifiedBy>user</cp:lastModifiedBy>
  <cp:lastPrinted>2022-06-17T00:48:00Z</cp:lastPrinted>
  <dcterms:modified xsi:type="dcterms:W3CDTF">2022-06-21T10:41:11Z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