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hint="eastAsia" w:ascii="黑体" w:hAnsi="黑体" w:eastAsia="黑体"/>
        </w:rPr>
      </w:pPr>
      <w:r>
        <w:rPr>
          <w:rFonts w:hint="eastAsia" w:ascii="黑体" w:hAnsi="黑体" w:eastAsia="黑体"/>
        </w:rPr>
        <w:t>附件6</w:t>
      </w:r>
    </w:p>
    <w:p>
      <w:pPr>
        <w:tabs>
          <w:tab w:val="left" w:pos="1440"/>
        </w:tabs>
        <w:spacing w:line="560" w:lineRule="exact"/>
        <w:rPr>
          <w:rFonts w:ascii="宋体" w:hAnsi="宋体" w:eastAsia="宋体"/>
          <w:sz w:val="30"/>
          <w:szCs w:val="30"/>
        </w:rPr>
      </w:pPr>
    </w:p>
    <w:p>
      <w:pPr>
        <w:pStyle w:val="6"/>
        <w:spacing w:line="560" w:lineRule="exact"/>
        <w:jc w:val="center"/>
        <w:rPr>
          <w:rFonts w:hint="eastAsia" w:ascii="方正小标宋简体" w:hAnsi="宋体" w:eastAsia="方正小标宋简体"/>
          <w:sz w:val="44"/>
          <w:szCs w:val="44"/>
        </w:rPr>
      </w:pPr>
      <w:r>
        <w:rPr>
          <w:rFonts w:hint="eastAsia" w:ascii="方正小标宋简体" w:hAnsi="宋体" w:eastAsia="方正小标宋简体"/>
          <w:sz w:val="44"/>
          <w:szCs w:val="44"/>
          <w:lang w:val="en-US"/>
        </w:rPr>
        <w:t>重点</w:t>
      </w:r>
      <w:r>
        <w:rPr>
          <w:rFonts w:hint="eastAsia" w:ascii="方正小标宋简体" w:hAnsi="宋体" w:eastAsia="方正小标宋简体"/>
          <w:sz w:val="44"/>
          <w:szCs w:val="44"/>
        </w:rPr>
        <w:t>项目支出绩效自评报告</w:t>
      </w:r>
    </w:p>
    <w:p>
      <w:pPr>
        <w:pStyle w:val="6"/>
        <w:spacing w:line="560" w:lineRule="exact"/>
        <w:jc w:val="center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十四五规划及其他专项规划编制经费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</w:t>
      </w:r>
    </w:p>
    <w:p>
      <w:pPr>
        <w:pStyle w:val="6"/>
        <w:spacing w:line="560" w:lineRule="exact"/>
        <w:ind w:firstLine="640"/>
        <w:jc w:val="center"/>
        <w:rPr>
          <w:rFonts w:ascii="宋体" w:hAnsi="宋体"/>
          <w:color w:val="auto"/>
          <w:kern w:val="2"/>
          <w:sz w:val="32"/>
          <w:szCs w:val="32"/>
        </w:rPr>
      </w:pPr>
    </w:p>
    <w:p>
      <w:pPr>
        <w:adjustRightInd w:val="0"/>
        <w:snapToGrid w:val="0"/>
        <w:spacing w:line="560" w:lineRule="exact"/>
        <w:ind w:firstLine="720"/>
        <w:rPr>
          <w:rFonts w:hint="eastAsia" w:ascii="黑体" w:hAnsi="宋体" w:eastAsia="黑体"/>
          <w:lang w:val="zh-CN"/>
        </w:rPr>
      </w:pPr>
      <w:r>
        <w:rPr>
          <w:rFonts w:hint="eastAsia" w:ascii="黑体" w:hAnsi="宋体" w:eastAsia="黑体"/>
        </w:rPr>
        <w:t>一、</w:t>
      </w:r>
      <w:r>
        <w:rPr>
          <w:rFonts w:hint="eastAsia" w:ascii="黑体" w:hAnsi="宋体" w:eastAsia="黑体"/>
          <w:lang w:val="zh-CN"/>
        </w:rPr>
        <w:t>项目概况</w:t>
      </w:r>
    </w:p>
    <w:p>
      <w:pPr>
        <w:adjustRightInd w:val="0"/>
        <w:snapToGrid w:val="0"/>
        <w:spacing w:line="560" w:lineRule="exact"/>
        <w:ind w:firstLine="720"/>
        <w:rPr>
          <w:rFonts w:hint="eastAsia" w:ascii="仿宋_GB2312" w:hAnsi="仿宋_GB2312" w:eastAsia="仿宋_GB2312" w:cs="仿宋_GB2312"/>
          <w:lang w:val="zh-CN"/>
        </w:rPr>
      </w:pPr>
      <w:r>
        <w:rPr>
          <w:rFonts w:hint="eastAsia" w:ascii="仿宋_GB2312" w:hAnsi="仿宋_GB2312" w:eastAsia="仿宋_GB2312" w:cs="仿宋_GB2312"/>
          <w:lang w:val="zh-CN"/>
        </w:rPr>
        <w:t>为高质量编制我市教育发展“十四五</w:t>
      </w:r>
      <w:r>
        <w:rPr>
          <w:rFonts w:hint="eastAsia" w:ascii="仿宋_GB2312" w:hAnsi="仿宋_GB2312" w:cs="仿宋_GB2312"/>
          <w:lang w:val="zh-CN"/>
        </w:rPr>
        <w:t>”</w:t>
      </w:r>
      <w:r>
        <w:rPr>
          <w:rFonts w:hint="eastAsia" w:ascii="仿宋_GB2312" w:hAnsi="仿宋_GB2312" w:eastAsia="仿宋_GB2312" w:cs="仿宋_GB2312"/>
          <w:lang w:val="zh-CN"/>
        </w:rPr>
        <w:t>规划， 深入研究在新的发展阶段我市教育面临的新形势、新任务、新要求，分析我市教育发展面临的新环境、找准破解新问题的对策，拟聘请相关专家、学者共同参与我市“十四五”教育发展规划编制。需深入区县、学校开展调研活动，编印相关资料等。</w:t>
      </w:r>
    </w:p>
    <w:p>
      <w:pPr>
        <w:numPr>
          <w:ilvl w:val="0"/>
          <w:numId w:val="0"/>
        </w:numPr>
        <w:adjustRightInd w:val="0"/>
        <w:snapToGrid w:val="0"/>
        <w:spacing w:line="560" w:lineRule="exact"/>
        <w:ind w:firstLine="643" w:firstLineChars="200"/>
        <w:rPr>
          <w:rFonts w:hint="eastAsia" w:ascii="仿宋_GB2312" w:hAnsi="宋体"/>
          <w:lang w:val="en-US" w:eastAsia="zh-CN"/>
        </w:rPr>
      </w:pPr>
      <w:r>
        <w:rPr>
          <w:rFonts w:hint="eastAsia" w:ascii="楷体_GB2312" w:hAnsi="楷体_GB2312" w:eastAsia="楷体_GB2312" w:cs="楷体_GB2312"/>
          <w:b/>
          <w:bCs/>
          <w:lang w:val="en-US" w:eastAsia="zh-CN"/>
        </w:rPr>
        <w:t>（一）</w:t>
      </w:r>
      <w:r>
        <w:rPr>
          <w:rFonts w:hint="eastAsia" w:ascii="楷体_GB2312" w:hAnsi="宋体" w:eastAsia="楷体_GB2312"/>
          <w:b/>
          <w:bCs/>
          <w:lang w:val="zh-CN"/>
        </w:rPr>
        <w:t>项目资金申报</w:t>
      </w:r>
      <w:r>
        <w:rPr>
          <w:rFonts w:hint="eastAsia" w:ascii="楷体_GB2312" w:hAnsi="宋体" w:eastAsia="楷体_GB2312"/>
          <w:b/>
          <w:lang w:val="zh-CN"/>
        </w:rPr>
        <w:t>及批复情况。</w:t>
      </w:r>
    </w:p>
    <w:p>
      <w:pPr>
        <w:spacing w:line="580" w:lineRule="exact"/>
        <w:ind w:firstLine="640" w:firstLineChars="200"/>
        <w:rPr>
          <w:rFonts w:hint="default" w:ascii="仿宋_GB2312" w:hAnsi="宋体" w:eastAsia="仿宋_GB2312"/>
          <w:lang w:val="en-US" w:eastAsia="zh-CN"/>
        </w:rPr>
      </w:pPr>
      <w:r>
        <w:rPr>
          <w:rFonts w:hint="eastAsia" w:ascii="仿宋_GB2312" w:hAnsi="宋体"/>
          <w:lang w:val="en-US" w:eastAsia="zh-CN"/>
        </w:rPr>
        <w:t>2021年申报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十四五规划及其他专项规划编制经费</w:t>
      </w:r>
      <w:r>
        <w:rPr>
          <w:rFonts w:hint="eastAsia" w:ascii="仿宋_GB2312" w:hAnsi="宋体"/>
          <w:lang w:val="en-US" w:eastAsia="zh-CN"/>
        </w:rPr>
        <w:t>10万元。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《乐山市财政局关于批复2021年市级部门预算的通知》（乐市财政预〔2021〕4号）批复下达项目资金10万元。资金管理符合资金管理办法。</w:t>
      </w:r>
    </w:p>
    <w:p>
      <w:pPr>
        <w:numPr>
          <w:ilvl w:val="0"/>
          <w:numId w:val="0"/>
        </w:numPr>
        <w:adjustRightInd w:val="0"/>
        <w:snapToGrid w:val="0"/>
        <w:spacing w:line="560" w:lineRule="exact"/>
        <w:ind w:firstLine="643" w:firstLineChars="200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（二）项目绩效目标。</w:t>
      </w:r>
    </w:p>
    <w:p>
      <w:pPr>
        <w:numPr>
          <w:ilvl w:val="0"/>
          <w:numId w:val="0"/>
        </w:numPr>
        <w:adjustRightInd w:val="0"/>
        <w:snapToGrid w:val="0"/>
        <w:spacing w:line="560" w:lineRule="exact"/>
        <w:ind w:firstLine="640" w:firstLineChars="200"/>
        <w:rPr>
          <w:rFonts w:hint="default" w:ascii="仿宋_GB2312" w:hAnsi="仿宋_GB2312" w:cs="仿宋_GB2312"/>
          <w:b w:val="0"/>
          <w:bCs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/>
          <w:lang w:val="zh-CN"/>
        </w:rPr>
        <w:t>编印</w:t>
      </w:r>
      <w:r>
        <w:rPr>
          <w:rFonts w:hint="eastAsia" w:ascii="仿宋_GB2312" w:hAnsi="仿宋_GB2312" w:cs="仿宋_GB2312"/>
          <w:b w:val="0"/>
          <w:bCs/>
          <w:lang w:val="zh-CN"/>
        </w:rPr>
        <w:t>《乐山市教育发展十四五规划》</w:t>
      </w:r>
      <w:r>
        <w:rPr>
          <w:rFonts w:hint="eastAsia" w:ascii="仿宋_GB2312" w:hAnsi="仿宋_GB2312" w:cs="仿宋_GB2312"/>
          <w:b w:val="0"/>
          <w:bCs/>
          <w:lang w:val="en-US" w:eastAsia="zh-CN"/>
        </w:rPr>
        <w:t>100册，拟聘专家10人次，深入区县调研不少于10次。编制质量符合政府相关要求，社会满意度不低于90%。</w:t>
      </w:r>
    </w:p>
    <w:p>
      <w:pPr>
        <w:numPr>
          <w:ilvl w:val="0"/>
          <w:numId w:val="0"/>
        </w:numPr>
        <w:adjustRightInd w:val="0"/>
        <w:snapToGrid w:val="0"/>
        <w:spacing w:line="560" w:lineRule="exact"/>
        <w:ind w:firstLine="643" w:firstLineChars="200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（三）项目资金申报相符性。</w:t>
      </w:r>
    </w:p>
    <w:p>
      <w:pPr>
        <w:adjustRightInd w:val="0"/>
        <w:snapToGrid w:val="0"/>
        <w:spacing w:line="560" w:lineRule="exact"/>
        <w:ind w:firstLine="720"/>
        <w:rPr>
          <w:rFonts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项目申报内容与具体实施内容相符、申报目标合理可行。</w:t>
      </w:r>
    </w:p>
    <w:p>
      <w:pPr>
        <w:adjustRightInd w:val="0"/>
        <w:snapToGrid w:val="0"/>
        <w:spacing w:line="560" w:lineRule="exact"/>
        <w:ind w:firstLine="720"/>
        <w:rPr>
          <w:rFonts w:ascii="黑体" w:hAnsi="宋体" w:eastAsia="黑体"/>
        </w:rPr>
      </w:pPr>
      <w:r>
        <w:rPr>
          <w:rFonts w:hint="eastAsia" w:ascii="黑体" w:hAnsi="宋体" w:eastAsia="黑体"/>
        </w:rPr>
        <w:t>二、项目实施及管理情况</w:t>
      </w:r>
    </w:p>
    <w:p>
      <w:pPr>
        <w:adjustRightInd w:val="0"/>
        <w:snapToGrid w:val="0"/>
        <w:spacing w:line="56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仿宋_GB2312" w:hAnsi="宋体"/>
          <w:lang w:val="zh-CN"/>
        </w:rPr>
        <w:tab/>
      </w:r>
      <w:r>
        <w:rPr>
          <w:rFonts w:hint="eastAsia" w:ascii="楷体_GB2312" w:hAnsi="宋体" w:eastAsia="楷体_GB2312"/>
          <w:b/>
          <w:lang w:val="zh-CN"/>
        </w:rPr>
        <w:t>（一）资金计划、到位及使用情况。</w:t>
      </w:r>
    </w:p>
    <w:p>
      <w:pPr>
        <w:adjustRightInd w:val="0"/>
        <w:snapToGrid w:val="0"/>
        <w:spacing w:line="560" w:lineRule="exact"/>
        <w:ind w:firstLine="720"/>
        <w:rPr>
          <w:rFonts w:hint="eastAsia" w:ascii="楷体_GB2312" w:hAnsi="宋体" w:eastAsia="楷体_GB2312"/>
          <w:lang w:val="zh-CN"/>
        </w:rPr>
      </w:pPr>
      <w:r>
        <w:rPr>
          <w:rFonts w:hint="eastAsia" w:ascii="楷体_GB2312" w:hAnsi="宋体" w:eastAsia="楷体_GB2312"/>
          <w:lang w:val="zh-CN"/>
        </w:rPr>
        <w:t>1．资金计划及到位。</w:t>
      </w:r>
    </w:p>
    <w:p>
      <w:pPr>
        <w:adjustRightInd w:val="0"/>
        <w:snapToGrid w:val="0"/>
        <w:spacing w:line="560" w:lineRule="exact"/>
        <w:ind w:firstLine="720"/>
        <w:rPr>
          <w:rFonts w:ascii="仿宋_GB2312" w:hAnsi="宋体"/>
          <w:lang w:val="zh-CN"/>
        </w:rPr>
      </w:pPr>
      <w:r>
        <w:rPr>
          <w:rFonts w:hint="eastAsia" w:ascii="仿宋_GB2312" w:hAnsi="宋体"/>
          <w:lang w:val="en-US" w:eastAsia="zh-CN"/>
        </w:rPr>
        <w:t>2021年</w:t>
      </w:r>
      <w:r>
        <w:rPr>
          <w:rFonts w:hint="eastAsia" w:ascii="仿宋_GB2312" w:hAnsi="宋体"/>
          <w:lang w:val="zh-CN"/>
        </w:rPr>
        <w:t>资金计划数</w:t>
      </w:r>
      <w:r>
        <w:rPr>
          <w:rFonts w:hint="eastAsia" w:ascii="仿宋_GB2312" w:hAnsi="宋体"/>
          <w:lang w:val="en-US" w:eastAsia="zh-CN"/>
        </w:rPr>
        <w:t>10万元，</w:t>
      </w:r>
      <w:r>
        <w:rPr>
          <w:rFonts w:hint="eastAsia" w:ascii="仿宋_GB2312" w:hAnsi="宋体"/>
          <w:lang w:val="zh-CN"/>
        </w:rPr>
        <w:t>到位数</w:t>
      </w:r>
      <w:r>
        <w:rPr>
          <w:rFonts w:hint="eastAsia" w:ascii="仿宋_GB2312" w:hAnsi="宋体"/>
          <w:lang w:val="en-US" w:eastAsia="zh-CN"/>
        </w:rPr>
        <w:t>10万元，到位</w:t>
      </w:r>
      <w:r>
        <w:rPr>
          <w:rFonts w:hint="eastAsia" w:ascii="仿宋_GB2312" w:hAnsi="宋体"/>
          <w:lang w:val="zh-CN"/>
        </w:rPr>
        <w:t>率</w:t>
      </w:r>
      <w:r>
        <w:rPr>
          <w:rFonts w:hint="default" w:ascii="仿宋_GB2312" w:hAnsi="宋体"/>
          <w:lang w:val="en" w:eastAsia="zh-CN"/>
        </w:rPr>
        <w:t>100</w:t>
      </w:r>
      <w:r>
        <w:rPr>
          <w:rFonts w:hint="eastAsia" w:ascii="仿宋_GB2312" w:hAnsi="宋体"/>
          <w:lang w:val="en-US" w:eastAsia="zh-CN"/>
        </w:rPr>
        <w:t>%</w:t>
      </w:r>
      <w:r>
        <w:rPr>
          <w:rFonts w:hint="eastAsia" w:ascii="仿宋_GB2312" w:hAnsi="宋体"/>
          <w:lang w:val="zh-CN"/>
        </w:rPr>
        <w:t>。</w:t>
      </w:r>
    </w:p>
    <w:p>
      <w:pPr>
        <w:numPr>
          <w:ilvl w:val="0"/>
          <w:numId w:val="1"/>
        </w:numPr>
        <w:adjustRightInd w:val="0"/>
        <w:snapToGrid w:val="0"/>
        <w:spacing w:line="560" w:lineRule="exact"/>
        <w:ind w:firstLine="720"/>
        <w:rPr>
          <w:rFonts w:hint="eastAsia" w:ascii="楷体_GB2312" w:hAnsi="宋体" w:eastAsia="楷体_GB2312"/>
          <w:lang w:val="zh-CN"/>
        </w:rPr>
      </w:pPr>
      <w:r>
        <w:rPr>
          <w:rFonts w:hint="eastAsia" w:ascii="楷体_GB2312" w:hAnsi="宋体" w:eastAsia="楷体_GB2312"/>
          <w:lang w:val="zh-CN"/>
        </w:rPr>
        <w:t>资金使用。</w:t>
      </w:r>
    </w:p>
    <w:p>
      <w:pPr>
        <w:adjustRightInd w:val="0"/>
        <w:snapToGrid w:val="0"/>
        <w:spacing w:line="560" w:lineRule="exact"/>
        <w:ind w:firstLine="720"/>
        <w:rPr>
          <w:rFonts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截止评价时点，项目资金实际支出</w:t>
      </w:r>
      <w:r>
        <w:rPr>
          <w:rFonts w:hint="eastAsia" w:ascii="仿宋_GB2312" w:hAnsi="宋体"/>
          <w:lang w:val="en-US" w:eastAsia="zh-CN"/>
        </w:rPr>
        <w:t>6.37万元</w:t>
      </w:r>
      <w:r>
        <w:rPr>
          <w:rFonts w:hint="eastAsia" w:ascii="仿宋_GB2312" w:hAnsi="宋体"/>
          <w:lang w:val="zh-CN"/>
        </w:rPr>
        <w:t>。资金开支范围符合要求，资金按时、足额拨付。</w:t>
      </w:r>
      <w:r>
        <w:rPr>
          <w:rFonts w:hint="eastAsia" w:ascii="仿宋_GB2312" w:hAnsi="宋体"/>
          <w:lang w:val="en-US" w:eastAsia="zh-CN"/>
        </w:rPr>
        <w:t>结余资金3.63万元</w:t>
      </w:r>
      <w:r>
        <w:rPr>
          <w:rFonts w:hint="eastAsia" w:ascii="仿宋_GB2312" w:hAnsi="宋体"/>
          <w:lang w:val="zh-CN"/>
        </w:rPr>
        <w:t>。</w:t>
      </w:r>
    </w:p>
    <w:p>
      <w:pPr>
        <w:adjustRightInd w:val="0"/>
        <w:snapToGrid w:val="0"/>
        <w:spacing w:line="56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（二）项目财务管理情况。</w:t>
      </w:r>
    </w:p>
    <w:p>
      <w:pPr>
        <w:adjustRightInd w:val="0"/>
        <w:snapToGrid w:val="0"/>
        <w:spacing w:line="560" w:lineRule="exact"/>
        <w:ind w:firstLine="720"/>
        <w:rPr>
          <w:rFonts w:hint="eastAsia" w:ascii="仿宋_GB2312" w:hAnsi="宋体"/>
          <w:lang w:val="en-US" w:eastAsia="zh-CN"/>
        </w:rPr>
      </w:pPr>
      <w:r>
        <w:rPr>
          <w:rFonts w:ascii="仿宋_GB2312" w:hAnsi="宋体" w:eastAsia="仿宋_GB2312" w:cs="仿宋_GB2312"/>
          <w:i w:val="0"/>
          <w:caps w:val="0"/>
          <w:color w:val="000000"/>
          <w:spacing w:val="0"/>
          <w:sz w:val="31"/>
          <w:szCs w:val="31"/>
          <w:shd w:val="clear" w:fill="FFFFFF"/>
        </w:rPr>
        <w:t>项目资金</w:t>
      </w:r>
      <w:r>
        <w:rPr>
          <w:rFonts w:hint="eastAsia" w:ascii="仿宋_GB2312" w:hAnsi="宋体" w:cs="仿宋_GB2312"/>
          <w:i w:val="0"/>
          <w:caps w:val="0"/>
          <w:color w:val="000000"/>
          <w:spacing w:val="0"/>
          <w:sz w:val="31"/>
          <w:szCs w:val="31"/>
          <w:shd w:val="clear" w:fill="FFFFFF"/>
          <w:lang w:eastAsia="zh-CN"/>
        </w:rPr>
        <w:t>财务管理规范、有序，严格做到</w:t>
      </w:r>
      <w:r>
        <w:rPr>
          <w:rFonts w:ascii="仿宋_GB2312" w:hAnsi="宋体" w:eastAsia="仿宋_GB2312" w:cs="仿宋_GB2312"/>
          <w:i w:val="0"/>
          <w:caps w:val="0"/>
          <w:color w:val="000000"/>
          <w:spacing w:val="0"/>
          <w:sz w:val="31"/>
          <w:szCs w:val="31"/>
          <w:shd w:val="clear" w:fill="FFFFFF"/>
        </w:rPr>
        <w:t>专款专用</w:t>
      </w:r>
      <w:r>
        <w:rPr>
          <w:rFonts w:hint="eastAsia" w:ascii="仿宋_GB2312" w:hAnsi="宋体" w:cs="仿宋_GB2312"/>
          <w:i w:val="0"/>
          <w:caps w:val="0"/>
          <w:color w:val="000000"/>
          <w:spacing w:val="0"/>
          <w:sz w:val="31"/>
          <w:szCs w:val="31"/>
          <w:shd w:val="clear" w:fill="FFFFFF"/>
          <w:lang w:eastAsia="zh-CN"/>
        </w:rPr>
        <w:t>，</w:t>
      </w:r>
      <w:r>
        <w:rPr>
          <w:rFonts w:ascii="仿宋_GB2312" w:hAnsi="宋体" w:eastAsia="仿宋_GB2312" w:cs="仿宋_GB2312"/>
          <w:i w:val="0"/>
          <w:caps w:val="0"/>
          <w:color w:val="000000"/>
          <w:spacing w:val="0"/>
          <w:sz w:val="31"/>
          <w:szCs w:val="31"/>
          <w:shd w:val="clear" w:fill="FFFFFF"/>
        </w:rPr>
        <w:t>支</w:t>
      </w:r>
      <w:r>
        <w:rPr>
          <w:rFonts w:hint="eastAsia" w:ascii="仿宋_GB2312" w:hAnsi="宋体" w:cs="仿宋_GB2312"/>
          <w:i w:val="0"/>
          <w:caps w:val="0"/>
          <w:color w:val="000000"/>
          <w:spacing w:val="0"/>
          <w:sz w:val="31"/>
          <w:szCs w:val="31"/>
          <w:shd w:val="clear" w:fill="FFFFFF"/>
          <w:lang w:eastAsia="zh-CN"/>
        </w:rPr>
        <w:t>出</w:t>
      </w:r>
      <w:r>
        <w:rPr>
          <w:rFonts w:ascii="仿宋_GB2312" w:hAnsi="宋体" w:eastAsia="仿宋_GB2312" w:cs="仿宋_GB2312"/>
          <w:i w:val="0"/>
          <w:caps w:val="0"/>
          <w:color w:val="000000"/>
          <w:spacing w:val="0"/>
          <w:sz w:val="31"/>
          <w:szCs w:val="31"/>
          <w:shd w:val="clear" w:fill="FFFFFF"/>
        </w:rPr>
        <w:t>依据</w:t>
      </w:r>
      <w:r>
        <w:rPr>
          <w:rFonts w:hint="eastAsia" w:ascii="仿宋_GB2312" w:hAnsi="宋体" w:cs="仿宋_GB2312"/>
          <w:i w:val="0"/>
          <w:caps w:val="0"/>
          <w:color w:val="000000"/>
          <w:spacing w:val="0"/>
          <w:sz w:val="31"/>
          <w:szCs w:val="31"/>
          <w:shd w:val="clear" w:fill="FFFFFF"/>
          <w:lang w:eastAsia="zh-CN"/>
        </w:rPr>
        <w:t>充分、</w:t>
      </w:r>
      <w:r>
        <w:rPr>
          <w:rFonts w:ascii="仿宋_GB2312" w:hAnsi="宋体" w:eastAsia="仿宋_GB2312" w:cs="仿宋_GB2312"/>
          <w:i w:val="0"/>
          <w:caps w:val="0"/>
          <w:color w:val="000000"/>
          <w:spacing w:val="0"/>
          <w:sz w:val="31"/>
          <w:szCs w:val="31"/>
          <w:shd w:val="clear" w:fill="FFFFFF"/>
        </w:rPr>
        <w:t>开支</w:t>
      </w:r>
      <w:r>
        <w:rPr>
          <w:rFonts w:hint="eastAsia" w:ascii="仿宋_GB2312" w:hAnsi="宋体" w:cs="仿宋_GB2312"/>
          <w:i w:val="0"/>
          <w:caps w:val="0"/>
          <w:color w:val="000000"/>
          <w:spacing w:val="0"/>
          <w:sz w:val="31"/>
          <w:szCs w:val="31"/>
          <w:shd w:val="clear" w:fill="FFFFFF"/>
          <w:lang w:eastAsia="zh-CN"/>
        </w:rPr>
        <w:t>范围</w:t>
      </w:r>
      <w:r>
        <w:rPr>
          <w:rFonts w:ascii="仿宋_GB2312" w:hAnsi="宋体" w:eastAsia="仿宋_GB2312" w:cs="仿宋_GB2312"/>
          <w:i w:val="0"/>
          <w:caps w:val="0"/>
          <w:color w:val="000000"/>
          <w:spacing w:val="0"/>
          <w:sz w:val="31"/>
          <w:szCs w:val="31"/>
          <w:shd w:val="clear" w:fill="FFFFFF"/>
        </w:rPr>
        <w:t>符合规定，</w:t>
      </w:r>
      <w:r>
        <w:rPr>
          <w:rFonts w:hint="eastAsia" w:ascii="仿宋_GB2312" w:hAnsi="宋体" w:cs="仿宋_GB2312"/>
          <w:i w:val="0"/>
          <w:caps w:val="0"/>
          <w:color w:val="000000"/>
          <w:spacing w:val="0"/>
          <w:sz w:val="31"/>
          <w:szCs w:val="31"/>
          <w:shd w:val="clear" w:fill="FFFFFF"/>
          <w:lang w:eastAsia="zh-CN"/>
        </w:rPr>
        <w:t>项目单位</w:t>
      </w:r>
      <w:r>
        <w:rPr>
          <w:rFonts w:ascii="仿宋_GB2312" w:hAnsi="宋体" w:eastAsia="仿宋_GB2312" w:cs="仿宋_GB2312"/>
          <w:i w:val="0"/>
          <w:caps w:val="0"/>
          <w:color w:val="000000"/>
          <w:spacing w:val="0"/>
          <w:sz w:val="31"/>
          <w:szCs w:val="31"/>
          <w:shd w:val="clear" w:fill="FFFFFF"/>
        </w:rPr>
        <w:t>财务制度健全、会计核算规范</w:t>
      </w:r>
      <w:r>
        <w:rPr>
          <w:rFonts w:hint="eastAsia" w:ascii="仿宋_GB2312" w:hAnsi="宋体"/>
          <w:lang w:val="zh-CN"/>
        </w:rPr>
        <w:t>。</w:t>
      </w:r>
    </w:p>
    <w:p>
      <w:pPr>
        <w:adjustRightInd w:val="0"/>
        <w:snapToGrid w:val="0"/>
        <w:spacing w:line="56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（三）项目组织实施情况。</w:t>
      </w:r>
    </w:p>
    <w:p>
      <w:pPr>
        <w:spacing w:line="580" w:lineRule="exact"/>
        <w:ind w:firstLine="640" w:firstLineChars="200"/>
        <w:rPr>
          <w:rFonts w:hint="eastAsia" w:ascii="仿宋_GB2312" w:hAnsi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宋体"/>
          <w:lang w:val="zh-CN"/>
        </w:rPr>
        <w:t>项目实施流程：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教育主管部门审核→市财政局下达预算→教育主管部门申请→国库集中支付。</w:t>
      </w:r>
    </w:p>
    <w:p>
      <w:pPr>
        <w:adjustRightInd w:val="0"/>
        <w:snapToGrid w:val="0"/>
        <w:spacing w:line="560" w:lineRule="exact"/>
        <w:ind w:firstLine="720"/>
        <w:rPr>
          <w:rFonts w:ascii="仿宋_GB2312" w:hAnsi="宋体"/>
          <w:lang w:val="zh-CN"/>
        </w:rPr>
      </w:pPr>
      <w:r>
        <w:rPr>
          <w:rFonts w:hint="eastAsia" w:ascii="黑体" w:hAnsi="宋体" w:eastAsia="黑体"/>
        </w:rPr>
        <w:t>三、项目绩效情况</w:t>
      </w:r>
      <w:r>
        <w:rPr>
          <w:rFonts w:hint="eastAsia" w:ascii="仿宋_GB2312" w:hAnsi="宋体"/>
          <w:lang w:val="zh-CN"/>
        </w:rPr>
        <w:tab/>
      </w:r>
    </w:p>
    <w:p>
      <w:pPr>
        <w:adjustRightInd w:val="0"/>
        <w:snapToGrid w:val="0"/>
        <w:spacing w:line="560" w:lineRule="exact"/>
        <w:ind w:firstLine="720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（一）项目完成情况。</w:t>
      </w:r>
    </w:p>
    <w:p>
      <w:pPr>
        <w:adjustRightInd w:val="0"/>
        <w:snapToGrid w:val="0"/>
        <w:spacing w:line="560" w:lineRule="exact"/>
        <w:ind w:firstLine="720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仿宋_GB2312" w:hAnsi="宋体"/>
          <w:lang w:val="zh-CN"/>
        </w:rPr>
        <w:t>截止评价时点，项目资金实际使用</w:t>
      </w:r>
      <w:r>
        <w:rPr>
          <w:rFonts w:hint="eastAsia" w:ascii="仿宋_GB2312" w:hAnsi="宋体"/>
          <w:lang w:val="en-US" w:eastAsia="zh-CN"/>
        </w:rPr>
        <w:t>6.37万元，结余资金3.63万元，资金拨付及时率100%。乐山市教育发展“十四五”规划全面编制完成。</w:t>
      </w:r>
    </w:p>
    <w:p>
      <w:pPr>
        <w:numPr>
          <w:ilvl w:val="0"/>
          <w:numId w:val="2"/>
        </w:numPr>
        <w:adjustRightInd w:val="0"/>
        <w:snapToGrid w:val="0"/>
        <w:spacing w:line="560" w:lineRule="exact"/>
        <w:ind w:firstLine="720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项目效益情况。</w:t>
      </w:r>
    </w:p>
    <w:p>
      <w:pPr>
        <w:numPr>
          <w:numId w:val="0"/>
        </w:numPr>
        <w:adjustRightInd w:val="0"/>
        <w:snapToGrid w:val="0"/>
        <w:spacing w:line="560" w:lineRule="exact"/>
        <w:ind w:firstLine="640" w:firstLineChars="200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仿宋_GB2312" w:hAnsi="宋体"/>
          <w:lang w:val="en-US" w:eastAsia="zh-CN"/>
        </w:rPr>
        <w:t>乐山市教育发展“十四五”规划编制完成为我市未来五年教育发展指明了方向，对乐山市教育高质量发展奠定了坚实的基础。</w:t>
      </w:r>
      <w:bookmarkStart w:id="0" w:name="_GoBack"/>
      <w:bookmarkEnd w:id="0"/>
    </w:p>
    <w:p>
      <w:pPr>
        <w:adjustRightInd w:val="0"/>
        <w:snapToGrid w:val="0"/>
        <w:spacing w:line="560" w:lineRule="exact"/>
        <w:ind w:firstLine="720"/>
        <w:rPr>
          <w:rFonts w:ascii="黑体" w:hAnsi="宋体" w:eastAsia="黑体"/>
        </w:rPr>
      </w:pPr>
      <w:r>
        <w:rPr>
          <w:rFonts w:hint="eastAsia" w:ascii="黑体" w:hAnsi="宋体" w:eastAsia="黑体"/>
        </w:rPr>
        <w:t>四、问题及建议</w:t>
      </w:r>
    </w:p>
    <w:p>
      <w:pPr>
        <w:adjustRightInd w:val="0"/>
        <w:snapToGrid w:val="0"/>
        <w:spacing w:line="560" w:lineRule="exact"/>
        <w:ind w:firstLine="720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（一）存在的问题。</w:t>
      </w:r>
    </w:p>
    <w:p>
      <w:pPr>
        <w:numPr>
          <w:ilvl w:val="0"/>
          <w:numId w:val="0"/>
        </w:numPr>
        <w:adjustRightInd w:val="0"/>
        <w:snapToGrid w:val="0"/>
        <w:spacing w:line="560" w:lineRule="exact"/>
        <w:ind w:left="720" w:leftChars="0"/>
        <w:rPr>
          <w:rFonts w:hint="eastAsia" w:ascii="楷体_GB2312" w:hAnsi="宋体" w:eastAsia="楷体_GB2312"/>
          <w:b/>
          <w:lang w:val="en-US" w:eastAsia="zh-CN"/>
        </w:rPr>
      </w:pPr>
      <w:r>
        <w:rPr>
          <w:rFonts w:hint="eastAsia"/>
          <w:lang w:val="en-US" w:eastAsia="zh-CN"/>
        </w:rPr>
        <w:t>无。</w:t>
      </w:r>
    </w:p>
    <w:p>
      <w:pPr>
        <w:numPr>
          <w:ilvl w:val="0"/>
          <w:numId w:val="2"/>
        </w:numPr>
        <w:adjustRightInd w:val="0"/>
        <w:snapToGrid w:val="0"/>
        <w:spacing w:line="560" w:lineRule="exact"/>
        <w:ind w:left="0" w:leftChars="0" w:firstLine="720" w:firstLineChars="0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相关建议。</w:t>
      </w:r>
    </w:p>
    <w:p>
      <w:pPr>
        <w:numPr>
          <w:ilvl w:val="0"/>
          <w:numId w:val="0"/>
        </w:numPr>
        <w:adjustRightInd w:val="0"/>
        <w:snapToGrid w:val="0"/>
        <w:spacing w:line="560" w:lineRule="exact"/>
        <w:ind w:left="720" w:leftChars="0"/>
        <w:rPr>
          <w:rFonts w:hint="eastAsia" w:eastAsia="仿宋_GB2312"/>
          <w:lang w:val="en-US" w:eastAsia="zh-CN"/>
        </w:rPr>
      </w:pPr>
      <w:r>
        <w:rPr>
          <w:rFonts w:hint="eastAsia"/>
          <w:lang w:val="en-US" w:eastAsia="zh-CN"/>
        </w:rPr>
        <w:t>无。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??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GulimChe">
    <w:panose1 w:val="020B0609000101010101"/>
    <w:charset w:val="81"/>
    <w:family w:val="auto"/>
    <w:pitch w:val="default"/>
    <w:sig w:usb0="B00002AF" w:usb1="69D77CFB" w:usb2="00000030" w:usb3="00000000" w:csb0="4008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607E8BB"/>
    <w:multiLevelType w:val="singleLevel"/>
    <w:tmpl w:val="F607E8BB"/>
    <w:lvl w:ilvl="0" w:tentative="0">
      <w:start w:val="2"/>
      <w:numFmt w:val="decimal"/>
      <w:suff w:val="nothing"/>
      <w:lvlText w:val="%1．"/>
      <w:lvlJc w:val="left"/>
    </w:lvl>
  </w:abstractNum>
  <w:abstractNum w:abstractNumId="1">
    <w:nsid w:val="5FD2B761"/>
    <w:multiLevelType w:val="singleLevel"/>
    <w:tmpl w:val="5FD2B761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EzYzY4MjNmOTM0NTFjOTc0ZDhjMDQ4Mjk3MDNlOTUifQ=="/>
  </w:docVars>
  <w:rsids>
    <w:rsidRoot w:val="291C455A"/>
    <w:rsid w:val="00417211"/>
    <w:rsid w:val="004B6F67"/>
    <w:rsid w:val="00B53A36"/>
    <w:rsid w:val="0EDB478C"/>
    <w:rsid w:val="0FBB1BE9"/>
    <w:rsid w:val="14750B91"/>
    <w:rsid w:val="22445508"/>
    <w:rsid w:val="24615888"/>
    <w:rsid w:val="28A6139D"/>
    <w:rsid w:val="291C455A"/>
    <w:rsid w:val="2D644DD8"/>
    <w:rsid w:val="2FE3046B"/>
    <w:rsid w:val="35166B44"/>
    <w:rsid w:val="36837A07"/>
    <w:rsid w:val="36926D0C"/>
    <w:rsid w:val="426C6DEA"/>
    <w:rsid w:val="45FC062D"/>
    <w:rsid w:val="4871658A"/>
    <w:rsid w:val="4D75779D"/>
    <w:rsid w:val="4DAF2BCF"/>
    <w:rsid w:val="4DDB6F66"/>
    <w:rsid w:val="528D2C96"/>
    <w:rsid w:val="55452810"/>
    <w:rsid w:val="5ABFACD5"/>
    <w:rsid w:val="636A7714"/>
    <w:rsid w:val="69D97C95"/>
    <w:rsid w:val="704C40BE"/>
    <w:rsid w:val="72423460"/>
    <w:rsid w:val="792F2AEE"/>
    <w:rsid w:val="7993614A"/>
    <w:rsid w:val="79DC2A4B"/>
    <w:rsid w:val="B9171631"/>
    <w:rsid w:val="BFFE83F2"/>
    <w:rsid w:val="D7FDD76B"/>
    <w:rsid w:val="FBF208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3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6">
    <w:name w:val="四号正文"/>
    <w:basedOn w:val="1"/>
    <w:qFormat/>
    <w:uiPriority w:val="0"/>
    <w:pPr>
      <w:spacing w:line="360" w:lineRule="auto"/>
    </w:pPr>
    <w:rPr>
      <w:rFonts w:ascii="??" w:hAnsi="??" w:eastAsia="宋体"/>
      <w:color w:val="000000"/>
      <w:kern w:val="0"/>
      <w:sz w:val="28"/>
      <w:szCs w:val="21"/>
      <w:lang w:val="zh-CN"/>
    </w:rPr>
  </w:style>
  <w:style w:type="character" w:customStyle="1" w:styleId="7">
    <w:name w:val="页眉 Char"/>
    <w:basedOn w:val="5"/>
    <w:link w:val="3"/>
    <w:qFormat/>
    <w:uiPriority w:val="0"/>
    <w:rPr>
      <w:rFonts w:ascii="Times New Roman" w:hAnsi="Times New Roman" w:eastAsia="仿宋_GB2312" w:cs="Times New Roman"/>
      <w:kern w:val="2"/>
      <w:sz w:val="18"/>
      <w:szCs w:val="18"/>
    </w:rPr>
  </w:style>
  <w:style w:type="character" w:customStyle="1" w:styleId="8">
    <w:name w:val="页脚 Char"/>
    <w:basedOn w:val="5"/>
    <w:link w:val="2"/>
    <w:qFormat/>
    <w:uiPriority w:val="0"/>
    <w:rPr>
      <w:rFonts w:ascii="Times New Roman" w:hAnsi="Times New Roman" w:eastAsia="仿宋_GB2312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733</Words>
  <Characters>780</Characters>
  <Lines>6</Lines>
  <Paragraphs>1</Paragraphs>
  <TotalTime>4</TotalTime>
  <ScaleCrop>false</ScaleCrop>
  <LinksUpToDate>false</LinksUpToDate>
  <CharactersWithSpaces>784</CharactersWithSpaces>
  <Application>WPS Office_11.8.2.9067_F1E327BC-269C-435d-A152-05C5408002CA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2020-07-01T16:19:00Z</dcterms:created>
  <dc:creator>Administrator</dc:creator>
  <cp:lastModifiedBy>Administrator</cp:lastModifiedBy>
  <dcterms:modified xsi:type="dcterms:W3CDTF">2022-06-17T09:51:13Z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2052-11.8.2.9067</vt:lpwstr>
  </property>
  <property fmtid="{D5CDD505-2E9C-101B-9397-08002B2CF9AE}" pid="3" name="ICV">
    <vt:lpwstr>94151472C9F64F89B934F2E4E1F64DB5</vt:lpwstr>
  </property>
</Properties>
</file>