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乐山市优质基础教育质量提升项目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 w:eastAsia="仿宋_GB2312"/>
          <w:sz w:val="30"/>
          <w:szCs w:val="30"/>
        </w:rPr>
        <w:t>为适应高考综合改革，满足国家强基计划选拔培养拔尖创新人才需求，促进乐山市基础教育质量提升，提高中小学办学水平。按照乐山市教育局的计划，从2</w:t>
      </w:r>
      <w:r>
        <w:rPr>
          <w:rFonts w:ascii="仿宋_GB2312" w:hAnsi="宋体" w:eastAsia="仿宋_GB2312"/>
          <w:sz w:val="30"/>
          <w:szCs w:val="30"/>
        </w:rPr>
        <w:t>020</w:t>
      </w:r>
      <w:r>
        <w:rPr>
          <w:rFonts w:hint="eastAsia" w:ascii="仿宋_GB2312" w:hAnsi="宋体" w:eastAsia="仿宋_GB2312"/>
          <w:sz w:val="30"/>
          <w:szCs w:val="30"/>
        </w:rPr>
        <w:t>年至2</w:t>
      </w:r>
      <w:r>
        <w:rPr>
          <w:rFonts w:ascii="仿宋_GB2312" w:hAnsi="宋体" w:eastAsia="仿宋_GB2312"/>
          <w:sz w:val="30"/>
          <w:szCs w:val="30"/>
        </w:rPr>
        <w:t>025</w:t>
      </w:r>
      <w:r>
        <w:rPr>
          <w:rFonts w:hint="eastAsia" w:ascii="仿宋_GB2312" w:hAnsi="宋体" w:eastAsia="仿宋_GB2312"/>
          <w:sz w:val="30"/>
          <w:szCs w:val="30"/>
        </w:rPr>
        <w:t>年开展乐山市优质基础教育质量提升项目，促进乐山市基础教育办学形成突出特色、教育教学水平整体提升，较好地满足广大家长和学生对优质基础教育的需求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b w:val="0"/>
          <w:bCs/>
          <w:sz w:val="32"/>
          <w:lang w:val="en-US" w:eastAsia="zh-CN"/>
        </w:rPr>
        <w:t>市财政下达乐山市优质基础教育质量提升项目资金478</w:t>
      </w:r>
      <w:r>
        <w:rPr>
          <w:rFonts w:hint="eastAsia" w:ascii="仿宋_GB2312" w:hAnsi="仿宋_GB2312" w:cs="仿宋_GB2312"/>
          <w:b w:val="0"/>
          <w:bCs/>
          <w:sz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/>
          <w:sz w:val="32"/>
          <w:lang w:val="en-US" w:eastAsia="zh-CN"/>
        </w:rPr>
        <w:t>5万元，符合资金管理办法等相关规定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项目1：制定乐山一中优质教育发展的六年规划</w:t>
      </w:r>
    </w:p>
    <w:tbl>
      <w:tblPr>
        <w:tblStyle w:val="4"/>
        <w:tblW w:w="9073" w:type="dxa"/>
        <w:tblInd w:w="-14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559"/>
        <w:gridCol w:w="3402"/>
        <w:gridCol w:w="29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绩效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340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指标1：完成方案数量（份）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指标2：组织研讨次数(次)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5次（领导、老师、各2次，学生1次）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指标2：计划按期完成率(%)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bookmarkStart w:id="0" w:name="_GoBack" w:colFirst="1" w:colLast="3"/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指标1：方案合格率(%)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指标1：完成时间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2021年4月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预算执行率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指标1：预算执行率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满意度指标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指标1：方案满意度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kern w:val="44"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项目2：帮助乐山一中组建2020级“强基计划实验班”，完成实验班学生选拨、选课走班、竟赛辅导等培养</w:t>
      </w:r>
    </w:p>
    <w:tbl>
      <w:tblPr>
        <w:tblStyle w:val="4"/>
        <w:tblW w:w="907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701"/>
        <w:gridCol w:w="2835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绩效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指标值（包含数字及文字描述）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93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指标1：测评学科(门)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4门（语文、数学、英语、物理+化学）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指标2：测评人数(人)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162（169人测评，162人有成绩）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指标3：选拔人数（人）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160人，分为4个平行班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指标1：测评准确率(%)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指标1：完成时间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2020年8月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预算执行率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指标1：预算执行率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满意度指标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指标1：受训学员满意度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项目3：对乐山市相关学校2018级学生实施优生培养</w:t>
      </w:r>
    </w:p>
    <w:p>
      <w:pPr>
        <w:spacing w:line="360" w:lineRule="auto"/>
        <w:ind w:firstLine="42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参加乐山市高三培优的学生，包括乐山一中、博瑞特学校、乐山外国语学校、夹江中学、井研中学、五通桥中学、峨眉二中，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共83名学生，理科50人，文科33人。</w:t>
      </w:r>
      <w:r>
        <w:rPr>
          <w:rFonts w:hint="eastAsia" w:ascii="仿宋_GB2312" w:hAnsi="仿宋_GB2312" w:eastAsia="仿宋_GB2312" w:cs="仿宋_GB2312"/>
          <w:sz w:val="28"/>
          <w:szCs w:val="28"/>
        </w:rPr>
        <w:t>每次课都会有学校老师来听课。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整体评价为“很好”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tbl>
      <w:tblPr>
        <w:tblStyle w:val="5"/>
        <w:tblW w:w="10514" w:type="dxa"/>
        <w:tblInd w:w="-10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583"/>
        <w:gridCol w:w="1394"/>
        <w:gridCol w:w="1157"/>
        <w:gridCol w:w="1843"/>
        <w:gridCol w:w="19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51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583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学生姓名</w:t>
            </w:r>
          </w:p>
        </w:tc>
        <w:tc>
          <w:tcPr>
            <w:tcW w:w="1394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高考分数</w:t>
            </w:r>
          </w:p>
        </w:tc>
        <w:tc>
          <w:tcPr>
            <w:tcW w:w="1157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文/理</w:t>
            </w:r>
          </w:p>
        </w:tc>
        <w:tc>
          <w:tcPr>
            <w:tcW w:w="1843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毕业学校</w:t>
            </w:r>
          </w:p>
        </w:tc>
        <w:tc>
          <w:tcPr>
            <w:tcW w:w="1985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录取学校</w:t>
            </w:r>
          </w:p>
        </w:tc>
        <w:tc>
          <w:tcPr>
            <w:tcW w:w="1701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就读专业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583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银浩然</w:t>
            </w:r>
          </w:p>
        </w:tc>
        <w:tc>
          <w:tcPr>
            <w:tcW w:w="1394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697</w:t>
            </w:r>
          </w:p>
        </w:tc>
        <w:tc>
          <w:tcPr>
            <w:tcW w:w="1157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理</w:t>
            </w:r>
          </w:p>
        </w:tc>
        <w:tc>
          <w:tcPr>
            <w:tcW w:w="1843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博瑞特</w:t>
            </w:r>
          </w:p>
        </w:tc>
        <w:tc>
          <w:tcPr>
            <w:tcW w:w="1985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70C0"/>
                <w:sz w:val="28"/>
                <w:szCs w:val="28"/>
              </w:rPr>
              <w:t>清华大学</w:t>
            </w:r>
          </w:p>
        </w:tc>
        <w:tc>
          <w:tcPr>
            <w:tcW w:w="1701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能源与电气类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583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车啓萌</w:t>
            </w:r>
          </w:p>
        </w:tc>
        <w:tc>
          <w:tcPr>
            <w:tcW w:w="1394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685</w:t>
            </w:r>
          </w:p>
        </w:tc>
        <w:tc>
          <w:tcPr>
            <w:tcW w:w="1157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理</w:t>
            </w:r>
          </w:p>
        </w:tc>
        <w:tc>
          <w:tcPr>
            <w:tcW w:w="1843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犍为一中</w:t>
            </w:r>
          </w:p>
        </w:tc>
        <w:tc>
          <w:tcPr>
            <w:tcW w:w="1985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70C0"/>
                <w:sz w:val="28"/>
                <w:szCs w:val="28"/>
              </w:rPr>
              <w:t>北京大学医学部</w:t>
            </w:r>
          </w:p>
        </w:tc>
        <w:tc>
          <w:tcPr>
            <w:tcW w:w="1701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预防医学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熊力伟</w:t>
            </w:r>
          </w:p>
        </w:tc>
        <w:tc>
          <w:tcPr>
            <w:tcW w:w="1394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684</w:t>
            </w:r>
          </w:p>
        </w:tc>
        <w:tc>
          <w:tcPr>
            <w:tcW w:w="1157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理</w:t>
            </w:r>
          </w:p>
        </w:tc>
        <w:tc>
          <w:tcPr>
            <w:tcW w:w="1843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乐山一中</w:t>
            </w:r>
          </w:p>
        </w:tc>
        <w:tc>
          <w:tcPr>
            <w:tcW w:w="1985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70C0"/>
                <w:sz w:val="28"/>
                <w:szCs w:val="28"/>
              </w:rPr>
              <w:t>中国科大</w:t>
            </w:r>
          </w:p>
        </w:tc>
        <w:tc>
          <w:tcPr>
            <w:tcW w:w="1701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工科实验班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1583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杨婧萍</w:t>
            </w:r>
          </w:p>
        </w:tc>
        <w:tc>
          <w:tcPr>
            <w:tcW w:w="1394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639</w:t>
            </w:r>
          </w:p>
        </w:tc>
        <w:tc>
          <w:tcPr>
            <w:tcW w:w="1157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文</w:t>
            </w:r>
          </w:p>
        </w:tc>
        <w:tc>
          <w:tcPr>
            <w:tcW w:w="1843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乐山外国语</w:t>
            </w:r>
          </w:p>
        </w:tc>
        <w:tc>
          <w:tcPr>
            <w:tcW w:w="1985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70C0"/>
                <w:sz w:val="28"/>
                <w:szCs w:val="28"/>
              </w:rPr>
              <w:t>复旦大学</w:t>
            </w:r>
          </w:p>
        </w:tc>
        <w:tc>
          <w:tcPr>
            <w:tcW w:w="1701" w:type="dxa"/>
            <w:vAlign w:val="center"/>
          </w:tcPr>
          <w:p>
            <w:pPr>
              <w:spacing w:after="120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法学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项目4：乐山一中教育集团内部实施初高一体培养</w:t>
      </w:r>
    </w:p>
    <w:tbl>
      <w:tblPr>
        <w:tblStyle w:val="4"/>
        <w:tblW w:w="9356" w:type="dxa"/>
        <w:tblInd w:w="-14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701"/>
        <w:gridCol w:w="2835"/>
        <w:gridCol w:w="38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绩效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283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指标1：强基班数量(个)</w:t>
            </w:r>
          </w:p>
        </w:tc>
        <w:tc>
          <w:tcPr>
            <w:tcW w:w="3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指标2：学生人数(人)</w:t>
            </w:r>
          </w:p>
        </w:tc>
        <w:tc>
          <w:tcPr>
            <w:tcW w:w="3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指标1：测评准确率(%)</w:t>
            </w:r>
          </w:p>
        </w:tc>
        <w:tc>
          <w:tcPr>
            <w:tcW w:w="3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指标1：完成时间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2021年4月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预算执行率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指标1：预算执行率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满意度指标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指标1：学员满意度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kern w:val="44"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项目5、6：应用敏特码课和葵花籽系统进行全科备课及提升英语成绩</w:t>
      </w:r>
    </w:p>
    <w:p>
      <w:pPr>
        <w:tabs>
          <w:tab w:val="left" w:pos="1260"/>
        </w:tabs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Han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结合扶优班260多名学生的考试情况进行精准的数据分析对比可以看出，学校开展的一本扶优工作效果显著。开展扶优工作之前参加扶优课学生中理科一本上线人数（乐山一调模拟）56人，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Hans"/>
        </w:rPr>
        <w:t>服务之后理科一本上线（高考）74人（参照网上公布的一本上线分数521分），增加18人；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参加扶优课学生中文科一本上线人数（乐山一调模拟）25人，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Hans"/>
        </w:rPr>
        <w:t>服务之后文科一本上线（高考）34人（参照网上公布的一本上线分数541分），增加9人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项目7：为乐山一中教育集团实施教育质量提升服务：教师指导、名师进课堂、同课异构、讲评课、共同教研等</w:t>
      </w:r>
    </w:p>
    <w:tbl>
      <w:tblPr>
        <w:tblStyle w:val="4"/>
        <w:tblW w:w="9356" w:type="dxa"/>
        <w:tblInd w:w="-14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701"/>
        <w:gridCol w:w="3119"/>
        <w:gridCol w:w="36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绩效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311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指标1：进校名师数量(人)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指标2：课时数(小时)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&gt;244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指标1：教学质量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指标1：完成时间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2021年1月-2021年5月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预算执行率</w:t>
            </w: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指标1：预算执行率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满意度指标</w:t>
            </w: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指标1：学员满意度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</w:tbl>
    <w:p>
      <w:pPr>
        <w:tabs>
          <w:tab w:val="left" w:pos="1260"/>
        </w:tabs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Hans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项目8：开展《新形势（新课改、新高考、“强基计划”）下，基础教育“名师、名校、名校长”成长途径及发展策略研究》的课题研究</w:t>
      </w:r>
    </w:p>
    <w:tbl>
      <w:tblPr>
        <w:tblStyle w:val="4"/>
        <w:tblW w:w="9356" w:type="dxa"/>
        <w:tblInd w:w="-14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701"/>
        <w:gridCol w:w="2977"/>
        <w:gridCol w:w="36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绩效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297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指标1：课题数量(个)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指标1：课题实际价值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指标1：完成时间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进行中（三年）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预算执行率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指标1：预算执行率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满意度指标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指标1：满意度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项目9：帮助乐山一中教育集团制定教师考评标准和管理办法</w:t>
      </w:r>
    </w:p>
    <w:tbl>
      <w:tblPr>
        <w:tblStyle w:val="4"/>
        <w:tblW w:w="9498" w:type="dxa"/>
        <w:tblInd w:w="-14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701"/>
        <w:gridCol w:w="3118"/>
        <w:gridCol w:w="36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绩效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311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指标1：考核标准数量(套)</w:t>
            </w: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指标1：考核标准专业度</w:t>
            </w: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指标1：完成时间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2021年8月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预算执行率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指标1：预算执行率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满意度指标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指标1：满意度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</w:tbl>
    <w:p>
      <w:pPr>
        <w:rPr>
          <w:rFonts w:hint="eastAsia" w:ascii="仿宋_GB2312" w:hAnsi="仿宋_GB2312" w:eastAsia="仿宋_GB2312" w:cs="仿宋_GB2312"/>
          <w:kern w:val="44"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项目10：指导乐山一中教育集团开展校本课程建设和微科研研究</w:t>
      </w:r>
    </w:p>
    <w:tbl>
      <w:tblPr>
        <w:tblStyle w:val="4"/>
        <w:tblW w:w="9498" w:type="dxa"/>
        <w:tblInd w:w="-14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701"/>
        <w:gridCol w:w="3118"/>
        <w:gridCol w:w="36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绩效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311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指标1：高一课程数量(门)</w:t>
            </w: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指标1：高二课程数量(门)</w:t>
            </w: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指标1：课程设立科学性</w:t>
            </w: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指标1：完成时间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2021年8月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预算执行率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指标1：预算执行率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满意度指标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指标1：满意度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kern w:val="44"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项目11：制定《乐山一中教育集团规范化课堂教学标准》和《乐山一中教育集团课堂教学的优质课标准》</w:t>
      </w:r>
    </w:p>
    <w:tbl>
      <w:tblPr>
        <w:tblStyle w:val="4"/>
        <w:tblW w:w="949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701"/>
        <w:gridCol w:w="3118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绩效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指标值（包含数字及文字描述）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93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指标1：教学标准数量(套)</w:t>
            </w: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指标1：教学标准专业度</w:t>
            </w: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指标1：完成时间</w:t>
            </w: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2021年8月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预算执行率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指标1：预算执行率</w:t>
            </w: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满意度指标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指标1：满意度</w:t>
            </w: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kern w:val="44"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项目12：实施2021届教师全员培训（分学科)</w:t>
      </w:r>
    </w:p>
    <w:tbl>
      <w:tblPr>
        <w:tblStyle w:val="4"/>
        <w:tblW w:w="9781" w:type="dxa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417"/>
        <w:gridCol w:w="3363"/>
        <w:gridCol w:w="40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绩效</w:t>
            </w:r>
          </w:p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3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4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33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指标1：组织培训班次(次)</w:t>
            </w:r>
          </w:p>
        </w:tc>
        <w:tc>
          <w:tcPr>
            <w:tcW w:w="40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9班次（9大学科）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指标2：培训计划按期完成率(%)</w:t>
            </w:r>
          </w:p>
        </w:tc>
        <w:tc>
          <w:tcPr>
            <w:tcW w:w="40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指标3：累计培训天数</w:t>
            </w:r>
          </w:p>
        </w:tc>
        <w:tc>
          <w:tcPr>
            <w:tcW w:w="40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指标4：参训人数（人）</w:t>
            </w:r>
          </w:p>
        </w:tc>
        <w:tc>
          <w:tcPr>
            <w:tcW w:w="40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指标1：培训合格率(%)</w:t>
            </w:r>
          </w:p>
        </w:tc>
        <w:tc>
          <w:tcPr>
            <w:tcW w:w="40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指标2：学员出勤率(%)</w:t>
            </w:r>
          </w:p>
        </w:tc>
        <w:tc>
          <w:tcPr>
            <w:tcW w:w="4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3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指标1：完成时间</w:t>
            </w:r>
          </w:p>
        </w:tc>
        <w:tc>
          <w:tcPr>
            <w:tcW w:w="4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2020年9月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成本指标</w:t>
            </w:r>
          </w:p>
        </w:tc>
        <w:tc>
          <w:tcPr>
            <w:tcW w:w="3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指标1：人均培训成本</w:t>
            </w:r>
          </w:p>
        </w:tc>
        <w:tc>
          <w:tcPr>
            <w:tcW w:w="4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120元/人/天（不含城际交通）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预算执行率</w:t>
            </w:r>
          </w:p>
        </w:tc>
        <w:tc>
          <w:tcPr>
            <w:tcW w:w="3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指标1：预算执行率</w:t>
            </w:r>
          </w:p>
        </w:tc>
        <w:tc>
          <w:tcPr>
            <w:tcW w:w="4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满意度指标</w:t>
            </w:r>
          </w:p>
        </w:tc>
        <w:tc>
          <w:tcPr>
            <w:tcW w:w="3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指标1：受训学员满意度</w:t>
            </w:r>
          </w:p>
        </w:tc>
        <w:tc>
          <w:tcPr>
            <w:tcW w:w="4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kern w:val="44"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项目13：实施2022届教师全员培训（分学科）</w:t>
      </w:r>
    </w:p>
    <w:tbl>
      <w:tblPr>
        <w:tblStyle w:val="4"/>
        <w:tblW w:w="9781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417"/>
        <w:gridCol w:w="3686"/>
        <w:gridCol w:w="3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绩效</w:t>
            </w:r>
          </w:p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368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指标值（包含数字及文字描述）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指标1：组织培训班次(次)</w:t>
            </w:r>
          </w:p>
        </w:tc>
        <w:tc>
          <w:tcPr>
            <w:tcW w:w="368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9班次（9大学科）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指标2：培训计划按期完成率(%)</w:t>
            </w:r>
          </w:p>
        </w:tc>
        <w:tc>
          <w:tcPr>
            <w:tcW w:w="368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指标3：累计培训天数</w:t>
            </w:r>
          </w:p>
        </w:tc>
        <w:tc>
          <w:tcPr>
            <w:tcW w:w="368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指标4：参训人数（人）</w:t>
            </w:r>
          </w:p>
        </w:tc>
        <w:tc>
          <w:tcPr>
            <w:tcW w:w="368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指标1：培训合格率(%)</w:t>
            </w:r>
          </w:p>
        </w:tc>
        <w:tc>
          <w:tcPr>
            <w:tcW w:w="368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指标2：学员出勤率(%)</w:t>
            </w:r>
          </w:p>
        </w:tc>
        <w:tc>
          <w:tcPr>
            <w:tcW w:w="368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指标1：完成时间</w:t>
            </w:r>
          </w:p>
        </w:tc>
        <w:tc>
          <w:tcPr>
            <w:tcW w:w="368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2021年9月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成本指标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指标1：人均培训成本</w:t>
            </w:r>
          </w:p>
        </w:tc>
        <w:tc>
          <w:tcPr>
            <w:tcW w:w="368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120元/人/天（不含城际交通）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预算执行率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指标1：预算执行率</w:t>
            </w:r>
          </w:p>
        </w:tc>
        <w:tc>
          <w:tcPr>
            <w:tcW w:w="368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满意度指标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指标1：受训学员满意度</w:t>
            </w:r>
          </w:p>
        </w:tc>
        <w:tc>
          <w:tcPr>
            <w:tcW w:w="368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项目14：实施乐山市高中校长及教育局主管领导研修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color w:val="0070C0"/>
          <w:kern w:val="4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70C0"/>
          <w:kern w:val="44"/>
          <w:sz w:val="28"/>
          <w:szCs w:val="28"/>
        </w:rPr>
        <w:t>因疫情本项目不再执行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项目15、16：实施骨干教师培训及名师工作坊</w:t>
      </w:r>
    </w:p>
    <w:tbl>
      <w:tblPr>
        <w:tblStyle w:val="5"/>
        <w:tblW w:w="9640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269"/>
        <w:gridCol w:w="2410"/>
        <w:gridCol w:w="992"/>
        <w:gridCol w:w="1342"/>
        <w:gridCol w:w="92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269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时间、地点</w:t>
            </w:r>
          </w:p>
        </w:tc>
        <w:tc>
          <w:tcPr>
            <w:tcW w:w="2410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活动名称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参培人数</w:t>
            </w:r>
          </w:p>
        </w:tc>
        <w:tc>
          <w:tcPr>
            <w:tcW w:w="134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培训合格率</w:t>
            </w:r>
          </w:p>
        </w:tc>
        <w:tc>
          <w:tcPr>
            <w:tcW w:w="926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出勤率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满意度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2269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  <w:t>2021年4月16日</w:t>
            </w:r>
          </w:p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  <w:t>1天，立志达高中</w:t>
            </w:r>
          </w:p>
        </w:tc>
        <w:tc>
          <w:tcPr>
            <w:tcW w:w="2410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高中新生代名师骨干教师培养启动仪式暨首期培养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180</w:t>
            </w:r>
          </w:p>
        </w:tc>
        <w:tc>
          <w:tcPr>
            <w:tcW w:w="134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26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2269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  <w:t>2021年6月28-30日</w:t>
            </w:r>
          </w:p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  <w:t>3天，九大学科在乐山一中、夹江中学等</w:t>
            </w:r>
          </w:p>
        </w:tc>
        <w:tc>
          <w:tcPr>
            <w:tcW w:w="2410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高中新生代名师骨干教师培养对象第一届研修论坛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180</w:t>
            </w:r>
          </w:p>
        </w:tc>
        <w:tc>
          <w:tcPr>
            <w:tcW w:w="134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26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269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  <w:t>2021年7月25日</w:t>
            </w:r>
          </w:p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  <w:t>2021年8月21日</w:t>
            </w:r>
          </w:p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  <w:t>线上培训，2天</w:t>
            </w:r>
          </w:p>
        </w:tc>
        <w:tc>
          <w:tcPr>
            <w:tcW w:w="2410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  <w:t>石室祥云网校针对新生代名师骨干教师线上技能培训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180</w:t>
            </w:r>
          </w:p>
        </w:tc>
        <w:tc>
          <w:tcPr>
            <w:tcW w:w="134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26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2269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  <w:t>2021年9月16日</w:t>
            </w:r>
          </w:p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shd w:val="clear" w:color="auto" w:fill="FFFFFF"/>
              </w:rPr>
              <w:t>1天，嘉祥外国语</w:t>
            </w:r>
          </w:p>
        </w:tc>
        <w:tc>
          <w:tcPr>
            <w:tcW w:w="2410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关于举行高中名校“333整体高效训练”专题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180</w:t>
            </w:r>
          </w:p>
        </w:tc>
        <w:tc>
          <w:tcPr>
            <w:tcW w:w="134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26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2269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2021年9月26日</w:t>
            </w:r>
          </w:p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1天，石室中学</w:t>
            </w:r>
          </w:p>
        </w:tc>
        <w:tc>
          <w:tcPr>
            <w:tcW w:w="2410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FFFFFF"/>
              </w:rPr>
              <w:t>乐山新生代名师、骨干参加石室祥云第五期教研活动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180</w:t>
            </w:r>
          </w:p>
        </w:tc>
        <w:tc>
          <w:tcPr>
            <w:tcW w:w="134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26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2269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2021年10月</w:t>
            </w:r>
          </w:p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2天，石室中学</w:t>
            </w:r>
          </w:p>
        </w:tc>
        <w:tc>
          <w:tcPr>
            <w:tcW w:w="2410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乐山市高中新生代名师培养对象参加石室中学新课程新教材培训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180</w:t>
            </w:r>
          </w:p>
        </w:tc>
        <w:tc>
          <w:tcPr>
            <w:tcW w:w="134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26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2269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2021年10月26日</w:t>
            </w:r>
          </w:p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1天，乐山一中</w:t>
            </w:r>
          </w:p>
        </w:tc>
        <w:tc>
          <w:tcPr>
            <w:tcW w:w="2410" w:type="dxa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乐山市高中新生代名师骨干教师培养对象第二届研修论坛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180</w:t>
            </w:r>
          </w:p>
        </w:tc>
        <w:tc>
          <w:tcPr>
            <w:tcW w:w="134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26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2269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2021.6-2021.12</w:t>
            </w:r>
          </w:p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石室祥云在线学习</w:t>
            </w:r>
          </w:p>
        </w:tc>
        <w:tc>
          <w:tcPr>
            <w:tcW w:w="2410" w:type="dxa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乐山市高中新生代优秀教师培养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180</w:t>
            </w:r>
          </w:p>
        </w:tc>
        <w:tc>
          <w:tcPr>
            <w:tcW w:w="134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26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2269" w:type="dxa"/>
            <w:vAlign w:val="center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2021.12.20</w:t>
            </w:r>
          </w:p>
        </w:tc>
        <w:tc>
          <w:tcPr>
            <w:tcW w:w="2410" w:type="dxa"/>
          </w:tcPr>
          <w:p>
            <w:pPr>
              <w:spacing w:after="120" w:line="264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乐山市高中新生代名师及骨干教师培养对象第三次研修论坛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180</w:t>
            </w:r>
          </w:p>
        </w:tc>
        <w:tc>
          <w:tcPr>
            <w:tcW w:w="134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26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95%</w:t>
            </w:r>
          </w:p>
        </w:tc>
        <w:tc>
          <w:tcPr>
            <w:tcW w:w="992" w:type="dxa"/>
            <w:vAlign w:val="center"/>
          </w:tcPr>
          <w:p>
            <w:pPr>
              <w:spacing w:after="120" w:line="264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≥90%</w:t>
            </w:r>
          </w:p>
        </w:tc>
      </w:tr>
    </w:tbl>
    <w:p/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楷体_GB2312" w:hAnsi="宋体" w:eastAsia="楷体_GB2312"/>
          <w:b/>
          <w:lang w:val="zh-CN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960" w:firstLineChars="3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项目申报内容与具体实施方案一致，申报目标合理可行。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1．资金计划及到位率</w:t>
      </w:r>
      <w:r>
        <w:rPr>
          <w:rFonts w:hint="eastAsia" w:ascii="楷体_GB2312" w:hAnsi="宋体" w:eastAsia="楷体_GB2312"/>
          <w:lang w:val="en-US" w:eastAsia="zh-CN"/>
        </w:rPr>
        <w:t>100%.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lang w:val="zh-CN"/>
        </w:rPr>
        <w:t>截止评价时点项目资金的实际支出</w:t>
      </w:r>
      <w:r>
        <w:rPr>
          <w:rFonts w:hint="eastAsia" w:ascii="仿宋_GB2312" w:hAnsi="仿宋_GB2312" w:eastAsia="仿宋_GB2312" w:cs="仿宋_GB2312"/>
          <w:lang w:val="en-US" w:eastAsia="zh-CN"/>
        </w:rPr>
        <w:t>248万元</w:t>
      </w:r>
      <w:r>
        <w:rPr>
          <w:rFonts w:hint="eastAsia" w:ascii="仿宋_GB2312" w:hAnsi="仿宋_GB2312" w:eastAsia="仿宋_GB2312" w:cs="仿宋_GB2312"/>
          <w:lang w:val="zh-CN"/>
        </w:rPr>
        <w:t>，该项目于</w:t>
      </w:r>
      <w:r>
        <w:rPr>
          <w:rFonts w:hint="eastAsia" w:ascii="仿宋_GB2312" w:hAnsi="仿宋_GB2312" w:eastAsia="仿宋_GB2312" w:cs="仿宋_GB2312"/>
          <w:lang w:val="en-US" w:eastAsia="zh-CN"/>
        </w:rPr>
        <w:t>2020年12月公开招标时财政预支192万元,剩余38.5万元,因疫情影响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乐山市高中校长及教育局主管领导研修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项目取消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.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项目财务管理情况。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为保障项目的顺利进行，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市政府</w:t>
      </w:r>
      <w:r>
        <w:rPr>
          <w:rFonts w:hint="eastAsia" w:ascii="仿宋_GB2312" w:hAnsi="宋体" w:eastAsia="仿宋_GB2312"/>
          <w:sz w:val="32"/>
          <w:szCs w:val="32"/>
        </w:rPr>
        <w:t>、教育局、教科所、乐山一中、基教分会五方成立一个项目组，市政府领导任组长，项目执行中的进度、要求、成果和存在的问题，及时进行沟通和分享。项目中各方设定明确的工作职责，市政府负责整个项目的审核、督办和资金保证；教育局负责统筹安排、监管和协调；教科所负责需求提供、项目组织、方案审核、绩效检查；乐山一中负责教师组织、学生组织、配合需求调研、共同执行；基教分会负责方案拟定、方案执行、完成项目绩效考核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仿宋_GB2312" w:hAnsi="宋体"/>
          <w:sz w:val="32"/>
          <w:szCs w:val="32"/>
          <w:lang w:val="zh-CN"/>
        </w:rPr>
        <w:t>该项目实施严格执行财务管理制度，三重一大讨论定发放方案，财务处理及时，会计核算与实际支出一致，资料齐全，规范。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乐山市优质基础教育项目资金</w:t>
      </w:r>
      <w:r>
        <w:rPr>
          <w:rFonts w:hint="eastAsia" w:ascii="仿宋_GB2312" w:hAnsi="宋体"/>
          <w:lang w:val="en-US" w:eastAsia="zh-CN"/>
        </w:rPr>
        <w:t>478.5万元,通过公开招标确定中标单位.</w:t>
      </w:r>
      <w:r>
        <w:rPr>
          <w:rFonts w:hint="eastAsia" w:ascii="仿宋_GB2312" w:hAnsi="宋体"/>
          <w:lang w:val="zh-CN"/>
        </w:rPr>
        <w:t>会计核算与实际支出一致，资料齐全，规范</w:t>
      </w:r>
      <w:r>
        <w:rPr>
          <w:rFonts w:hint="eastAsia" w:ascii="仿宋_GB2312" w:hAnsi="宋体"/>
          <w:lang w:val="en-US" w:eastAsia="zh-CN"/>
        </w:rPr>
        <w:t>.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该项目资金结余资金</w:t>
      </w:r>
      <w:r>
        <w:rPr>
          <w:rFonts w:hint="eastAsia" w:ascii="仿宋_GB2312" w:hAnsi="宋体"/>
          <w:lang w:val="en-US" w:eastAsia="zh-CN"/>
        </w:rPr>
        <w:t>230.5万元</w:t>
      </w:r>
      <w:r>
        <w:rPr>
          <w:rFonts w:hint="eastAsia" w:ascii="仿宋_GB2312" w:hAnsi="宋体"/>
          <w:lang w:val="zh-CN"/>
        </w:rPr>
        <w:t>，除因受疫情影响未开展的项目为</w:t>
      </w:r>
      <w:r>
        <w:rPr>
          <w:rFonts w:hint="eastAsia" w:ascii="仿宋_GB2312" w:hAnsi="宋体"/>
          <w:lang w:val="en-US" w:eastAsia="zh-CN"/>
        </w:rPr>
        <w:t>,其余项目</w:t>
      </w:r>
      <w:r>
        <w:rPr>
          <w:rFonts w:hint="eastAsia" w:ascii="仿宋_GB2312" w:hAnsi="宋体"/>
          <w:lang w:val="zh-CN"/>
        </w:rPr>
        <w:t>无违规，完全完成目标计划，评价时点任务量完成、质量标准100%、进度计划100%、成本控制目标的实现程度均100%。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/>
        </w:rPr>
        <w:t>投入与管理指标：预算资金到位率</w:t>
      </w:r>
      <w:r>
        <w:rPr>
          <w:rFonts w:hint="eastAsia" w:ascii="仿宋_GB2312" w:hAnsi="宋体"/>
          <w:sz w:val="32"/>
          <w:szCs w:val="32"/>
          <w:lang w:val="en-US" w:eastAsia="zh-CN"/>
        </w:rPr>
        <w:t>100%、预算执行率100%、预算编制合理、资金使用规范、财务监控有效、财务管理制度健全、项目质量可控、项目管理制度健全；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产出指标：考核项目16个、执行率100%；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效益指标：社会效益指标促进普通高中质量提升有效；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（4）满意度指标：社会满意度和教师满意度&gt;=90%。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无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相关建议</w:t>
      </w:r>
      <w:r>
        <w:rPr>
          <w:rFonts w:hint="eastAsia" w:ascii="楷体_GB2312" w:hAnsi="宋体" w:eastAsia="楷体_GB2312"/>
          <w:b/>
          <w:lang w:val="en-US" w:eastAsia="zh-CN"/>
        </w:rPr>
        <w:t>.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CED88D"/>
    <w:multiLevelType w:val="singleLevel"/>
    <w:tmpl w:val="DFCED88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B6FCD2A"/>
    <w:multiLevelType w:val="singleLevel"/>
    <w:tmpl w:val="FB6FCD2A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6FBFAFB7"/>
    <w:multiLevelType w:val="singleLevel"/>
    <w:tmpl w:val="6FBFAFB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984023"/>
    <w:rsid w:val="00B53A36"/>
    <w:rsid w:val="0EDB478C"/>
    <w:rsid w:val="1BDFC720"/>
    <w:rsid w:val="1C79B55C"/>
    <w:rsid w:val="291C455A"/>
    <w:rsid w:val="36926D0C"/>
    <w:rsid w:val="3E7F3B6A"/>
    <w:rsid w:val="3FFFB78F"/>
    <w:rsid w:val="4DAF2BCF"/>
    <w:rsid w:val="4DDB6F66"/>
    <w:rsid w:val="4DFEEC34"/>
    <w:rsid w:val="5114522F"/>
    <w:rsid w:val="5B3837EF"/>
    <w:rsid w:val="5C4DA69B"/>
    <w:rsid w:val="777D371C"/>
    <w:rsid w:val="77DAA88C"/>
    <w:rsid w:val="77FF282B"/>
    <w:rsid w:val="792F2AEE"/>
    <w:rsid w:val="7D4F2488"/>
    <w:rsid w:val="BFFE83F2"/>
    <w:rsid w:val="D7FDD76B"/>
    <w:rsid w:val="E75715D3"/>
    <w:rsid w:val="EFEEA6EF"/>
    <w:rsid w:val="FAFFB21F"/>
    <w:rsid w:val="FCC6C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spacing w:after="120" w:line="264" w:lineRule="auto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8">
    <w:name w:val="页眉 Char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113</TotalTime>
  <ScaleCrop>false</ScaleCrop>
  <LinksUpToDate>false</LinksUpToDate>
  <CharactersWithSpaces>886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2020-07-02T08:19:00Z</dcterms:created>
  <dc:creator>Administrator</dc:creator>
  <cp:lastModifiedBy>Administrator</cp:lastModifiedBy>
  <dcterms:modified xsi:type="dcterms:W3CDTF">2022-06-23T06:09:07Z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