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eastAsia="zh-CN"/>
        </w:rPr>
        <w:t>高中质量奖补</w:t>
      </w:r>
      <w:r>
        <w:rPr>
          <w:rFonts w:hint="eastAsia" w:ascii="方正小标宋简体" w:hAnsi="宋体" w:eastAsia="方正小标宋简体"/>
          <w:sz w:val="44"/>
          <w:szCs w:val="44"/>
        </w:rPr>
        <w:t>支出绩效自评报告</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ascii="仿宋_GB2312" w:hAnsi="宋体"/>
          <w:lang w:val="zh-CN"/>
        </w:rPr>
      </w:pPr>
      <w:r>
        <w:rPr>
          <w:rFonts w:hint="eastAsia" w:ascii="仿宋_GB2312" w:hAnsi="宋体"/>
          <w:lang w:val="zh-CN"/>
        </w:rPr>
        <w:t>介绍项目基本情况，重点说明以下内容：</w:t>
      </w:r>
    </w:p>
    <w:p>
      <w:pPr>
        <w:numPr>
          <w:ilvl w:val="0"/>
          <w:numId w:val="1"/>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项目资金申报及批复情况。</w:t>
      </w:r>
    </w:p>
    <w:p>
      <w:pPr>
        <w:adjustRightInd w:val="0"/>
        <w:snapToGrid w:val="0"/>
        <w:spacing w:line="560" w:lineRule="exact"/>
        <w:ind w:firstLine="720"/>
        <w:rPr>
          <w:rFonts w:hint="default" w:ascii="仿宋_GB2312" w:hAnsi="宋体"/>
          <w:sz w:val="28"/>
          <w:szCs w:val="28"/>
          <w:lang w:val="en-US" w:eastAsia="zh-CN"/>
        </w:rPr>
      </w:pPr>
      <w:r>
        <w:rPr>
          <w:rFonts w:hint="eastAsia" w:ascii="仿宋_GB2312" w:hAnsi="宋体"/>
          <w:sz w:val="28"/>
          <w:szCs w:val="28"/>
          <w:lang w:val="zh-CN"/>
        </w:rPr>
        <w:t>根据四川省人民政府办公厅关于印发《四川省贯彻落实</w:t>
      </w:r>
      <w:r>
        <w:rPr>
          <w:rFonts w:hint="eastAsia" w:ascii="仿宋_GB2312" w:hAnsi="宋体"/>
          <w:sz w:val="28"/>
          <w:szCs w:val="28"/>
          <w:lang w:val="en-US" w:eastAsia="zh-CN"/>
        </w:rPr>
        <w:t>&lt;国务院办公厅关于加快中西部教育发展的指导意见&gt;的实施方案</w:t>
      </w:r>
      <w:r>
        <w:rPr>
          <w:rFonts w:hint="eastAsia" w:ascii="仿宋_GB2312" w:hAnsi="宋体"/>
          <w:sz w:val="28"/>
          <w:szCs w:val="28"/>
          <w:lang w:val="zh-CN"/>
        </w:rPr>
        <w:t>》（川办发</w:t>
      </w:r>
      <w:r>
        <w:rPr>
          <w:rFonts w:hint="eastAsia" w:ascii="仿宋_GB2312" w:hAnsi="宋体"/>
          <w:sz w:val="28"/>
          <w:szCs w:val="28"/>
          <w:lang w:val="en-US" w:eastAsia="zh-CN"/>
        </w:rPr>
        <w:t>[2016]96号</w:t>
      </w:r>
      <w:r>
        <w:rPr>
          <w:rFonts w:hint="eastAsia" w:ascii="仿宋_GB2312" w:hAnsi="宋体"/>
          <w:sz w:val="28"/>
          <w:szCs w:val="28"/>
          <w:lang w:val="zh-CN"/>
        </w:rPr>
        <w:t>）精神，制定了乐山市普通高中教育质量综合评价办法，主要用于</w:t>
      </w:r>
      <w:r>
        <w:rPr>
          <w:rFonts w:hint="eastAsia" w:ascii="仿宋_GB2312" w:hAnsi="宋体"/>
          <w:sz w:val="28"/>
          <w:szCs w:val="28"/>
          <w:lang w:val="en-US" w:eastAsia="zh-CN"/>
        </w:rPr>
        <w:t>5所市直属普通高中及特殊教育学校中高考成绩绩效奖励。2021年乐山市第二中学共下达了高中质量奖补49万元，均为市级财政资金。</w:t>
      </w:r>
    </w:p>
    <w:p>
      <w:pPr>
        <w:adjustRightInd w:val="0"/>
        <w:snapToGrid w:val="0"/>
        <w:spacing w:line="560" w:lineRule="exact"/>
        <w:ind w:firstLine="720"/>
        <w:rPr>
          <w:rFonts w:ascii="仿宋_GB2312" w:hAnsi="宋体"/>
          <w:sz w:val="28"/>
          <w:szCs w:val="28"/>
          <w:lang w:val="zh-CN"/>
        </w:rPr>
      </w:pPr>
      <w:r>
        <w:rPr>
          <w:rFonts w:hint="eastAsia" w:ascii="楷体_GB2312" w:hAnsi="宋体" w:eastAsia="楷体_GB2312"/>
          <w:b/>
          <w:lang w:val="zh-CN"/>
        </w:rPr>
        <w:t>（二）项目绩效目标。</w:t>
      </w:r>
    </w:p>
    <w:p>
      <w:pPr>
        <w:adjustRightInd w:val="0"/>
        <w:snapToGrid w:val="0"/>
        <w:spacing w:line="560" w:lineRule="exact"/>
        <w:ind w:firstLine="720"/>
        <w:rPr>
          <w:rFonts w:hint="eastAsia" w:ascii="仿宋_GB2312" w:hAnsi="宋体"/>
          <w:sz w:val="28"/>
          <w:szCs w:val="28"/>
          <w:lang w:val="zh-CN"/>
        </w:rPr>
      </w:pPr>
      <w:r>
        <w:rPr>
          <w:rFonts w:hint="eastAsia" w:ascii="仿宋_GB2312" w:hAnsi="宋体"/>
          <w:sz w:val="28"/>
          <w:szCs w:val="28"/>
          <w:lang w:val="zh-CN"/>
        </w:rPr>
        <w:t>项目为高中质量奖补，本着全面贯彻党的教育方针、全面推进素质教育、全面提高教育质量的宗旨，项目覆盖教师</w:t>
      </w:r>
      <w:r>
        <w:rPr>
          <w:rFonts w:hint="eastAsia" w:ascii="仿宋_GB2312" w:hAnsi="宋体"/>
          <w:sz w:val="28"/>
          <w:szCs w:val="28"/>
          <w:lang w:val="en-US" w:eastAsia="zh-CN"/>
        </w:rPr>
        <w:t>73</w:t>
      </w:r>
      <w:r>
        <w:rPr>
          <w:rFonts w:hint="eastAsia" w:ascii="仿宋_GB2312" w:hAnsi="宋体"/>
          <w:sz w:val="28"/>
          <w:szCs w:val="28"/>
          <w:lang w:val="zh-CN"/>
        </w:rPr>
        <w:t>人，资金使用</w:t>
      </w:r>
      <w:r>
        <w:rPr>
          <w:rFonts w:hint="eastAsia" w:ascii="仿宋_GB2312" w:hAnsi="宋体"/>
          <w:sz w:val="28"/>
          <w:szCs w:val="28"/>
          <w:lang w:val="en-US" w:eastAsia="zh-CN"/>
        </w:rPr>
        <w:t>49</w:t>
      </w:r>
      <w:r>
        <w:rPr>
          <w:rFonts w:hint="eastAsia" w:ascii="仿宋_GB2312" w:hAnsi="宋体"/>
          <w:sz w:val="28"/>
          <w:szCs w:val="28"/>
          <w:lang w:val="zh-CN"/>
        </w:rPr>
        <w:t>万元，激励和引导学校规范办学行为，重视关注学生变化趋势，切实提高教育质量，促进普通高中教育持续健康发展。</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仿宋_GB2312" w:hAnsi="宋体"/>
          <w:sz w:val="28"/>
          <w:szCs w:val="28"/>
          <w:lang w:val="zh-CN"/>
        </w:rPr>
      </w:pPr>
      <w:r>
        <w:rPr>
          <w:rFonts w:hint="eastAsia" w:ascii="仿宋_GB2312" w:hAnsi="宋体"/>
          <w:sz w:val="28"/>
          <w:szCs w:val="28"/>
          <w:lang w:val="zh-CN"/>
        </w:rPr>
        <w:t>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adjustRightInd w:val="0"/>
        <w:snapToGrid w:val="0"/>
        <w:spacing w:line="560" w:lineRule="exact"/>
        <w:ind w:firstLine="720"/>
        <w:rPr>
          <w:rFonts w:hint="eastAsia" w:ascii="仿宋_GB2312" w:hAnsi="宋体"/>
          <w:sz w:val="28"/>
          <w:szCs w:val="28"/>
          <w:lang w:val="zh-CN"/>
        </w:rPr>
      </w:pPr>
      <w:r>
        <w:rPr>
          <w:rFonts w:hint="eastAsia" w:ascii="仿宋_GB2312" w:hAnsi="宋体"/>
          <w:sz w:val="28"/>
          <w:szCs w:val="28"/>
          <w:lang w:val="zh-CN"/>
        </w:rPr>
        <w:t>该项目包括市级财政资金</w:t>
      </w:r>
      <w:r>
        <w:rPr>
          <w:rFonts w:hint="eastAsia" w:ascii="仿宋_GB2312" w:hAnsi="宋体"/>
          <w:sz w:val="28"/>
          <w:szCs w:val="28"/>
          <w:lang w:val="en-US" w:eastAsia="zh-CN"/>
        </w:rPr>
        <w:t>49</w:t>
      </w:r>
      <w:r>
        <w:rPr>
          <w:rFonts w:hint="eastAsia" w:ascii="仿宋_GB2312" w:hAnsi="宋体"/>
          <w:sz w:val="28"/>
          <w:szCs w:val="28"/>
          <w:lang w:val="zh-CN"/>
        </w:rPr>
        <w:t>万元，截止2021年12月31日到位</w:t>
      </w:r>
      <w:r>
        <w:rPr>
          <w:rFonts w:hint="eastAsia" w:ascii="仿宋_GB2312" w:hAnsi="宋体"/>
          <w:sz w:val="28"/>
          <w:szCs w:val="28"/>
          <w:lang w:val="en-US" w:eastAsia="zh-CN"/>
        </w:rPr>
        <w:t>49</w:t>
      </w:r>
      <w:r>
        <w:rPr>
          <w:rFonts w:hint="eastAsia" w:ascii="仿宋_GB2312" w:hAnsi="宋体"/>
          <w:sz w:val="28"/>
          <w:szCs w:val="28"/>
          <w:lang w:val="zh-CN"/>
        </w:rPr>
        <w:t>万元，资金到位及时，到位率</w:t>
      </w:r>
      <w:r>
        <w:rPr>
          <w:rFonts w:hint="eastAsia" w:ascii="仿宋_GB2312" w:hAnsi="宋体"/>
          <w:sz w:val="28"/>
          <w:szCs w:val="28"/>
          <w:lang w:val="en-US" w:eastAsia="zh-CN"/>
        </w:rPr>
        <w:t>100</w:t>
      </w:r>
      <w:r>
        <w:rPr>
          <w:rFonts w:hint="eastAsia" w:ascii="仿宋_GB2312" w:hAnsi="宋体"/>
          <w:sz w:val="28"/>
          <w:szCs w:val="28"/>
          <w:lang w:val="zh-CN"/>
        </w:rPr>
        <w:t>%。未到位资金</w:t>
      </w:r>
      <w:r>
        <w:rPr>
          <w:rFonts w:hint="eastAsia" w:ascii="仿宋_GB2312" w:hAnsi="宋体"/>
          <w:sz w:val="28"/>
          <w:szCs w:val="28"/>
          <w:lang w:val="en-US" w:eastAsia="zh-CN"/>
        </w:rPr>
        <w:t>0</w:t>
      </w:r>
      <w:r>
        <w:rPr>
          <w:rFonts w:hint="eastAsia" w:ascii="仿宋_GB2312" w:hAnsi="宋体"/>
          <w:sz w:val="28"/>
          <w:szCs w:val="28"/>
          <w:lang w:val="zh-CN"/>
        </w:rPr>
        <w:t>万元。</w:t>
      </w:r>
    </w:p>
    <w:p>
      <w:pPr>
        <w:numPr>
          <w:ilvl w:val="0"/>
          <w:numId w:val="2"/>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adjustRightInd w:val="0"/>
        <w:snapToGrid w:val="0"/>
        <w:spacing w:line="560" w:lineRule="exact"/>
        <w:ind w:firstLine="720"/>
        <w:rPr>
          <w:rFonts w:hint="eastAsia" w:ascii="仿宋_GB2312" w:hAnsi="宋体"/>
          <w:sz w:val="28"/>
          <w:szCs w:val="28"/>
          <w:lang w:val="zh-CN"/>
        </w:rPr>
      </w:pPr>
      <w:r>
        <w:rPr>
          <w:rFonts w:hint="eastAsia" w:ascii="仿宋_GB2312" w:hAnsi="宋体"/>
          <w:sz w:val="28"/>
          <w:szCs w:val="28"/>
          <w:lang w:val="zh-CN"/>
        </w:rPr>
        <w:t>该项目截止2021年12月31日实际支出</w:t>
      </w:r>
      <w:r>
        <w:rPr>
          <w:rFonts w:hint="eastAsia" w:ascii="仿宋_GB2312" w:hAnsi="宋体"/>
          <w:sz w:val="28"/>
          <w:szCs w:val="28"/>
          <w:lang w:val="en-US" w:eastAsia="zh-CN"/>
        </w:rPr>
        <w:t>49</w:t>
      </w:r>
      <w:r>
        <w:rPr>
          <w:rFonts w:hint="eastAsia" w:ascii="仿宋_GB2312" w:hAnsi="宋体"/>
          <w:sz w:val="28"/>
          <w:szCs w:val="28"/>
          <w:lang w:val="zh-CN"/>
        </w:rPr>
        <w:t>万元，资金用于高三教师高中教育质量完成情况的绩效奖励，支付进度为</w:t>
      </w:r>
      <w:r>
        <w:rPr>
          <w:rFonts w:hint="eastAsia" w:ascii="仿宋_GB2312" w:hAnsi="宋体"/>
          <w:sz w:val="28"/>
          <w:szCs w:val="28"/>
          <w:lang w:val="en-US" w:eastAsia="zh-CN"/>
        </w:rPr>
        <w:t>100</w:t>
      </w:r>
      <w:r>
        <w:rPr>
          <w:rFonts w:hint="eastAsia" w:ascii="仿宋_GB2312" w:hAnsi="宋体"/>
          <w:sz w:val="28"/>
          <w:szCs w:val="28"/>
          <w:lang w:val="zh-CN"/>
        </w:rPr>
        <w:t>%。各项费用根据评价教育质量目标任务完成情况分配金额，与预算相符，合规合法。</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hint="eastAsia" w:ascii="仿宋_GB2312" w:hAnsi="宋体"/>
          <w:sz w:val="28"/>
          <w:szCs w:val="28"/>
          <w:lang w:val="zh-CN"/>
        </w:rPr>
      </w:pPr>
      <w:r>
        <w:rPr>
          <w:rFonts w:hint="eastAsia" w:ascii="仿宋_GB2312" w:hAnsi="宋体"/>
          <w:sz w:val="28"/>
          <w:szCs w:val="28"/>
          <w:lang w:val="zh-CN"/>
        </w:rPr>
        <w:t>项目根据《乐山市第二中学高考质量奖分配方案》进行绩效考核，管理机构由校领导、总务科和教务科共同组成。分配方案对高中教育质量的实际完成情况对高三教师、管理和后勤人员进行绩效考核。对照项目资金管理办法，评价项目严格执行财务管理支付，财务处理及时，会计核算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仿宋_GB2312" w:hAnsi="宋体"/>
          <w:sz w:val="28"/>
          <w:szCs w:val="28"/>
          <w:lang w:val="zh-CN"/>
        </w:rPr>
      </w:pPr>
      <w:r>
        <w:rPr>
          <w:rFonts w:hint="eastAsia" w:ascii="仿宋_GB2312" w:hAnsi="宋体"/>
          <w:sz w:val="28"/>
          <w:szCs w:val="28"/>
          <w:lang w:val="zh-CN"/>
        </w:rPr>
        <w:t>该项目具体通过教务科组织人员根据高中教育质量的实际完成情况对高三教师、管理和后勤人员进行绩效考核，按照考核结果分配项目金额，由总务科和校领导共同监督实施，严格按照乐山市第二中学制定的资金收支制度和内控制度执行资金支付的流程。</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ascii="仿宋_GB2312" w:hAnsi="宋体"/>
          <w:sz w:val="28"/>
          <w:szCs w:val="28"/>
          <w:lang w:val="zh-CN"/>
        </w:rPr>
      </w:pPr>
      <w:r>
        <w:rPr>
          <w:rFonts w:hint="eastAsia" w:ascii="仿宋_GB2312" w:hAnsi="宋体"/>
          <w:sz w:val="28"/>
          <w:szCs w:val="28"/>
          <w:lang w:val="zh-CN"/>
        </w:rPr>
        <w:t>该项目完成受益学校1所，资金使用率</w:t>
      </w:r>
      <w:r>
        <w:rPr>
          <w:rFonts w:hint="eastAsia" w:ascii="仿宋_GB2312" w:hAnsi="宋体"/>
          <w:sz w:val="28"/>
          <w:szCs w:val="28"/>
          <w:lang w:val="en-US" w:eastAsia="zh-CN"/>
        </w:rPr>
        <w:t>100</w:t>
      </w:r>
      <w:r>
        <w:rPr>
          <w:rFonts w:hint="eastAsia" w:ascii="仿宋_GB2312" w:hAnsi="宋体"/>
          <w:sz w:val="28"/>
          <w:szCs w:val="28"/>
          <w:lang w:val="zh-CN"/>
        </w:rPr>
        <w:t>%，工作完成率100%，补助资金覆盖率100%，资金到位及时率</w:t>
      </w:r>
      <w:r>
        <w:rPr>
          <w:rFonts w:hint="eastAsia" w:ascii="仿宋_GB2312" w:hAnsi="宋体"/>
          <w:sz w:val="28"/>
          <w:szCs w:val="28"/>
          <w:lang w:val="en-US" w:eastAsia="zh-CN"/>
        </w:rPr>
        <w:t>100</w:t>
      </w:r>
      <w:r>
        <w:rPr>
          <w:rFonts w:hint="eastAsia" w:ascii="仿宋_GB2312" w:hAnsi="宋体"/>
          <w:sz w:val="28"/>
          <w:szCs w:val="28"/>
          <w:lang w:val="zh-CN"/>
        </w:rPr>
        <w:t>%。免学费奖励对象符合奖励标准，评审标准及时完成，奖励标准执行率</w:t>
      </w:r>
      <w:r>
        <w:rPr>
          <w:rFonts w:hint="eastAsia" w:ascii="仿宋_GB2312" w:hAnsi="宋体"/>
          <w:sz w:val="28"/>
          <w:szCs w:val="28"/>
          <w:lang w:val="en-US" w:eastAsia="zh-CN"/>
        </w:rPr>
        <w:t>100%。</w:t>
      </w:r>
      <w:r>
        <w:rPr>
          <w:rFonts w:hint="eastAsia" w:ascii="仿宋_GB2312" w:hAnsi="宋体"/>
          <w:sz w:val="28"/>
          <w:szCs w:val="28"/>
          <w:lang w:val="zh-CN"/>
        </w:rPr>
        <w:t>截止2021年12月31日项目结余资金</w:t>
      </w:r>
      <w:r>
        <w:rPr>
          <w:rFonts w:hint="eastAsia" w:ascii="仿宋_GB2312" w:hAnsi="宋体"/>
          <w:sz w:val="28"/>
          <w:szCs w:val="28"/>
          <w:lang w:val="en-US" w:eastAsia="zh-CN"/>
        </w:rPr>
        <w:t>0</w:t>
      </w:r>
      <w:r>
        <w:rPr>
          <w:rFonts w:hint="eastAsia" w:ascii="仿宋_GB2312" w:hAnsi="宋体"/>
          <w:sz w:val="28"/>
          <w:szCs w:val="28"/>
          <w:lang w:val="zh-CN"/>
        </w:rPr>
        <w:t>万元，项目已完成。</w:t>
      </w:r>
    </w:p>
    <w:p>
      <w:pPr>
        <w:numPr>
          <w:ilvl w:val="0"/>
          <w:numId w:val="1"/>
        </w:numPr>
        <w:adjustRightInd w:val="0"/>
        <w:snapToGrid w:val="0"/>
        <w:spacing w:line="560" w:lineRule="exact"/>
        <w:ind w:left="0" w:leftChars="0" w:firstLine="643" w:firstLineChars="200"/>
        <w:rPr>
          <w:rFonts w:hint="eastAsia" w:ascii="楷体_GB2312" w:hAnsi="宋体" w:eastAsia="楷体_GB2312"/>
          <w:b/>
          <w:lang w:val="zh-CN"/>
        </w:rPr>
      </w:pPr>
      <w:r>
        <w:rPr>
          <w:rFonts w:hint="eastAsia" w:ascii="楷体_GB2312" w:hAnsi="宋体" w:eastAsia="楷体_GB2312"/>
          <w:b/>
          <w:lang w:val="zh-CN"/>
        </w:rPr>
        <w:t>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仿宋_GB2312" w:hAnsi="宋体"/>
          <w:sz w:val="28"/>
          <w:szCs w:val="28"/>
          <w:lang w:val="zh-CN"/>
        </w:rPr>
      </w:pPr>
      <w:r>
        <w:rPr>
          <w:rFonts w:hint="eastAsia" w:ascii="仿宋_GB2312" w:hAnsi="宋体"/>
          <w:sz w:val="28"/>
          <w:szCs w:val="28"/>
          <w:lang w:val="zh-CN"/>
        </w:rPr>
        <w:t>通过项目的促进本科上线人数和上线率稳步提升，促进普通高中教学质量整体提升，学校办学效益不断显现。截止2021年12月31日，学生、教师和家长对该项目的满意度都达到95%以上，有利于普通高中可持续发展的目标，切实提高了办学效益，促进我校普通高中教育持续健康发展。</w:t>
      </w:r>
    </w:p>
    <w:p>
      <w:pPr>
        <w:adjustRightInd w:val="0"/>
        <w:snapToGrid w:val="0"/>
        <w:spacing w:line="560" w:lineRule="exact"/>
        <w:ind w:firstLine="720"/>
        <w:rPr>
          <w:rFonts w:hint="eastAsia"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numPr>
          <w:numId w:val="0"/>
        </w:numPr>
        <w:adjustRightInd w:val="0"/>
        <w:snapToGrid w:val="0"/>
        <w:spacing w:line="560" w:lineRule="exact"/>
        <w:ind w:firstLine="560" w:firstLineChars="200"/>
        <w:rPr>
          <w:rFonts w:hint="eastAsia" w:ascii="楷体_GB2312" w:hAnsi="宋体" w:eastAsia="楷体_GB2312"/>
          <w:b/>
          <w:lang w:val="zh-CN"/>
        </w:rPr>
      </w:pPr>
      <w:r>
        <w:rPr>
          <w:rFonts w:hint="eastAsia" w:ascii="仿宋_GB2312" w:hAnsi="宋体"/>
          <w:sz w:val="28"/>
          <w:szCs w:val="28"/>
          <w:lang w:val="zh-CN"/>
        </w:rPr>
        <w:t>无。</w:t>
      </w:r>
      <w:bookmarkStart w:id="0" w:name="_GoBack"/>
      <w:bookmarkEnd w:id="0"/>
    </w:p>
    <w:p>
      <w:pPr>
        <w:numPr>
          <w:ilvl w:val="0"/>
          <w:numId w:val="3"/>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相关建议。</w:t>
      </w:r>
    </w:p>
    <w:p>
      <w:pPr>
        <w:adjustRightInd w:val="0"/>
        <w:snapToGrid w:val="0"/>
        <w:spacing w:line="560" w:lineRule="exact"/>
        <w:ind w:firstLine="560" w:firstLineChars="200"/>
        <w:rPr>
          <w:rFonts w:hint="eastAsia" w:ascii="仿宋_GB2312" w:hAnsi="宋体"/>
          <w:sz w:val="28"/>
          <w:szCs w:val="28"/>
          <w:lang w:val="zh-CN"/>
        </w:rPr>
      </w:pPr>
      <w:r>
        <w:rPr>
          <w:rFonts w:hint="eastAsia" w:ascii="仿宋_GB2312" w:hAnsi="宋体"/>
          <w:sz w:val="28"/>
          <w:szCs w:val="28"/>
          <w:lang w:val="zh-CN"/>
        </w:rPr>
        <w:t>加大资金支持力度。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5F0328"/>
    <w:multiLevelType w:val="singleLevel"/>
    <w:tmpl w:val="985F0328"/>
    <w:lvl w:ilvl="0" w:tentative="0">
      <w:start w:val="1"/>
      <w:numFmt w:val="chineseCounting"/>
      <w:suff w:val="nothing"/>
      <w:lvlText w:val="（%1）"/>
      <w:lvlJc w:val="left"/>
      <w:rPr>
        <w:rFonts w:hint="eastAsia"/>
      </w:rPr>
    </w:lvl>
  </w:abstractNum>
  <w:abstractNum w:abstractNumId="1">
    <w:nsid w:val="D1656199"/>
    <w:multiLevelType w:val="singleLevel"/>
    <w:tmpl w:val="D1656199"/>
    <w:lvl w:ilvl="0" w:tentative="0">
      <w:start w:val="2"/>
      <w:numFmt w:val="chineseCounting"/>
      <w:suff w:val="nothing"/>
      <w:lvlText w:val="（%1）"/>
      <w:lvlJc w:val="left"/>
      <w:rPr>
        <w:rFonts w:hint="eastAsia"/>
      </w:rPr>
    </w:lvl>
  </w:abstractNum>
  <w:abstractNum w:abstractNumId="2">
    <w:nsid w:val="518E36D0"/>
    <w:multiLevelType w:val="singleLevel"/>
    <w:tmpl w:val="518E36D0"/>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11C6DBF"/>
    <w:rsid w:val="032066B6"/>
    <w:rsid w:val="037669A0"/>
    <w:rsid w:val="05E062A9"/>
    <w:rsid w:val="07F40A07"/>
    <w:rsid w:val="09E67A84"/>
    <w:rsid w:val="0A0B3FBE"/>
    <w:rsid w:val="0A890801"/>
    <w:rsid w:val="0E831DF8"/>
    <w:rsid w:val="0EDB478C"/>
    <w:rsid w:val="104F65C1"/>
    <w:rsid w:val="11C053AC"/>
    <w:rsid w:val="12422889"/>
    <w:rsid w:val="1285542E"/>
    <w:rsid w:val="13042150"/>
    <w:rsid w:val="138F6A33"/>
    <w:rsid w:val="13FE0616"/>
    <w:rsid w:val="15AC7EB9"/>
    <w:rsid w:val="16993DDF"/>
    <w:rsid w:val="18872177"/>
    <w:rsid w:val="18D13D5E"/>
    <w:rsid w:val="1A3E4E63"/>
    <w:rsid w:val="1A674521"/>
    <w:rsid w:val="1AD2745D"/>
    <w:rsid w:val="1E306F8B"/>
    <w:rsid w:val="1E9B0F64"/>
    <w:rsid w:val="1F01218C"/>
    <w:rsid w:val="208D12FC"/>
    <w:rsid w:val="211E241F"/>
    <w:rsid w:val="213A7ED5"/>
    <w:rsid w:val="23546597"/>
    <w:rsid w:val="23AE3EDE"/>
    <w:rsid w:val="24CF3DD7"/>
    <w:rsid w:val="260B74D1"/>
    <w:rsid w:val="271F6FD7"/>
    <w:rsid w:val="27372EB2"/>
    <w:rsid w:val="291C455A"/>
    <w:rsid w:val="299B18A9"/>
    <w:rsid w:val="2A7A79C0"/>
    <w:rsid w:val="2B2A65B1"/>
    <w:rsid w:val="2B2D5373"/>
    <w:rsid w:val="2B4C77F3"/>
    <w:rsid w:val="2E067214"/>
    <w:rsid w:val="2FA66E94"/>
    <w:rsid w:val="30147EE0"/>
    <w:rsid w:val="30777C22"/>
    <w:rsid w:val="3101366B"/>
    <w:rsid w:val="31AA1DC4"/>
    <w:rsid w:val="31F94548"/>
    <w:rsid w:val="32C338F5"/>
    <w:rsid w:val="344F4358"/>
    <w:rsid w:val="355D1C24"/>
    <w:rsid w:val="36271495"/>
    <w:rsid w:val="36926D0C"/>
    <w:rsid w:val="369D0A85"/>
    <w:rsid w:val="38BF2B49"/>
    <w:rsid w:val="3B4A68FF"/>
    <w:rsid w:val="3E0C743E"/>
    <w:rsid w:val="3EE904EA"/>
    <w:rsid w:val="3FEC5D91"/>
    <w:rsid w:val="42052EAD"/>
    <w:rsid w:val="425E556B"/>
    <w:rsid w:val="44375DDD"/>
    <w:rsid w:val="44AA7E52"/>
    <w:rsid w:val="45635DB8"/>
    <w:rsid w:val="46CE3406"/>
    <w:rsid w:val="48F648AD"/>
    <w:rsid w:val="49070F1F"/>
    <w:rsid w:val="4A702104"/>
    <w:rsid w:val="4B0953C9"/>
    <w:rsid w:val="4C8B1274"/>
    <w:rsid w:val="4DAF2BCF"/>
    <w:rsid w:val="4DDB6F66"/>
    <w:rsid w:val="4E696E97"/>
    <w:rsid w:val="4F090D6E"/>
    <w:rsid w:val="50E42151"/>
    <w:rsid w:val="51F2438F"/>
    <w:rsid w:val="51F8369F"/>
    <w:rsid w:val="521B58FA"/>
    <w:rsid w:val="524F37F4"/>
    <w:rsid w:val="54C40235"/>
    <w:rsid w:val="55F579C3"/>
    <w:rsid w:val="562C6649"/>
    <w:rsid w:val="56C224E8"/>
    <w:rsid w:val="586F41C4"/>
    <w:rsid w:val="58841C00"/>
    <w:rsid w:val="58BF2FE0"/>
    <w:rsid w:val="595B7C8E"/>
    <w:rsid w:val="5C4E7C31"/>
    <w:rsid w:val="62794CDC"/>
    <w:rsid w:val="62831719"/>
    <w:rsid w:val="670012EB"/>
    <w:rsid w:val="673F596B"/>
    <w:rsid w:val="6A8B270B"/>
    <w:rsid w:val="6B095861"/>
    <w:rsid w:val="6B423313"/>
    <w:rsid w:val="6C7A0554"/>
    <w:rsid w:val="6E0C045B"/>
    <w:rsid w:val="71D62B0E"/>
    <w:rsid w:val="73C17032"/>
    <w:rsid w:val="74730055"/>
    <w:rsid w:val="768E0AC2"/>
    <w:rsid w:val="77181C3E"/>
    <w:rsid w:val="792F2AEE"/>
    <w:rsid w:val="79ED0A2B"/>
    <w:rsid w:val="7A781F04"/>
    <w:rsid w:val="7AD63D91"/>
    <w:rsid w:val="7B2A1BE6"/>
    <w:rsid w:val="7CB547A6"/>
    <w:rsid w:val="7CE14FF3"/>
    <w:rsid w:val="7CE5477D"/>
    <w:rsid w:val="7CED4CE8"/>
    <w:rsid w:val="7D546180"/>
    <w:rsid w:val="7F2F172C"/>
    <w:rsid w:val="7FA86659"/>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13</TotalTime>
  <ScaleCrop>false</ScaleCrop>
  <LinksUpToDate>false</LinksUpToDate>
  <CharactersWithSpaces>886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2022-06-15T07:41:21Z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067D7EDF32BA4A608DEEC8EFA9D331C3</vt:lpwstr>
  </property>
</Properties>
</file>