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普通高中免学费市级资金预算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/>
        </w:rPr>
        <w:t>项目单位未单独申报、大平台于</w:t>
      </w:r>
      <w:r>
        <w:rPr>
          <w:rFonts w:hint="eastAsia" w:ascii="仿宋_GB2312" w:hAnsi="宋体"/>
          <w:lang w:val="en-US" w:eastAsia="zh-CN"/>
        </w:rPr>
        <w:t>2021年12月31日下达指标</w:t>
      </w:r>
      <w:r>
        <w:rPr>
          <w:rFonts w:hint="eastAsia" w:ascii="仿宋_GB2312" w:hAnsi="宋体"/>
          <w:lang w:val="zh-CN"/>
        </w:rPr>
        <w:t>，符合资金管理办法等相关规定。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/>
          <w:lang w:val="zh-CN"/>
        </w:rPr>
        <w:t>项目主要内容是对市本级三所普通高中在校建档立卡、低保、特困救助、残疾等家庭经济困难特殊学生群体免除学费，平均30%贫困面测算。省级示范高中示范标准680元/生、年。计划实现的具体绩效目标（</w:t>
      </w:r>
      <w:r>
        <w:rPr>
          <w:rFonts w:hint="eastAsia" w:ascii="仿宋_GB2312" w:hAnsi="宋体"/>
          <w:lang w:val="en-US" w:eastAsia="zh-CN"/>
        </w:rPr>
        <w:t>1</w:t>
      </w:r>
      <w:r>
        <w:rPr>
          <w:rFonts w:hint="eastAsia" w:ascii="仿宋_GB2312" w:hAnsi="宋体"/>
          <w:lang w:val="zh-CN"/>
        </w:rPr>
        <w:t>）投入与管理指标：预算编制合理、预算执行率</w:t>
      </w:r>
      <w:r>
        <w:rPr>
          <w:rFonts w:hint="eastAsia" w:ascii="仿宋_GB2312" w:hAnsi="宋体"/>
          <w:lang w:val="en-US" w:eastAsia="zh-CN"/>
        </w:rPr>
        <w:t>100%、预算资金到位率100%、财务管理制度健全、财务监控有效、资金使用规范、项目管理制度健全、信息公开实现率100%、资格审核(含复审)规范；（2）产出指标：普通高中免学费310人、建档立卡学生减免率100%、免学费平均减免率&gt;=30%、资助学生资格审查率100%、资金按期发放、普通高中免学费省级标准680元/生、年；（3）效益指标：减少贫困家庭学生负担，确保顺利入学100%、各类资助政策知晓率&gt;=95%、缓解家庭经济困难学生入学压力&gt;=95%、对社会经济发展可持续影响&gt;=95%；（4）满意度指标：受助学生家长满意度&gt;=95%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该项目资金计划及截止评价时点已到位。资金到位率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截止评价时点项目资金未支出，原因是该项目于</w:t>
      </w:r>
      <w:r>
        <w:rPr>
          <w:rFonts w:hint="eastAsia" w:ascii="仿宋_GB2312" w:hAnsi="宋体"/>
          <w:lang w:val="en-US" w:eastAsia="zh-CN"/>
        </w:rPr>
        <w:t>2021年12月31日下达单位无法使用。</w:t>
      </w:r>
      <w:r>
        <w:rPr>
          <w:rFonts w:hint="eastAsia" w:ascii="仿宋_GB2312" w:hAnsi="宋体"/>
          <w:lang w:val="zh-CN"/>
        </w:rPr>
        <w:t>资金开支范围为公用经费、按学校减免学生学费情况返还。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项目财务管理制度根据单位内控制度建立、免学费由学校政教处管理、由于该项目未使用财政将作为应返还额度于</w:t>
      </w:r>
      <w:r>
        <w:rPr>
          <w:rFonts w:hint="eastAsia" w:ascii="仿宋_GB2312" w:hAnsi="宋体"/>
          <w:lang w:val="en-US" w:eastAsia="zh-CN"/>
        </w:rPr>
        <w:t>2022年返还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免学费由政教处负责组织实施评价，其他科室负责监督。</w:t>
      </w: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1）数量指标：普通高中免学费310人；（2）质量指标：建档立卡学生减免率100%、免学费平均减免率&gt;=30%、资助学生资格审查率100%；（3）时效指标：资金按期发放；（4）成本指标：普通高中免学费省级标准680元/生、年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（</w:t>
      </w:r>
      <w:r>
        <w:rPr>
          <w:rFonts w:hint="eastAsia" w:ascii="仿宋_GB2312" w:hAnsi="宋体"/>
          <w:lang w:val="en-US" w:eastAsia="zh-CN"/>
        </w:rPr>
        <w:t>1</w:t>
      </w:r>
      <w:r>
        <w:rPr>
          <w:rFonts w:hint="eastAsia" w:ascii="仿宋_GB2312" w:hAnsi="宋体"/>
          <w:lang w:val="zh-CN" w:eastAsia="zh-CN"/>
        </w:rPr>
        <w:t>）社会效益指标：</w:t>
      </w:r>
      <w:r>
        <w:rPr>
          <w:rFonts w:hint="eastAsia" w:ascii="仿宋_GB2312" w:hAnsi="宋体"/>
          <w:lang w:val="en-US" w:eastAsia="zh-CN"/>
        </w:rPr>
        <w:t>减少贫困家庭学生负担，确保顺利入学100%、各类资助政策知晓率&gt;=95%、缓解家庭经济困难学生入学压力&gt;=95%；（2）可持续影响指标：对社会经济发展可持续影响&gt;=95%；（3）满意度指标：受助学生家长满意度&gt;=95%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 w:eastAsia="zh-CN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资金到位时效性影响了资金支出。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numPr>
          <w:numId w:val="0"/>
        </w:numPr>
        <w:adjustRightInd w:val="0"/>
        <w:snapToGrid w:val="0"/>
        <w:spacing w:line="560" w:lineRule="exact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</w:t>
      </w:r>
      <w:r>
        <w:rPr>
          <w:rFonts w:hint="eastAsia" w:ascii="仿宋_GB2312" w:hAnsi="宋体"/>
          <w:lang w:val="en-US" w:eastAsia="zh-CN"/>
        </w:rPr>
        <w:t>提高资金到位及时性。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377834"/>
    <w:multiLevelType w:val="singleLevel"/>
    <w:tmpl w:val="5137783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17023AE"/>
    <w:rsid w:val="03455AE3"/>
    <w:rsid w:val="078D487D"/>
    <w:rsid w:val="087A1794"/>
    <w:rsid w:val="0E5914E6"/>
    <w:rsid w:val="0EDB478C"/>
    <w:rsid w:val="0F1F1FE7"/>
    <w:rsid w:val="0F4750C4"/>
    <w:rsid w:val="10E820E0"/>
    <w:rsid w:val="128072E8"/>
    <w:rsid w:val="1299783E"/>
    <w:rsid w:val="168E494E"/>
    <w:rsid w:val="17E26725"/>
    <w:rsid w:val="1C342234"/>
    <w:rsid w:val="1DB77130"/>
    <w:rsid w:val="256C7CA5"/>
    <w:rsid w:val="291C455A"/>
    <w:rsid w:val="2B1115E9"/>
    <w:rsid w:val="2D0F6E29"/>
    <w:rsid w:val="2DDE5681"/>
    <w:rsid w:val="2FFB7875"/>
    <w:rsid w:val="30320695"/>
    <w:rsid w:val="312149FC"/>
    <w:rsid w:val="35AC3D2B"/>
    <w:rsid w:val="36926D0C"/>
    <w:rsid w:val="3A7727DF"/>
    <w:rsid w:val="3FAE0037"/>
    <w:rsid w:val="47866965"/>
    <w:rsid w:val="48365F30"/>
    <w:rsid w:val="49587094"/>
    <w:rsid w:val="4DAF2BCF"/>
    <w:rsid w:val="4DDB6F66"/>
    <w:rsid w:val="50F3395B"/>
    <w:rsid w:val="553D349A"/>
    <w:rsid w:val="5E106CC7"/>
    <w:rsid w:val="5F762517"/>
    <w:rsid w:val="64CF486E"/>
    <w:rsid w:val="67562860"/>
    <w:rsid w:val="67CD5925"/>
    <w:rsid w:val="6C2760C5"/>
    <w:rsid w:val="6EC95E14"/>
    <w:rsid w:val="72E87E79"/>
    <w:rsid w:val="73D137B4"/>
    <w:rsid w:val="74951058"/>
    <w:rsid w:val="76621DB1"/>
    <w:rsid w:val="778B2CAD"/>
    <w:rsid w:val="792F2AEE"/>
    <w:rsid w:val="7AE04C06"/>
    <w:rsid w:val="7EEE675F"/>
    <w:rsid w:val="7FAB6F66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2</TotalTime>
  <ScaleCrop>false</ScaleCrop>
  <LinksUpToDate>false</LinksUpToDate>
  <CharactersWithSpaces>886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2022-06-15T01:21:11Z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0F3FD458C7514B5997A124719BE52C8B</vt:lpwstr>
  </property>
</Properties>
</file>