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72"/>
          <w:szCs w:val="72"/>
          <w:lang w:bidi="ar"/>
        </w:rPr>
      </w:pPr>
    </w:p>
    <w:p>
      <w:pPr>
        <w:widowControl/>
        <w:jc w:val="center"/>
        <w:outlineLvl w:val="0"/>
        <w:rPr>
          <w:rFonts w:hint="eastAsia" w:ascii="Times New Roman" w:hAnsi="Times New Roman" w:eastAsia="方正小标宋简体" w:cs="方正小标宋简体"/>
          <w:kern w:val="0"/>
          <w:sz w:val="72"/>
          <w:szCs w:val="72"/>
          <w:lang w:bidi="ar"/>
        </w:rPr>
      </w:pPr>
      <w:r>
        <w:rPr>
          <w:rFonts w:hint="eastAsia" w:ascii="Times New Roman" w:hAnsi="Times New Roman" w:eastAsia="方正小标宋简体" w:cs="方正小标宋简体"/>
          <w:kern w:val="0"/>
          <w:sz w:val="72"/>
          <w:szCs w:val="72"/>
          <w:lang w:eastAsia="zh-CN" w:bidi="ar"/>
        </w:rPr>
        <w:t>乐山大佛风景名胜区管理委员会2024</w:t>
      </w:r>
      <w:r>
        <w:rPr>
          <w:rFonts w:hint="eastAsia" w:ascii="Times New Roman" w:hAnsi="Times New Roman" w:eastAsia="方正小标宋简体" w:cs="方正小标宋简体"/>
          <w:kern w:val="0"/>
          <w:sz w:val="72"/>
          <w:szCs w:val="72"/>
          <w:lang w:bidi="ar"/>
        </w:rPr>
        <w:t>年部门预算</w:t>
      </w:r>
    </w:p>
    <w:p>
      <w:pPr>
        <w:widowControl/>
        <w:jc w:val="center"/>
        <w:rPr>
          <w:rFonts w:hint="eastAsia" w:ascii="Times New Roman" w:hAnsi="Times New Roman" w:eastAsia="方正小标宋简体" w:cs="方正小标宋简体"/>
          <w:kern w:val="0"/>
          <w:sz w:val="36"/>
          <w:szCs w:val="36"/>
          <w:lang w:bidi="ar"/>
        </w:rPr>
        <w:sectPr>
          <w:pgSz w:w="11906" w:h="16838"/>
          <w:pgMar w:top="1440" w:right="1800" w:bottom="1440" w:left="1800" w:header="720" w:footer="720" w:gutter="0"/>
          <w:pgNumType w:fmt="numberInDash"/>
          <w:cols w:space="720" w:num="1"/>
          <w:docGrid w:type="lines" w:linePitch="312" w:charSpace="0"/>
        </w:sectPr>
      </w:pPr>
    </w:p>
    <w:p>
      <w:pPr>
        <w:widowControl/>
        <w:jc w:val="center"/>
        <w:outlineLvl w:val="0"/>
        <w:rPr>
          <w:rStyle w:val="10"/>
          <w:rFonts w:ascii="Times New Roman" w:hAnsi="Times New Roman" w:eastAsia="黑体" w:cs="宋体"/>
          <w:color w:val="333333"/>
          <w:sz w:val="32"/>
          <w:szCs w:val="21"/>
        </w:rPr>
      </w:pPr>
      <w:r>
        <w:rPr>
          <w:rFonts w:hint="eastAsia" w:ascii="Times New Roman" w:hAnsi="Times New Roman" w:eastAsia="方正小标宋简体" w:cs="方正小标宋简体"/>
          <w:kern w:val="0"/>
          <w:sz w:val="44"/>
          <w:szCs w:val="44"/>
          <w:lang w:bidi="ar"/>
        </w:rPr>
        <w:t>目</w:t>
      </w:r>
      <w:r>
        <w:rPr>
          <w:rFonts w:hint="eastAsia" w:ascii="Times New Roman" w:hAnsi="Times New Roman" w:eastAsia="方正小标宋简体" w:cs="方正小标宋简体"/>
          <w:kern w:val="0"/>
          <w:sz w:val="44"/>
          <w:szCs w:val="44"/>
          <w:lang w:val="en-US" w:eastAsia="zh-CN" w:bidi="ar"/>
        </w:rPr>
        <w:t xml:space="preserve">  </w:t>
      </w:r>
      <w:r>
        <w:rPr>
          <w:rFonts w:hint="eastAsia" w:ascii="Times New Roman" w:hAnsi="Times New Roman" w:eastAsia="方正小标宋简体" w:cs="方正小标宋简体"/>
          <w:kern w:val="0"/>
          <w:sz w:val="44"/>
          <w:szCs w:val="44"/>
          <w:lang w:bidi="ar"/>
        </w:rPr>
        <w:t>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ascii="Times New Roman" w:hAnsi="Times New Roman" w:cs="宋体"/>
          <w:bCs/>
          <w:color w:val="333333"/>
          <w:sz w:val="21"/>
          <w:szCs w:val="21"/>
        </w:rPr>
      </w:pPr>
      <w:r>
        <w:rPr>
          <w:rStyle w:val="10"/>
          <w:rFonts w:ascii="Times New Roman" w:hAnsi="Times New Roman" w:eastAsia="黑体" w:cs="宋体"/>
          <w:b w:val="0"/>
          <w:bCs/>
          <w:color w:val="333333"/>
          <w:sz w:val="32"/>
          <w:szCs w:val="21"/>
        </w:rPr>
        <w:t>第一部分</w:t>
      </w:r>
      <w:r>
        <w:rPr>
          <w:rStyle w:val="10"/>
          <w:rFonts w:hint="eastAsia" w:ascii="Times New Roman" w:hAnsi="Times New Roman" w:eastAsia="黑体" w:cs="宋体"/>
          <w:b w:val="0"/>
          <w:bCs/>
          <w:color w:val="333333"/>
          <w:sz w:val="32"/>
          <w:szCs w:val="21"/>
        </w:rPr>
        <w:t xml:space="preserve"> </w:t>
      </w:r>
      <w:r>
        <w:rPr>
          <w:rStyle w:val="10"/>
          <w:rFonts w:ascii="Times New Roman" w:hAnsi="Times New Roman" w:eastAsia="黑体" w:cs="宋体"/>
          <w:b w:val="0"/>
          <w:bCs/>
          <w:color w:val="333333"/>
          <w:sz w:val="32"/>
          <w:szCs w:val="21"/>
        </w:rPr>
        <w:t xml:space="preserve"> </w:t>
      </w:r>
      <w:r>
        <w:rPr>
          <w:rStyle w:val="10"/>
          <w:rFonts w:hint="eastAsia" w:ascii="Times New Roman" w:hAnsi="Times New Roman" w:eastAsia="黑体" w:cs="宋体"/>
          <w:b w:val="0"/>
          <w:bCs/>
          <w:color w:val="333333"/>
          <w:sz w:val="32"/>
          <w:szCs w:val="21"/>
          <w:lang w:eastAsia="zh-CN"/>
        </w:rPr>
        <w:t>乐山大佛风景名胜区管理委员会</w:t>
      </w:r>
      <w:r>
        <w:rPr>
          <w:rStyle w:val="10"/>
          <w:rFonts w:ascii="Times New Roman" w:hAnsi="Times New Roman" w:eastAsia="黑体" w:cs="宋体"/>
          <w:b w:val="0"/>
          <w:bCs/>
          <w:color w:val="333333"/>
          <w:sz w:val="32"/>
          <w:szCs w:val="21"/>
        </w:rPr>
        <w:t>概况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一、基本职能及主要工作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二、部门预算单位构成</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Fonts w:ascii="Times New Roman" w:hAnsi="Times New Roman" w:cs="宋体"/>
          <w:bCs/>
          <w:color w:val="333333"/>
          <w:sz w:val="21"/>
          <w:szCs w:val="21"/>
        </w:rPr>
      </w:pPr>
      <w:r>
        <w:rPr>
          <w:rStyle w:val="10"/>
          <w:rFonts w:ascii="Times New Roman" w:hAnsi="Times New Roman" w:eastAsia="黑体" w:cs="宋体"/>
          <w:b w:val="0"/>
          <w:bCs/>
          <w:color w:val="333333"/>
          <w:sz w:val="32"/>
          <w:szCs w:val="21"/>
        </w:rPr>
        <w:t>第二部分</w:t>
      </w:r>
      <w:r>
        <w:rPr>
          <w:rStyle w:val="10"/>
          <w:rFonts w:hint="eastAsia" w:ascii="Times New Roman" w:hAnsi="Times New Roman" w:eastAsia="黑体" w:cs="宋体"/>
          <w:b w:val="0"/>
          <w:bCs/>
          <w:color w:val="333333"/>
          <w:sz w:val="32"/>
          <w:szCs w:val="21"/>
        </w:rPr>
        <w:t xml:space="preserve"> </w:t>
      </w:r>
      <w:r>
        <w:rPr>
          <w:rStyle w:val="10"/>
          <w:rFonts w:ascii="Times New Roman" w:hAnsi="Times New Roman" w:eastAsia="黑体" w:cs="宋体"/>
          <w:b w:val="0"/>
          <w:bCs/>
          <w:color w:val="333333"/>
          <w:sz w:val="32"/>
          <w:szCs w:val="21"/>
        </w:rPr>
        <w:t xml:space="preserve"> </w:t>
      </w:r>
      <w:r>
        <w:rPr>
          <w:rStyle w:val="10"/>
          <w:rFonts w:hint="eastAsia" w:ascii="Times New Roman" w:hAnsi="Times New Roman" w:eastAsia="黑体" w:cs="宋体"/>
          <w:b w:val="0"/>
          <w:bCs/>
          <w:color w:val="333333"/>
          <w:sz w:val="32"/>
          <w:szCs w:val="21"/>
          <w:lang w:eastAsia="zh-CN"/>
        </w:rPr>
        <w:t>乐山大佛风景名胜区管理委员会2024</w:t>
      </w:r>
      <w:r>
        <w:rPr>
          <w:rStyle w:val="10"/>
          <w:rFonts w:ascii="Times New Roman" w:hAnsi="Times New Roman" w:eastAsia="黑体" w:cs="宋体"/>
          <w:b w:val="0"/>
          <w:bCs/>
          <w:color w:val="333333"/>
          <w:sz w:val="32"/>
          <w:szCs w:val="21"/>
        </w:rPr>
        <w:t>年部门预算表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一、部门收支总表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二、部门收入总表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三、部门支出总表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四、财政拨款收支预算总表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五、财政拨款支出预算表（部门经济分类科目）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六、一般公共预算支出预算表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七、一般公共预算基本支出预算表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八、一般公共预算项目支出预算表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九、一般公共预算“三公”经费支出预算表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十、政府性基金预算支出表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十一、政府性基金预算“三公”经费支出预算表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十二、国有资本经营预算支出表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十三、部门预算项目支出绩效目标表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十四、部门整体支出绩效目标表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十五、政府采购预算表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10"/>
          <w:rFonts w:ascii="Times New Roman" w:hAnsi="Times New Roman" w:eastAsia="黑体" w:cs="宋体"/>
          <w:b w:val="0"/>
          <w:bCs/>
          <w:color w:val="333333"/>
          <w:sz w:val="32"/>
          <w:szCs w:val="21"/>
        </w:rPr>
      </w:pPr>
      <w:r>
        <w:rPr>
          <w:rStyle w:val="10"/>
          <w:rFonts w:ascii="Times New Roman" w:hAnsi="Times New Roman" w:eastAsia="黑体" w:cs="宋体"/>
          <w:b w:val="0"/>
          <w:bCs/>
          <w:color w:val="333333"/>
          <w:sz w:val="32"/>
          <w:szCs w:val="21"/>
        </w:rPr>
        <w:t>第三部分</w:t>
      </w:r>
      <w:r>
        <w:rPr>
          <w:rStyle w:val="10"/>
          <w:rFonts w:hint="eastAsia" w:ascii="Times New Roman" w:hAnsi="Times New Roman" w:eastAsia="黑体" w:cs="宋体"/>
          <w:b w:val="0"/>
          <w:bCs/>
          <w:color w:val="333333"/>
          <w:sz w:val="32"/>
          <w:szCs w:val="21"/>
        </w:rPr>
        <w:t xml:space="preserve"> </w:t>
      </w:r>
      <w:r>
        <w:rPr>
          <w:rStyle w:val="10"/>
          <w:rFonts w:ascii="Times New Roman" w:hAnsi="Times New Roman" w:eastAsia="黑体" w:cs="宋体"/>
          <w:b w:val="0"/>
          <w:bCs/>
          <w:color w:val="333333"/>
          <w:sz w:val="32"/>
          <w:szCs w:val="21"/>
        </w:rPr>
        <w:t xml:space="preserve"> </w:t>
      </w:r>
      <w:r>
        <w:rPr>
          <w:rStyle w:val="10"/>
          <w:rFonts w:hint="eastAsia" w:ascii="Times New Roman" w:hAnsi="Times New Roman" w:eastAsia="黑体" w:cs="宋体"/>
          <w:b w:val="0"/>
          <w:bCs/>
          <w:color w:val="333333"/>
          <w:sz w:val="32"/>
          <w:szCs w:val="21"/>
          <w:lang w:eastAsia="zh-CN"/>
        </w:rPr>
        <w:t>乐山大佛风景名胜区管理委员会2024</w:t>
      </w:r>
      <w:r>
        <w:rPr>
          <w:rStyle w:val="10"/>
          <w:rFonts w:ascii="Times New Roman" w:hAnsi="Times New Roman" w:eastAsia="黑体" w:cs="宋体"/>
          <w:b w:val="0"/>
          <w:bCs/>
          <w:color w:val="333333"/>
          <w:sz w:val="32"/>
          <w:szCs w:val="21"/>
        </w:rPr>
        <w:t>年部门预算情况说明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0"/>
        <w:rPr>
          <w:rStyle w:val="10"/>
          <w:rFonts w:ascii="Times New Roman" w:hAnsi="Times New Roman" w:eastAsia="黑体" w:cs="宋体"/>
          <w:b w:val="0"/>
          <w:bCs/>
          <w:color w:val="333333"/>
          <w:sz w:val="32"/>
          <w:szCs w:val="21"/>
        </w:rPr>
      </w:pPr>
      <w:r>
        <w:rPr>
          <w:rStyle w:val="10"/>
          <w:rFonts w:ascii="Times New Roman" w:hAnsi="Times New Roman" w:eastAsia="黑体" w:cs="宋体"/>
          <w:b w:val="0"/>
          <w:bCs/>
          <w:color w:val="333333"/>
          <w:sz w:val="32"/>
          <w:szCs w:val="21"/>
        </w:rPr>
        <w:t>第四部分</w:t>
      </w:r>
      <w:r>
        <w:rPr>
          <w:rStyle w:val="10"/>
          <w:rFonts w:hint="eastAsia" w:ascii="Times New Roman" w:hAnsi="Times New Roman" w:eastAsia="黑体" w:cs="宋体"/>
          <w:b w:val="0"/>
          <w:bCs/>
          <w:color w:val="333333"/>
          <w:sz w:val="32"/>
          <w:szCs w:val="21"/>
        </w:rPr>
        <w:t xml:space="preserve">  </w:t>
      </w:r>
      <w:r>
        <w:rPr>
          <w:rStyle w:val="10"/>
          <w:rFonts w:ascii="Times New Roman" w:hAnsi="Times New Roman" w:eastAsia="黑体" w:cs="宋体"/>
          <w:b w:val="0"/>
          <w:bCs/>
          <w:color w:val="333333"/>
          <w:sz w:val="32"/>
          <w:szCs w:val="21"/>
        </w:rPr>
        <w:t>名词解释</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方正小标宋简体"/>
          <w:sz w:val="52"/>
          <w:szCs w:val="52"/>
          <w:lang w:bidi="ar"/>
        </w:rPr>
        <w:sectPr>
          <w:footerReference r:id="rId3" w:type="default"/>
          <w:pgSz w:w="11906" w:h="16838"/>
          <w:pgMar w:top="1440" w:right="1800" w:bottom="1440" w:left="1800" w:header="720" w:footer="720" w:gutter="0"/>
          <w:pgNumType w:fmt="numberInDash" w:start="1"/>
          <w:cols w:space="720" w:num="1"/>
          <w:docGrid w:type="lines" w:linePitch="312" w:charSpace="0"/>
        </w:sect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outlineLvl w:val="0"/>
        <w:rPr>
          <w:rFonts w:hint="eastAsia" w:ascii="Times New Roman" w:hAnsi="Times New Roman" w:eastAsia="方正小标宋简体" w:cs="方正小标宋简体"/>
          <w:sz w:val="52"/>
          <w:szCs w:val="52"/>
          <w:lang w:bidi="ar"/>
        </w:rPr>
      </w:pPr>
      <w:r>
        <w:rPr>
          <w:rFonts w:hint="eastAsia" w:ascii="Times New Roman" w:hAnsi="Times New Roman" w:eastAsia="方正小标宋简体" w:cs="方正小标宋简体"/>
          <w:sz w:val="52"/>
          <w:szCs w:val="52"/>
          <w:lang w:bidi="ar"/>
        </w:rPr>
        <w:t xml:space="preserve">第一部分  </w:t>
      </w:r>
      <w:r>
        <w:rPr>
          <w:rFonts w:hint="eastAsia" w:ascii="Times New Roman" w:hAnsi="Times New Roman" w:eastAsia="方正小标宋简体" w:cs="方正小标宋简体"/>
          <w:sz w:val="52"/>
          <w:szCs w:val="52"/>
          <w:lang w:eastAsia="zh-CN" w:bidi="ar"/>
        </w:rPr>
        <w:t>乐山大佛风景名胜区管理委员会</w:t>
      </w:r>
      <w:r>
        <w:rPr>
          <w:rFonts w:hint="eastAsia" w:ascii="Times New Roman" w:hAnsi="Times New Roman" w:eastAsia="方正小标宋简体" w:cs="方正小标宋简体"/>
          <w:sz w:val="52"/>
          <w:szCs w:val="52"/>
          <w:lang w:bidi="ar"/>
        </w:rPr>
        <w:t>概况</w:t>
      </w:r>
    </w:p>
    <w:p>
      <w:pPr>
        <w:pStyle w:val="6"/>
        <w:widowControl/>
        <w:adjustRightInd w:val="0"/>
        <w:spacing w:before="0" w:beforeAutospacing="0" w:after="0" w:afterAutospacing="0"/>
        <w:ind w:firstLine="640" w:firstLineChars="200"/>
        <w:jc w:val="both"/>
        <w:rPr>
          <w:rStyle w:val="10"/>
          <w:rFonts w:hint="eastAsia" w:ascii="Times New Roman" w:hAnsi="Times New Roman" w:eastAsia="黑体" w:cs="宋体"/>
          <w:b w:val="0"/>
          <w:bCs/>
          <w:color w:val="333333"/>
          <w:sz w:val="32"/>
          <w:szCs w:val="21"/>
        </w:rPr>
        <w:sectPr>
          <w:footerReference r:id="rId4" w:type="default"/>
          <w:pgSz w:w="11906" w:h="16838"/>
          <w:pgMar w:top="1440" w:right="1800" w:bottom="1440" w:left="1800" w:header="720" w:footer="720" w:gutter="0"/>
          <w:pgNumType w:fmt="numberInDash" w:start="1"/>
          <w:cols w:space="720" w:num="1"/>
          <w:docGrid w:type="lines" w:linePitch="312" w:charSpace="0"/>
        </w:sectPr>
      </w:pPr>
    </w:p>
    <w:p>
      <w:pPr>
        <w:pStyle w:val="6"/>
        <w:widowControl/>
        <w:adjustRightInd w:val="0"/>
        <w:spacing w:before="0" w:beforeAutospacing="0" w:after="0" w:afterAutospacing="0"/>
        <w:ind w:firstLine="640" w:firstLineChars="200"/>
        <w:jc w:val="both"/>
        <w:outlineLvl w:val="1"/>
        <w:rPr>
          <w:rStyle w:val="10"/>
          <w:rFonts w:hint="eastAsia" w:ascii="Times New Roman" w:hAnsi="Times New Roman" w:eastAsia="黑体" w:cs="宋体"/>
          <w:b w:val="0"/>
          <w:bCs/>
          <w:color w:val="333333"/>
          <w:sz w:val="32"/>
          <w:szCs w:val="21"/>
        </w:rPr>
      </w:pPr>
      <w:r>
        <w:rPr>
          <w:rStyle w:val="10"/>
          <w:rFonts w:hint="eastAsia" w:ascii="Times New Roman" w:hAnsi="Times New Roman" w:eastAsia="黑体" w:cs="宋体"/>
          <w:b w:val="0"/>
          <w:bCs/>
          <w:color w:val="333333"/>
          <w:sz w:val="32"/>
          <w:szCs w:val="21"/>
        </w:rPr>
        <w:t>一、基本职能及主要工作</w:t>
      </w:r>
    </w:p>
    <w:p>
      <w:pPr>
        <w:pStyle w:val="3"/>
        <w:adjustRightInd w:val="0"/>
        <w:snapToGrid w:val="0"/>
        <w:spacing w:before="93" w:line="600" w:lineRule="exact"/>
        <w:ind w:firstLine="643" w:firstLineChars="200"/>
        <w:rPr>
          <w:rFonts w:hint="eastAsia" w:eastAsia="仿宋"/>
          <w:bCs/>
          <w:color w:val="000000"/>
          <w:sz w:val="32"/>
          <w:szCs w:val="32"/>
          <w:lang w:eastAsia="zh-CN"/>
        </w:rPr>
      </w:pPr>
      <w:r>
        <w:rPr>
          <w:rFonts w:hint="eastAsia" w:ascii="Times New Roman" w:hAnsi="Times New Roman" w:eastAsia="楷体_GB2312"/>
          <w:b/>
          <w:sz w:val="32"/>
          <w:szCs w:val="32"/>
        </w:rPr>
        <w:t>（一）</w:t>
      </w:r>
      <w:bookmarkStart w:id="0" w:name="_Toc15377198"/>
      <w:bookmarkStart w:id="1" w:name="_Toc15378445"/>
      <w:r>
        <w:rPr>
          <w:rFonts w:hint="eastAsia" w:ascii="仿宋_GB2312" w:hAnsi="Calibri" w:eastAsia="仿宋_GB2312" w:cs="Times New Roman"/>
          <w:kern w:val="2"/>
          <w:sz w:val="32"/>
          <w:szCs w:val="32"/>
          <w:lang w:val="en-US" w:eastAsia="zh-CN" w:bidi="ar-SA"/>
        </w:rPr>
        <w:t>乐山大佛风景名胜区管理委员会为乐山市人民政府的正县级派出机构，是乐山大佛风景名胜区、乐山大佛世界文化和自然遗产的管理机构</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主要职能</w:t>
      </w:r>
      <w:bookmarkEnd w:id="0"/>
      <w:bookmarkEnd w:id="1"/>
      <w:r>
        <w:rPr>
          <w:rFonts w:hint="eastAsia" w:ascii="仿宋_GB2312" w:hAnsi="Calibri" w:eastAsia="仿宋_GB2312" w:cs="Times New Roman"/>
          <w:kern w:val="2"/>
          <w:sz w:val="32"/>
          <w:szCs w:val="32"/>
          <w:lang w:val="en-US" w:eastAsia="zh-CN" w:bidi="ar-SA"/>
        </w:rPr>
        <w:t>如下：</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1、宣传贯彻国家有关风景名胜、世界自然和文化遗产、民族、宗教、文物、林业、国土资源、规划建设、环境保护、旅游、交通、安全、卫生等方面的法律法规；承担乐山大佛风景名胜区、世界自然和文化遗产的保护、利用和统一管理工作。</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2、保护风景名胜资源和生态环境，维护风景名胜区的自然风貌和人文景观，合理利用风景名胜资源。</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3、协助编制总体规划和详细规划并组织实施，按照总体规划对风景名胜区内的新建、扩建和改建项目进行初审并按程序上报。</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4、制定乐山大佛自然和文化遗产保护措施和管理制度并组织实施；负责景区内自然和文化遗产资源的调查、评价、登记、保护和管理工作，培育壮大旅游文化产业。</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5、建设、维护、管理风景名胜区基础设施和公共设施，规范设立风景名胜区标志、安全警示等标牌，改善游览服务条件。</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6、制定风景名胜区管理制度和安全事故、突发事件的预防机制和应急预案，负责风景区的交通、环境卫生、治安、服务业管理和游览者安全等工作。</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7、按照规划组织和扶助风景名胜区居民发展具有地方特色的生产和服务事业，制止和限制破坏景观、污染环境的生产事业。</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8、负责出售风景名胜区的门票，收取风景名胜资源有偿使用费；组织并负责对风景名胜区经营项目的招标和签约工作，监督进行经营活动的单位和个人依法经营，指导经营企业做好职工培训管理工作。</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9、做好风景名胜区监管信息系统建设和管理工作；开展旅游调查统计工作，及时发布旅游相关信息，维护景区正常旅游秩序。</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10、依法负责景区范围内民族、宗教有关的行政管理工作。</w:t>
      </w:r>
    </w:p>
    <w:p>
      <w:pPr>
        <w:spacing w:line="600" w:lineRule="exact"/>
        <w:ind w:firstLine="640" w:firstLineChars="200"/>
        <w:rPr>
          <w:rFonts w:ascii="仿宋_GB2312" w:eastAsia="仿宋_GB2312"/>
          <w:bCs/>
          <w:color w:val="000000"/>
          <w:kern w:val="0"/>
          <w:sz w:val="32"/>
          <w:szCs w:val="32"/>
        </w:rPr>
      </w:pPr>
      <w:r>
        <w:rPr>
          <w:rFonts w:hint="eastAsia" w:ascii="仿宋_GB2312" w:eastAsia="仿宋_GB2312"/>
          <w:bCs/>
          <w:color w:val="000000"/>
          <w:kern w:val="0"/>
          <w:sz w:val="32"/>
          <w:szCs w:val="32"/>
        </w:rPr>
        <w:t>11、依法对景区内的违法、违规行为进行查处。</w:t>
      </w:r>
    </w:p>
    <w:p>
      <w:pPr>
        <w:spacing w:line="60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eastAsia="仿宋_GB2312"/>
          <w:bCs/>
          <w:color w:val="000000"/>
          <w:kern w:val="0"/>
          <w:sz w:val="32"/>
          <w:szCs w:val="32"/>
        </w:rPr>
        <w:t>12、完成市委市政府交办的其他工作。</w:t>
      </w:r>
      <w:r>
        <w:rPr>
          <w:rFonts w:hint="eastAsia" w:ascii="仿宋_GB2312" w:eastAsia="仿宋_GB2312" w:cs="Times New Roman"/>
          <w:kern w:val="2"/>
          <w:sz w:val="32"/>
          <w:szCs w:val="32"/>
          <w:lang w:val="en-US" w:eastAsia="zh-CN" w:bidi="ar-SA"/>
        </w:rPr>
        <w:t>。</w:t>
      </w:r>
    </w:p>
    <w:p>
      <w:pPr>
        <w:spacing w:line="600" w:lineRule="exact"/>
        <w:ind w:firstLine="640" w:firstLineChars="200"/>
        <w:rPr>
          <w:rFonts w:hint="eastAsia" w:ascii="仿宋_GB2312" w:eastAsia="仿宋_GB2312"/>
          <w:bCs/>
          <w:color w:val="000000"/>
          <w:kern w:val="0"/>
          <w:sz w:val="32"/>
          <w:szCs w:val="32"/>
          <w:lang w:val="en-US" w:eastAsia="zh-CN"/>
        </w:rPr>
      </w:pPr>
      <w:r>
        <w:rPr>
          <w:rFonts w:hint="eastAsia" w:ascii="仿宋_GB2312" w:eastAsia="仿宋_GB2312"/>
          <w:bCs/>
          <w:color w:val="000000"/>
          <w:kern w:val="0"/>
          <w:sz w:val="32"/>
          <w:szCs w:val="32"/>
        </w:rPr>
        <w:t>（二）</w:t>
      </w:r>
      <w:r>
        <w:rPr>
          <w:rFonts w:hint="eastAsia" w:ascii="仿宋_GB2312" w:eastAsia="仿宋_GB2312"/>
          <w:bCs/>
          <w:color w:val="000000"/>
          <w:kern w:val="0"/>
          <w:sz w:val="32"/>
          <w:szCs w:val="32"/>
          <w:lang w:val="en-US" w:eastAsia="zh-CN"/>
        </w:rPr>
        <w:t>乐山大佛风景名胜区管理委员会2024年重点工作任务如下：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lang w:val="en-US" w:eastAsia="zh-CN"/>
        </w:rPr>
      </w:pPr>
      <w:r>
        <w:rPr>
          <w:rFonts w:hint="eastAsia" w:ascii="仿宋_GB2312" w:hAnsi="黑体" w:eastAsia="仿宋_GB2312"/>
          <w:sz w:val="32"/>
          <w:szCs w:val="32"/>
          <w:lang w:val="en-US" w:eastAsia="zh-CN"/>
        </w:rPr>
        <w:t>2024年，大佛景区将深入贯彻落实习近平总书记关于文旅工作的重要论述和对四川工作系列重要指示精神，推动构建“12412”现代旅游业体系，</w:t>
      </w:r>
      <w:r>
        <w:rPr>
          <w:rFonts w:hint="eastAsia" w:ascii="仿宋_GB2312" w:hAnsi="黑体" w:eastAsia="仿宋_GB2312"/>
          <w:sz w:val="32"/>
          <w:szCs w:val="32"/>
          <w:u w:val="none"/>
          <w:lang w:val="en-US" w:eastAsia="zh-CN"/>
        </w:rPr>
        <w:t>以“创建世界级旅游景区”为目标</w:t>
      </w:r>
      <w:r>
        <w:rPr>
          <w:rFonts w:hint="eastAsia" w:ascii="仿宋_GB2312" w:hAnsi="仿宋_GB2312" w:eastAsia="仿宋_GB2312" w:cs="仿宋_GB2312"/>
          <w:snapToGrid w:val="0"/>
          <w:color w:val="auto"/>
          <w:sz w:val="32"/>
          <w:szCs w:val="32"/>
          <w:u w:val="none"/>
          <w:lang w:val="en-US" w:eastAsia="zh-CN"/>
        </w:rPr>
        <w:t>,</w:t>
      </w:r>
      <w:r>
        <w:rPr>
          <w:rFonts w:hint="eastAsia" w:ascii="仿宋_GB2312" w:hAnsi="黑体" w:eastAsia="仿宋_GB2312"/>
          <w:sz w:val="32"/>
          <w:szCs w:val="32"/>
          <w:lang w:val="en-US" w:eastAsia="zh-CN"/>
        </w:rPr>
        <w:t>聚焦世界遗产保护、文旅项目建设、文旅深度融合、强化管理服务等重点工作，</w:t>
      </w:r>
      <w:r>
        <w:rPr>
          <w:rFonts w:hint="eastAsia" w:ascii="仿宋_GB2312" w:hAnsi="黑体" w:eastAsia="仿宋_GB2312"/>
          <w:sz w:val="32"/>
          <w:szCs w:val="32"/>
          <w:u w:val="none"/>
          <w:lang w:val="en-US" w:eastAsia="zh-CN"/>
        </w:rPr>
        <w:t>打造</w:t>
      </w:r>
      <w:r>
        <w:rPr>
          <w:rFonts w:hint="default" w:ascii="仿宋_GB2312" w:hAnsi="黑体" w:eastAsia="仿宋_GB2312"/>
          <w:sz w:val="32"/>
          <w:szCs w:val="32"/>
          <w:u w:val="none"/>
          <w:lang w:val="en-US" w:eastAsia="zh-CN"/>
        </w:rPr>
        <w:t>巴蜀文旅走廊引领地、世界旅游目的地首选地、文旅产业融合发展示范地</w:t>
      </w:r>
      <w:r>
        <w:rPr>
          <w:rFonts w:hint="eastAsia" w:ascii="仿宋_GB2312" w:hAnsi="黑体" w:eastAsia="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napToGrid w:val="0"/>
          <w:color w:val="auto"/>
          <w:sz w:val="32"/>
          <w:szCs w:val="32"/>
          <w:u w:val="none"/>
          <w:lang w:val="en-US" w:eastAsia="zh-CN"/>
        </w:rPr>
        <w:t>一是围绕“保护好遗产”。</w:t>
      </w:r>
      <w:r>
        <w:rPr>
          <w:rFonts w:hint="eastAsia" w:ascii="仿宋_GB2312" w:hAnsi="仿宋_GB2312" w:eastAsia="仿宋_GB2312" w:cs="仿宋_GB2312"/>
          <w:b/>
          <w:bCs/>
          <w:sz w:val="32"/>
          <w:szCs w:val="32"/>
          <w:lang w:val="en-US" w:eastAsia="zh-CN"/>
        </w:rPr>
        <w:t>1.做强机构队伍。</w:t>
      </w:r>
      <w:r>
        <w:rPr>
          <w:rFonts w:hint="eastAsia" w:ascii="仿宋_GB2312" w:hAnsi="仿宋_GB2312" w:eastAsia="仿宋_GB2312" w:cs="仿宋_GB2312"/>
          <w:sz w:val="32"/>
          <w:szCs w:val="32"/>
          <w:lang w:val="en-US" w:eastAsia="zh-CN"/>
        </w:rPr>
        <w:t>深化五大石窟合作机制，</w:t>
      </w:r>
      <w:r>
        <w:rPr>
          <w:rFonts w:hint="eastAsia" w:ascii="仿宋_GB2312" w:hAnsi="仿宋_GB2312" w:eastAsia="仿宋_GB2312" w:cs="仿宋_GB2312"/>
          <w:sz w:val="32"/>
          <w:szCs w:val="32"/>
        </w:rPr>
        <w:t>就人才培养、技术攻关、文化创新等领域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深度合作，</w:t>
      </w:r>
      <w:r>
        <w:rPr>
          <w:rFonts w:hint="eastAsia" w:ascii="仿宋_GB2312" w:hAnsi="仿宋_GB2312" w:eastAsia="仿宋_GB2312" w:cs="仿宋_GB2312"/>
          <w:sz w:val="32"/>
          <w:szCs w:val="32"/>
          <w:lang w:val="en-US" w:eastAsia="zh-CN"/>
        </w:rPr>
        <w:t>持续做大做强研究院，优化研究院机构设置和岗位设置，持续壮大培养专技人才队伍。</w:t>
      </w:r>
      <w:r>
        <w:rPr>
          <w:rFonts w:hint="eastAsia" w:ascii="仿宋_GB2312" w:hAnsi="仿宋_GB2312" w:eastAsia="仿宋_GB2312" w:cs="仿宋_GB2312"/>
          <w:b/>
          <w:bCs/>
          <w:color w:val="000000" w:themeColor="text1"/>
          <w:sz w:val="32"/>
          <w:szCs w:val="24"/>
          <w:u w:val="none"/>
          <w:lang w:val="en-US" w:eastAsia="zh-CN"/>
          <w14:textFill>
            <w14:solidFill>
              <w14:schemeClr w14:val="tx1"/>
            </w14:solidFill>
          </w14:textFill>
        </w:rPr>
        <w:t>2.做实文保项目。</w:t>
      </w:r>
      <w:r>
        <w:rPr>
          <w:rFonts w:hint="eastAsia" w:ascii="仿宋_GB2312" w:eastAsia="仿宋_GB2312"/>
          <w:b w:val="0"/>
          <w:bCs w:val="0"/>
          <w:color w:val="000000" w:themeColor="text1"/>
          <w:sz w:val="32"/>
          <w:szCs w:val="24"/>
          <w:u w:val="none"/>
          <w:lang w:val="en-US" w:eastAsia="zh-CN"/>
          <w14:textFill>
            <w14:solidFill>
              <w14:schemeClr w14:val="tx1"/>
            </w14:solidFill>
          </w14:textFill>
        </w:rPr>
        <w:t>加快</w:t>
      </w:r>
      <w:r>
        <w:rPr>
          <w:rFonts w:hint="default" w:ascii="仿宋_GB2312" w:eastAsia="仿宋_GB2312"/>
          <w:b w:val="0"/>
          <w:bCs w:val="0"/>
          <w:color w:val="000000" w:themeColor="text1"/>
          <w:sz w:val="32"/>
          <w:szCs w:val="24"/>
          <w:u w:val="none"/>
          <w:lang w:val="en-US" w:eastAsia="zh-CN"/>
          <w14:textFill>
            <w14:solidFill>
              <w14:schemeClr w14:val="tx1"/>
            </w14:solidFill>
          </w14:textFill>
        </w:rPr>
        <w:t>建设川渝石窟保护研究联合实验室，争创国家文物保护利用示范区</w:t>
      </w:r>
      <w:r>
        <w:rPr>
          <w:rFonts w:hint="eastAsia" w:ascii="仿宋_GB2312" w:eastAsia="仿宋_GB2312"/>
          <w:b w:val="0"/>
          <w:bCs w:val="0"/>
          <w:color w:val="000000" w:themeColor="text1"/>
          <w:sz w:val="32"/>
          <w:szCs w:val="24"/>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24"/>
          <w:u w:val="none"/>
          <w:lang w:val="en-US" w:eastAsia="zh-CN"/>
          <w14:textFill>
            <w14:solidFill>
              <w14:schemeClr w14:val="tx1"/>
            </w14:solidFill>
          </w14:textFill>
        </w:rPr>
        <w:t>扎实</w:t>
      </w:r>
      <w:r>
        <w:rPr>
          <w:rFonts w:hint="eastAsia" w:ascii="仿宋_GB2312" w:eastAsia="仿宋_GB2312"/>
          <w:b w:val="0"/>
          <w:bCs w:val="0"/>
          <w:color w:val="000000" w:themeColor="text1"/>
          <w:sz w:val="32"/>
          <w:szCs w:val="24"/>
          <w:u w:val="none"/>
          <w:lang w:val="en-US" w:eastAsia="zh-CN"/>
          <w14:textFill>
            <w14:solidFill>
              <w14:schemeClr w14:val="tx1"/>
            </w14:solidFill>
          </w14:textFill>
        </w:rPr>
        <w:t>推进</w:t>
      </w:r>
      <w:r>
        <w:rPr>
          <w:rFonts w:hint="eastAsia" w:ascii="仿宋_GB2312" w:hAnsi="仿宋_GB2312" w:eastAsia="仿宋_GB2312" w:cs="仿宋_GB2312"/>
          <w:b w:val="0"/>
          <w:bCs w:val="0"/>
          <w:color w:val="000000" w:themeColor="text1"/>
          <w:sz w:val="32"/>
          <w:szCs w:val="24"/>
          <w:u w:val="none"/>
          <w:lang w:val="en-US" w:eastAsia="zh-CN"/>
          <w14:textFill>
            <w14:solidFill>
              <w14:schemeClr w14:val="tx1"/>
            </w14:solidFill>
          </w14:textFill>
        </w:rPr>
        <w:t>麻浩崖墓、</w:t>
      </w:r>
      <w:r>
        <w:rPr>
          <w:rFonts w:hint="eastAsia" w:ascii="仿宋_GB2312" w:hAnsi="仿宋_GB2312" w:eastAsia="仿宋_GB2312" w:cs="仿宋_GB2312"/>
          <w:b w:val="0"/>
          <w:bCs w:val="0"/>
          <w:sz w:val="32"/>
          <w:szCs w:val="32"/>
          <w:lang w:val="en-US" w:eastAsia="zh-CN"/>
        </w:rPr>
        <w:t>离堆（含乌尤寺古建筑群）</w:t>
      </w:r>
      <w:r>
        <w:rPr>
          <w:rFonts w:hint="eastAsia" w:ascii="仿宋_GB2312" w:hAnsi="仿宋_GB2312" w:eastAsia="仿宋_GB2312" w:cs="仿宋_GB2312"/>
          <w:b w:val="0"/>
          <w:bCs w:val="0"/>
          <w:color w:val="000000" w:themeColor="text1"/>
          <w:sz w:val="32"/>
          <w:szCs w:val="24"/>
          <w:u w:val="none"/>
          <w:lang w:val="en-US" w:eastAsia="zh-CN"/>
          <w14:textFill>
            <w14:solidFill>
              <w14:schemeClr w14:val="tx1"/>
            </w14:solidFill>
          </w14:textFill>
        </w:rPr>
        <w:t>保护规划的报批工作，实施好</w:t>
      </w:r>
      <w:r>
        <w:rPr>
          <w:rFonts w:hint="eastAsia" w:ascii="仿宋_GB2312" w:hAnsi="仿宋_GB2312" w:eastAsia="仿宋_GB2312" w:cs="仿宋_GB2312"/>
          <w:b w:val="0"/>
          <w:bCs w:val="0"/>
          <w:sz w:val="32"/>
          <w:szCs w:val="32"/>
          <w:lang w:val="en-US" w:eastAsia="zh-CN"/>
        </w:rPr>
        <w:t>离堆（乌尤寺）消防升级改造、</w:t>
      </w:r>
      <w:r>
        <w:rPr>
          <w:rFonts w:hint="eastAsia" w:ascii="仿宋_GB2312" w:hAnsi="宋体" w:eastAsia="仿宋_GB2312" w:cs="Times New Roman"/>
          <w:sz w:val="32"/>
          <w:szCs w:val="32"/>
          <w:lang w:val="en-US" w:eastAsia="zh-CN"/>
        </w:rPr>
        <w:t>乐山大佛腿部至脚部区域保护修缮等重点项目</w:t>
      </w:r>
      <w:r>
        <w:rPr>
          <w:rFonts w:hint="eastAsia" w:ascii="仿宋_GB2312" w:eastAsia="仿宋_GB2312"/>
          <w:b w:val="0"/>
          <w:bCs w:val="0"/>
          <w:color w:val="000000" w:themeColor="text1"/>
          <w:sz w:val="32"/>
          <w:szCs w:val="24"/>
          <w:u w:val="none"/>
          <w:lang w:val="en-US" w:eastAsia="zh-CN"/>
          <w14:textFill>
            <w14:solidFill>
              <w14:schemeClr w14:val="tx1"/>
            </w14:solidFill>
          </w14:textFill>
        </w:rPr>
        <w:t>。</w:t>
      </w:r>
      <w:r>
        <w:rPr>
          <w:rFonts w:hint="eastAsia" w:ascii="仿宋_GB2312" w:hAnsi="仿宋_GB2312" w:eastAsia="仿宋_GB2312" w:cs="仿宋_GB2312"/>
          <w:b/>
          <w:bCs/>
          <w:sz w:val="32"/>
          <w:szCs w:val="32"/>
          <w:lang w:val="en-US" w:eastAsia="zh-CN"/>
        </w:rPr>
        <w:t>3.做细研究阐释。</w:t>
      </w:r>
      <w:r>
        <w:rPr>
          <w:rFonts w:hint="eastAsia" w:ascii="仿宋_GB2312" w:hAnsi="仿宋_GB2312" w:eastAsia="仿宋_GB2312" w:cs="仿宋_GB2312"/>
          <w:b w:val="0"/>
          <w:bCs w:val="0"/>
          <w:sz w:val="32"/>
          <w:szCs w:val="32"/>
          <w:lang w:val="en-US" w:eastAsia="zh-CN"/>
        </w:rPr>
        <w:t>加快推进三龟九顶城遗址、离堆水利遗址、乐山大佛大像阁等考古调查研究，</w:t>
      </w:r>
      <w:r>
        <w:rPr>
          <w:rFonts w:hint="eastAsia" w:ascii="仿宋_GB2312" w:hAnsi="仿宋_GB2312" w:eastAsia="仿宋_GB2312" w:cs="仿宋_GB2312"/>
          <w:sz w:val="32"/>
          <w:szCs w:val="32"/>
          <w:lang w:val="en-US" w:eastAsia="zh-CN"/>
        </w:rPr>
        <w:t>积极推进《守护大佛口述史汇编》等书籍出版，深入挖掘其中蕴含的价值文化，注重成果体现和转化，做好乐山大佛文化宣传展示。</w:t>
      </w:r>
      <w:r>
        <w:rPr>
          <w:rFonts w:hint="eastAsia" w:ascii="仿宋_GB2312" w:hAnsi="仿宋_GB2312" w:eastAsia="仿宋_GB2312" w:cs="仿宋_GB2312"/>
          <w:b/>
          <w:bCs/>
          <w:sz w:val="32"/>
          <w:szCs w:val="32"/>
          <w:lang w:val="en-US" w:eastAsia="zh-CN"/>
        </w:rPr>
        <w:t>4.做大对外合作。</w:t>
      </w:r>
      <w:r>
        <w:rPr>
          <w:rFonts w:hint="eastAsia" w:ascii="仿宋_GB2312" w:hAnsi="仿宋_GB2312" w:eastAsia="仿宋_GB2312" w:cs="仿宋_GB2312"/>
          <w:sz w:val="32"/>
          <w:szCs w:val="32"/>
          <w:lang w:val="en-US" w:eastAsia="zh-CN"/>
        </w:rPr>
        <w:t>推进与国外意大利中央文物修复院以及国内敦煌研究院等单位签约合作，借助国际国内平台，高标准谋划筹办国际学术研讨交流活动，高水平推动开展乐山大佛文化全球推广活动，将乐山大佛保护利用工作推上国际化新高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z w:val="32"/>
          <w:szCs w:val="32"/>
          <w:lang w:val="en-US" w:eastAsia="zh-CN"/>
        </w:rPr>
        <w:t>二是围绕“建设好景区”。1.顶层设计强保障。</w:t>
      </w:r>
      <w:r>
        <w:rPr>
          <w:rFonts w:hint="eastAsia" w:ascii="仿宋_GB2312" w:hAnsi="仿宋_GB2312" w:eastAsia="仿宋_GB2312" w:cs="仿宋_GB2312"/>
          <w:sz w:val="32"/>
          <w:szCs w:val="32"/>
          <w:u w:val="none"/>
          <w:lang w:val="en-US" w:eastAsia="zh-CN"/>
        </w:rPr>
        <w:t>国家林草局已就景区新总规征求相关部委意见，我委正会同编制单位进行修改并将继续加强沟通汇报。加快</w:t>
      </w:r>
      <w:r>
        <w:rPr>
          <w:rFonts w:hint="eastAsia" w:ascii="仿宋_GB2312" w:hAnsi="仿宋_GB2312" w:eastAsia="仿宋_GB2312" w:cs="仿宋_GB2312"/>
          <w:sz w:val="32"/>
          <w:szCs w:val="32"/>
          <w:lang w:val="en-US" w:eastAsia="zh-CN"/>
        </w:rPr>
        <w:t>马鞍山、乌尤坝片区详规编制</w:t>
      </w:r>
      <w:r>
        <w:rPr>
          <w:rFonts w:hint="eastAsia" w:ascii="仿宋_GB2312" w:hAnsi="仿宋_GB2312" w:eastAsia="仿宋_GB2312" w:cs="仿宋_GB2312"/>
          <w:sz w:val="32"/>
          <w:szCs w:val="32"/>
          <w:u w:val="none"/>
          <w:lang w:val="en-US" w:eastAsia="zh-CN"/>
        </w:rPr>
        <w:t>，对接国土空间规划，做好风景名胜区资源整合优化。</w:t>
      </w:r>
      <w:r>
        <w:rPr>
          <w:rFonts w:hint="eastAsia" w:ascii="仿宋_GB2312" w:hAnsi="仿宋_GB2312" w:eastAsia="仿宋_GB2312" w:cs="仿宋_GB2312"/>
          <w:sz w:val="32"/>
          <w:szCs w:val="32"/>
          <w:lang w:val="en-US" w:eastAsia="zh-CN"/>
        </w:rPr>
        <w:t>高标准、高起点做好凤洲岛策划设计，加快推进乌尤坝片区资产收储、规划设计，以期达到最佳效果。</w:t>
      </w:r>
      <w:r>
        <w:rPr>
          <w:rFonts w:hint="eastAsia" w:ascii="仿宋_GB2312" w:hAnsi="仿宋_GB2312" w:eastAsia="仿宋_GB2312" w:cs="仿宋_GB2312"/>
          <w:b/>
          <w:bCs/>
          <w:sz w:val="32"/>
          <w:szCs w:val="32"/>
          <w:lang w:val="en-US" w:eastAsia="zh-CN"/>
        </w:rPr>
        <w:t>2.项目建设加速度。</w:t>
      </w:r>
      <w:r>
        <w:rPr>
          <w:rFonts w:hint="eastAsia" w:ascii="仿宋_GB2312" w:hAnsi="仿宋_GB2312" w:eastAsia="仿宋_GB2312" w:cs="仿宋_GB2312"/>
          <w:sz w:val="32"/>
          <w:szCs w:val="32"/>
          <w:u w:val="none"/>
          <w:lang w:val="en-US" w:eastAsia="zh-CN"/>
        </w:rPr>
        <w:t>拟投资2.74亿元，加快推进乐山大唐文化体验园、根书博物馆、唐风嘉韵度假区、四川旅游港等项目。拟投资1.13亿元</w:t>
      </w:r>
      <w:r>
        <w:rPr>
          <w:rFonts w:hint="default" w:ascii="仿宋_GB2312" w:hAnsi="仿宋_GB2312" w:eastAsia="仿宋_GB2312" w:cs="仿宋_GB2312"/>
          <w:sz w:val="32"/>
          <w:szCs w:val="32"/>
          <w:u w:val="none"/>
          <w:lang w:val="en-US" w:eastAsia="zh-CN"/>
        </w:rPr>
        <w:t>发展休闲度假康养旅游</w:t>
      </w:r>
      <w:r>
        <w:rPr>
          <w:rFonts w:hint="eastAsia" w:ascii="仿宋_GB2312" w:hAnsi="仿宋_GB2312" w:eastAsia="仿宋_GB2312" w:cs="仿宋_GB2312"/>
          <w:sz w:val="32"/>
          <w:szCs w:val="32"/>
          <w:u w:val="none"/>
          <w:lang w:val="en-US" w:eastAsia="zh-CN"/>
        </w:rPr>
        <w:t>，推动景区周边特色酒店群落、演绎群落、博物馆群落建设，打造佛禅、美食、研学、康养等沉浸式体验</w:t>
      </w:r>
      <w:r>
        <w:rPr>
          <w:rFonts w:hint="eastAsia" w:ascii="仿宋_GB2312" w:hAnsi="仿宋_GB2312" w:eastAsia="仿宋_GB2312" w:cs="仿宋_GB2312"/>
          <w:sz w:val="32"/>
          <w:szCs w:val="32"/>
          <w:lang w:val="en-US" w:eastAsia="zh-CN"/>
        </w:rPr>
        <w:t>空间，力争延长游客停留时间4小时以上。</w:t>
      </w:r>
      <w:r>
        <w:rPr>
          <w:rFonts w:hint="eastAsia" w:ascii="仿宋_GB2312" w:hAnsi="仿宋_GB2312" w:eastAsia="仿宋_GB2312" w:cs="仿宋_GB2312"/>
          <w:b/>
          <w:bCs/>
          <w:sz w:val="32"/>
          <w:szCs w:val="32"/>
          <w:lang w:val="en-US" w:eastAsia="zh-CN"/>
        </w:rPr>
        <w:t>3.招商引资壮实力。</w:t>
      </w:r>
      <w:r>
        <w:rPr>
          <w:rFonts w:hint="eastAsia" w:ascii="仿宋_GB2312" w:hAnsi="仿宋_GB2312" w:eastAsia="仿宋_GB2312" w:cs="仿宋_GB2312"/>
          <w:sz w:val="32"/>
          <w:szCs w:val="32"/>
          <w:lang w:val="en-US" w:eastAsia="zh-CN"/>
        </w:rPr>
        <w:t>全力做好申请新发行专项债券项目入库和发行工作，加快岷江航电综合开发、南游客中心一号楼酒店等6个重点项目的洽谈签约，</w:t>
      </w:r>
      <w:r>
        <w:rPr>
          <w:rFonts w:hint="eastAsia" w:ascii="仿宋_GB2312" w:hAnsi="仿宋_GB2312" w:eastAsia="仿宋_GB2312" w:cs="仿宋_GB2312"/>
          <w:strike w:val="0"/>
          <w:dstrike w:val="0"/>
          <w:sz w:val="32"/>
          <w:szCs w:val="32"/>
          <w:lang w:val="en-US" w:eastAsia="zh-CN"/>
        </w:rPr>
        <w:t>包装好南游客中心三四号楼、麻浩渔村、乌尤坝度假区、凤洲岛旅游5个项目，强势助力景区发展。</w:t>
      </w:r>
    </w:p>
    <w:p>
      <w:pPr>
        <w:pStyle w:val="11"/>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 w:eastAsia="仿宋_GB2312"/>
          <w:color w:val="000000"/>
          <w:sz w:val="32"/>
          <w:szCs w:val="32"/>
          <w:lang w:val="en-US" w:eastAsia="zh-CN"/>
        </w:rPr>
      </w:pPr>
      <w:r>
        <w:rPr>
          <w:rFonts w:hint="eastAsia" w:ascii="仿宋_GB2312" w:hAnsi="仿宋_GB2312" w:eastAsia="仿宋_GB2312" w:cs="仿宋_GB2312"/>
          <w:b/>
          <w:bCs/>
          <w:sz w:val="32"/>
          <w:szCs w:val="32"/>
          <w:lang w:val="en-US" w:eastAsia="zh-CN"/>
        </w:rPr>
        <w:t>三是围绕“传承好文化”。1.丰富</w:t>
      </w:r>
      <w:r>
        <w:rPr>
          <w:rFonts w:hint="eastAsia" w:ascii="仿宋_GB2312" w:hAnsi="仿宋" w:eastAsia="仿宋_GB2312"/>
          <w:b/>
          <w:bCs/>
          <w:color w:val="000000"/>
          <w:sz w:val="32"/>
          <w:szCs w:val="32"/>
          <w:lang w:eastAsia="zh-CN"/>
        </w:rPr>
        <w:t>“大佛看点”。</w:t>
      </w:r>
      <w:r>
        <w:rPr>
          <w:rFonts w:hint="eastAsia" w:ascii="仿宋_GB2312" w:hAnsi="仿宋_GB2312" w:eastAsia="仿宋_GB2312" w:cs="仿宋_GB2312"/>
          <w:sz w:val="32"/>
          <w:szCs w:val="32"/>
          <w:lang w:val="en-US" w:eastAsia="zh-CN"/>
        </w:rPr>
        <w:t>持续</w:t>
      </w:r>
      <w:r>
        <w:rPr>
          <w:rFonts w:hint="default" w:ascii="仿宋_GB2312" w:hAnsi="仿宋_GB2312" w:eastAsia="仿宋_GB2312" w:cs="仿宋_GB2312"/>
          <w:sz w:val="32"/>
          <w:szCs w:val="32"/>
          <w:lang w:val="en-US" w:eastAsia="zh-CN"/>
        </w:rPr>
        <w:t>扩大乐山大佛旅游文化节品牌影响力</w:t>
      </w:r>
      <w:r>
        <w:rPr>
          <w:rFonts w:hint="eastAsia" w:ascii="仿宋_GB2312" w:hAnsi="仿宋_GB2312" w:eastAsia="仿宋_GB2312" w:cs="仿宋_GB2312"/>
          <w:sz w:val="32"/>
          <w:szCs w:val="32"/>
          <w:lang w:val="en-US" w:eastAsia="zh-CN"/>
        </w:rPr>
        <w:t>，做好冬季促销活动，释放消费活力；</w:t>
      </w:r>
      <w:r>
        <w:rPr>
          <w:rFonts w:hint="eastAsia" w:ascii="仿宋_GB2312" w:hAnsi="黑体" w:eastAsia="仿宋_GB2312"/>
          <w:b w:val="0"/>
          <w:bCs/>
          <w:sz w:val="32"/>
          <w:szCs w:val="32"/>
          <w:lang w:eastAsia="zh-CN"/>
        </w:rPr>
        <w:t>整合旅游资源要素</w:t>
      </w:r>
      <w:r>
        <w:rPr>
          <w:rFonts w:hint="eastAsia" w:ascii="仿宋_GB2312" w:hAnsi="仿宋_GB2312" w:eastAsia="仿宋_GB2312" w:cs="仿宋_GB2312"/>
          <w:sz w:val="32"/>
          <w:szCs w:val="32"/>
          <w:lang w:val="en-US" w:eastAsia="zh-CN"/>
        </w:rPr>
        <w:t>，做好推出弥勒文化、古嘉州民俗等演绎，持续升级夜游凌云山和夜游三江游线</w:t>
      </w:r>
      <w:r>
        <w:rPr>
          <w:rFonts w:hint="eastAsia" w:ascii="仿宋_GB2312" w:hAnsi="黑体" w:eastAsia="仿宋_GB2312"/>
          <w:b w:val="0"/>
          <w:bCs/>
          <w:sz w:val="32"/>
          <w:szCs w:val="32"/>
          <w:lang w:eastAsia="zh-CN"/>
        </w:rPr>
        <w:t>；充分利用新建成南游客中心，</w:t>
      </w:r>
      <w:r>
        <w:rPr>
          <w:rFonts w:hint="eastAsia" w:ascii="仿宋_GB2312" w:hAnsi="仿宋" w:eastAsia="仿宋_GB2312" w:cs="仿宋"/>
          <w:b w:val="0"/>
          <w:bCs/>
          <w:sz w:val="32"/>
          <w:szCs w:val="32"/>
          <w:lang w:eastAsia="zh-CN"/>
        </w:rPr>
        <w:t>推出从北至南景区全域游线，联动</w:t>
      </w:r>
      <w:r>
        <w:rPr>
          <w:rFonts w:hint="eastAsia" w:ascii="仿宋_GB2312" w:hAnsi="仿宋" w:eastAsia="仿宋_GB2312" w:cs="仿宋"/>
          <w:b w:val="0"/>
          <w:bCs/>
          <w:sz w:val="32"/>
          <w:szCs w:val="32"/>
        </w:rPr>
        <w:t>张公桥、上</w:t>
      </w:r>
      <w:r>
        <w:rPr>
          <w:rFonts w:hint="eastAsia" w:ascii="仿宋_GB2312" w:hAnsi="仿宋" w:eastAsia="仿宋_GB2312" w:cs="仿宋"/>
          <w:sz w:val="32"/>
          <w:szCs w:val="32"/>
        </w:rPr>
        <w:t>中顺</w:t>
      </w:r>
      <w:r>
        <w:rPr>
          <w:rFonts w:hint="eastAsia" w:ascii="仿宋_GB2312" w:hAnsi="仿宋" w:eastAsia="仿宋_GB2312"/>
          <w:color w:val="000000"/>
          <w:sz w:val="32"/>
          <w:szCs w:val="32"/>
        </w:rPr>
        <w:t>美食街区等新产品</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满足来乐游客多样化需求。</w:t>
      </w:r>
      <w:r>
        <w:rPr>
          <w:rFonts w:hint="eastAsia" w:ascii="仿宋_GB2312" w:hAnsi="仿宋" w:eastAsia="仿宋_GB2312"/>
          <w:b/>
          <w:bCs/>
          <w:color w:val="000000"/>
          <w:sz w:val="32"/>
          <w:szCs w:val="32"/>
          <w:lang w:val="en-US" w:eastAsia="zh-CN"/>
        </w:rPr>
        <w:t>2.</w:t>
      </w:r>
      <w:r>
        <w:rPr>
          <w:rFonts w:hint="eastAsia" w:ascii="仿宋_GB2312" w:hAnsi="仿宋" w:eastAsia="仿宋_GB2312"/>
          <w:b/>
          <w:bCs/>
          <w:color w:val="000000"/>
          <w:sz w:val="32"/>
          <w:szCs w:val="32"/>
          <w:lang w:eastAsia="zh-CN"/>
        </w:rPr>
        <w:t>保持“大佛热度”。</w:t>
      </w:r>
      <w:r>
        <w:rPr>
          <w:rFonts w:hint="eastAsia" w:ascii="仿宋_GB2312" w:hAnsi="仿宋" w:eastAsia="仿宋_GB2312"/>
          <w:color w:val="000000"/>
          <w:sz w:val="32"/>
          <w:szCs w:val="32"/>
        </w:rPr>
        <w:t>加强与美团、携程等OTA平台以及小红书、抖音</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blibili</w:t>
      </w:r>
      <w:r>
        <w:rPr>
          <w:rFonts w:hint="eastAsia" w:ascii="仿宋_GB2312" w:hAnsi="仿宋" w:eastAsia="仿宋_GB2312"/>
          <w:color w:val="000000"/>
          <w:sz w:val="32"/>
          <w:szCs w:val="32"/>
        </w:rPr>
        <w:t>等重要推介平台深度合作，扩大宣传覆盖面。加深与</w:t>
      </w:r>
      <w:r>
        <w:rPr>
          <w:rFonts w:hint="eastAsia" w:ascii="仿宋_GB2312" w:hAnsi="仿宋" w:eastAsia="仿宋_GB2312"/>
          <w:color w:val="000000"/>
          <w:sz w:val="32"/>
          <w:szCs w:val="32"/>
          <w:lang w:eastAsia="zh-CN"/>
        </w:rPr>
        <w:t>国内外友好景区</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重要客源地城市、</w:t>
      </w:r>
      <w:r>
        <w:rPr>
          <w:rFonts w:hint="eastAsia" w:ascii="仿宋_GB2312" w:hAnsi="仿宋" w:eastAsia="仿宋_GB2312"/>
          <w:color w:val="000000"/>
          <w:sz w:val="32"/>
          <w:szCs w:val="32"/>
        </w:rPr>
        <w:t>旅游协会合作，借助博览会、展销会</w:t>
      </w:r>
      <w:r>
        <w:rPr>
          <w:rFonts w:hint="eastAsia" w:ascii="仿宋_GB2312" w:hAnsi="仿宋" w:eastAsia="仿宋_GB2312"/>
          <w:color w:val="000000"/>
          <w:sz w:val="32"/>
          <w:szCs w:val="32"/>
          <w:lang w:eastAsia="zh-CN"/>
        </w:rPr>
        <w:t>等活动，拓展游客市场。</w:t>
      </w:r>
      <w:r>
        <w:rPr>
          <w:rFonts w:hint="eastAsia" w:ascii="仿宋_GB2312" w:hAnsi="仿宋" w:eastAsia="仿宋_GB2312"/>
          <w:b/>
          <w:bCs/>
          <w:color w:val="000000"/>
          <w:sz w:val="32"/>
          <w:szCs w:val="32"/>
          <w:lang w:val="en-US" w:eastAsia="zh-CN"/>
        </w:rPr>
        <w:t>3.做好“大佛礼物”。</w:t>
      </w:r>
      <w:r>
        <w:rPr>
          <w:rFonts w:hint="eastAsia" w:ascii="仿宋_GB2312" w:hAnsi="仿宋" w:eastAsia="仿宋_GB2312" w:cs="宋体"/>
          <w:color w:val="000000"/>
          <w:sz w:val="32"/>
          <w:szCs w:val="32"/>
          <w:lang w:val="en-US" w:eastAsia="zh-CN"/>
        </w:rPr>
        <w:t>加快</w:t>
      </w:r>
      <w:r>
        <w:rPr>
          <w:rFonts w:hint="eastAsia" w:ascii="仿宋_GB2312" w:hAnsi="仿宋" w:eastAsia="仿宋_GB2312" w:cs="宋体"/>
          <w:color w:val="000000"/>
          <w:sz w:val="32"/>
          <w:szCs w:val="32"/>
          <w:lang w:eastAsia="zh-CN"/>
        </w:rPr>
        <w:t>建设乐山文创产业园区，</w:t>
      </w:r>
      <w:r>
        <w:rPr>
          <w:rFonts w:hint="eastAsia" w:ascii="仿宋_GB2312" w:hAnsi="仿宋" w:eastAsia="仿宋_GB2312"/>
          <w:color w:val="000000"/>
          <w:sz w:val="32"/>
          <w:szCs w:val="32"/>
          <w:lang w:eastAsia="zh-CN"/>
        </w:rPr>
        <w:t>大力开发“大佛印象”“凌云礼”本土文创品牌，</w:t>
      </w:r>
      <w:r>
        <w:rPr>
          <w:rFonts w:hint="eastAsia" w:ascii="仿宋_GB2312" w:hAnsi="仿宋_GB2312" w:eastAsia="仿宋_GB2312" w:cs="仿宋_GB2312"/>
          <w:color w:val="auto"/>
          <w:sz w:val="32"/>
          <w:szCs w:val="32"/>
          <w:u w:val="none"/>
          <w:lang w:val="en-US" w:eastAsia="zh-CN"/>
        </w:rPr>
        <w:t>招募优质文创设计企业入驻，联名打造一批兼具纪念性、实用性的文创产品</w:t>
      </w:r>
      <w:r>
        <w:rPr>
          <w:rFonts w:hint="eastAsia" w:ascii="仿宋_GB2312" w:hAnsi="仿宋" w:eastAsia="仿宋_GB2312"/>
          <w:color w:val="000000"/>
          <w:sz w:val="32"/>
          <w:szCs w:val="32"/>
          <w:lang w:val="en-US" w:eastAsia="zh-CN"/>
        </w:rPr>
        <w:t>。</w:t>
      </w:r>
      <w:r>
        <w:rPr>
          <w:rFonts w:hint="eastAsia" w:ascii="仿宋_GB2312" w:hAnsi="仿宋" w:eastAsia="仿宋_GB2312"/>
          <w:b/>
          <w:bCs/>
          <w:color w:val="000000"/>
          <w:sz w:val="32"/>
          <w:szCs w:val="32"/>
          <w:lang w:val="en-US" w:eastAsia="zh-CN"/>
        </w:rPr>
        <w:t>4.讲好“大佛故事”。</w:t>
      </w:r>
      <w:r>
        <w:rPr>
          <w:rFonts w:hint="eastAsia" w:ascii="仿宋_GB2312" w:hAnsi="仿宋" w:eastAsia="仿宋_GB2312"/>
          <w:color w:val="000000"/>
          <w:sz w:val="32"/>
          <w:szCs w:val="32"/>
          <w:lang w:val="en-US" w:eastAsia="zh-CN"/>
        </w:rPr>
        <w:t>深入挖掘乐山历史文化，丰富景区讲解词的历史底蕴和人文内涵。规范讲解服务管理，提升从业人员素质，打造“金牌讲解员”，提升景区讲解服务质量。</w:t>
      </w:r>
    </w:p>
    <w:p>
      <w:pPr>
        <w:keepNext w:val="0"/>
        <w:keepLines w:val="0"/>
        <w:pageBreakBefore w:val="0"/>
        <w:widowControl/>
        <w:kinsoku/>
        <w:wordWrap/>
        <w:overflowPunct/>
        <w:topLinePunct w:val="0"/>
        <w:autoSpaceDE/>
        <w:autoSpaceDN/>
        <w:bidi w:val="0"/>
        <w:adjustRightInd/>
        <w:snapToGrid/>
        <w:spacing w:line="576" w:lineRule="exact"/>
        <w:ind w:firstLine="643" w:firstLineChars="200"/>
        <w:jc w:val="left"/>
        <w:textAlignment w:val="auto"/>
        <w:rPr>
          <w:rFonts w:hint="default" w:ascii="仿宋_GB2312" w:hAnsi="仿宋_GB2312" w:eastAsia="仿宋_GB2312" w:cs="仿宋_GB2312"/>
          <w:b/>
          <w:bCs/>
          <w:snapToGrid w:val="0"/>
          <w:color w:val="auto"/>
          <w:sz w:val="32"/>
          <w:szCs w:val="32"/>
          <w:u w:val="none"/>
          <w:lang w:val="en-US" w:eastAsia="zh-CN"/>
        </w:rPr>
      </w:pPr>
      <w:r>
        <w:rPr>
          <w:rFonts w:hint="eastAsia" w:ascii="仿宋_GB2312" w:hAnsi="仿宋_GB2312" w:eastAsia="仿宋_GB2312" w:cs="仿宋_GB2312"/>
          <w:b/>
          <w:bCs/>
          <w:snapToGrid w:val="0"/>
          <w:color w:val="auto"/>
          <w:sz w:val="32"/>
          <w:szCs w:val="32"/>
          <w:u w:val="none"/>
          <w:lang w:val="en-US" w:eastAsia="zh-CN"/>
        </w:rPr>
        <w:t>四是围绕“展示好形象”。</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打造“安全景区”。</w:t>
      </w:r>
      <w:r>
        <w:rPr>
          <w:rFonts w:hint="eastAsia" w:ascii="仿宋_GB2312" w:hAnsi="仿宋_GB2312" w:eastAsia="仿宋_GB2312" w:cs="仿宋_GB2312"/>
          <w:sz w:val="32"/>
          <w:szCs w:val="32"/>
          <w:lang w:val="en-US" w:eastAsia="zh-CN"/>
        </w:rPr>
        <w:t>始终</w:t>
      </w:r>
      <w:r>
        <w:rPr>
          <w:rFonts w:hint="eastAsia" w:ascii="仿宋_GB2312" w:hAnsi="仿宋_GB2312" w:eastAsia="仿宋_GB2312" w:cs="仿宋_GB2312"/>
          <w:sz w:val="32"/>
          <w:szCs w:val="32"/>
          <w:lang w:eastAsia="zh-CN"/>
        </w:rPr>
        <w:t>聚焦水上安全、地质灾害、森林防灭火、文物安全等重点领域，</w:t>
      </w:r>
      <w:r>
        <w:rPr>
          <w:rFonts w:hint="eastAsia" w:ascii="仿宋_GB2312" w:hAnsi="仿宋_GB2312" w:eastAsia="仿宋_GB2312" w:cs="仿宋_GB2312"/>
          <w:sz w:val="32"/>
          <w:szCs w:val="32"/>
          <w:lang w:val="en-US" w:eastAsia="zh-CN"/>
        </w:rPr>
        <w:t>按照“清单制+责任制+时限制”要求，</w:t>
      </w:r>
      <w:r>
        <w:rPr>
          <w:rFonts w:hint="eastAsia" w:ascii="仿宋_GB2312" w:hAnsi="仿宋_GB2312" w:eastAsia="仿宋_GB2312" w:cs="仿宋_GB2312"/>
          <w:sz w:val="32"/>
          <w:szCs w:val="32"/>
          <w:lang w:eastAsia="zh-CN"/>
        </w:rPr>
        <w:t>开展拉网式排查整治，完善应急预案、加强应急演练、组建应急保障队伍，筑牢安全防线。</w:t>
      </w:r>
      <w:r>
        <w:rPr>
          <w:rFonts w:hint="eastAsia" w:ascii="仿宋_GB2312" w:hAnsi="仿宋_GB2312" w:eastAsia="仿宋_GB2312" w:cs="仿宋_GB2312"/>
          <w:b/>
          <w:bCs/>
          <w:sz w:val="32"/>
          <w:szCs w:val="32"/>
          <w:lang w:val="en-US" w:eastAsia="zh-CN"/>
        </w:rPr>
        <w:t>2.打造“智慧景区”。</w:t>
      </w:r>
      <w:r>
        <w:rPr>
          <w:rFonts w:hint="eastAsia" w:ascii="仿宋_GB2312" w:hAnsi="仿宋" w:eastAsia="仿宋_GB2312" w:cs="仿宋_GB2312"/>
          <w:kern w:val="0"/>
          <w:sz w:val="32"/>
          <w:szCs w:val="32"/>
        </w:rPr>
        <w:t>加快停车场</w:t>
      </w:r>
      <w:r>
        <w:rPr>
          <w:rFonts w:hint="eastAsia" w:ascii="仿宋_GB2312" w:hAnsi="仿宋" w:eastAsia="仿宋_GB2312" w:cs="仿宋_GB2312"/>
          <w:kern w:val="0"/>
          <w:sz w:val="32"/>
          <w:szCs w:val="32"/>
          <w:lang w:eastAsia="zh-CN"/>
        </w:rPr>
        <w:t>信息化</w:t>
      </w:r>
      <w:r>
        <w:rPr>
          <w:rFonts w:hint="eastAsia" w:ascii="仿宋_GB2312" w:hAnsi="仿宋" w:eastAsia="仿宋_GB2312" w:cs="仿宋_GB2312"/>
          <w:kern w:val="0"/>
          <w:sz w:val="32"/>
          <w:szCs w:val="32"/>
        </w:rPr>
        <w:t>建设</w:t>
      </w:r>
      <w:r>
        <w:rPr>
          <w:rFonts w:hint="eastAsia" w:ascii="仿宋_GB2312" w:hAnsi="仿宋" w:eastAsia="仿宋_GB2312" w:cs="仿宋_GB2312"/>
          <w:kern w:val="0"/>
          <w:sz w:val="32"/>
          <w:szCs w:val="32"/>
          <w:lang w:eastAsia="zh-CN"/>
        </w:rPr>
        <w:t>，打造“</w:t>
      </w:r>
      <w:r>
        <w:rPr>
          <w:rFonts w:hint="eastAsia" w:ascii="仿宋_GB2312" w:hAnsi="仿宋" w:eastAsia="仿宋_GB2312" w:cs="仿宋_GB2312"/>
          <w:sz w:val="32"/>
          <w:szCs w:val="32"/>
        </w:rPr>
        <w:t>智慧交通</w:t>
      </w:r>
      <w:r>
        <w:rPr>
          <w:rFonts w:hint="eastAsia" w:ascii="仿宋_GB2312" w:hAnsi="仿宋" w:eastAsia="仿宋_GB2312" w:cs="仿宋_GB2312"/>
          <w:kern w:val="0"/>
          <w:sz w:val="32"/>
          <w:szCs w:val="32"/>
          <w:lang w:eastAsia="zh-CN"/>
        </w:rPr>
        <w:t>”。</w:t>
      </w:r>
      <w:r>
        <w:rPr>
          <w:rFonts w:hint="eastAsia" w:ascii="仿宋_GB2312" w:hAnsi="仿宋_GB2312" w:eastAsia="仿宋_GB2312" w:cs="仿宋_GB2312"/>
          <w:sz w:val="32"/>
          <w:szCs w:val="32"/>
          <w:lang w:val="en-US" w:eastAsia="zh-CN"/>
        </w:rPr>
        <w:t>优化“一机游”嘉州全域旅游大数据平台，做好游客精准画像和精细化管理</w:t>
      </w:r>
      <w:r>
        <w:rPr>
          <w:rFonts w:hint="eastAsia" w:ascii="仿宋_GB2312" w:hAnsi="仿宋" w:eastAsia="仿宋_GB2312" w:cs="仿宋_GB2312"/>
          <w:kern w:val="0"/>
          <w:sz w:val="32"/>
          <w:szCs w:val="32"/>
          <w:lang w:eastAsia="zh-CN"/>
        </w:rPr>
        <w:t>。</w:t>
      </w:r>
      <w:r>
        <w:rPr>
          <w:rFonts w:hint="eastAsia" w:ascii="仿宋_GB2312" w:hAnsi="仿宋" w:eastAsia="仿宋_GB2312" w:cs="仿宋_GB2312"/>
          <w:b/>
          <w:bCs/>
          <w:kern w:val="0"/>
          <w:sz w:val="32"/>
          <w:szCs w:val="32"/>
          <w:lang w:val="en-US" w:eastAsia="zh-CN"/>
        </w:rPr>
        <w:t>3.</w:t>
      </w:r>
      <w:r>
        <w:rPr>
          <w:rFonts w:hint="eastAsia" w:ascii="仿宋_GB2312" w:hAnsi="仿宋_GB2312" w:eastAsia="仿宋_GB2312" w:cs="仿宋_GB2312"/>
          <w:b/>
          <w:bCs/>
          <w:sz w:val="32"/>
          <w:szCs w:val="32"/>
          <w:lang w:val="en-US" w:eastAsia="zh-CN"/>
        </w:rPr>
        <w:t>打造“绿色景区”。</w:t>
      </w:r>
      <w:r>
        <w:rPr>
          <w:rFonts w:hint="eastAsia" w:ascii="仿宋_GB2312" w:hAnsi="仿宋_GB2312" w:eastAsia="仿宋_GB2312" w:cs="仿宋_GB2312"/>
          <w:sz w:val="32"/>
          <w:szCs w:val="32"/>
          <w:lang w:val="en-US" w:eastAsia="zh-CN"/>
        </w:rPr>
        <w:t>积极推进“无废景区”实践教育基地建设，完成松材线虫、白蚁及“菟丝子”等外来有害生物入侵防治，对景区沿线植被进行</w:t>
      </w:r>
      <w:r>
        <w:rPr>
          <w:rFonts w:hint="eastAsia" w:ascii="仿宋_GB2312" w:hAnsi="Calibri" w:eastAsia="仿宋_GB2312"/>
          <w:sz w:val="32"/>
          <w:szCs w:val="32"/>
          <w:lang w:val="en-US" w:eastAsia="zh-CN"/>
        </w:rPr>
        <w:t>绿化提升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4.打造“舒心景区”。</w:t>
      </w:r>
      <w:r>
        <w:rPr>
          <w:rFonts w:hint="eastAsia" w:ascii="仿宋_GB2312" w:eastAsia="仿宋_GB2312" w:hAnsiTheme="minorHAnsi" w:cstheme="minorBidi"/>
          <w:color w:val="auto"/>
          <w:kern w:val="0"/>
          <w:sz w:val="32"/>
          <w:szCs w:val="32"/>
          <w:lang w:val="en-US" w:eastAsia="zh-CN" w:bidi="ar"/>
        </w:rPr>
        <w:t>狠抓业务培训，</w:t>
      </w:r>
      <w:r>
        <w:rPr>
          <w:rFonts w:hint="eastAsia" w:ascii="仿宋_GB2312" w:hAnsi="??" w:eastAsia="仿宋_GB2312" w:cs="仿宋_GB2312"/>
          <w:b w:val="0"/>
          <w:color w:val="auto"/>
          <w:kern w:val="2"/>
          <w:sz w:val="32"/>
          <w:szCs w:val="32"/>
          <w:lang w:val="en-US" w:eastAsia="zh-CN" w:bidi="ar"/>
        </w:rPr>
        <w:t>探索</w:t>
      </w:r>
      <w:r>
        <w:rPr>
          <w:rFonts w:hint="eastAsia" w:ascii="仿宋_GB2312" w:eastAsia="仿宋_GB2312" w:cs="仿宋_GB2312"/>
          <w:color w:val="auto"/>
          <w:sz w:val="32"/>
          <w:szCs w:val="32"/>
          <w:lang w:val="en-US" w:eastAsia="zh-CN"/>
        </w:rPr>
        <w:t>差异化考核，提升一线管理人员服务质量。持续深化“宠游客”行动，</w:t>
      </w:r>
      <w:r>
        <w:rPr>
          <w:rFonts w:hint="eastAsia" w:ascii="仿宋_GB2312" w:hAnsi="仿宋_GB2312" w:eastAsia="仿宋_GB2312" w:cs="仿宋_GB2312"/>
          <w:sz w:val="32"/>
          <w:szCs w:val="32"/>
          <w:lang w:val="en-US" w:eastAsia="zh-CN"/>
        </w:rPr>
        <w:t>开展最“嘉”旅游景区专项提升行动，打击旅游市场乱象，让旅游环境更清朗。建设“大佛先锋”志愿服务品牌，让管理服务更优质。</w:t>
      </w:r>
    </w:p>
    <w:p>
      <w:pPr>
        <w:pStyle w:val="6"/>
        <w:widowControl/>
        <w:spacing w:before="0" w:beforeAutospacing="0" w:after="0" w:afterAutospacing="0" w:line="600" w:lineRule="exact"/>
        <w:ind w:firstLine="640" w:firstLineChars="200"/>
        <w:jc w:val="both"/>
        <w:outlineLvl w:val="1"/>
        <w:rPr>
          <w:rStyle w:val="10"/>
          <w:rFonts w:hint="eastAsia" w:ascii="Times New Roman" w:hAnsi="Times New Roman" w:eastAsia="黑体" w:cs="宋体"/>
          <w:b w:val="0"/>
          <w:bCs/>
          <w:color w:val="333333"/>
          <w:sz w:val="32"/>
          <w:szCs w:val="21"/>
        </w:rPr>
      </w:pPr>
      <w:bookmarkStart w:id="2" w:name="_GoBack"/>
      <w:bookmarkEnd w:id="2"/>
      <w:r>
        <w:rPr>
          <w:rStyle w:val="10"/>
          <w:rFonts w:hint="eastAsia" w:ascii="Times New Roman" w:hAnsi="Times New Roman" w:eastAsia="黑体" w:cs="宋体"/>
          <w:b w:val="0"/>
          <w:bCs/>
          <w:color w:val="333333"/>
          <w:sz w:val="32"/>
          <w:szCs w:val="21"/>
        </w:rPr>
        <w:t>二、部门预算单位构成</w:t>
      </w:r>
    </w:p>
    <w:p>
      <w:pPr>
        <w:pStyle w:val="3"/>
        <w:adjustRightInd w:val="0"/>
        <w:spacing w:before="130" w:line="580" w:lineRule="exact"/>
        <w:ind w:firstLine="672" w:firstLineChars="210"/>
        <w:rPr>
          <w:rFonts w:hint="eastAsia" w:ascii="Times New Roman" w:hAnsi="Times New Roman" w:eastAsia="仿宋_GB2312" w:cs="仿宋_GB2312"/>
          <w:sz w:val="32"/>
        </w:rPr>
      </w:pPr>
      <w:r>
        <w:rPr>
          <w:rFonts w:ascii="仿宋_GB2312" w:hAnsi="Calibri" w:eastAsia="仿宋_GB2312" w:cs="Times New Roman"/>
          <w:kern w:val="0"/>
          <w:sz w:val="32"/>
          <w:szCs w:val="32"/>
          <w:highlight w:val="none"/>
          <w:lang w:val="en-US" w:eastAsia="zh-CN" w:bidi="ar"/>
        </w:rPr>
        <w:t>乐山大佛风景名胜区管理委员会</w:t>
      </w:r>
      <w:r>
        <w:rPr>
          <w:rFonts w:hint="eastAsia" w:ascii="Times New Roman" w:hAnsi="Times New Roman" w:eastAsia="仿宋_GB2312" w:cs="仿宋_GB2312"/>
          <w:sz w:val="32"/>
        </w:rPr>
        <w:t>下属二级预算单位</w:t>
      </w:r>
      <w:r>
        <w:rPr>
          <w:rFonts w:hint="eastAsia" w:ascii="Times New Roman" w:hAnsi="Times New Roman" w:eastAsia="仿宋_GB2312" w:cs="仿宋_GB2312"/>
          <w:sz w:val="32"/>
          <w:lang w:val="en-US" w:eastAsia="zh-CN"/>
        </w:rPr>
        <w:t>2</w:t>
      </w:r>
      <w:r>
        <w:rPr>
          <w:rFonts w:hint="eastAsia" w:ascii="Times New Roman" w:hAnsi="Times New Roman" w:eastAsia="仿宋_GB2312" w:cs="仿宋_GB2312"/>
          <w:sz w:val="32"/>
        </w:rPr>
        <w:t>个，其中参照公务员法管理的事业单位</w:t>
      </w:r>
      <w:r>
        <w:rPr>
          <w:rFonts w:hint="eastAsia" w:ascii="Times New Roman" w:hAnsi="Times New Roman" w:eastAsia="仿宋_GB2312" w:cs="仿宋_GB2312"/>
          <w:sz w:val="32"/>
          <w:lang w:val="en-US" w:eastAsia="zh-CN"/>
        </w:rPr>
        <w:t>1</w:t>
      </w:r>
      <w:r>
        <w:rPr>
          <w:rFonts w:hint="eastAsia" w:ascii="Times New Roman" w:hAnsi="Times New Roman" w:eastAsia="仿宋_GB2312" w:cs="仿宋_GB2312"/>
          <w:sz w:val="32"/>
        </w:rPr>
        <w:t>个，其他事业单位</w:t>
      </w:r>
      <w:r>
        <w:rPr>
          <w:rFonts w:hint="eastAsia" w:ascii="Times New Roman" w:hAnsi="Times New Roman" w:eastAsia="仿宋_GB2312" w:cs="仿宋_GB2312"/>
          <w:sz w:val="32"/>
          <w:lang w:val="en-US" w:eastAsia="zh-CN"/>
        </w:rPr>
        <w:t>1</w:t>
      </w:r>
      <w:r>
        <w:rPr>
          <w:rFonts w:hint="eastAsia" w:ascii="Times New Roman" w:hAnsi="Times New Roman" w:eastAsia="仿宋_GB2312" w:cs="仿宋_GB2312"/>
          <w:sz w:val="32"/>
        </w:rPr>
        <w:t>个。主要包括：</w:t>
      </w: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05" w:type="dxa"/>
            <w:shd w:val="clear" w:color="auto" w:fill="auto"/>
            <w:noWrap w:val="0"/>
            <w:vAlign w:val="top"/>
          </w:tcPr>
          <w:p>
            <w:pPr>
              <w:pStyle w:val="6"/>
              <w:widowControl/>
              <w:spacing w:before="0" w:beforeAutospacing="0" w:after="0" w:afterAutospacing="0" w:line="600" w:lineRule="exact"/>
              <w:ind w:firstLine="640" w:firstLineChars="200"/>
              <w:jc w:val="both"/>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序号</w:t>
            </w:r>
          </w:p>
        </w:tc>
        <w:tc>
          <w:tcPr>
            <w:tcW w:w="6282" w:type="dxa"/>
            <w:shd w:val="clear" w:color="auto" w:fill="auto"/>
            <w:noWrap w:val="0"/>
            <w:vAlign w:val="top"/>
          </w:tcPr>
          <w:p>
            <w:pPr>
              <w:pStyle w:val="6"/>
              <w:widowControl/>
              <w:spacing w:before="0" w:beforeAutospacing="0" w:after="0" w:afterAutospacing="0" w:line="600" w:lineRule="exact"/>
              <w:ind w:firstLine="640" w:firstLineChars="200"/>
              <w:jc w:val="both"/>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预算单位名称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05" w:type="dxa"/>
            <w:shd w:val="clear" w:color="auto" w:fill="auto"/>
            <w:noWrap w:val="0"/>
            <w:vAlign w:val="top"/>
          </w:tcPr>
          <w:p>
            <w:pPr>
              <w:pStyle w:val="6"/>
              <w:widowControl/>
              <w:spacing w:before="0" w:beforeAutospacing="0" w:after="0" w:afterAutospacing="0" w:line="600" w:lineRule="exact"/>
              <w:ind w:firstLine="640" w:firstLineChars="200"/>
              <w:jc w:val="both"/>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1</w:t>
            </w:r>
          </w:p>
        </w:tc>
        <w:tc>
          <w:tcPr>
            <w:tcW w:w="6282" w:type="dxa"/>
            <w:shd w:val="clear" w:color="auto" w:fill="auto"/>
            <w:noWrap w:val="0"/>
            <w:vAlign w:val="top"/>
          </w:tcPr>
          <w:p>
            <w:pPr>
              <w:pStyle w:val="6"/>
              <w:widowControl/>
              <w:spacing w:before="0" w:beforeAutospacing="0" w:after="0" w:afterAutospacing="0" w:line="600" w:lineRule="exact"/>
              <w:ind w:firstLine="640" w:firstLineChars="200"/>
              <w:jc w:val="both"/>
              <w:rPr>
                <w:rFonts w:ascii="Times New Roman" w:hAnsi="Times New Roman" w:eastAsia="仿宋_GB2312" w:cs="仿宋_GB2312"/>
                <w:color w:val="333333"/>
                <w:sz w:val="32"/>
                <w:szCs w:val="32"/>
              </w:rPr>
            </w:pPr>
            <w:r>
              <w:rPr>
                <w:rFonts w:ascii="仿宋_GB2312" w:hAnsi="Calibri" w:eastAsia="仿宋_GB2312"/>
                <w:sz w:val="32"/>
                <w:szCs w:val="32"/>
                <w:highlight w:val="none"/>
              </w:rPr>
              <w:t>乐山大佛风景名胜区管理委员会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05" w:type="dxa"/>
            <w:shd w:val="clear" w:color="auto" w:fill="auto"/>
            <w:noWrap w:val="0"/>
            <w:vAlign w:val="top"/>
          </w:tcPr>
          <w:p>
            <w:pPr>
              <w:pStyle w:val="6"/>
              <w:widowControl/>
              <w:spacing w:before="0" w:beforeAutospacing="0" w:after="0" w:afterAutospacing="0" w:line="600" w:lineRule="exact"/>
              <w:ind w:firstLine="640" w:firstLineChars="200"/>
              <w:jc w:val="both"/>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2</w:t>
            </w:r>
          </w:p>
        </w:tc>
        <w:tc>
          <w:tcPr>
            <w:tcW w:w="6282" w:type="dxa"/>
            <w:shd w:val="clear" w:color="auto" w:fill="auto"/>
            <w:noWrap w:val="0"/>
            <w:vAlign w:val="top"/>
          </w:tcPr>
          <w:p>
            <w:pPr>
              <w:pStyle w:val="6"/>
              <w:widowControl/>
              <w:spacing w:before="0" w:beforeAutospacing="0" w:after="0" w:afterAutospacing="0" w:line="600" w:lineRule="exact"/>
              <w:ind w:firstLine="640" w:firstLineChars="200"/>
              <w:jc w:val="both"/>
              <w:rPr>
                <w:rFonts w:hint="eastAsia" w:ascii="Times New Roman" w:hAnsi="Times New Roman" w:eastAsia="仿宋_GB2312" w:cs="仿宋_GB2312"/>
                <w:color w:val="333333"/>
                <w:sz w:val="32"/>
                <w:szCs w:val="32"/>
                <w:lang w:eastAsia="zh-CN"/>
              </w:rPr>
            </w:pPr>
            <w:r>
              <w:rPr>
                <w:rFonts w:hint="eastAsia" w:ascii="Times New Roman" w:hAnsi="Times New Roman" w:eastAsia="仿宋_GB2312" w:cs="仿宋_GB2312"/>
                <w:color w:val="333333"/>
                <w:sz w:val="32"/>
                <w:szCs w:val="32"/>
                <w:lang w:eastAsia="zh-CN"/>
              </w:rPr>
              <w:t>乐山大佛石窟研究院</w:t>
            </w:r>
          </w:p>
        </w:tc>
      </w:tr>
    </w:tbl>
    <w:p>
      <w:pPr>
        <w:pStyle w:val="6"/>
        <w:widowControl/>
        <w:spacing w:before="0" w:beforeAutospacing="0" w:after="0" w:afterAutospacing="0" w:line="600" w:lineRule="exact"/>
        <w:ind w:firstLine="640" w:firstLineChars="200"/>
        <w:jc w:val="both"/>
        <w:rPr>
          <w:rFonts w:ascii="Times New Roman" w:hAnsi="Times New Roman" w:eastAsia="仿宋_GB2312" w:cs="仿宋_GB2312"/>
          <w:color w:val="333333"/>
          <w:sz w:val="32"/>
          <w:szCs w:val="32"/>
        </w:rPr>
      </w:pPr>
    </w:p>
    <w:p>
      <w:pPr>
        <w:pStyle w:val="6"/>
        <w:widowControl/>
        <w:spacing w:before="0" w:beforeAutospacing="0" w:after="150" w:afterAutospacing="0"/>
        <w:rPr>
          <w:rFonts w:hint="eastAsia" w:ascii="Times New Roman" w:hAnsi="Times New Roman" w:eastAsia="方正小标宋简体" w:cs="方正小标宋简体"/>
          <w:sz w:val="52"/>
          <w:szCs w:val="52"/>
          <w:lang w:bidi="ar"/>
        </w:rPr>
        <w:sectPr>
          <w:footerReference r:id="rId5" w:type="default"/>
          <w:pgSz w:w="11906" w:h="16838"/>
          <w:pgMar w:top="1440" w:right="1800" w:bottom="1440" w:left="1800" w:header="720" w:footer="720" w:gutter="0"/>
          <w:pgNumType w:fmt="numberInDash" w:start="1"/>
          <w:cols w:space="720" w:num="1"/>
          <w:docGrid w:type="lines" w:linePitch="312" w:charSpace="0"/>
        </w:sect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rPr>
          <w:rFonts w:hint="eastAsia" w:ascii="Times New Roman" w:hAnsi="Times New Roman" w:eastAsia="方正小标宋简体" w:cs="方正小标宋简体"/>
          <w:sz w:val="52"/>
          <w:szCs w:val="52"/>
          <w:lang w:bidi="ar"/>
        </w:rPr>
      </w:pPr>
    </w:p>
    <w:p>
      <w:pPr>
        <w:pStyle w:val="6"/>
        <w:widowControl/>
        <w:spacing w:before="0" w:beforeAutospacing="0" w:after="0" w:afterAutospacing="0"/>
        <w:jc w:val="center"/>
        <w:outlineLvl w:val="0"/>
        <w:rPr>
          <w:rFonts w:hint="eastAsia" w:ascii="Times New Roman" w:hAnsi="Times New Roman" w:eastAsia="方正小标宋简体" w:cs="方正小标宋简体"/>
          <w:sz w:val="52"/>
          <w:szCs w:val="52"/>
          <w:lang w:eastAsia="zh-CN" w:bidi="ar"/>
        </w:rPr>
      </w:pPr>
      <w:r>
        <w:rPr>
          <w:rFonts w:hint="eastAsia" w:ascii="Times New Roman" w:hAnsi="Times New Roman" w:eastAsia="方正小标宋简体" w:cs="方正小标宋简体"/>
          <w:sz w:val="52"/>
          <w:szCs w:val="52"/>
          <w:lang w:bidi="ar"/>
        </w:rPr>
        <w:t xml:space="preserve">第二部分  </w:t>
      </w:r>
      <w:r>
        <w:rPr>
          <w:rFonts w:hint="eastAsia" w:ascii="Times New Roman" w:hAnsi="Times New Roman" w:eastAsia="方正小标宋简体" w:cs="方正小标宋简体"/>
          <w:sz w:val="52"/>
          <w:szCs w:val="52"/>
          <w:lang w:eastAsia="zh-CN" w:bidi="ar"/>
        </w:rPr>
        <w:t>乐山大佛风景名胜区管理委员会</w:t>
      </w:r>
    </w:p>
    <w:p>
      <w:pPr>
        <w:pStyle w:val="6"/>
        <w:widowControl/>
        <w:spacing w:before="0" w:beforeAutospacing="0" w:after="0" w:afterAutospacing="0"/>
        <w:jc w:val="center"/>
        <w:outlineLvl w:val="1"/>
        <w:rPr>
          <w:rFonts w:hint="eastAsia" w:ascii="Times New Roman" w:hAnsi="Times New Roman" w:eastAsia="方正小标宋简体" w:cs="方正小标宋简体"/>
          <w:sz w:val="36"/>
          <w:szCs w:val="36"/>
          <w:lang w:bidi="ar"/>
        </w:rPr>
      </w:pPr>
      <w:r>
        <w:rPr>
          <w:rFonts w:hint="eastAsia" w:ascii="Times New Roman" w:hAnsi="Times New Roman" w:eastAsia="方正小标宋简体" w:cs="方正小标宋简体"/>
          <w:sz w:val="52"/>
          <w:szCs w:val="52"/>
          <w:lang w:eastAsia="zh-CN" w:bidi="ar"/>
        </w:rPr>
        <w:t>2024</w:t>
      </w:r>
      <w:r>
        <w:rPr>
          <w:rFonts w:hint="eastAsia" w:ascii="Times New Roman" w:hAnsi="Times New Roman" w:eastAsia="方正小标宋简体" w:cs="方正小标宋简体"/>
          <w:sz w:val="52"/>
          <w:szCs w:val="52"/>
          <w:lang w:bidi="ar"/>
        </w:rPr>
        <w:t>年部门预算表</w:t>
      </w:r>
    </w:p>
    <w:p>
      <w:pPr>
        <w:pStyle w:val="6"/>
        <w:widowControl/>
        <w:spacing w:before="450" w:beforeAutospacing="0" w:after="0" w:afterAutospacing="0" w:line="360" w:lineRule="atLeast"/>
        <w:ind w:left="420"/>
        <w:jc w:val="both"/>
        <w:rPr>
          <w:rFonts w:hint="eastAsia" w:ascii="Times New Roman" w:hAnsi="Times New Roman" w:eastAsia="仿宋_GB2312" w:cs="仿宋_GB2312"/>
          <w:color w:val="333333"/>
          <w:sz w:val="32"/>
          <w:szCs w:val="32"/>
        </w:rPr>
        <w:sectPr>
          <w:footerReference r:id="rId6" w:type="default"/>
          <w:pgSz w:w="11906" w:h="16838"/>
          <w:pgMar w:top="1440" w:right="1800" w:bottom="1440" w:left="1800" w:header="720" w:footer="720" w:gutter="0"/>
          <w:pgNumType w:fmt="numberInDash" w:start="1"/>
          <w:cols w:space="720" w:num="1"/>
          <w:docGrid w:type="lines" w:linePitch="312" w:charSpace="0"/>
        </w:sectPr>
      </w:pP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一、部门收支总表（公开表1）</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二、部门收入总表（公开表1-1）</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三、部门支出总表（公开表1-2）</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四、财政拨款收支预算总表（公开表2）</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五、财政拨款支出预算表（部门经济分类科目）（公开</w:t>
      </w:r>
    </w:p>
    <w:p>
      <w:pPr>
        <w:pStyle w:val="6"/>
        <w:widowControl/>
        <w:spacing w:before="0" w:beforeAutospacing="0" w:after="0" w:afterAutospacing="0" w:line="600" w:lineRule="exact"/>
        <w:ind w:firstLine="1280" w:firstLineChars="400"/>
        <w:jc w:val="both"/>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表2-1）</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六、一般公共预算支出预算表（公开表3）</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七、一般公共预算基本支出预算表（公开表3-1）</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八、一般公共预算项目支出预算表（公开表3-2）</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九、一般公共预算“三公”经费支出预算表（公开表3-3）</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十、政府性基金预算支出表（公开表4）</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十一、政府性基金预算“三公”经费支出预算表（公开</w:t>
      </w:r>
    </w:p>
    <w:p>
      <w:pPr>
        <w:pStyle w:val="6"/>
        <w:widowControl/>
        <w:spacing w:before="0" w:beforeAutospacing="0" w:after="0" w:afterAutospacing="0" w:line="600" w:lineRule="exact"/>
        <w:ind w:firstLine="1600" w:firstLineChars="500"/>
        <w:jc w:val="both"/>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表4-1）</w:t>
      </w:r>
    </w:p>
    <w:p>
      <w:pPr>
        <w:pStyle w:val="6"/>
        <w:widowControl/>
        <w:numPr>
          <w:ilvl w:val="0"/>
          <w:numId w:val="1"/>
        </w:numPr>
        <w:spacing w:before="0" w:beforeAutospacing="0" w:after="0" w:afterAutospacing="0"/>
        <w:ind w:firstLine="640" w:firstLineChars="200"/>
        <w:jc w:val="both"/>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国有资本经营预算支出表（公开表5）</w:t>
      </w:r>
    </w:p>
    <w:p>
      <w:pPr>
        <w:pStyle w:val="6"/>
        <w:widowControl/>
        <w:spacing w:before="0" w:beforeAutospacing="0" w:after="0" w:afterAutospacing="0" w:line="600" w:lineRule="exact"/>
        <w:ind w:firstLine="640" w:firstLineChars="200"/>
        <w:jc w:val="both"/>
        <w:outlineLvl w:val="1"/>
        <w:rPr>
          <w:rFonts w:ascii="Times New Roman" w:hAnsi="Times New Roman" w:eastAsia="仿宋_GB2312" w:cs="仿宋_GB2312"/>
          <w:color w:val="333333"/>
          <w:sz w:val="32"/>
          <w:szCs w:val="32"/>
        </w:rPr>
      </w:pPr>
      <w:r>
        <w:rPr>
          <w:rFonts w:ascii="Times New Roman" w:hAnsi="Times New Roman" w:eastAsia="仿宋_GB2312" w:cs="仿宋_GB2312"/>
          <w:color w:val="333333"/>
          <w:sz w:val="32"/>
          <w:szCs w:val="32"/>
        </w:rPr>
        <w:t>十三、部门预算项目支出绩效目标表（公开表6）</w:t>
      </w:r>
    </w:p>
    <w:p>
      <w:pPr>
        <w:pStyle w:val="6"/>
        <w:widowControl/>
        <w:spacing w:before="0" w:beforeAutospacing="0" w:after="0" w:afterAutospacing="0" w:line="600" w:lineRule="exact"/>
        <w:ind w:firstLine="640" w:firstLineChars="200"/>
        <w:jc w:val="both"/>
        <w:outlineLvl w:val="1"/>
        <w:rPr>
          <w:rFonts w:hint="eastAsia" w:ascii="Times New Roman" w:hAnsi="Times New Roman" w:eastAsia="仿宋_GB2312" w:cs="仿宋_GB2312"/>
          <w:color w:val="333333"/>
          <w:sz w:val="32"/>
          <w:szCs w:val="32"/>
        </w:rPr>
      </w:pPr>
      <w:r>
        <w:rPr>
          <w:rFonts w:ascii="Times New Roman" w:hAnsi="Times New Roman" w:eastAsia="仿宋_GB2312" w:cs="仿宋_GB2312"/>
          <w:color w:val="333333"/>
          <w:sz w:val="32"/>
          <w:szCs w:val="32"/>
        </w:rPr>
        <w:t>十四、部门整体支出绩效目标表（公开表7）</w:t>
      </w:r>
    </w:p>
    <w:p>
      <w:pPr>
        <w:pStyle w:val="6"/>
        <w:widowControl/>
        <w:spacing w:before="0" w:beforeAutospacing="0" w:after="0" w:afterAutospacing="0" w:line="600" w:lineRule="exact"/>
        <w:ind w:firstLine="640" w:firstLineChars="200"/>
        <w:jc w:val="both"/>
        <w:outlineLvl w:val="1"/>
        <w:rPr>
          <w:rFonts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rPr>
        <w:t>十五、政府采购预算表（公开表8）</w:t>
      </w:r>
    </w:p>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47CE9"/>
    <w:multiLevelType w:val="singleLevel"/>
    <w:tmpl w:val="ABF47CE9"/>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NjY2MTNlMTU4NWU1MTc3ODJjODNhMjU0ODY1ZTUifQ=="/>
  </w:docVars>
  <w:rsids>
    <w:rsidRoot w:val="03A35E42"/>
    <w:rsid w:val="03A35E42"/>
    <w:rsid w:val="1E8D59CB"/>
    <w:rsid w:val="7C16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before="0" w:after="140" w:line="276" w:lineRule="auto"/>
    </w:pPr>
  </w:style>
  <w:style w:type="paragraph" w:styleId="4">
    <w:name w:val="Body Text Indent"/>
    <w:basedOn w:val="1"/>
    <w:next w:val="2"/>
    <w:semiHidden/>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semiHidden/>
    <w:qFormat/>
    <w:uiPriority w:val="99"/>
    <w:pPr>
      <w:ind w:firstLine="420" w:firstLineChars="200"/>
    </w:pPr>
  </w:style>
  <w:style w:type="character" w:styleId="10">
    <w:name w:val="Strong"/>
    <w:qFormat/>
    <w:uiPriority w:val="0"/>
    <w:rPr>
      <w:b/>
    </w:rPr>
  </w:style>
  <w:style w:type="paragraph" w:customStyle="1" w:styleId="11">
    <w:name w:val="p16"/>
    <w:basedOn w:val="1"/>
    <w:autoRedefine/>
    <w:qFormat/>
    <w:uiPriority w:val="99"/>
    <w:pPr>
      <w:widowControl/>
      <w:ind w:firstLine="420"/>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2023-03-23T01:59:00Z</dcterms:created>
  <dc:creator>wanghy</dc:creator>
  <cp:lastModifiedBy>wanghy</cp:lastModifiedBy>
  <dcterms:modified xsi:type="dcterms:W3CDTF">2024-01-26T03:27:32Z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C7CBAA42556944DCBEE8421AA783488D</vt:lpwstr>
  </property>
</Properties>
</file>