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06267"/>
    </w:p>
    <w:p/>
    <w:p>
      <w:pPr>
        <w:rPr>
          <w:sz w:val="72"/>
          <w:szCs w:val="72"/>
        </w:rPr>
      </w:pPr>
    </w:p>
    <w:p>
      <w:pPr>
        <w:rPr>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78084480"/>
      <w:bookmarkStart w:id="2" w:name="_Toc15377193"/>
      <w:bookmarkStart w:id="3" w:name="_Toc15396475"/>
      <w:bookmarkStart w:id="4" w:name="_Toc15396597"/>
      <w:bookmarkStart w:id="5" w:name="_Toc15377425"/>
      <w:bookmarkStart w:id="6" w:name="_Toc15378441"/>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78084481"/>
      <w:bookmarkStart w:id="8" w:name="_Toc15306268"/>
      <w:bookmarkStart w:id="9" w:name="_Toc15377194"/>
      <w:bookmarkStart w:id="10" w:name="_Toc15377426"/>
      <w:bookmarkStart w:id="11" w:name="_Toc15396476"/>
      <w:bookmarkStart w:id="12" w:name="_Toc15396598"/>
      <w:bookmarkStart w:id="13" w:name="_Toc15378442"/>
      <w:r>
        <w:rPr>
          <w:rFonts w:hint="eastAsia" w:ascii="方正小标宋简体" w:hAnsi="方正小标宋简体" w:eastAsia="方正小标宋简体" w:cs="方正小标宋简体"/>
          <w:sz w:val="72"/>
          <w:szCs w:val="72"/>
        </w:rPr>
        <w:t>乐山市体育中心</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78084482"/>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pPr>
      <w:r>
        <w:rPr>
          <w:rFonts w:hint="eastAsia"/>
        </w:rPr>
        <w:t>公开时间：202</w:t>
      </w:r>
      <w:r>
        <w:rPr>
          <w:rFonts w:hint="eastAsia"/>
          <w:lang w:val="en-US" w:eastAsia="zh-CN"/>
        </w:rPr>
        <w:t>5</w:t>
      </w:r>
      <w:r>
        <w:rPr>
          <w:rFonts w:hint="eastAsia"/>
        </w:rPr>
        <w:t>年9月27日</w:t>
      </w:r>
    </w:p>
    <w:sdt>
      <w:sdtPr>
        <w:rPr>
          <w:lang w:val="zh-CN"/>
        </w:rPr>
        <w:id w:val="295565436"/>
        <w:docPartObj>
          <w:docPartGallery w:val="Table of Contents"/>
          <w:docPartUnique/>
        </w:docPartObj>
      </w:sdtPr>
      <w:sdtEndPr>
        <w:rPr>
          <w:b/>
          <w:bCs/>
          <w:lang w:val="zh-CN"/>
        </w:rPr>
      </w:sdtEndPr>
      <w:sdtContent>
        <w:p>
          <w:pPr>
            <w:rPr>
              <w:rFonts w:ascii="仿宋" w:hAnsi="仿宋" w:eastAsia="仿宋"/>
              <w:sz w:val="28"/>
              <w:szCs w:val="28"/>
            </w:rPr>
          </w:pPr>
        </w:p>
        <w:p>
          <w:pPr>
            <w:pStyle w:val="12"/>
            <w:rPr>
              <w:rFonts w:cstheme="minorBidi"/>
            </w:rPr>
          </w:pPr>
          <w:r>
            <w:fldChar w:fldCharType="begin"/>
          </w:r>
          <w:r>
            <w:instrText xml:space="preserve"> TOC \o "1-3" \h \z \u </w:instrText>
          </w:r>
          <w:r>
            <w:fldChar w:fldCharType="separate"/>
          </w:r>
          <w:r>
            <w:fldChar w:fldCharType="begin"/>
          </w:r>
          <w:r>
            <w:instrText xml:space="preserve"> HYPERLINK \l "_Toc178084483" </w:instrText>
          </w:r>
          <w:r>
            <w:fldChar w:fldCharType="separate"/>
          </w:r>
          <w:r>
            <w:rPr>
              <w:rStyle w:val="19"/>
              <w:rFonts w:hint="eastAsia"/>
            </w:rPr>
            <w:t>第一部分</w:t>
          </w:r>
          <w:r>
            <w:rPr>
              <w:rStyle w:val="19"/>
            </w:rPr>
            <w:t xml:space="preserve"> </w:t>
          </w:r>
          <w:r>
            <w:rPr>
              <w:rStyle w:val="19"/>
              <w:rFonts w:hint="eastAsia"/>
            </w:rPr>
            <w:t>单位概况</w:t>
          </w:r>
          <w:r>
            <w:tab/>
          </w:r>
          <w:r>
            <w:fldChar w:fldCharType="begin"/>
          </w:r>
          <w:r>
            <w:instrText xml:space="preserve"> PAGEREF _Toc178084483 \h </w:instrText>
          </w:r>
          <w:r>
            <w:fldChar w:fldCharType="separate"/>
          </w:r>
          <w:r>
            <w:t>4</w:t>
          </w:r>
          <w:r>
            <w:fldChar w:fldCharType="end"/>
          </w:r>
          <w:r>
            <w:fldChar w:fldCharType="end"/>
          </w:r>
        </w:p>
        <w:p>
          <w:pPr>
            <w:pStyle w:val="13"/>
            <w:rPr>
              <w:rFonts w:ascii="仿宋" w:hAnsi="仿宋" w:eastAsia="仿宋" w:cstheme="minorBidi"/>
              <w:sz w:val="28"/>
              <w:szCs w:val="28"/>
            </w:rPr>
          </w:pPr>
          <w:r>
            <w:fldChar w:fldCharType="begin"/>
          </w:r>
          <w:r>
            <w:instrText xml:space="preserve"> HYPERLINK \l "_Toc178084484" </w:instrText>
          </w:r>
          <w:r>
            <w:fldChar w:fldCharType="separate"/>
          </w:r>
          <w:r>
            <w:rPr>
              <w:rStyle w:val="19"/>
              <w:rFonts w:hint="eastAsia" w:ascii="仿宋" w:hAnsi="仿宋" w:eastAsia="仿宋"/>
              <w:sz w:val="28"/>
              <w:szCs w:val="28"/>
            </w:rPr>
            <w:t>一、主要职责</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_Toc178084484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"_Toc178084485" </w:instrText>
          </w:r>
          <w:r>
            <w:fldChar w:fldCharType="separate"/>
          </w:r>
          <w:r>
            <w:rPr>
              <w:rStyle w:val="19"/>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_Toc178084485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"_Toc178084486" </w:instrText>
          </w:r>
          <w:r>
            <w:fldChar w:fldCharType="separate"/>
          </w:r>
          <w:r>
            <w:rPr>
              <w:rStyle w:val="19"/>
              <w:rFonts w:hint="eastAsia"/>
            </w:rPr>
            <w:t>第二部分</w:t>
          </w:r>
          <w:r>
            <w:rPr>
              <w:rStyle w:val="19"/>
            </w:rPr>
            <w:t xml:space="preserve"> 202</w:t>
          </w:r>
          <w:r>
            <w:rPr>
              <w:rStyle w:val="19"/>
              <w:rFonts w:hint="eastAsia"/>
              <w:lang w:val="en-US" w:eastAsia="zh-CN"/>
            </w:rPr>
            <w:t>4</w:t>
          </w:r>
          <w:r>
            <w:rPr>
              <w:rStyle w:val="19"/>
              <w:rFonts w:hint="eastAsia"/>
            </w:rPr>
            <w:t>年度单位决算情况说明</w:t>
          </w:r>
          <w:r>
            <w:tab/>
          </w:r>
          <w:r>
            <w:fldChar w:fldCharType="begin"/>
          </w:r>
          <w:r>
            <w:instrText xml:space="preserve"> PAGEREF _Toc178084486 \h </w:instrText>
          </w:r>
          <w:r>
            <w:fldChar w:fldCharType="separate"/>
          </w:r>
          <w:r>
            <w:t>6</w:t>
          </w:r>
          <w:r>
            <w:fldChar w:fldCharType="end"/>
          </w:r>
          <w:r>
            <w:fldChar w:fldCharType="end"/>
          </w:r>
        </w:p>
        <w:p>
          <w:pPr>
            <w:pStyle w:val="13"/>
            <w:rPr>
              <w:rFonts w:ascii="仿宋" w:hAnsi="仿宋" w:eastAsia="仿宋" w:cstheme="minorBidi"/>
              <w:sz w:val="28"/>
              <w:szCs w:val="28"/>
            </w:rPr>
          </w:pPr>
          <w:r>
            <w:fldChar w:fldCharType="begin"/>
          </w:r>
          <w:r>
            <w:instrText xml:space="preserve"> HYPERLINK \l "_Toc178084487" </w:instrText>
          </w:r>
          <w:r>
            <w:fldChar w:fldCharType="separate"/>
          </w:r>
          <w:r>
            <w:rPr>
              <w:rStyle w:val="19"/>
              <w:rFonts w:hint="eastAsia" w:ascii="仿宋" w:hAnsi="仿宋" w:eastAsia="仿宋" w:cstheme="majorBidi"/>
              <w:bCs/>
              <w:sz w:val="28"/>
              <w:szCs w:val="28"/>
            </w:rPr>
            <w:t>一、</w:t>
          </w:r>
          <w:r>
            <w:rPr>
              <w:rStyle w:val="19"/>
              <w:rFonts w:hint="eastAsia" w:ascii="仿宋" w:hAnsi="仿宋" w:eastAsia="仿宋"/>
              <w:sz w:val="28"/>
              <w:szCs w:val="28"/>
            </w:rPr>
            <w:t>收</w:t>
          </w:r>
          <w:r>
            <w:rPr>
              <w:rStyle w:val="19"/>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_Toc178084487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"_Toc178084488" </w:instrText>
          </w:r>
          <w:r>
            <w:fldChar w:fldCharType="separate"/>
          </w:r>
          <w:r>
            <w:rPr>
              <w:rStyle w:val="19"/>
              <w:rFonts w:hint="eastAsia" w:ascii="仿宋" w:hAnsi="仿宋" w:eastAsia="仿宋" w:cstheme="majorBidi"/>
              <w:bCs/>
              <w:sz w:val="28"/>
              <w:szCs w:val="28"/>
            </w:rPr>
            <w:t>二、</w:t>
          </w:r>
          <w:r>
            <w:rPr>
              <w:rStyle w:val="19"/>
              <w:rFonts w:hint="eastAsia" w:ascii="仿宋" w:hAnsi="仿宋" w:eastAsia="仿宋"/>
              <w:sz w:val="28"/>
              <w:szCs w:val="28"/>
            </w:rPr>
            <w:t>收</w:t>
          </w:r>
          <w:r>
            <w:rPr>
              <w:rStyle w:val="19"/>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_Toc178084488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"_Toc178084489" </w:instrText>
          </w:r>
          <w:r>
            <w:fldChar w:fldCharType="separate"/>
          </w:r>
          <w:r>
            <w:rPr>
              <w:rStyle w:val="19"/>
              <w:rFonts w:hint="eastAsia" w:ascii="仿宋" w:hAnsi="仿宋" w:eastAsia="仿宋" w:cstheme="majorBidi"/>
              <w:bCs/>
              <w:sz w:val="28"/>
              <w:szCs w:val="28"/>
            </w:rPr>
            <w:t>三、</w:t>
          </w:r>
          <w:r>
            <w:rPr>
              <w:rStyle w:val="19"/>
              <w:rFonts w:hint="eastAsia" w:ascii="仿宋" w:hAnsi="仿宋" w:eastAsia="仿宋"/>
              <w:sz w:val="28"/>
              <w:szCs w:val="28"/>
            </w:rPr>
            <w:t>支</w:t>
          </w:r>
          <w:r>
            <w:rPr>
              <w:rStyle w:val="19"/>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_Toc178084489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"_Toc178084490" </w:instrText>
          </w:r>
          <w:r>
            <w:fldChar w:fldCharType="separate"/>
          </w:r>
          <w:r>
            <w:rPr>
              <w:rStyle w:val="19"/>
              <w:rFonts w:hint="eastAsia" w:ascii="仿宋" w:hAnsi="仿宋" w:eastAsia="仿宋"/>
              <w:sz w:val="28"/>
              <w:szCs w:val="28"/>
            </w:rPr>
            <w:t>四、财</w:t>
          </w:r>
          <w:r>
            <w:rPr>
              <w:rStyle w:val="19"/>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_Toc178084490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"_Toc178084491" </w:instrText>
          </w:r>
          <w:r>
            <w:fldChar w:fldCharType="separate"/>
          </w:r>
          <w:r>
            <w:rPr>
              <w:rStyle w:val="19"/>
              <w:rFonts w:hint="eastAsia" w:ascii="仿宋" w:hAnsi="仿宋" w:eastAsia="仿宋"/>
              <w:sz w:val="28"/>
              <w:szCs w:val="28"/>
            </w:rPr>
            <w:t>五、</w:t>
          </w:r>
          <w:r>
            <w:rPr>
              <w:rStyle w:val="19"/>
              <w:rFonts w:hint="eastAsia" w:ascii="仿宋" w:hAnsi="仿宋" w:eastAsia="仿宋"/>
              <w:b/>
              <w:sz w:val="28"/>
              <w:szCs w:val="28"/>
            </w:rPr>
            <w:t>一</w:t>
          </w:r>
          <w:r>
            <w:rPr>
              <w:rStyle w:val="19"/>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_Toc178084491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"_Toc178084492" </w:instrText>
          </w:r>
          <w:r>
            <w:fldChar w:fldCharType="separate"/>
          </w:r>
          <w:r>
            <w:rPr>
              <w:rStyle w:val="19"/>
              <w:rFonts w:hint="eastAsia" w:ascii="仿宋" w:hAnsi="仿宋" w:eastAsia="仿宋"/>
              <w:sz w:val="28"/>
              <w:szCs w:val="28"/>
            </w:rPr>
            <w:t>六</w:t>
          </w:r>
          <w:r>
            <w:rPr>
              <w:rStyle w:val="19"/>
              <w:rFonts w:hint="eastAsia" w:ascii="仿宋" w:hAnsi="仿宋" w:eastAsia="仿宋"/>
              <w:b/>
              <w:sz w:val="28"/>
              <w:szCs w:val="28"/>
            </w:rPr>
            <w:t>、一</w:t>
          </w:r>
          <w:r>
            <w:rPr>
              <w:rStyle w:val="19"/>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_Toc178084492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"_Toc178084493" </w:instrText>
          </w:r>
          <w:r>
            <w:fldChar w:fldCharType="separate"/>
          </w:r>
          <w:r>
            <w:rPr>
              <w:rStyle w:val="19"/>
              <w:rFonts w:hint="eastAsia" w:ascii="仿宋" w:hAnsi="仿宋" w:eastAsia="仿宋"/>
              <w:sz w:val="28"/>
              <w:szCs w:val="28"/>
            </w:rPr>
            <w:t>七、</w:t>
          </w:r>
          <w:r>
            <w:rPr>
              <w:rStyle w:val="19"/>
              <w:rFonts w:hint="eastAsia" w:ascii="仿宋" w:hAnsi="仿宋" w:eastAsia="仿宋" w:cstheme="majorBidi"/>
              <w:bCs/>
              <w:sz w:val="28"/>
              <w:szCs w:val="28"/>
            </w:rPr>
            <w:t>财政拨款</w:t>
          </w:r>
          <w:r>
            <w:rPr>
              <w:rStyle w:val="19"/>
              <w:rFonts w:ascii="仿宋" w:hAnsi="仿宋" w:eastAsia="仿宋" w:cstheme="majorBidi"/>
              <w:b/>
              <w:bCs/>
              <w:sz w:val="28"/>
              <w:szCs w:val="28"/>
            </w:rPr>
            <w:t>“</w:t>
          </w:r>
          <w:r>
            <w:rPr>
              <w:rStyle w:val="19"/>
              <w:rFonts w:hint="eastAsia" w:ascii="仿宋" w:hAnsi="仿宋" w:eastAsia="仿宋" w:cstheme="majorBidi"/>
              <w:bCs/>
              <w:sz w:val="28"/>
              <w:szCs w:val="28"/>
            </w:rPr>
            <w:t>三公”经费支出决算情况说明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_Toc178084493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"_Toc178084494" </w:instrText>
          </w:r>
          <w:r>
            <w:fldChar w:fldCharType="separate"/>
          </w:r>
          <w:r>
            <w:rPr>
              <w:rStyle w:val="19"/>
              <w:rFonts w:hint="eastAsia" w:ascii="仿宋" w:hAnsi="仿宋" w:eastAsia="仿宋"/>
              <w:sz w:val="28"/>
              <w:szCs w:val="28"/>
            </w:rPr>
            <w:t>八、</w:t>
          </w:r>
          <w:r>
            <w:rPr>
              <w:rStyle w:val="19"/>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_Toc178084494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"_Toc178084495" </w:instrText>
          </w:r>
          <w:r>
            <w:fldChar w:fldCharType="separate"/>
          </w:r>
          <w:r>
            <w:rPr>
              <w:rStyle w:val="19"/>
              <w:rFonts w:hint="eastAsia" w:ascii="仿宋" w:hAnsi="仿宋" w:eastAsia="仿宋" w:cstheme="majorBidi"/>
              <w:bCs/>
              <w:sz w:val="28"/>
              <w:szCs w:val="28"/>
            </w:rPr>
            <w:t>九、 国有资本经营预算支出决算情况说明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_Toc178084495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"_Toc178084496" </w:instrText>
          </w:r>
          <w:r>
            <w:fldChar w:fldCharType="separate"/>
          </w:r>
          <w:r>
            <w:rPr>
              <w:rStyle w:val="19"/>
              <w:rFonts w:hint="eastAsia" w:ascii="仿宋" w:hAnsi="仿宋" w:eastAsia="仿宋" w:cstheme="majorBidi"/>
              <w:bCs/>
              <w:sz w:val="28"/>
              <w:szCs w:val="28"/>
            </w:rPr>
            <w:t>十、 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_Toc178084496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"_Toc178084497" </w:instrText>
          </w:r>
          <w:r>
            <w:fldChar w:fldCharType="separate"/>
          </w:r>
          <w:r>
            <w:rPr>
              <w:rStyle w:val="19"/>
              <w:rFonts w:hint="eastAsia" w:cs="黑体"/>
              <w:bCs/>
              <w:kern w:val="44"/>
            </w:rPr>
            <w:t>第三部分</w:t>
          </w:r>
          <w:r>
            <w:rPr>
              <w:rStyle w:val="19"/>
              <w:rFonts w:hint="eastAsia"/>
            </w:rPr>
            <w:t xml:space="preserve"> 名</w:t>
          </w:r>
          <w:r>
            <w:rPr>
              <w:rStyle w:val="19"/>
              <w:rFonts w:hint="eastAsia"/>
              <w:bCs/>
              <w:kern w:val="44"/>
            </w:rPr>
            <w:t>词解释</w:t>
          </w:r>
          <w:r>
            <w:tab/>
          </w:r>
          <w:r>
            <w:fldChar w:fldCharType="begin"/>
          </w:r>
          <w:r>
            <w:instrText xml:space="preserve"> PAGEREF _Toc178084497 \h </w:instrText>
          </w:r>
          <w:r>
            <w:fldChar w:fldCharType="separate"/>
          </w:r>
          <w:r>
            <w:t>16</w:t>
          </w:r>
          <w:r>
            <w:fldChar w:fldCharType="end"/>
          </w:r>
          <w:r>
            <w:fldChar w:fldCharType="end"/>
          </w:r>
        </w:p>
        <w:p>
          <w:pPr>
            <w:pStyle w:val="12"/>
            <w:rPr>
              <w:rFonts w:cstheme="minorBidi"/>
            </w:rPr>
          </w:pPr>
          <w:r>
            <w:fldChar w:fldCharType="begin"/>
          </w:r>
          <w:r>
            <w:instrText xml:space="preserve"> HYPERLINK \l "_Toc178084498" </w:instrText>
          </w:r>
          <w:r>
            <w:fldChar w:fldCharType="separate"/>
          </w:r>
          <w:r>
            <w:rPr>
              <w:rStyle w:val="19"/>
              <w:rFonts w:hint="eastAsia"/>
            </w:rPr>
            <w:t>第</w:t>
          </w:r>
          <w:r>
            <w:rPr>
              <w:rStyle w:val="19"/>
              <w:rFonts w:hint="eastAsia"/>
              <w:bCs/>
              <w:kern w:val="44"/>
            </w:rPr>
            <w:t>四部分</w:t>
          </w:r>
          <w:r>
            <w:rPr>
              <w:rStyle w:val="19"/>
              <w:bCs/>
              <w:kern w:val="44"/>
            </w:rPr>
            <w:t xml:space="preserve"> </w:t>
          </w:r>
          <w:r>
            <w:rPr>
              <w:rStyle w:val="19"/>
              <w:rFonts w:hint="eastAsia"/>
              <w:bCs/>
              <w:kern w:val="44"/>
            </w:rPr>
            <w:t>附件</w:t>
          </w:r>
          <w:r>
            <w:tab/>
          </w:r>
          <w:r>
            <w:fldChar w:fldCharType="begin"/>
          </w:r>
          <w:r>
            <w:instrText xml:space="preserve"> PAGEREF _Toc178084498 \h </w:instrText>
          </w:r>
          <w:r>
            <w:fldChar w:fldCharType="separate"/>
          </w:r>
          <w:r>
            <w:t>20</w:t>
          </w:r>
          <w:r>
            <w:fldChar w:fldCharType="end"/>
          </w:r>
          <w:r>
            <w:fldChar w:fldCharType="end"/>
          </w:r>
        </w:p>
        <w:p>
          <w:pPr>
            <w:pStyle w:val="13"/>
            <w:rPr>
              <w:rFonts w:ascii="仿宋" w:hAnsi="仿宋" w:eastAsia="仿宋" w:cstheme="minorBidi"/>
              <w:sz w:val="28"/>
              <w:szCs w:val="28"/>
            </w:rPr>
          </w:pPr>
          <w:r>
            <w:fldChar w:fldCharType="begin"/>
          </w:r>
          <w:r>
            <w:instrText xml:space="preserve"> HYPERLINK \l "_Toc178084499" </w:instrText>
          </w:r>
          <w:r>
            <w:fldChar w:fldCharType="separate"/>
          </w:r>
          <w:r>
            <w:rPr>
              <w:rStyle w:val="19"/>
              <w:rFonts w:hint="eastAsia" w:ascii="仿宋" w:hAnsi="仿宋" w:eastAsia="仿宋"/>
              <w:sz w:val="28"/>
              <w:szCs w:val="28"/>
            </w:rPr>
            <w:t>附件：单位预算项目支出绩效自评表（</w:t>
          </w:r>
          <w:r>
            <w:rPr>
              <w:rStyle w:val="19"/>
              <w:rFonts w:ascii="仿宋" w:hAnsi="仿宋" w:eastAsia="仿宋"/>
              <w:sz w:val="28"/>
              <w:szCs w:val="28"/>
            </w:rPr>
            <w:t>202</w:t>
          </w:r>
          <w:r>
            <w:rPr>
              <w:rStyle w:val="19"/>
              <w:rFonts w:hint="eastAsia" w:ascii="仿宋" w:hAnsi="仿宋" w:eastAsia="仿宋"/>
              <w:sz w:val="28"/>
              <w:szCs w:val="28"/>
              <w:lang w:val="en-US" w:eastAsia="zh-CN"/>
            </w:rPr>
            <w:t>4</w:t>
          </w:r>
          <w:r>
            <w:rPr>
              <w:rStyle w:val="19"/>
              <w:rFonts w:hint="eastAsia" w:ascii="仿宋" w:hAnsi="仿宋" w:eastAsia="仿宋"/>
              <w:sz w:val="28"/>
              <w:szCs w:val="28"/>
            </w:rPr>
            <w:t>年度）</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_Toc178084499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"_Toc178084500" </w:instrText>
          </w:r>
          <w:r>
            <w:fldChar w:fldCharType="separate"/>
          </w:r>
          <w:r>
            <w:rPr>
              <w:rStyle w:val="19"/>
              <w:rFonts w:hint="eastAsia"/>
            </w:rPr>
            <w:t>第</w:t>
          </w:r>
          <w:r>
            <w:rPr>
              <w:rStyle w:val="19"/>
              <w:rFonts w:hint="eastAsia"/>
              <w:bCs/>
              <w:kern w:val="44"/>
            </w:rPr>
            <w:t>五部分</w:t>
          </w:r>
          <w:r>
            <w:rPr>
              <w:rStyle w:val="19"/>
              <w:bCs/>
              <w:kern w:val="44"/>
            </w:rPr>
            <w:t xml:space="preserve"> </w:t>
          </w:r>
          <w:r>
            <w:rPr>
              <w:rStyle w:val="19"/>
              <w:rFonts w:hint="eastAsia"/>
              <w:bCs/>
              <w:kern w:val="44"/>
            </w:rPr>
            <w:t>附表</w:t>
          </w:r>
          <w:r>
            <w:tab/>
          </w:r>
          <w:r>
            <w:fldChar w:fldCharType="begin"/>
          </w:r>
          <w:r>
            <w:instrText xml:space="preserve"> PAGEREF _Toc178084500 \h </w:instrText>
          </w:r>
          <w:r>
            <w:fldChar w:fldCharType="separate"/>
          </w:r>
          <w:r>
            <w:t>23</w:t>
          </w:r>
          <w:r>
            <w:fldChar w:fldCharType="end"/>
          </w:r>
          <w:r>
            <w:fldChar w:fldCharType="end"/>
          </w:r>
        </w:p>
        <w:p>
          <w:pPr>
            <w:pStyle w:val="13"/>
            <w:rPr>
              <w:rFonts w:ascii="仿宋" w:hAnsi="仿宋" w:eastAsia="仿宋" w:cstheme="minorBidi"/>
              <w:sz w:val="28"/>
              <w:szCs w:val="28"/>
            </w:rPr>
          </w:pPr>
          <w:r>
            <w:fldChar w:fldCharType="begin"/>
          </w:r>
          <w:r>
            <w:instrText xml:space="preserve"> HYPERLINK \l "_Toc178084501" </w:instrText>
          </w:r>
          <w:r>
            <w:fldChar w:fldCharType="separate"/>
          </w:r>
          <w:r>
            <w:rPr>
              <w:rStyle w:val="19"/>
              <w:rFonts w:hint="eastAsia" w:ascii="仿宋" w:hAnsi="仿宋" w:eastAsia="仿宋"/>
              <w:sz w:val="28"/>
              <w:szCs w:val="28"/>
            </w:rPr>
            <w:t>一、收入支出决算总表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"_Toc178084502" </w:instrText>
          </w:r>
          <w:r>
            <w:fldChar w:fldCharType="separate"/>
          </w:r>
          <w:r>
            <w:rPr>
              <w:rStyle w:val="19"/>
              <w:rFonts w:hint="eastAsia" w:ascii="仿宋" w:hAnsi="仿宋" w:eastAsia="仿宋"/>
              <w:sz w:val="28"/>
              <w:szCs w:val="28"/>
            </w:rPr>
            <w:t>二、收入决算表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_Toc178084502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"_Toc178084503" </w:instrText>
          </w:r>
          <w:r>
            <w:fldChar w:fldCharType="separate"/>
          </w:r>
          <w:r>
            <w:rPr>
              <w:rStyle w:val="19"/>
              <w:rFonts w:hint="eastAsia" w:ascii="仿宋" w:hAnsi="仿宋" w:eastAsia="仿宋"/>
              <w:sz w:val="28"/>
              <w:szCs w:val="28"/>
            </w:rPr>
            <w:t>三、支出决算表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_Toc178084503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"_Toc178084504" </w:instrText>
          </w:r>
          <w:r>
            <w:fldChar w:fldCharType="separate"/>
          </w:r>
          <w:r>
            <w:rPr>
              <w:rStyle w:val="19"/>
              <w:rFonts w:hint="eastAsia" w:ascii="仿宋" w:hAnsi="仿宋" w:eastAsia="仿宋"/>
              <w:sz w:val="28"/>
              <w:szCs w:val="28"/>
            </w:rPr>
            <w:t>四、财政拨款收入支出决算总表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_Toc178084504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"_Toc178084505" </w:instrText>
          </w:r>
          <w:r>
            <w:fldChar w:fldCharType="separate"/>
          </w:r>
          <w:r>
            <w:rPr>
              <w:rStyle w:val="19"/>
              <w:rFonts w:hint="eastAsia" w:ascii="仿宋" w:hAnsi="仿宋" w:eastAsia="仿宋"/>
              <w:sz w:val="28"/>
              <w:szCs w:val="28"/>
            </w:rPr>
            <w:t>五、财政拨款支出决算明细表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_Toc178084505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"_Toc178084506" </w:instrText>
          </w:r>
          <w:r>
            <w:fldChar w:fldCharType="separate"/>
          </w:r>
          <w:r>
            <w:rPr>
              <w:rStyle w:val="19"/>
              <w:rFonts w:hint="eastAsia" w:ascii="仿宋" w:hAnsi="仿宋" w:eastAsia="仿宋"/>
              <w:sz w:val="28"/>
              <w:szCs w:val="28"/>
            </w:rPr>
            <w:t>六、一般公共预算财政拨款支出决算表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_Toc178084506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"_Toc178084507" </w:instrText>
          </w:r>
          <w:r>
            <w:fldChar w:fldCharType="separate"/>
          </w:r>
          <w:r>
            <w:rPr>
              <w:rStyle w:val="19"/>
              <w:rFonts w:hint="eastAsia" w:ascii="仿宋" w:hAnsi="仿宋" w:eastAsia="仿宋"/>
              <w:sz w:val="28"/>
              <w:szCs w:val="28"/>
            </w:rPr>
            <w:t>七、一般公共预算财政拨款支出决算明细表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_Toc178084507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"_Toc178084508" </w:instrText>
          </w:r>
          <w:r>
            <w:fldChar w:fldCharType="separate"/>
          </w:r>
          <w:r>
            <w:rPr>
              <w:rStyle w:val="19"/>
              <w:rFonts w:hint="eastAsia" w:ascii="仿宋" w:hAnsi="仿宋" w:eastAsia="仿宋"/>
              <w:sz w:val="28"/>
              <w:szCs w:val="28"/>
            </w:rPr>
            <w:t>八、一般公共预算财政拨款基本支出决算表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_Toc178084508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"_Toc178084509" </w:instrText>
          </w:r>
          <w:r>
            <w:fldChar w:fldCharType="separate"/>
          </w:r>
          <w:r>
            <w:rPr>
              <w:rStyle w:val="19"/>
              <w:rFonts w:hint="eastAsia" w:ascii="仿宋" w:hAnsi="仿宋" w:eastAsia="仿宋"/>
              <w:sz w:val="28"/>
              <w:szCs w:val="28"/>
            </w:rPr>
            <w:t>九、一般公共预算财政拨款项目支出决算表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_Toc178084509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"_Toc178084510" </w:instrText>
          </w:r>
          <w:r>
            <w:fldChar w:fldCharType="separate"/>
          </w:r>
          <w:r>
            <w:rPr>
              <w:rStyle w:val="19"/>
              <w:rFonts w:hint="eastAsia" w:ascii="仿宋" w:hAnsi="仿宋" w:eastAsia="仿宋"/>
              <w:sz w:val="28"/>
              <w:szCs w:val="28"/>
            </w:rPr>
            <w:t>十、政府性基金预算财政拨款收入支出决算表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_Toc178084510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"_Toc178084511" </w:instrText>
          </w:r>
          <w:r>
            <w:fldChar w:fldCharType="separate"/>
          </w:r>
          <w:r>
            <w:rPr>
              <w:rStyle w:val="19"/>
              <w:rFonts w:hint="eastAsia" w:ascii="仿宋" w:hAnsi="仿宋" w:eastAsia="仿宋"/>
              <w:sz w:val="28"/>
              <w:szCs w:val="28"/>
            </w:rPr>
            <w:t>十一、国有资本经营预算财政拨款收入支出决算表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_Toc178084511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"_Toc178084512" </w:instrText>
          </w:r>
          <w:r>
            <w:fldChar w:fldCharType="separate"/>
          </w:r>
          <w:r>
            <w:rPr>
              <w:rStyle w:val="19"/>
              <w:rFonts w:hint="eastAsia" w:ascii="仿宋" w:hAnsi="仿宋" w:eastAsia="仿宋"/>
              <w:sz w:val="28"/>
              <w:szCs w:val="28"/>
            </w:rPr>
            <w:t>十二、国有资本经营预算财政拨款支出决算表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_Toc178084512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3"/>
            <w:spacing w:before="93"/>
            <w:rPr>
              <w:rFonts w:ascii="仿宋" w:hAnsi="仿宋" w:eastAsia="仿宋" w:cstheme="minorBidi"/>
              <w:sz w:val="28"/>
              <w:szCs w:val="28"/>
            </w:rPr>
          </w:pPr>
          <w:r>
            <w:fldChar w:fldCharType="begin"/>
          </w:r>
          <w:r>
            <w:instrText xml:space="preserve"> HYPERLINK \l "_Toc178084513" </w:instrText>
          </w:r>
          <w:r>
            <w:fldChar w:fldCharType="separate"/>
          </w:r>
          <w:r>
            <w:rPr>
              <w:rStyle w:val="19"/>
              <w:rFonts w:hint="eastAsia" w:ascii="仿宋" w:hAnsi="仿宋" w:eastAsia="仿宋"/>
              <w:sz w:val="28"/>
              <w:szCs w:val="28"/>
            </w:rPr>
            <w:t>十三、财政拨款“三公”经费支出决算表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_Toc178084513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r>
            <w:rPr>
              <w:rFonts w:ascii="仿宋" w:hAnsi="仿宋" w:eastAsia="仿宋"/>
              <w:b/>
              <w:bCs/>
              <w:sz w:val="28"/>
              <w:szCs w:val="28"/>
              <w:lang w:val="zh-CN"/>
            </w:rPr>
            <w:fldChar w:fldCharType="end"/>
          </w:r>
        </w:p>
      </w:sdtContent>
    </w:sdt>
    <w:p/>
    <w:p>
      <w:pPr>
        <w:widowControl/>
        <w:spacing w:line="440" w:lineRule="exact"/>
        <w:jc w:val="left"/>
        <w:rPr>
          <w:rFonts w:ascii="仿宋" w:hAnsi="仿宋" w:eastAsia="仿宋"/>
          <w:bCs/>
          <w:kern w:val="44"/>
          <w:sz w:val="24"/>
        </w:rPr>
      </w:pPr>
      <w:bookmarkStart w:id="15" w:name="_Toc15377196"/>
      <w:bookmarkStart w:id="16" w:name="_Toc15396599"/>
      <w:r>
        <w:rPr>
          <w:rFonts w:ascii="仿宋" w:hAnsi="仿宋" w:eastAsia="仿宋"/>
          <w:b/>
          <w:sz w:val="24"/>
        </w:rPr>
        <w:br w:type="page"/>
      </w:r>
    </w:p>
    <w:p>
      <w:pPr>
        <w:pStyle w:val="3"/>
        <w:jc w:val="center"/>
        <w:rPr>
          <w:rStyle w:val="28"/>
          <w:rFonts w:ascii="黑体" w:hAnsi="黑体" w:eastAsia="黑体"/>
          <w:b/>
          <w:bCs w:val="0"/>
        </w:rPr>
      </w:pPr>
      <w:bookmarkStart w:id="17" w:name="_Toc178084483"/>
      <w:r>
        <w:rPr>
          <w:rFonts w:hint="eastAsia" w:ascii="黑体" w:hAnsi="黑体" w:eastAsia="黑体"/>
          <w:b w:val="0"/>
        </w:rPr>
        <w:t>第一部分 单位</w:t>
      </w:r>
      <w:r>
        <w:rPr>
          <w:rStyle w:val="28"/>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4"/>
        <w:numPr>
          <w:ilvl w:val="0"/>
          <w:numId w:val="1"/>
        </w:numPr>
        <w:rPr>
          <w:rStyle w:val="29"/>
          <w:rFonts w:ascii="黑体" w:hAnsi="黑体" w:eastAsia="黑体"/>
          <w:b w:val="0"/>
          <w:bCs w:val="0"/>
        </w:rPr>
      </w:pPr>
      <w:bookmarkStart w:id="18" w:name="_Toc178084484"/>
      <w:bookmarkStart w:id="19" w:name="_Toc15396600"/>
      <w:bookmarkStart w:id="20" w:name="_Toc15377197"/>
      <w:r>
        <w:rPr>
          <w:rStyle w:val="29"/>
          <w:rFonts w:hint="eastAsia" w:ascii="黑体" w:hAnsi="黑体" w:eastAsia="黑体"/>
          <w:b w:val="0"/>
          <w:bCs w:val="0"/>
        </w:rPr>
        <w:t>主要职责</w:t>
      </w:r>
      <w:bookmarkEnd w:id="18"/>
    </w:p>
    <w:p>
      <w:pPr>
        <w:pStyle w:val="6"/>
        <w:adjustRightInd w:val="0"/>
        <w:spacing w:before="93" w:line="580" w:lineRule="exact"/>
        <w:ind w:firstLine="640" w:firstLineChars="200"/>
        <w:rPr>
          <w:rFonts w:ascii="方正楷体_GBK" w:hAnsi="方正楷体_GBK" w:cs="方正楷体_GBK"/>
          <w:b/>
          <w:bCs/>
          <w:sz w:val="32"/>
          <w:szCs w:val="32"/>
        </w:rPr>
      </w:pPr>
      <w:r>
        <w:rPr>
          <w:rFonts w:hint="eastAsia" w:hAnsi="仿宋_GB2312" w:cs="仿宋_GB2312"/>
          <w:sz w:val="32"/>
          <w:szCs w:val="32"/>
        </w:rPr>
        <w:t>体育中心主要负责开展实施全民健身活动，为市民提供公益性公共体育服务，管理体育场、馆免费和低收费对外开放；管理、维护市体育中心国有资产，确保国有资产保值、增值；实施、开展青少年业余训练，培养体育后备人才；开发体育竞赛市场、体育技能培训市场、承办体育竞赛，促进体育事业发展；开展国民体质监测工作等。</w:t>
      </w:r>
    </w:p>
    <w:p/>
    <w:p>
      <w:pPr>
        <w:pStyle w:val="4"/>
        <w:rPr>
          <w:rFonts w:ascii="黑体" w:hAnsi="黑体" w:eastAsia="黑体"/>
          <w:b w:val="0"/>
        </w:rPr>
      </w:pPr>
      <w:bookmarkStart w:id="21" w:name="_Toc178084485"/>
      <w:r>
        <w:rPr>
          <w:rFonts w:hint="eastAsia" w:ascii="黑体" w:hAnsi="黑体" w:eastAsia="黑体"/>
          <w:b w:val="0"/>
        </w:rPr>
        <w:t>二、机构设置</w:t>
      </w:r>
      <w:bookmarkEnd w:id="21"/>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（一）办公室工作职责 </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负责综合协调、文电处理、收发文件、信息宣传、档案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管理、会务、信访、绩效管理、督查督办、车辆管理、印章管理、党建等工作；负责机构编制、干部人事以及退休人员管理服务。</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（二）财务部工作职责 </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负责中心各项资金管理，收支管理、往来资金结算管理、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统计工作；负责编制年度财务预算和财务决算；负责项目资金审核拨付；审定大型活动经费的预算、结算；负责记帐凭证、帐簿、报表等会计资料的立卷、建档工作；负责“五险一金”、职业年金、工资办理；负责财政票据的领购、使用、核销。</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（三）竞赛训练部工作职责 </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负责组织承办国家级、省级、市级各类体育竞赛、体育</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活动；编制大型活动、比赛经费预算、决算；负责场馆免费、低收费开放数据收集和绩效评估；负责中心承担省运会项目的组织管理工作。</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（四）资产管理部工作职责 </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负责国有资产管理；负责中心政府采购、工程招投标；</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基本设施建设工程质量监督与管理；负责中心建筑管理、水电设施管理；负责大型活动、体育竞赛器材管理；负责场馆零星维修、绿化管理。</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（五）安全保障部工作职责 </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负责体育中心治安、消防安全、交通、综治工作，牵头</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安全检查并落实整改措施；负责房屋、场地租赁户管理；负责中心监控设备管理；负责安保人员培训和应急培训及管理；负责中心水、电总体管理与费用收缴工作。</w:t>
      </w:r>
    </w:p>
    <w:p>
      <w:pPr>
        <w:spacing w:line="56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（六）国民体质监测中心工作职责 </w:t>
      </w:r>
    </w:p>
    <w:p>
      <w:pPr>
        <w:pStyle w:val="14"/>
        <w:widowControl/>
        <w:spacing w:before="0" w:beforeAutospacing="0" w:after="0" w:afterAutospacing="0" w:line="560" w:lineRule="exact"/>
        <w:rPr>
          <w:rFonts w:ascii="仿宋_GB2312" w:hAnsi="仿宋_GB2312" w:eastAsia="仿宋_GB2312" w:cs="仿宋_GB2312"/>
          <w:sz w:val="27"/>
          <w:szCs w:val="27"/>
        </w:rPr>
      </w:pPr>
      <w:r>
        <w:rPr>
          <w:rFonts w:hint="eastAsia" w:ascii="仿宋_GB2312" w:hAnsi="仿宋_GB2312" w:eastAsia="仿宋_GB2312" w:cs="仿宋_GB2312"/>
          <w:sz w:val="32"/>
          <w:szCs w:val="32"/>
        </w:rPr>
        <w:t>负责开展国民体质监测工作、组织健身讲座、展览。</w:t>
      </w:r>
      <w:r>
        <w:rPr>
          <w:rStyle w:val="18"/>
          <w:rFonts w:hint="eastAsia" w:ascii="仿宋_GB2312" w:hAnsi="仿宋_GB2312" w:eastAsia="仿宋_GB2312" w:cs="仿宋_GB2312"/>
          <w:sz w:val="27"/>
          <w:szCs w:val="27"/>
        </w:rPr>
        <w:t>　　</w:t>
      </w:r>
    </w:p>
    <w:p/>
    <w:bookmarkEnd w:id="19"/>
    <w:bookmarkEnd w:id="20"/>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2" w:name="_Toc15396602"/>
      <w:bookmarkStart w:id="23" w:name="_Toc178084486"/>
      <w:bookmarkStart w:id="24"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22"/>
      <w:bookmarkEnd w:id="23"/>
      <w:bookmarkEnd w:id="24"/>
    </w:p>
    <w:p/>
    <w:p>
      <w:pPr>
        <w:pStyle w:val="27"/>
        <w:numPr>
          <w:ilvl w:val="0"/>
          <w:numId w:val="2"/>
        </w:numPr>
        <w:spacing w:line="600" w:lineRule="exact"/>
        <w:ind w:firstLineChars="0"/>
        <w:outlineLvl w:val="1"/>
        <w:rPr>
          <w:rStyle w:val="29"/>
          <w:rFonts w:ascii="黑体" w:hAnsi="黑体" w:eastAsia="黑体"/>
          <w:b w:val="0"/>
        </w:rPr>
      </w:pPr>
      <w:bookmarkStart w:id="25" w:name="_Toc178084487"/>
      <w:bookmarkStart w:id="26" w:name="_Toc15377205"/>
      <w:bookmarkStart w:id="27"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5"/>
      <w:bookmarkEnd w:id="26"/>
      <w:bookmarkEnd w:id="27"/>
    </w:p>
    <w:p>
      <w:pPr>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sz w:val="32"/>
          <w:szCs w:val="32"/>
          <w:lang w:val="en-US" w:eastAsia="zh-CN"/>
        </w:rPr>
        <w:t>1442.1</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年度相比，收、支总计各减少</w:t>
      </w:r>
      <w:r>
        <w:rPr>
          <w:rFonts w:hint="eastAsia" w:ascii="仿宋" w:hAnsi="仿宋" w:eastAsia="仿宋"/>
          <w:sz w:val="32"/>
          <w:szCs w:val="32"/>
          <w:lang w:val="en-US" w:eastAsia="zh-CN"/>
        </w:rPr>
        <w:t>163.49</w:t>
      </w:r>
      <w:r>
        <w:rPr>
          <w:rFonts w:hint="eastAsia" w:ascii="仿宋" w:hAnsi="仿宋" w:eastAsia="仿宋"/>
          <w:sz w:val="32"/>
          <w:szCs w:val="32"/>
        </w:rPr>
        <w:t xml:space="preserve"> 万元，下降</w:t>
      </w:r>
      <w:r>
        <w:rPr>
          <w:rFonts w:hint="eastAsia" w:ascii="仿宋" w:hAnsi="仿宋" w:eastAsia="仿宋"/>
          <w:b w:val="0"/>
          <w:bCs/>
          <w:sz w:val="32"/>
          <w:szCs w:val="32"/>
          <w:lang w:val="en-US" w:eastAsia="zh-CN"/>
        </w:rPr>
        <w:t>10.2</w:t>
      </w:r>
      <w:r>
        <w:rPr>
          <w:rFonts w:ascii="仿宋" w:hAnsi="仿宋" w:eastAsia="仿宋"/>
          <w:b w:val="0"/>
          <w:bCs/>
          <w:sz w:val="32"/>
          <w:szCs w:val="32"/>
        </w:rPr>
        <w:t>%</w:t>
      </w:r>
      <w:r>
        <w:rPr>
          <w:rFonts w:hint="eastAsia" w:ascii="仿宋" w:hAnsi="仿宋" w:eastAsia="仿宋"/>
          <w:sz w:val="32"/>
          <w:szCs w:val="32"/>
        </w:rPr>
        <w:t>。主要变动原因是场馆改造提升工程项目资金支出减少，导致收、支总计减少。</w:t>
      </w:r>
    </w:p>
    <w:p>
      <w:pPr>
        <w:jc w:val="center"/>
      </w:pPr>
      <w:r>
        <w:drawing>
          <wp:inline distT="0" distB="0" distL="114300" distR="114300">
            <wp:extent cx="4686300" cy="2914650"/>
            <wp:effectExtent l="7620" t="7620" r="11430" b="1143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
      <w:pPr>
        <w:pStyle w:val="27"/>
        <w:numPr>
          <w:ilvl w:val="0"/>
          <w:numId w:val="2"/>
        </w:numPr>
        <w:spacing w:line="600" w:lineRule="exact"/>
        <w:ind w:firstLineChars="0"/>
        <w:outlineLvl w:val="1"/>
        <w:rPr>
          <w:rStyle w:val="29"/>
          <w:rFonts w:ascii="黑体" w:hAnsi="黑体" w:eastAsia="黑体"/>
          <w:b w:val="0"/>
        </w:rPr>
      </w:pPr>
      <w:bookmarkStart w:id="28" w:name="_Toc15377206"/>
      <w:bookmarkStart w:id="29" w:name="_Toc178084488"/>
      <w:bookmarkStart w:id="30" w:name="_Toc15396604"/>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bookmarkEnd w:id="30"/>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ascii="仿宋" w:hAnsi="仿宋" w:eastAsia="仿宋"/>
          <w:sz w:val="32"/>
          <w:szCs w:val="32"/>
        </w:rPr>
        <w:t>1</w:t>
      </w:r>
      <w:r>
        <w:rPr>
          <w:rFonts w:hint="eastAsia" w:ascii="仿宋" w:hAnsi="仿宋" w:eastAsia="仿宋"/>
          <w:sz w:val="32"/>
          <w:szCs w:val="32"/>
          <w:lang w:val="en-US" w:eastAsia="zh-CN"/>
        </w:rPr>
        <w:t>440.74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937.81</w:t>
      </w:r>
      <w:r>
        <w:rPr>
          <w:rFonts w:hint="eastAsia" w:ascii="仿宋" w:hAnsi="仿宋" w:eastAsia="仿宋"/>
          <w:sz w:val="32"/>
          <w:szCs w:val="32"/>
        </w:rPr>
        <w:t>万元，占</w:t>
      </w:r>
      <w:r>
        <w:rPr>
          <w:rFonts w:hint="eastAsia" w:ascii="仿宋" w:hAnsi="仿宋" w:eastAsia="仿宋"/>
          <w:sz w:val="32"/>
          <w:szCs w:val="32"/>
          <w:lang w:val="en-US" w:eastAsia="zh-CN"/>
        </w:rPr>
        <w:t>65.1</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468.93</w:t>
      </w:r>
      <w:r>
        <w:rPr>
          <w:rFonts w:hint="eastAsia" w:ascii="仿宋" w:hAnsi="仿宋" w:eastAsia="仿宋"/>
          <w:sz w:val="32"/>
          <w:szCs w:val="32"/>
        </w:rPr>
        <w:t>万元，占</w:t>
      </w:r>
      <w:r>
        <w:rPr>
          <w:rFonts w:hint="eastAsia" w:ascii="仿宋" w:hAnsi="仿宋" w:eastAsia="仿宋"/>
          <w:sz w:val="32"/>
          <w:szCs w:val="32"/>
          <w:lang w:val="en-US" w:eastAsia="zh-CN"/>
        </w:rPr>
        <w:t>32.5</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sz w:val="32"/>
          <w:szCs w:val="32"/>
        </w:rPr>
        <w:t>34</w:t>
      </w:r>
      <w:r>
        <w:rPr>
          <w:rFonts w:hint="eastAsia" w:ascii="仿宋" w:hAnsi="仿宋" w:eastAsia="仿宋"/>
          <w:sz w:val="32"/>
          <w:szCs w:val="32"/>
        </w:rPr>
        <w:t>万元，占</w:t>
      </w:r>
      <w:r>
        <w:rPr>
          <w:rFonts w:hint="eastAsia" w:ascii="仿宋" w:hAnsi="仿宋" w:eastAsia="仿宋"/>
          <w:sz w:val="32"/>
          <w:szCs w:val="32"/>
          <w:lang w:val="en-US" w:eastAsia="zh-CN"/>
        </w:rPr>
        <w:t>2.4</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lang w:eastAsia="zh-CN"/>
        </w:rPr>
        <w:t>。</w:t>
      </w:r>
    </w:p>
    <w:p>
      <w:pPr>
        <w:jc w:val="center"/>
      </w:pPr>
      <w:r>
        <w:drawing>
          <wp:inline distT="0" distB="0" distL="114300" distR="114300">
            <wp:extent cx="4572000" cy="325755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w:t>
      </w:r>
    </w:p>
    <w:p>
      <w:pPr>
        <w:pStyle w:val="27"/>
        <w:numPr>
          <w:ilvl w:val="0"/>
          <w:numId w:val="2"/>
        </w:numPr>
        <w:spacing w:line="600" w:lineRule="exact"/>
        <w:ind w:firstLineChars="0"/>
        <w:outlineLvl w:val="1"/>
        <w:rPr>
          <w:rStyle w:val="29"/>
          <w:rFonts w:ascii="黑体" w:hAnsi="黑体" w:eastAsia="黑体"/>
          <w:b w:val="0"/>
        </w:rPr>
      </w:pPr>
      <w:bookmarkStart w:id="31" w:name="_Toc178084489"/>
      <w:bookmarkStart w:id="32" w:name="_Toc15396605"/>
      <w:bookmarkStart w:id="33" w:name="_Toc15377207"/>
      <w:r>
        <w:rPr>
          <w:rFonts w:hint="eastAsia" w:ascii="黑体" w:hAnsi="黑体" w:eastAsia="黑体"/>
          <w:sz w:val="32"/>
          <w:szCs w:val="32"/>
        </w:rPr>
        <w:t>支</w:t>
      </w:r>
      <w:r>
        <w:rPr>
          <w:rStyle w:val="29"/>
          <w:rFonts w:hint="eastAsia" w:ascii="黑体" w:hAnsi="黑体" w:eastAsia="黑体"/>
          <w:b w:val="0"/>
        </w:rPr>
        <w:t>出决算情况说明</w:t>
      </w:r>
      <w:bookmarkEnd w:id="31"/>
      <w:bookmarkEnd w:id="32"/>
      <w:bookmarkEnd w:id="33"/>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ascii="仿宋" w:hAnsi="仿宋" w:eastAsia="仿宋"/>
          <w:sz w:val="32"/>
          <w:szCs w:val="32"/>
        </w:rPr>
        <w:t>1</w:t>
      </w:r>
      <w:r>
        <w:rPr>
          <w:rFonts w:hint="eastAsia" w:ascii="仿宋" w:hAnsi="仿宋" w:eastAsia="仿宋"/>
          <w:sz w:val="32"/>
          <w:szCs w:val="32"/>
          <w:lang w:val="en-US" w:eastAsia="zh-CN"/>
        </w:rPr>
        <w:t>442.1</w:t>
      </w:r>
      <w:r>
        <w:rPr>
          <w:rFonts w:hint="eastAsia" w:ascii="仿宋" w:hAnsi="仿宋" w:eastAsia="仿宋"/>
          <w:sz w:val="32"/>
          <w:szCs w:val="32"/>
        </w:rPr>
        <w:t>万元，其中：基本支出</w:t>
      </w:r>
      <w:r>
        <w:rPr>
          <w:rFonts w:ascii="仿宋" w:hAnsi="仿宋" w:eastAsia="仿宋"/>
          <w:sz w:val="32"/>
          <w:szCs w:val="32"/>
        </w:rPr>
        <w:t>4</w:t>
      </w:r>
      <w:r>
        <w:rPr>
          <w:rFonts w:hint="eastAsia" w:ascii="仿宋" w:hAnsi="仿宋" w:eastAsia="仿宋"/>
          <w:sz w:val="32"/>
          <w:szCs w:val="32"/>
          <w:lang w:val="en-US" w:eastAsia="zh-CN"/>
        </w:rPr>
        <w:t>97.5</w:t>
      </w:r>
      <w:r>
        <w:rPr>
          <w:rFonts w:hint="eastAsia" w:ascii="仿宋" w:hAnsi="仿宋" w:eastAsia="仿宋"/>
          <w:sz w:val="32"/>
          <w:szCs w:val="32"/>
        </w:rPr>
        <w:t>万元，占</w:t>
      </w:r>
      <w:r>
        <w:rPr>
          <w:rFonts w:hint="eastAsia" w:ascii="仿宋" w:hAnsi="仿宋" w:eastAsia="仿宋"/>
          <w:sz w:val="32"/>
          <w:szCs w:val="32"/>
          <w:lang w:val="en-US" w:eastAsia="zh-CN"/>
        </w:rPr>
        <w:t>34.5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944.6</w:t>
      </w:r>
      <w:r>
        <w:rPr>
          <w:rFonts w:hint="eastAsia" w:ascii="仿宋" w:hAnsi="仿宋" w:eastAsia="仿宋"/>
          <w:sz w:val="32"/>
          <w:szCs w:val="32"/>
        </w:rPr>
        <w:t>万元，占</w:t>
      </w:r>
      <w:r>
        <w:rPr>
          <w:rFonts w:hint="eastAsia" w:ascii="仿宋" w:hAnsi="仿宋" w:eastAsia="仿宋"/>
          <w:sz w:val="32"/>
          <w:szCs w:val="32"/>
          <w:lang w:val="en-US" w:eastAsia="zh-CN"/>
        </w:rPr>
        <w:t>65.5</w:t>
      </w:r>
      <w:r>
        <w:rPr>
          <w:rFonts w:ascii="仿宋" w:hAnsi="仿宋" w:eastAsia="仿宋"/>
          <w:sz w:val="32"/>
          <w:szCs w:val="32"/>
        </w:rPr>
        <w:t>%</w:t>
      </w:r>
      <w:r>
        <w:rPr>
          <w:rFonts w:hint="eastAsia" w:ascii="仿宋" w:hAnsi="仿宋" w:eastAsia="仿宋"/>
          <w:sz w:val="32"/>
          <w:szCs w:val="32"/>
        </w:rPr>
        <w:t>。</w:t>
      </w:r>
    </w:p>
    <w:p>
      <w:pPr>
        <w:ind w:firstLine="200"/>
        <w:jc w:val="center"/>
        <w:rPr>
          <w:rFonts w:ascii="仿宋" w:hAnsi="仿宋" w:eastAsia="仿宋"/>
          <w:sz w:val="32"/>
          <w:szCs w:val="32"/>
          <w:shd w:val="pct10" w:color="auto" w:fill="FFFFFF"/>
        </w:rPr>
      </w:pPr>
      <w:r>
        <w:drawing>
          <wp:inline distT="0" distB="0" distL="114300" distR="114300">
            <wp:extent cx="4876800" cy="3342005"/>
            <wp:effectExtent l="0" t="0" r="0"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9"/>
          <w:rFonts w:ascii="黑体" w:hAnsi="黑体" w:eastAsia="黑体"/>
          <w:b w:val="0"/>
        </w:rPr>
      </w:pPr>
      <w:bookmarkStart w:id="34" w:name="_Toc178084490"/>
      <w:bookmarkStart w:id="35" w:name="_Toc15396606"/>
      <w:bookmarkStart w:id="36"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4"/>
      <w:bookmarkEnd w:id="35"/>
      <w:bookmarkEnd w:id="36"/>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sz w:val="32"/>
          <w:szCs w:val="32"/>
          <w:lang w:val="en-US" w:eastAsia="zh-CN"/>
        </w:rPr>
        <w:t>1407.4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年度相比，财政拨款收、支总计各减少</w:t>
      </w:r>
      <w:r>
        <w:rPr>
          <w:rFonts w:hint="eastAsia" w:ascii="仿宋" w:hAnsi="仿宋" w:eastAsia="仿宋"/>
          <w:sz w:val="32"/>
          <w:szCs w:val="32"/>
          <w:lang w:val="en-US" w:eastAsia="zh-CN"/>
        </w:rPr>
        <w:t>163.49</w:t>
      </w:r>
      <w:r>
        <w:rPr>
          <w:rFonts w:hint="eastAsia" w:ascii="仿宋" w:hAnsi="仿宋" w:eastAsia="仿宋"/>
          <w:sz w:val="32"/>
          <w:szCs w:val="32"/>
        </w:rPr>
        <w:t>万元，下降</w:t>
      </w:r>
      <w:r>
        <w:rPr>
          <w:rFonts w:hint="eastAsia" w:ascii="仿宋" w:hAnsi="仿宋" w:eastAsia="仿宋"/>
          <w:sz w:val="32"/>
          <w:szCs w:val="32"/>
          <w:lang w:val="en-US" w:eastAsia="zh-CN"/>
        </w:rPr>
        <w:t>10.4</w:t>
      </w:r>
      <w:r>
        <w:rPr>
          <w:rFonts w:ascii="仿宋" w:hAnsi="仿宋" w:eastAsia="仿宋"/>
          <w:sz w:val="32"/>
          <w:szCs w:val="32"/>
        </w:rPr>
        <w:t>%</w:t>
      </w:r>
      <w:r>
        <w:rPr>
          <w:rFonts w:hint="eastAsia" w:ascii="仿宋" w:hAnsi="仿宋" w:eastAsia="仿宋"/>
          <w:sz w:val="32"/>
          <w:szCs w:val="32"/>
        </w:rPr>
        <w:t>。主要变动原因是场馆改造提升工程项目资金减少，财政拨款收、支总计减少。</w:t>
      </w:r>
    </w:p>
    <w:p>
      <w:pPr>
        <w:jc w:val="center"/>
      </w:pPr>
      <w:r>
        <w:drawing>
          <wp:inline distT="0" distB="0" distL="114300" distR="114300">
            <wp:extent cx="4743450" cy="3266440"/>
            <wp:effectExtent l="7620" t="7620" r="11430" b="2159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7" w:name="_Toc15396607"/>
      <w:bookmarkStart w:id="38" w:name="_Toc178084491"/>
      <w:bookmarkStart w:id="39"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7"/>
      <w:bookmarkEnd w:id="38"/>
      <w:bookmarkEnd w:id="39"/>
    </w:p>
    <w:p>
      <w:pPr>
        <w:ind w:firstLine="472" w:firstLineChars="147"/>
        <w:rPr>
          <w:rFonts w:ascii="仿宋" w:hAnsi="仿宋" w:eastAsia="仿宋"/>
          <w:b/>
          <w:sz w:val="32"/>
          <w:szCs w:val="32"/>
        </w:rPr>
      </w:pPr>
      <w:bookmarkStart w:id="40" w:name="_Toc15377210"/>
      <w:r>
        <w:rPr>
          <w:rFonts w:hint="eastAsia" w:ascii="仿宋" w:hAnsi="仿宋" w:eastAsia="仿宋"/>
          <w:b/>
          <w:sz w:val="32"/>
          <w:szCs w:val="32"/>
        </w:rPr>
        <w:t>（一）一般公共预算财政拨款支出决算总体情况</w:t>
      </w:r>
      <w:bookmarkEnd w:id="40"/>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938.46</w:t>
      </w:r>
      <w:r>
        <w:rPr>
          <w:rFonts w:hint="eastAsia" w:ascii="仿宋" w:hAnsi="仿宋" w:eastAsia="仿宋"/>
          <w:sz w:val="32"/>
          <w:szCs w:val="32"/>
        </w:rPr>
        <w:t>万元，占本年支出合计的</w:t>
      </w:r>
      <w:r>
        <w:rPr>
          <w:rFonts w:ascii="仿宋" w:hAnsi="仿宋" w:eastAsia="仿宋"/>
          <w:sz w:val="32"/>
          <w:szCs w:val="32"/>
        </w:rPr>
        <w:t>6</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年度相比减少</w:t>
      </w:r>
      <w:r>
        <w:rPr>
          <w:rFonts w:hint="eastAsia" w:ascii="仿宋" w:hAnsi="仿宋" w:eastAsia="仿宋"/>
          <w:sz w:val="32"/>
          <w:szCs w:val="32"/>
          <w:lang w:val="en-US" w:eastAsia="zh-CN"/>
        </w:rPr>
        <w:t>99.87</w:t>
      </w:r>
      <w:r>
        <w:rPr>
          <w:rFonts w:hint="eastAsia" w:ascii="仿宋" w:hAnsi="仿宋" w:eastAsia="仿宋"/>
          <w:sz w:val="32"/>
          <w:szCs w:val="32"/>
        </w:rPr>
        <w:t>万元，下降</w:t>
      </w:r>
      <w:r>
        <w:rPr>
          <w:rFonts w:hint="eastAsia" w:ascii="仿宋" w:hAnsi="仿宋" w:eastAsia="仿宋"/>
          <w:sz w:val="32"/>
          <w:szCs w:val="32"/>
          <w:lang w:val="en-US" w:eastAsia="zh-CN"/>
        </w:rPr>
        <w:t>9.6</w:t>
      </w:r>
      <w:r>
        <w:rPr>
          <w:rFonts w:ascii="仿宋" w:hAnsi="仿宋" w:eastAsia="仿宋"/>
          <w:sz w:val="32"/>
          <w:szCs w:val="32"/>
        </w:rPr>
        <w:t>%</w:t>
      </w:r>
      <w:r>
        <w:rPr>
          <w:rFonts w:hint="eastAsia" w:ascii="仿宋" w:hAnsi="仿宋" w:eastAsia="仿宋"/>
          <w:sz w:val="32"/>
          <w:szCs w:val="32"/>
        </w:rPr>
        <w:t>。主要变动原因是场馆改造提升工程项目资金减少。</w:t>
      </w:r>
    </w:p>
    <w:p>
      <w:pPr>
        <w:ind w:firstLine="420" w:firstLineChars="200"/>
        <w:rPr>
          <w:rFonts w:ascii="仿宋" w:hAnsi="仿宋" w:eastAsia="仿宋"/>
          <w:sz w:val="32"/>
          <w:szCs w:val="32"/>
        </w:rPr>
      </w:pPr>
      <w:r>
        <w:drawing>
          <wp:inline distT="0" distB="0" distL="114300" distR="114300">
            <wp:extent cx="4800600" cy="2914650"/>
            <wp:effectExtent l="7620" t="7620" r="11430" b="1143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ind w:firstLine="472" w:firstLineChars="147"/>
        <w:rPr>
          <w:rFonts w:ascii="仿宋" w:hAnsi="仿宋" w:eastAsia="仿宋"/>
          <w:b/>
          <w:sz w:val="32"/>
          <w:szCs w:val="32"/>
        </w:rPr>
      </w:pPr>
      <w:bookmarkStart w:id="41" w:name="_Toc15377211"/>
      <w:r>
        <w:rPr>
          <w:rFonts w:hint="eastAsia" w:ascii="仿宋" w:hAnsi="仿宋" w:eastAsia="仿宋"/>
          <w:b/>
          <w:sz w:val="32"/>
          <w:szCs w:val="32"/>
        </w:rPr>
        <w:t>（二）一般公共预算财政拨款支出决算结构情况</w:t>
      </w:r>
      <w:bookmarkEnd w:id="41"/>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938.46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文化旅游体育与传媒支出8</w:t>
      </w:r>
      <w:r>
        <w:rPr>
          <w:rFonts w:hint="eastAsia" w:ascii="仿宋" w:hAnsi="仿宋" w:eastAsia="仿宋"/>
          <w:sz w:val="32"/>
          <w:szCs w:val="32"/>
          <w:lang w:val="en-US" w:eastAsia="zh-CN"/>
        </w:rPr>
        <w:t>30.18</w:t>
      </w:r>
      <w:r>
        <w:rPr>
          <w:rFonts w:hint="eastAsia" w:ascii="仿宋" w:hAnsi="仿宋" w:eastAsia="仿宋"/>
          <w:sz w:val="32"/>
          <w:szCs w:val="32"/>
        </w:rPr>
        <w:t>万元，占8</w:t>
      </w:r>
      <w:r>
        <w:rPr>
          <w:rFonts w:hint="eastAsia" w:ascii="仿宋" w:hAnsi="仿宋" w:eastAsia="仿宋"/>
          <w:sz w:val="32"/>
          <w:szCs w:val="32"/>
          <w:lang w:val="en-US" w:eastAsia="zh-CN"/>
        </w:rPr>
        <w:t>8.4</w:t>
      </w:r>
      <w:r>
        <w:rPr>
          <w:rFonts w:ascii="仿宋" w:hAnsi="仿宋" w:eastAsia="仿宋"/>
          <w:sz w:val="32"/>
          <w:szCs w:val="32"/>
        </w:rPr>
        <w:t>%</w:t>
      </w:r>
      <w:r>
        <w:rPr>
          <w:rFonts w:hint="eastAsia" w:ascii="仿宋" w:hAnsi="仿宋" w:eastAsia="仿宋"/>
          <w:sz w:val="32"/>
          <w:szCs w:val="32"/>
        </w:rPr>
        <w:t>；社会保障和就业支出6</w:t>
      </w:r>
      <w:r>
        <w:rPr>
          <w:rFonts w:hint="eastAsia" w:ascii="仿宋" w:hAnsi="仿宋" w:eastAsia="仿宋"/>
          <w:sz w:val="32"/>
          <w:szCs w:val="32"/>
          <w:lang w:val="en-US" w:eastAsia="zh-CN"/>
        </w:rPr>
        <w:t>3.43</w:t>
      </w:r>
      <w:r>
        <w:rPr>
          <w:rFonts w:hint="eastAsia" w:ascii="仿宋" w:hAnsi="仿宋" w:eastAsia="仿宋"/>
          <w:sz w:val="32"/>
          <w:szCs w:val="32"/>
        </w:rPr>
        <w:t>万元，占</w:t>
      </w:r>
      <w:r>
        <w:rPr>
          <w:rFonts w:hint="eastAsia" w:ascii="仿宋" w:hAnsi="仿宋" w:eastAsia="仿宋"/>
          <w:sz w:val="32"/>
          <w:szCs w:val="32"/>
          <w:lang w:val="en-US" w:eastAsia="zh-CN"/>
        </w:rPr>
        <w:t>6.8</w:t>
      </w:r>
      <w:r>
        <w:rPr>
          <w:rFonts w:ascii="仿宋" w:hAnsi="仿宋" w:eastAsia="仿宋"/>
          <w:sz w:val="32"/>
          <w:szCs w:val="32"/>
        </w:rPr>
        <w:t>%</w:t>
      </w:r>
      <w:r>
        <w:rPr>
          <w:rFonts w:hint="eastAsia" w:ascii="仿宋" w:hAnsi="仿宋" w:eastAsia="仿宋"/>
          <w:sz w:val="32"/>
          <w:szCs w:val="32"/>
        </w:rPr>
        <w:t>；卫生健康支出1</w:t>
      </w:r>
      <w:r>
        <w:rPr>
          <w:rFonts w:hint="eastAsia" w:ascii="仿宋" w:hAnsi="仿宋" w:eastAsia="仿宋"/>
          <w:sz w:val="32"/>
          <w:szCs w:val="32"/>
          <w:lang w:val="en-US" w:eastAsia="zh-CN"/>
        </w:rPr>
        <w:t>1.84</w:t>
      </w:r>
      <w:r>
        <w:rPr>
          <w:rFonts w:hint="eastAsia" w:ascii="仿宋" w:hAnsi="仿宋" w:eastAsia="仿宋"/>
          <w:sz w:val="32"/>
          <w:szCs w:val="32"/>
        </w:rPr>
        <w:t>万元，占</w:t>
      </w:r>
      <w:r>
        <w:rPr>
          <w:rFonts w:hint="eastAsia" w:ascii="仿宋" w:hAnsi="仿宋" w:eastAsia="仿宋"/>
          <w:sz w:val="32"/>
          <w:szCs w:val="32"/>
          <w:lang w:val="en-US" w:eastAsia="zh-CN"/>
        </w:rPr>
        <w:t>1.3</w:t>
      </w:r>
      <w:r>
        <w:rPr>
          <w:rFonts w:ascii="仿宋" w:hAnsi="仿宋" w:eastAsia="仿宋"/>
          <w:sz w:val="32"/>
          <w:szCs w:val="32"/>
        </w:rPr>
        <w:t>%</w:t>
      </w:r>
      <w:r>
        <w:rPr>
          <w:rFonts w:hint="eastAsia" w:ascii="仿宋" w:hAnsi="仿宋" w:eastAsia="仿宋"/>
          <w:sz w:val="32"/>
          <w:szCs w:val="32"/>
        </w:rPr>
        <w:t>；住房保障支出3</w:t>
      </w:r>
      <w:r>
        <w:rPr>
          <w:rFonts w:hint="eastAsia" w:ascii="仿宋" w:hAnsi="仿宋" w:eastAsia="仿宋"/>
          <w:sz w:val="32"/>
          <w:szCs w:val="32"/>
          <w:lang w:val="en-US" w:eastAsia="zh-CN"/>
        </w:rPr>
        <w:t>3.01</w:t>
      </w:r>
      <w:r>
        <w:rPr>
          <w:rFonts w:hint="eastAsia" w:ascii="仿宋" w:hAnsi="仿宋" w:eastAsia="仿宋"/>
          <w:sz w:val="32"/>
          <w:szCs w:val="32"/>
        </w:rPr>
        <w:t>万元，占</w:t>
      </w:r>
      <w:r>
        <w:rPr>
          <w:rFonts w:hint="eastAsia" w:ascii="仿宋" w:hAnsi="仿宋" w:eastAsia="仿宋"/>
          <w:sz w:val="32"/>
          <w:szCs w:val="32"/>
          <w:lang w:val="en-US" w:eastAsia="zh-CN"/>
        </w:rPr>
        <w:t>3.5</w:t>
      </w:r>
      <w:r>
        <w:rPr>
          <w:rFonts w:ascii="仿宋" w:hAnsi="仿宋" w:eastAsia="仿宋"/>
          <w:sz w:val="32"/>
          <w:szCs w:val="32"/>
        </w:rPr>
        <w:t>%</w:t>
      </w:r>
      <w:r>
        <w:rPr>
          <w:rFonts w:hint="eastAsia" w:ascii="仿宋" w:hAnsi="仿宋" w:eastAsia="仿宋"/>
          <w:sz w:val="32"/>
          <w:szCs w:val="32"/>
        </w:rPr>
        <w:t>。</w:t>
      </w:r>
    </w:p>
    <w:p>
      <w:pPr>
        <w:ind w:firstLine="200"/>
        <w:jc w:val="center"/>
        <w:rPr>
          <w:rFonts w:ascii="仿宋" w:hAnsi="仿宋" w:eastAsia="仿宋"/>
          <w:sz w:val="32"/>
          <w:szCs w:val="32"/>
        </w:rPr>
      </w:pPr>
      <w:r>
        <w:drawing>
          <wp:inline distT="0" distB="0" distL="114300" distR="114300">
            <wp:extent cx="4724400" cy="3475990"/>
            <wp:effectExtent l="0" t="0" r="0" b="101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pPr>
        <w:ind w:firstLine="472" w:firstLineChars="147"/>
        <w:rPr>
          <w:rFonts w:ascii="仿宋" w:hAnsi="仿宋" w:eastAsia="仿宋"/>
          <w:b/>
          <w:sz w:val="32"/>
          <w:szCs w:val="32"/>
        </w:rPr>
      </w:pPr>
      <w:bookmarkStart w:id="42" w:name="_Toc15377212"/>
      <w:r>
        <w:rPr>
          <w:rFonts w:hint="eastAsia" w:ascii="仿宋" w:hAnsi="仿宋" w:eastAsia="仿宋"/>
          <w:b/>
          <w:sz w:val="32"/>
          <w:szCs w:val="32"/>
        </w:rPr>
        <w:t>（三）一般公共预算财政拨款支出决算具体情况</w:t>
      </w:r>
      <w:bookmarkEnd w:id="42"/>
    </w:p>
    <w:p>
      <w:pPr>
        <w:spacing w:line="600" w:lineRule="exact"/>
        <w:ind w:firstLine="640" w:firstLineChars="200"/>
        <w:rPr>
          <w:rFonts w:ascii="仿宋" w:hAnsi="仿宋" w:eastAsia="仿宋"/>
          <w:sz w:val="32"/>
          <w:szCs w:val="32"/>
        </w:rPr>
      </w:pPr>
      <w:bookmarkStart w:id="43" w:name="_Toc15377213"/>
      <w:bookmarkStart w:id="44" w:name="_Toc15377444"/>
      <w:bookmarkStart w:id="45" w:name="_Toc15378460"/>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年度一般公共预算支出决算数为</w:t>
      </w:r>
      <w:r>
        <w:rPr>
          <w:rFonts w:hint="eastAsia" w:ascii="仿宋" w:hAnsi="仿宋" w:eastAsia="仿宋"/>
          <w:sz w:val="32"/>
          <w:szCs w:val="32"/>
          <w:lang w:val="en-US" w:eastAsia="zh-CN"/>
        </w:rPr>
        <w:t>938.46</w:t>
      </w:r>
      <w:r>
        <w:rPr>
          <w:rFonts w:hint="eastAsia" w:ascii="仿宋" w:hAnsi="仿宋" w:eastAsia="仿宋"/>
          <w:sz w:val="32"/>
          <w:szCs w:val="32"/>
        </w:rPr>
        <w:t>万元，完成预算100</w:t>
      </w:r>
      <w:r>
        <w:rPr>
          <w:rFonts w:ascii="仿宋" w:hAnsi="仿宋" w:eastAsia="仿宋"/>
          <w:sz w:val="32"/>
          <w:szCs w:val="32"/>
        </w:rPr>
        <w:t>%</w:t>
      </w:r>
      <w:r>
        <w:rPr>
          <w:rFonts w:hint="eastAsia" w:ascii="仿宋" w:hAnsi="仿宋" w:eastAsia="仿宋"/>
          <w:sz w:val="32"/>
          <w:szCs w:val="32"/>
        </w:rPr>
        <w:t>。其中：</w:t>
      </w:r>
      <w:bookmarkEnd w:id="43"/>
      <w:bookmarkEnd w:id="44"/>
      <w:bookmarkEnd w:id="4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 文化旅游体育与传媒支出（类）体育（款）体育场馆（项）:支出决算为8</w:t>
      </w:r>
      <w:r>
        <w:rPr>
          <w:rFonts w:hint="eastAsia" w:ascii="仿宋" w:hAnsi="仿宋" w:eastAsia="仿宋"/>
          <w:sz w:val="32"/>
          <w:szCs w:val="32"/>
          <w:lang w:val="en-US" w:eastAsia="zh-CN"/>
        </w:rPr>
        <w:t>29.54</w:t>
      </w:r>
      <w:r>
        <w:rPr>
          <w:rFonts w:hint="eastAsia" w:ascii="仿宋" w:hAnsi="仿宋" w:eastAsia="仿宋"/>
          <w:sz w:val="32"/>
          <w:szCs w:val="32"/>
        </w:rPr>
        <w:t>万元，完成预算100%。</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 文化旅游体育与传媒支出（类）体育（款）其他体育支出（项）:支出决算为</w:t>
      </w:r>
      <w:r>
        <w:rPr>
          <w:rFonts w:hint="eastAsia" w:ascii="仿宋" w:hAnsi="仿宋" w:eastAsia="仿宋"/>
          <w:sz w:val="32"/>
          <w:szCs w:val="32"/>
          <w:lang w:val="en-US" w:eastAsia="zh-CN"/>
        </w:rPr>
        <w:t>0.65</w:t>
      </w:r>
      <w:r>
        <w:rPr>
          <w:rFonts w:hint="eastAsia" w:ascii="仿宋" w:hAnsi="仿宋" w:eastAsia="仿宋"/>
          <w:sz w:val="32"/>
          <w:szCs w:val="32"/>
        </w:rPr>
        <w:t xml:space="preserve">万元，完成预算100%。 </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.社会保障和就业（类）行政事业单位离退休（款）机关事业单位基本养老保险缴费支出（项）: 支出决算为</w:t>
      </w:r>
      <w:r>
        <w:rPr>
          <w:rFonts w:hint="eastAsia" w:ascii="仿宋" w:hAnsi="仿宋" w:eastAsia="仿宋"/>
          <w:sz w:val="32"/>
          <w:szCs w:val="32"/>
          <w:lang w:val="en-US" w:eastAsia="zh-CN"/>
        </w:rPr>
        <w:t>38.88</w:t>
      </w:r>
      <w:r>
        <w:rPr>
          <w:rFonts w:hint="eastAsia" w:ascii="仿宋" w:hAnsi="仿宋" w:eastAsia="仿宋"/>
          <w:sz w:val="32"/>
          <w:szCs w:val="32"/>
        </w:rPr>
        <w:t>万元，完成预算100%。</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.社会保障和就业（类）行政事业单位离退休（款）机关事业单位职业年金缴费支出（项）: 支出决算为</w:t>
      </w:r>
      <w:r>
        <w:rPr>
          <w:rFonts w:hint="eastAsia" w:ascii="仿宋" w:hAnsi="仿宋" w:eastAsia="仿宋"/>
          <w:sz w:val="32"/>
          <w:szCs w:val="32"/>
          <w:lang w:val="en-US" w:eastAsia="zh-CN"/>
        </w:rPr>
        <w:t>19.44</w:t>
      </w:r>
      <w:r>
        <w:rPr>
          <w:rFonts w:hint="eastAsia" w:ascii="仿宋" w:hAnsi="仿宋" w:eastAsia="仿宋"/>
          <w:sz w:val="32"/>
          <w:szCs w:val="32"/>
        </w:rPr>
        <w:t>万元，完成预算100%。</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.社会保障和就业（类）其他社会保障和就业支出（款）其他社会保障和就业支出（项）: 支出决算为</w:t>
      </w:r>
      <w:r>
        <w:rPr>
          <w:rFonts w:hint="eastAsia" w:ascii="仿宋" w:hAnsi="仿宋" w:eastAsia="仿宋"/>
          <w:sz w:val="32"/>
          <w:szCs w:val="32"/>
          <w:lang w:val="en-US" w:eastAsia="zh-CN"/>
        </w:rPr>
        <w:t>5.11</w:t>
      </w:r>
      <w:r>
        <w:rPr>
          <w:rFonts w:hint="eastAsia" w:ascii="仿宋" w:hAnsi="仿宋" w:eastAsia="仿宋"/>
          <w:sz w:val="32"/>
          <w:szCs w:val="32"/>
        </w:rPr>
        <w:t>万元，完成预算100%。</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.卫生健康支出（类）行政事业单位医疗（款）事业单位医疗（项）:支出决算为1</w:t>
      </w:r>
      <w:r>
        <w:rPr>
          <w:rFonts w:hint="eastAsia" w:ascii="仿宋" w:hAnsi="仿宋" w:eastAsia="仿宋"/>
          <w:sz w:val="32"/>
          <w:szCs w:val="32"/>
          <w:lang w:val="en-US" w:eastAsia="zh-CN"/>
        </w:rPr>
        <w:t>1.84</w:t>
      </w:r>
      <w:r>
        <w:rPr>
          <w:rFonts w:hint="eastAsia" w:ascii="仿宋" w:hAnsi="仿宋" w:eastAsia="仿宋"/>
          <w:sz w:val="32"/>
          <w:szCs w:val="32"/>
        </w:rPr>
        <w:t>万元，完成预算100%。</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.住房保障支出（类）住房改革支出（款）住房公积金（项）:支出决算为3</w:t>
      </w:r>
      <w:r>
        <w:rPr>
          <w:rFonts w:hint="eastAsia" w:ascii="仿宋" w:hAnsi="仿宋" w:eastAsia="仿宋"/>
          <w:sz w:val="32"/>
          <w:szCs w:val="32"/>
          <w:lang w:val="en-US" w:eastAsia="zh-CN"/>
        </w:rPr>
        <w:t>3.01</w:t>
      </w:r>
      <w:r>
        <w:rPr>
          <w:rFonts w:hint="eastAsia" w:ascii="仿宋" w:hAnsi="仿宋" w:eastAsia="仿宋"/>
          <w:sz w:val="32"/>
          <w:szCs w:val="32"/>
        </w:rPr>
        <w:t>万元，完成预算100%。</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46" w:name="_Toc178084492"/>
      <w:bookmarkStart w:id="47" w:name="_Toc15377214"/>
      <w:bookmarkStart w:id="4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6"/>
      <w:bookmarkEnd w:id="47"/>
      <w:bookmarkEnd w:id="48"/>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val="0"/>
          <w:bCs/>
          <w:sz w:val="32"/>
          <w:szCs w:val="32"/>
          <w:lang w:val="en-US" w:eastAsia="zh-CN"/>
        </w:rPr>
        <w:t>462.8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val="0"/>
          <w:bCs/>
          <w:sz w:val="32"/>
          <w:szCs w:val="32"/>
          <w:lang w:val="en-US" w:eastAsia="zh-CN"/>
        </w:rPr>
        <w:t>410.18</w:t>
      </w:r>
      <w:r>
        <w:rPr>
          <w:rFonts w:hint="eastAsia" w:ascii="仿宋" w:hAnsi="仿宋" w:eastAsia="仿宋"/>
          <w:sz w:val="32"/>
          <w:szCs w:val="32"/>
        </w:rPr>
        <w:t>万元，主要包括：基本工资、津贴补贴、绩效工资、机关事业单位基本养老保险缴费、职业年金缴费、职工基本医疗保险缴费、其他社会保障缴费、其他工资福利支出、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val="0"/>
          <w:bCs/>
          <w:sz w:val="32"/>
          <w:szCs w:val="32"/>
          <w:lang w:val="en-US" w:eastAsia="zh-CN"/>
        </w:rPr>
        <w:t>52.62</w:t>
      </w:r>
      <w:r>
        <w:rPr>
          <w:rFonts w:hint="eastAsia" w:ascii="仿宋" w:hAnsi="仿宋" w:eastAsia="仿宋"/>
          <w:sz w:val="32"/>
          <w:szCs w:val="32"/>
        </w:rPr>
        <w:t>万元，主要包括：办公费、印刷费、水费、邮电费、差旅费、维修（护）费、公务接待费、劳务费、委托业务费、工会经费、福利费、公务用车运行维护费、其他交通费、其他商品和服务支出等。</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49" w:name="_Toc15377215"/>
      <w:bookmarkStart w:id="50" w:name="_Toc178084493"/>
      <w:bookmarkStart w:id="51"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9"/>
      <w:bookmarkEnd w:id="50"/>
      <w:bookmarkEnd w:id="51"/>
    </w:p>
    <w:p>
      <w:pPr>
        <w:ind w:firstLine="472" w:firstLineChars="147"/>
        <w:rPr>
          <w:rFonts w:ascii="仿宋" w:hAnsi="仿宋" w:eastAsia="仿宋"/>
          <w:b/>
          <w:sz w:val="32"/>
          <w:szCs w:val="32"/>
        </w:rPr>
      </w:pPr>
      <w:bookmarkStart w:id="52" w:name="_Toc15377216"/>
      <w:r>
        <w:rPr>
          <w:rFonts w:hint="eastAsia" w:ascii="仿宋" w:hAnsi="仿宋" w:eastAsia="仿宋"/>
          <w:b/>
          <w:sz w:val="32"/>
          <w:szCs w:val="32"/>
        </w:rPr>
        <w:t>（一）“三公”经费财政拨款支出决算总体情况说明</w:t>
      </w:r>
      <w:bookmarkEnd w:id="52"/>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sz w:val="32"/>
          <w:szCs w:val="32"/>
          <w:lang w:val="en-US" w:eastAsia="zh-CN"/>
        </w:rPr>
        <w:t>1.52</w:t>
      </w:r>
      <w:r>
        <w:rPr>
          <w:rFonts w:hint="eastAsia" w:ascii="仿宋" w:hAnsi="仿宋" w:eastAsia="仿宋"/>
          <w:sz w:val="32"/>
          <w:szCs w:val="32"/>
        </w:rPr>
        <w:t>万元，完成预算</w:t>
      </w:r>
      <w:r>
        <w:rPr>
          <w:rFonts w:ascii="仿宋" w:hAnsi="仿宋" w:eastAsia="仿宋"/>
          <w:b w:val="0"/>
          <w:bCs/>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eastAsia="zh-CN"/>
        </w:rPr>
        <w:t>减少</w:t>
      </w:r>
      <w:r>
        <w:rPr>
          <w:rFonts w:hint="eastAsia" w:ascii="仿宋" w:hAnsi="仿宋" w:eastAsia="仿宋"/>
          <w:sz w:val="32"/>
          <w:szCs w:val="32"/>
          <w:lang w:val="en-US" w:eastAsia="zh-CN"/>
        </w:rPr>
        <w:t>1.47</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49.2</w:t>
      </w:r>
      <w:r>
        <w:rPr>
          <w:rFonts w:hint="eastAsia" w:ascii="仿宋" w:hAnsi="仿宋" w:eastAsia="仿宋"/>
          <w:sz w:val="32"/>
          <w:szCs w:val="32"/>
        </w:rPr>
        <w:t>%。决算数与预算数持平。</w:t>
      </w:r>
    </w:p>
    <w:p>
      <w:pPr>
        <w:ind w:firstLine="472" w:firstLineChars="147"/>
        <w:rPr>
          <w:rFonts w:ascii="仿宋" w:hAnsi="仿宋" w:eastAsia="仿宋"/>
          <w:b/>
          <w:sz w:val="32"/>
          <w:szCs w:val="32"/>
        </w:rPr>
      </w:pPr>
      <w:bookmarkStart w:id="53" w:name="_Toc15377217"/>
      <w:r>
        <w:rPr>
          <w:rFonts w:hint="eastAsia" w:ascii="仿宋" w:hAnsi="仿宋" w:eastAsia="仿宋"/>
          <w:b/>
          <w:sz w:val="32"/>
          <w:szCs w:val="32"/>
        </w:rPr>
        <w:t>（二）“三公”经费财政拨款支出决算具体情况说明</w:t>
      </w:r>
      <w:bookmarkEnd w:id="53"/>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hint="eastAsia" w:ascii="仿宋" w:hAnsi="仿宋" w:eastAsia="仿宋"/>
          <w:b w:val="0"/>
          <w:bCs/>
          <w:sz w:val="32"/>
          <w:szCs w:val="32"/>
          <w:lang w:val="en-US" w:eastAsia="zh-CN"/>
        </w:rPr>
        <w:t>0</w:t>
      </w:r>
      <w:r>
        <w:rPr>
          <w:rFonts w:hint="eastAsia" w:ascii="仿宋" w:hAnsi="仿宋" w:eastAsia="仿宋"/>
          <w:sz w:val="32"/>
          <w:szCs w:val="32"/>
        </w:rPr>
        <w:t>万元，占</w:t>
      </w:r>
      <w:r>
        <w:rPr>
          <w:rFonts w:hint="eastAsia" w:ascii="仿宋" w:hAnsi="仿宋" w:eastAsia="仿宋"/>
          <w:b w:val="0"/>
          <w:bCs/>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b w:val="0"/>
          <w:bCs/>
          <w:sz w:val="32"/>
          <w:szCs w:val="32"/>
          <w:lang w:val="en-US" w:eastAsia="zh-CN"/>
        </w:rPr>
        <w:t>1.3</w:t>
      </w:r>
      <w:r>
        <w:rPr>
          <w:rFonts w:hint="eastAsia" w:ascii="仿宋" w:hAnsi="仿宋" w:eastAsia="仿宋"/>
          <w:sz w:val="32"/>
          <w:szCs w:val="32"/>
        </w:rPr>
        <w:t>万元，占</w:t>
      </w:r>
      <w:r>
        <w:rPr>
          <w:rFonts w:hint="eastAsia" w:ascii="仿宋" w:hAnsi="仿宋" w:eastAsia="仿宋"/>
          <w:b w:val="0"/>
          <w:bCs/>
          <w:sz w:val="32"/>
          <w:szCs w:val="32"/>
          <w:lang w:val="en-US" w:eastAsia="zh-CN"/>
        </w:rPr>
        <w:t>85.5</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val="0"/>
          <w:bCs/>
          <w:sz w:val="32"/>
          <w:szCs w:val="32"/>
        </w:rPr>
        <w:t>0.</w:t>
      </w:r>
      <w:r>
        <w:rPr>
          <w:rFonts w:hint="eastAsia" w:ascii="仿宋" w:hAnsi="仿宋" w:eastAsia="仿宋"/>
          <w:b w:val="0"/>
          <w:bCs/>
          <w:sz w:val="32"/>
          <w:szCs w:val="32"/>
          <w:lang w:val="en-US" w:eastAsia="zh-CN"/>
        </w:rPr>
        <w:t>22</w:t>
      </w:r>
      <w:r>
        <w:rPr>
          <w:rFonts w:hint="eastAsia" w:ascii="仿宋" w:hAnsi="仿宋" w:eastAsia="仿宋"/>
          <w:sz w:val="32"/>
          <w:szCs w:val="32"/>
        </w:rPr>
        <w:t>万元，占</w:t>
      </w:r>
      <w:r>
        <w:rPr>
          <w:rFonts w:hint="eastAsia" w:ascii="仿宋" w:hAnsi="仿宋" w:eastAsia="仿宋"/>
          <w:b w:val="0"/>
          <w:bCs/>
          <w:sz w:val="32"/>
          <w:szCs w:val="32"/>
          <w:lang w:val="en-US" w:eastAsia="zh-CN"/>
        </w:rPr>
        <w:t>14.5</w:t>
      </w:r>
      <w:r>
        <w:rPr>
          <w:rFonts w:ascii="仿宋" w:hAnsi="仿宋" w:eastAsia="仿宋"/>
          <w:sz w:val="32"/>
          <w:szCs w:val="32"/>
        </w:rPr>
        <w:t>%</w:t>
      </w:r>
      <w:r>
        <w:rPr>
          <w:rFonts w:hint="eastAsia" w:ascii="仿宋" w:hAnsi="仿宋" w:eastAsia="仿宋"/>
          <w:sz w:val="32"/>
          <w:szCs w:val="32"/>
        </w:rPr>
        <w:t>。具体情况如下：</w:t>
      </w:r>
    </w:p>
    <w:p>
      <w:pPr>
        <w:jc w:val="center"/>
      </w:pPr>
      <w:r>
        <w:drawing>
          <wp:inline distT="0" distB="0" distL="114300" distR="114300">
            <wp:extent cx="4572000" cy="4123055"/>
            <wp:effectExtent l="0" t="0" r="0" b="107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bookmarkStart w:id="54" w:name="_Toc15396610"/>
      <w:bookmarkStart w:id="55"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b w:val="0"/>
          <w:bCs/>
          <w:sz w:val="32"/>
          <w:szCs w:val="32"/>
          <w:lang w:val="en-US" w:eastAsia="zh-CN"/>
        </w:rPr>
        <w:t>0</w:t>
      </w:r>
      <w:r>
        <w:rPr>
          <w:rFonts w:hint="eastAsia" w:ascii="仿宋_GB2312" w:eastAsia="仿宋_GB2312"/>
          <w:sz w:val="32"/>
          <w:szCs w:val="32"/>
        </w:rPr>
        <w:t>次，出国（境）</w:t>
      </w:r>
      <w:r>
        <w:rPr>
          <w:rFonts w:hint="eastAsia" w:ascii="仿宋_GB2312" w:eastAsia="仿宋_GB2312"/>
          <w:b w:val="0"/>
          <w:bCs/>
          <w:sz w:val="32"/>
          <w:szCs w:val="32"/>
          <w:lang w:val="en-US" w:eastAsia="zh-CN"/>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rPr>
        <w:t>2.5万元，</w:t>
      </w:r>
      <w:r>
        <w:rPr>
          <w:rFonts w:hint="eastAsia" w:ascii="仿宋_GB2312" w:eastAsia="仿宋_GB2312"/>
          <w:sz w:val="32"/>
          <w:szCs w:val="32"/>
          <w:lang w:eastAsia="zh-CN"/>
        </w:rPr>
        <w:t>下降</w:t>
      </w:r>
      <w:r>
        <w:rPr>
          <w:rFonts w:hint="eastAsia" w:ascii="仿宋_GB2312" w:eastAsia="仿宋_GB2312"/>
          <w:sz w:val="32"/>
          <w:szCs w:val="32"/>
        </w:rPr>
        <w:t>100</w:t>
      </w:r>
      <w:r>
        <w:rPr>
          <w:rFonts w:ascii="仿宋_GB2312" w:eastAsia="仿宋_GB2312"/>
          <w:sz w:val="32"/>
          <w:szCs w:val="32"/>
        </w:rPr>
        <w:t>%</w:t>
      </w:r>
      <w:r>
        <w:rPr>
          <w:rFonts w:hint="eastAsia" w:ascii="仿宋_GB2312" w:eastAsia="仿宋_GB2312"/>
          <w:sz w:val="32"/>
          <w:szCs w:val="32"/>
        </w:rPr>
        <w:t>。主要原因是202</w:t>
      </w:r>
      <w:r>
        <w:rPr>
          <w:rFonts w:hint="eastAsia" w:ascii="仿宋_GB2312" w:eastAsia="仿宋_GB2312"/>
          <w:sz w:val="32"/>
          <w:szCs w:val="32"/>
          <w:lang w:val="en-US" w:eastAsia="zh-CN"/>
        </w:rPr>
        <w:t>4</w:t>
      </w:r>
      <w:r>
        <w:rPr>
          <w:rFonts w:hint="eastAsia" w:ascii="仿宋_GB2312" w:eastAsia="仿宋_GB2312"/>
          <w:sz w:val="32"/>
          <w:szCs w:val="32"/>
        </w:rPr>
        <w:t>年无因公出国（境）。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val="0"/>
          <w:bCs/>
          <w:sz w:val="32"/>
          <w:szCs w:val="32"/>
          <w:lang w:val="en-US" w:eastAsia="zh-CN"/>
        </w:rPr>
        <w:t>1.3</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val="0"/>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0.89</w:t>
      </w:r>
      <w:r>
        <w:rPr>
          <w:rFonts w:hint="eastAsia" w:ascii="仿宋_GB2312" w:eastAsia="仿宋_GB2312"/>
          <w:sz w:val="32"/>
          <w:szCs w:val="32"/>
        </w:rPr>
        <w:t>万元，增长</w:t>
      </w:r>
      <w:r>
        <w:rPr>
          <w:rFonts w:hint="eastAsia" w:ascii="仿宋_GB2312" w:eastAsia="仿宋_GB2312"/>
          <w:sz w:val="32"/>
          <w:szCs w:val="32"/>
          <w:lang w:val="en-US" w:eastAsia="zh-CN"/>
        </w:rPr>
        <w:t>217.1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因公出差增加，公务用车运行维护费增加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val="0"/>
          <w:bCs/>
          <w:sz w:val="32"/>
          <w:szCs w:val="32"/>
        </w:rPr>
        <w:t>0</w:t>
      </w:r>
      <w:r>
        <w:rPr>
          <w:rFonts w:hint="eastAsia" w:ascii="仿宋_GB2312" w:eastAsia="仿宋_GB2312"/>
          <w:sz w:val="32"/>
          <w:szCs w:val="32"/>
        </w:rPr>
        <w:t>万元。全年按规定更新购置公务用车0辆，其中：轿车0辆、金额0万元。截至202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月31日，单位共有公务用车1辆，其中：轿车1辆、越野车0辆、载客汽车0辆。体育中心公务用车为机关事务管理局划拨车辆。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b w:val="0"/>
          <w:bCs/>
          <w:sz w:val="32"/>
          <w:szCs w:val="32"/>
          <w:lang w:val="en-US" w:eastAsia="zh-CN"/>
        </w:rPr>
        <w:t>1.3</w:t>
      </w:r>
      <w:r>
        <w:rPr>
          <w:rFonts w:hint="eastAsia" w:ascii="仿宋_GB2312" w:eastAsia="仿宋_GB2312"/>
          <w:sz w:val="32"/>
          <w:szCs w:val="32"/>
        </w:rPr>
        <w:t>万元。主要用于日常业务车辆过路过桥费、保险费等支出。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val="0"/>
          <w:bCs/>
          <w:sz w:val="32"/>
          <w:szCs w:val="32"/>
          <w:lang w:val="en-US" w:eastAsia="zh-CN"/>
        </w:rPr>
        <w:t>0.22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增加</w:t>
      </w:r>
      <w:r>
        <w:rPr>
          <w:rFonts w:hint="eastAsia" w:ascii="仿宋_GB2312" w:eastAsia="仿宋_GB2312"/>
          <w:sz w:val="32"/>
          <w:szCs w:val="32"/>
          <w:lang w:val="en-US" w:eastAsia="zh-CN"/>
        </w:rPr>
        <w:t>0.14</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175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接待事务增加，公务接待费增加</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val="0"/>
          <w:bCs/>
          <w:sz w:val="32"/>
          <w:szCs w:val="32"/>
        </w:rPr>
        <w:t>0.</w:t>
      </w:r>
      <w:r>
        <w:rPr>
          <w:rFonts w:hint="eastAsia" w:ascii="仿宋" w:hAnsi="仿宋" w:eastAsia="仿宋"/>
          <w:b w:val="0"/>
          <w:bCs/>
          <w:sz w:val="32"/>
          <w:szCs w:val="32"/>
          <w:lang w:val="en-US" w:eastAsia="zh-CN"/>
        </w:rPr>
        <w:t>22</w:t>
      </w:r>
      <w:r>
        <w:rPr>
          <w:rFonts w:hint="eastAsia" w:ascii="仿宋_GB2312" w:eastAsia="仿宋_GB2312"/>
          <w:sz w:val="32"/>
          <w:szCs w:val="32"/>
        </w:rPr>
        <w:t>万元，主要用于接待其他单位人员用餐费等。国内公务接待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16</w:t>
      </w:r>
      <w:r>
        <w:rPr>
          <w:rFonts w:hint="eastAsia" w:ascii="仿宋_GB2312" w:eastAsia="仿宋_GB2312"/>
          <w:sz w:val="32"/>
          <w:szCs w:val="32"/>
        </w:rPr>
        <w:t>人次（不包括陪同人员），共计支出0.</w:t>
      </w:r>
      <w:r>
        <w:rPr>
          <w:rFonts w:hint="eastAsia" w:ascii="仿宋_GB2312" w:eastAsia="仿宋_GB2312"/>
          <w:sz w:val="32"/>
          <w:szCs w:val="32"/>
          <w:lang w:val="en-US" w:eastAsia="zh-CN"/>
        </w:rPr>
        <w:t>22</w:t>
      </w:r>
      <w:r>
        <w:rPr>
          <w:rFonts w:hint="eastAsia" w:ascii="仿宋_GB2312" w:eastAsia="仿宋_GB2312"/>
          <w:sz w:val="32"/>
          <w:szCs w:val="32"/>
        </w:rPr>
        <w:t>万元，具体内容包括：</w:t>
      </w:r>
      <w:r>
        <w:rPr>
          <w:rFonts w:hint="eastAsia" w:ascii="仿宋_GB2312" w:eastAsia="仿宋_GB2312"/>
          <w:sz w:val="32"/>
          <w:szCs w:val="32"/>
          <w:lang w:eastAsia="zh-CN"/>
        </w:rPr>
        <w:t>接待四川省体育场馆协会专题调研组和广安体育事业发展中心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p>
      <w:pPr>
        <w:spacing w:line="600" w:lineRule="exact"/>
        <w:ind w:firstLine="640"/>
        <w:outlineLvl w:val="1"/>
        <w:rPr>
          <w:rStyle w:val="29"/>
          <w:rFonts w:ascii="黑体" w:hAnsi="黑体" w:eastAsia="黑体"/>
        </w:rPr>
      </w:pPr>
      <w:bookmarkStart w:id="56" w:name="_Toc178084494"/>
      <w:r>
        <w:rPr>
          <w:rFonts w:hint="eastAsia" w:ascii="黑体" w:eastAsia="黑体"/>
          <w:sz w:val="32"/>
          <w:szCs w:val="32"/>
        </w:rPr>
        <w:t>八、</w:t>
      </w:r>
      <w:r>
        <w:rPr>
          <w:rStyle w:val="29"/>
          <w:rFonts w:hint="eastAsia" w:ascii="黑体" w:hAnsi="黑体" w:eastAsia="黑体"/>
          <w:b w:val="0"/>
        </w:rPr>
        <w:t>政府性基金预算支出决算情况说明</w:t>
      </w:r>
      <w:bookmarkEnd w:id="54"/>
      <w:bookmarkEnd w:id="55"/>
      <w:bookmarkEnd w:id="56"/>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hint="eastAsia" w:ascii="仿宋" w:hAnsi="仿宋" w:eastAsia="仿宋"/>
          <w:b w:val="0"/>
          <w:bCs/>
          <w:sz w:val="32"/>
          <w:szCs w:val="32"/>
          <w:lang w:val="en-US" w:eastAsia="zh-CN"/>
        </w:rPr>
        <w:t>468.93</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9"/>
          <w:rFonts w:ascii="黑体" w:hAnsi="黑体" w:eastAsia="黑体"/>
          <w:b w:val="0"/>
        </w:rPr>
      </w:pPr>
      <w:bookmarkStart w:id="57" w:name="_Toc15377219"/>
      <w:bookmarkStart w:id="58" w:name="_Toc15396611"/>
      <w:bookmarkStart w:id="59" w:name="_Toc178084495"/>
      <w:r>
        <w:rPr>
          <w:rStyle w:val="29"/>
          <w:rFonts w:hint="eastAsia" w:ascii="黑体" w:hAnsi="黑体" w:eastAsia="黑体"/>
          <w:b w:val="0"/>
        </w:rPr>
        <w:t>国有资本经营预算支出决算情况说明</w:t>
      </w:r>
      <w:bookmarkEnd w:id="57"/>
      <w:bookmarkEnd w:id="58"/>
      <w:bookmarkEnd w:id="59"/>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val="0"/>
          <w:bCs/>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9"/>
          <w:rFonts w:ascii="黑体" w:hAnsi="黑体" w:eastAsia="黑体"/>
          <w:b w:val="0"/>
        </w:rPr>
      </w:pPr>
      <w:bookmarkStart w:id="60" w:name="_Toc178084496"/>
      <w:bookmarkStart w:id="61" w:name="_Toc15396612"/>
      <w:bookmarkStart w:id="62" w:name="_Toc15377221"/>
      <w:r>
        <w:rPr>
          <w:rStyle w:val="29"/>
          <w:rFonts w:hint="eastAsia" w:ascii="黑体" w:hAnsi="黑体" w:eastAsia="黑体"/>
          <w:b w:val="0"/>
        </w:rPr>
        <w:t>其他重要事项的情况说明</w:t>
      </w:r>
      <w:bookmarkEnd w:id="60"/>
      <w:bookmarkEnd w:id="61"/>
      <w:bookmarkEnd w:id="62"/>
    </w:p>
    <w:p>
      <w:pPr>
        <w:ind w:firstLine="472" w:firstLineChars="147"/>
        <w:rPr>
          <w:rFonts w:ascii="仿宋" w:hAnsi="仿宋" w:eastAsia="仿宋"/>
          <w:b/>
          <w:sz w:val="32"/>
          <w:szCs w:val="32"/>
        </w:rPr>
      </w:pPr>
      <w:bookmarkStart w:id="63" w:name="_Toc15377222"/>
      <w:r>
        <w:rPr>
          <w:rFonts w:hint="eastAsia" w:ascii="仿宋" w:hAnsi="仿宋" w:eastAsia="仿宋"/>
          <w:b/>
          <w:sz w:val="32"/>
          <w:szCs w:val="32"/>
        </w:rPr>
        <w:t>（一）机关运行经费支出情况</w:t>
      </w:r>
      <w:bookmarkEnd w:id="63"/>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val="0"/>
          <w:bCs/>
          <w:sz w:val="32"/>
          <w:szCs w:val="32"/>
        </w:rPr>
        <w:t>乐山市体育中心</w:t>
      </w:r>
      <w:r>
        <w:rPr>
          <w:rFonts w:hint="eastAsia" w:ascii="仿宋_GB2312" w:eastAsia="仿宋_GB2312"/>
          <w:sz w:val="32"/>
          <w:szCs w:val="32"/>
        </w:rPr>
        <w:t>机关运行经费支出</w:t>
      </w:r>
      <w:r>
        <w:rPr>
          <w:rFonts w:ascii="仿宋" w:hAnsi="仿宋" w:eastAsia="仿宋"/>
          <w:b w:val="0"/>
          <w:bCs/>
          <w:sz w:val="32"/>
          <w:szCs w:val="32"/>
        </w:rPr>
        <w:t>0</w:t>
      </w:r>
      <w:r>
        <w:rPr>
          <w:rFonts w:hint="eastAsia" w:ascii="仿宋_GB2312" w:eastAsia="仿宋_GB2312"/>
          <w:sz w:val="32"/>
          <w:szCs w:val="32"/>
        </w:rPr>
        <w:t>万元，主要原因是体育中心属于事业单位。</w:t>
      </w:r>
    </w:p>
    <w:p>
      <w:pPr>
        <w:ind w:firstLine="472" w:firstLineChars="147"/>
        <w:rPr>
          <w:rFonts w:ascii="仿宋" w:hAnsi="仿宋" w:eastAsia="仿宋"/>
          <w:b/>
          <w:sz w:val="32"/>
          <w:szCs w:val="32"/>
        </w:rPr>
      </w:pPr>
      <w:bookmarkStart w:id="64" w:name="_Toc15377223"/>
      <w:r>
        <w:rPr>
          <w:rFonts w:hint="eastAsia" w:ascii="仿宋" w:hAnsi="仿宋" w:eastAsia="仿宋"/>
          <w:b/>
          <w:sz w:val="32"/>
          <w:szCs w:val="32"/>
        </w:rPr>
        <w:t>（二）政府采购支出情况</w:t>
      </w:r>
      <w:bookmarkEnd w:id="64"/>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年度，乐山市体育中心政府采购支出总额</w:t>
      </w:r>
      <w:r>
        <w:rPr>
          <w:rFonts w:hint="eastAsia" w:ascii="仿宋_GB2312" w:eastAsia="仿宋_GB2312"/>
          <w:sz w:val="32"/>
          <w:szCs w:val="32"/>
          <w:lang w:val="en-US" w:eastAsia="zh-CN"/>
        </w:rPr>
        <w:t>3.54</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2.4</w:t>
      </w:r>
      <w:r>
        <w:rPr>
          <w:rFonts w:hint="eastAsia" w:ascii="仿宋_GB2312" w:eastAsia="仿宋_GB2312"/>
          <w:sz w:val="32"/>
          <w:szCs w:val="32"/>
        </w:rPr>
        <w:t>万元、政府采购工程支出0万元、政府采购服务支出</w:t>
      </w:r>
      <w:r>
        <w:rPr>
          <w:rFonts w:hint="eastAsia" w:ascii="仿宋_GB2312" w:eastAsia="仿宋_GB2312"/>
          <w:sz w:val="32"/>
          <w:szCs w:val="32"/>
          <w:lang w:val="en-US" w:eastAsia="zh-CN"/>
        </w:rPr>
        <w:t>1.14</w:t>
      </w:r>
      <w:r>
        <w:rPr>
          <w:rFonts w:hint="eastAsia" w:ascii="仿宋_GB2312" w:eastAsia="仿宋_GB2312"/>
          <w:sz w:val="32"/>
          <w:szCs w:val="32"/>
        </w:rPr>
        <w:t>万元。主要用于采购体质测试器材和户外健身器材以及车辆保险。</w:t>
      </w:r>
    </w:p>
    <w:p>
      <w:pPr>
        <w:ind w:firstLine="472" w:firstLineChars="147"/>
        <w:rPr>
          <w:rFonts w:ascii="仿宋" w:hAnsi="仿宋" w:eastAsia="仿宋"/>
          <w:b/>
          <w:sz w:val="32"/>
          <w:szCs w:val="32"/>
        </w:rPr>
      </w:pPr>
      <w:bookmarkStart w:id="65" w:name="_Toc15377224"/>
      <w:r>
        <w:rPr>
          <w:rFonts w:hint="eastAsia" w:ascii="仿宋" w:hAnsi="仿宋" w:eastAsia="仿宋"/>
          <w:b/>
          <w:sz w:val="32"/>
          <w:szCs w:val="32"/>
        </w:rPr>
        <w:t>（三）国有资产占有使用情况</w:t>
      </w:r>
      <w:bookmarkEnd w:id="6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val="0"/>
          <w:bCs/>
          <w:sz w:val="32"/>
          <w:szCs w:val="32"/>
        </w:rPr>
        <w:t>乐山市体育中心</w:t>
      </w:r>
      <w:r>
        <w:rPr>
          <w:rFonts w:hint="eastAsia" w:ascii="仿宋_GB2312" w:eastAsia="仿宋_GB2312"/>
          <w:sz w:val="32"/>
          <w:szCs w:val="32"/>
        </w:rPr>
        <w:t>共有车辆</w:t>
      </w:r>
      <w:r>
        <w:rPr>
          <w:rFonts w:hint="eastAsia" w:ascii="仿宋_GB2312" w:eastAsia="仿宋_GB2312"/>
          <w:b w:val="0"/>
          <w:bCs/>
          <w:sz w:val="32"/>
          <w:szCs w:val="32"/>
        </w:rPr>
        <w:t>1</w:t>
      </w:r>
      <w:r>
        <w:rPr>
          <w:rFonts w:hint="eastAsia" w:ascii="仿宋_GB2312" w:eastAsia="仿宋_GB2312"/>
          <w:sz w:val="32"/>
          <w:szCs w:val="32"/>
        </w:rPr>
        <w:t>辆，其中：主要领导干部用车0辆、机要通信用车0辆、应急保障用车0辆、其他用车1辆，其他用车主要是用于接送单位人员外出办事。单价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ind w:firstLine="472" w:firstLineChars="147"/>
        <w:rPr>
          <w:rFonts w:ascii="仿宋" w:hAnsi="仿宋" w:eastAsia="仿宋"/>
          <w:b/>
          <w:sz w:val="32"/>
          <w:szCs w:val="32"/>
        </w:rPr>
      </w:pPr>
      <w:r>
        <w:rPr>
          <w:rFonts w:hint="eastAsia" w:ascii="仿宋" w:hAnsi="仿宋" w:eastAsia="仿宋"/>
          <w:b/>
          <w:sz w:val="32"/>
          <w:szCs w:val="32"/>
        </w:rPr>
        <w:t>（四）预算绩效管理情况</w:t>
      </w:r>
    </w:p>
    <w:p>
      <w:pPr>
        <w:ind w:firstLine="790" w:firstLineChars="247"/>
        <w:rPr>
          <w:rFonts w:hint="eastAsia" w:ascii="仿宋_GB2312" w:eastAsia="仿宋_GB2312"/>
          <w:sz w:val="32"/>
          <w:szCs w:val="32"/>
        </w:rPr>
      </w:pPr>
      <w:r>
        <w:rPr>
          <w:rFonts w:hint="eastAsia" w:ascii="仿宋" w:hAnsi="仿宋" w:eastAsia="仿宋"/>
          <w:b w:val="0"/>
          <w:bCs/>
          <w:sz w:val="32"/>
          <w:szCs w:val="32"/>
        </w:rPr>
        <w:t>根据预算绩效管理要求，</w:t>
      </w:r>
      <w:r>
        <w:rPr>
          <w:rFonts w:hint="eastAsia" w:ascii="仿宋_GB2312" w:eastAsia="仿宋_GB2312"/>
          <w:sz w:val="32"/>
          <w:szCs w:val="32"/>
        </w:rPr>
        <w:t>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ascii="仿宋_GB2312" w:eastAsia="仿宋_GB2312"/>
          <w:sz w:val="32"/>
          <w:szCs w:val="32"/>
        </w:rPr>
        <w:t>大型体育场馆免费低收费开放专项补助资</w:t>
      </w:r>
      <w:r>
        <w:rPr>
          <w:rFonts w:hint="eastAsia" w:ascii="仿宋_GB2312" w:eastAsia="仿宋_GB2312"/>
          <w:sz w:val="32"/>
          <w:szCs w:val="32"/>
        </w:rPr>
        <w:t>金项目等</w:t>
      </w:r>
      <w:r>
        <w:rPr>
          <w:rFonts w:hint="eastAsia" w:ascii="仿宋_GB2312" w:eastAsia="仿宋_GB2312"/>
          <w:sz w:val="32"/>
          <w:szCs w:val="32"/>
          <w:lang w:val="en-US" w:eastAsia="zh-CN"/>
        </w:rPr>
        <w:t>1</w:t>
      </w:r>
      <w:r>
        <w:rPr>
          <w:rFonts w:hint="eastAsia" w:ascii="仿宋_GB2312" w:eastAsia="仿宋_GB2312"/>
          <w:sz w:val="32"/>
          <w:szCs w:val="32"/>
        </w:rPr>
        <w:t>个项目开展了预算事前绩效评估，对1</w:t>
      </w:r>
      <w:r>
        <w:rPr>
          <w:rFonts w:hint="eastAsia" w:ascii="仿宋_GB2312" w:eastAsia="仿宋_GB2312"/>
          <w:sz w:val="32"/>
          <w:szCs w:val="32"/>
          <w:lang w:val="en-US" w:eastAsia="zh-CN"/>
        </w:rPr>
        <w:t>7</w:t>
      </w:r>
      <w:r>
        <w:rPr>
          <w:rFonts w:hint="eastAsia" w:ascii="仿宋_GB2312" w:eastAsia="仿宋_GB2312"/>
          <w:sz w:val="32"/>
          <w:szCs w:val="32"/>
        </w:rPr>
        <w:t>个项目编制了绩效目标，预算执行过程中，选取1</w:t>
      </w:r>
      <w:r>
        <w:rPr>
          <w:rFonts w:hint="eastAsia" w:ascii="仿宋_GB2312" w:eastAsia="仿宋_GB2312"/>
          <w:sz w:val="32"/>
          <w:szCs w:val="32"/>
          <w:lang w:val="en-US" w:eastAsia="zh-CN"/>
        </w:rPr>
        <w:t>7</w:t>
      </w:r>
      <w:r>
        <w:rPr>
          <w:rFonts w:hint="eastAsia" w:ascii="仿宋_GB2312" w:eastAsia="仿宋_GB2312"/>
          <w:sz w:val="32"/>
          <w:szCs w:val="32"/>
        </w:rPr>
        <w:t>个项目开展绩效监控，组织对1</w:t>
      </w:r>
      <w:r>
        <w:rPr>
          <w:rFonts w:hint="eastAsia" w:ascii="仿宋_GB2312" w:eastAsia="仿宋_GB2312"/>
          <w:sz w:val="32"/>
          <w:szCs w:val="32"/>
          <w:lang w:val="en-US" w:eastAsia="zh-CN"/>
        </w:rPr>
        <w:t>7</w:t>
      </w:r>
      <w:r>
        <w:rPr>
          <w:rFonts w:hint="eastAsia" w:ascii="仿宋_GB2312" w:eastAsia="仿宋_GB2312"/>
          <w:sz w:val="32"/>
          <w:szCs w:val="32"/>
        </w:rPr>
        <w:t>个项目开展绩效自评，绩效自评表详见第四部分附件。</w:t>
      </w:r>
    </w:p>
    <w:p>
      <w:pPr>
        <w:rPr>
          <w:sz w:val="28"/>
          <w:szCs w:val="28"/>
        </w:rPr>
      </w:pPr>
    </w:p>
    <w:p>
      <w:pPr>
        <w:rPr>
          <w:rFonts w:hint="eastAsia"/>
          <w:sz w:val="28"/>
          <w:szCs w:val="28"/>
        </w:rPr>
      </w:pPr>
    </w:p>
    <w:p>
      <w:pPr>
        <w:rPr>
          <w:sz w:val="28"/>
          <w:szCs w:val="28"/>
        </w:rPr>
      </w:pPr>
    </w:p>
    <w:p>
      <w:pPr>
        <w:rPr>
          <w:rFonts w:hint="eastAsia"/>
          <w:sz w:val="28"/>
          <w:szCs w:val="28"/>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66" w:name="_Toc15396613"/>
      <w:bookmarkStart w:id="67" w:name="_Toc15377225"/>
      <w:bookmarkStart w:id="68" w:name="_Toc178084497"/>
      <w:r>
        <w:rPr>
          <w:rFonts w:hint="eastAsia" w:ascii="黑体" w:hAnsi="黑体" w:eastAsia="黑体"/>
          <w:sz w:val="44"/>
          <w:szCs w:val="44"/>
        </w:rPr>
        <w:t>名</w:t>
      </w:r>
      <w:r>
        <w:rPr>
          <w:rStyle w:val="28"/>
          <w:rFonts w:hint="eastAsia" w:ascii="黑体" w:hAnsi="黑体" w:eastAsia="黑体"/>
          <w:b w:val="0"/>
        </w:rPr>
        <w:t>词解释</w:t>
      </w:r>
      <w:bookmarkEnd w:id="66"/>
      <w:bookmarkEnd w:id="67"/>
      <w:bookmarkEnd w:id="68"/>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40"/>
        <w:rPr>
          <w:rFonts w:ascii="仿宋_GB2312" w:hAnsi="仿宋_GB2312" w:eastAsia="仿宋_GB2312"/>
          <w:color w:val="000000"/>
          <w:sz w:val="32"/>
        </w:rPr>
      </w:pPr>
      <w:bookmarkStart w:id="69" w:name="_Toc15377226"/>
      <w:r>
        <w:rPr>
          <w:rFonts w:ascii="仿宋_GB2312" w:hAnsi="仿宋_GB2312" w:eastAsia="仿宋_GB2312"/>
          <w:color w:val="000000"/>
          <w:sz w:val="32"/>
        </w:rPr>
        <w:t xml:space="preserve">9. </w:t>
      </w:r>
      <w:r>
        <w:rPr>
          <w:rFonts w:hint="eastAsia" w:ascii="仿宋_GB2312" w:hAnsi="仿宋_GB2312" w:eastAsia="仿宋_GB2312"/>
          <w:color w:val="000000"/>
          <w:sz w:val="32"/>
        </w:rPr>
        <w:t>文化旅游体育与传媒支出（类）体育（款）体育训练（项）</w:t>
      </w:r>
      <w:r>
        <w:rPr>
          <w:rFonts w:ascii="仿宋_GB2312" w:hAnsi="仿宋_GB2312" w:eastAsia="仿宋_GB2312"/>
          <w:color w:val="000000"/>
          <w:sz w:val="32"/>
        </w:rPr>
        <w:t>:</w:t>
      </w:r>
      <w:r>
        <w:rPr>
          <w:rFonts w:hint="eastAsia" w:ascii="仿宋_GB2312" w:hAnsi="仿宋_GB2312" w:eastAsia="仿宋_GB2312"/>
          <w:color w:val="000000"/>
          <w:sz w:val="32"/>
        </w:rPr>
        <w:t>反映各级体育运动队训练补助及器材购置等方面的支出。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 xml:space="preserve">10. </w:t>
      </w:r>
      <w:r>
        <w:rPr>
          <w:rFonts w:hint="eastAsia" w:ascii="仿宋_GB2312" w:hAnsi="仿宋_GB2312" w:eastAsia="仿宋_GB2312"/>
          <w:color w:val="000000"/>
          <w:sz w:val="32"/>
        </w:rPr>
        <w:t>文化旅游体育与传媒支出（类）体育（款）体育场馆（项）</w:t>
      </w:r>
      <w:r>
        <w:rPr>
          <w:rFonts w:ascii="仿宋_GB2312" w:hAnsi="仿宋_GB2312" w:eastAsia="仿宋_GB2312"/>
          <w:color w:val="000000"/>
          <w:sz w:val="32"/>
        </w:rPr>
        <w:t>:</w:t>
      </w:r>
      <w:r>
        <w:rPr>
          <w:rFonts w:hint="eastAsia" w:ascii="仿宋_GB2312" w:hAnsi="仿宋_GB2312" w:eastAsia="仿宋_GB2312"/>
          <w:color w:val="000000"/>
          <w:sz w:val="32"/>
        </w:rPr>
        <w:t>反映体育场馆建设及维护等方面的支出。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 xml:space="preserve">11. </w:t>
      </w:r>
      <w:r>
        <w:rPr>
          <w:rFonts w:hint="eastAsia" w:ascii="仿宋_GB2312" w:hAnsi="仿宋_GB2312" w:eastAsia="仿宋_GB2312"/>
          <w:color w:val="000000"/>
          <w:sz w:val="32"/>
        </w:rPr>
        <w:t>文化旅游体育与传媒支出（类）体育（款）其他体育支出（项）</w:t>
      </w:r>
      <w:r>
        <w:rPr>
          <w:rFonts w:ascii="仿宋_GB2312" w:hAnsi="仿宋_GB2312" w:eastAsia="仿宋_GB2312"/>
          <w:color w:val="000000"/>
          <w:sz w:val="32"/>
        </w:rPr>
        <w:t>:</w:t>
      </w:r>
      <w:r>
        <w:rPr>
          <w:rFonts w:hint="eastAsia" w:ascii="仿宋_GB2312" w:hAnsi="仿宋_GB2312" w:eastAsia="仿宋_GB2312"/>
          <w:color w:val="000000"/>
          <w:sz w:val="32"/>
        </w:rPr>
        <w:t>反映其他用于体育方面的支出。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 xml:space="preserve">12. </w:t>
      </w:r>
      <w:r>
        <w:rPr>
          <w:rFonts w:hint="eastAsia" w:ascii="仿宋_GB2312" w:hAnsi="仿宋_GB2312" w:eastAsia="仿宋_GB2312"/>
          <w:color w:val="000000"/>
          <w:sz w:val="32"/>
        </w:rPr>
        <w:t>文化旅游体育与传媒支出（类）其他文化旅游体育与传媒支出（款）其他文化旅游体育与传媒支出（项）</w:t>
      </w:r>
      <w:r>
        <w:rPr>
          <w:rFonts w:ascii="仿宋_GB2312" w:hAnsi="仿宋_GB2312" w:eastAsia="仿宋_GB2312"/>
          <w:color w:val="000000"/>
          <w:sz w:val="32"/>
        </w:rPr>
        <w:t>:</w:t>
      </w:r>
      <w:r>
        <w:rPr>
          <w:rFonts w:hint="eastAsia" w:ascii="仿宋_GB2312" w:hAnsi="仿宋_GB2312" w:eastAsia="仿宋_GB2312"/>
          <w:color w:val="000000"/>
          <w:sz w:val="32"/>
        </w:rPr>
        <w:t>反映其他用于文化旅游体育与传媒方面的支出。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13.</w:t>
      </w:r>
      <w:r>
        <w:rPr>
          <w:rFonts w:hint="eastAsia" w:ascii="仿宋_GB2312" w:hAnsi="仿宋_GB2312" w:eastAsia="仿宋_GB2312"/>
          <w:color w:val="000000"/>
          <w:sz w:val="32"/>
        </w:rPr>
        <w:t>社会保障和就业支出（类）行政事业单位离退休（款）事业单位离退休（项）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反映事业单位开支的离退休经费。</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14.</w:t>
      </w:r>
      <w:r>
        <w:rPr>
          <w:rFonts w:hint="eastAsia" w:ascii="仿宋_GB2312" w:hAnsi="仿宋_GB2312" w:eastAsia="仿宋_GB2312"/>
          <w:color w:val="000000"/>
          <w:sz w:val="32"/>
        </w:rPr>
        <w:t>社会保障和就业支出（类）行政事业单位离退休（款）机关事业单位基本养老保险缴费支出（项）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反映机关事业单位实施养老保险制度由单位缴纳的养老保险费支出。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15.</w:t>
      </w:r>
      <w:r>
        <w:rPr>
          <w:rFonts w:hint="eastAsia" w:ascii="仿宋_GB2312" w:hAnsi="仿宋_GB2312" w:eastAsia="仿宋_GB2312"/>
          <w:color w:val="000000"/>
          <w:sz w:val="32"/>
        </w:rPr>
        <w:t>社会保障和就业支出（类）行政事业单位离退休（款）机关事业单位职业年金缴费支出（项）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反映机关事业单位实施养老保险制度由单位缴纳的职业年金的支出。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16.</w:t>
      </w:r>
      <w:r>
        <w:rPr>
          <w:rFonts w:hint="eastAsia" w:ascii="仿宋_GB2312" w:hAnsi="仿宋_GB2312" w:eastAsia="仿宋_GB2312"/>
          <w:color w:val="000000"/>
          <w:sz w:val="32"/>
          <w:lang w:val="zh-CN"/>
        </w:rPr>
        <w:t>社会保障和就业（类）残疾人事业（款）残疾人体育（项）</w:t>
      </w:r>
      <w:r>
        <w:rPr>
          <w:rFonts w:ascii="仿宋_GB2312" w:hAnsi="仿宋_GB2312" w:eastAsia="仿宋_GB2312"/>
          <w:color w:val="000000"/>
          <w:sz w:val="32"/>
          <w:lang w:val="zh-CN"/>
        </w:rPr>
        <w:t>:</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反映残疾人联合会用于残疾人体育方面的支出。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17.</w:t>
      </w:r>
      <w:r>
        <w:rPr>
          <w:rFonts w:hint="eastAsia" w:ascii="仿宋_GB2312" w:hAnsi="仿宋_GB2312" w:eastAsia="仿宋_GB2312"/>
          <w:color w:val="000000"/>
          <w:sz w:val="32"/>
        </w:rPr>
        <w:t>社会保障和就业支出（类）其他社会保障和就业支出（款）其他社会保障和就业支出（项）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反映其他用于社会保障和就业方面的支出。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18.</w:t>
      </w:r>
      <w:r>
        <w:rPr>
          <w:rFonts w:hint="eastAsia" w:ascii="仿宋_GB2312" w:hAnsi="仿宋_GB2312" w:eastAsia="仿宋_GB2312"/>
          <w:color w:val="000000"/>
          <w:sz w:val="32"/>
        </w:rPr>
        <w:t>卫生健康支出（类）行政事业单位医疗（款）事业单位医疗（项）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反映财政部门安排的事业单位基本医疗保险缴费经费支出，未参加医疗保险的事业单位的公费医疗经费，按国家规定享受离休人员待遇的医疗经费。</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19.</w:t>
      </w:r>
      <w:r>
        <w:rPr>
          <w:rFonts w:hint="eastAsia" w:ascii="仿宋_GB2312" w:hAnsi="仿宋_GB2312" w:eastAsia="仿宋_GB2312"/>
          <w:color w:val="000000"/>
          <w:sz w:val="32"/>
        </w:rPr>
        <w:t>住房保障支出（类）住房改革支出（款）住房公积金（项）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反映行政单位按人力资源和社会保障部、财政部规定的基本工资和津贴补贴以及规定比例为职工缴纳的住房公积金。</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20.</w:t>
      </w:r>
      <w:r>
        <w:rPr>
          <w:rFonts w:hint="eastAsia" w:ascii="仿宋_GB2312" w:hAnsi="仿宋_GB2312" w:eastAsia="仿宋_GB2312"/>
          <w:color w:val="000000"/>
          <w:sz w:val="32"/>
          <w:lang w:val="zh-CN"/>
        </w:rPr>
        <w:t>灾害防治及应急管理支出（类）自然灾害救灾及恢复重建支出（款）自然灾害灾后重建补助（项）：</w:t>
      </w:r>
      <w:r>
        <w:rPr>
          <w:rFonts w:ascii="仿宋_GB2312" w:hAnsi="仿宋_GB2312" w:eastAsia="仿宋_GB2312"/>
          <w:color w:val="000000"/>
          <w:sz w:val="32"/>
        </w:rPr>
        <w:t xml:space="preserve"> </w:t>
      </w:r>
      <w:r>
        <w:rPr>
          <w:rFonts w:hint="eastAsia" w:ascii="仿宋_GB2312" w:hAnsi="仿宋_GB2312" w:eastAsia="仿宋_GB2312"/>
          <w:color w:val="000000"/>
          <w:sz w:val="32"/>
        </w:rPr>
        <w:t>反映政府预算安排用于自然灾害恢复重建的补助支出。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21.</w:t>
      </w:r>
      <w:r>
        <w:rPr>
          <w:rFonts w:hint="eastAsia" w:ascii="仿宋_GB2312" w:hAnsi="仿宋_GB2312" w:eastAsia="仿宋_GB2312"/>
          <w:color w:val="000000"/>
          <w:sz w:val="32"/>
        </w:rPr>
        <w:t>基本支出：指为保障机构正常运转、完成日常工作任务而发生的人员支出和公用支出。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22.</w:t>
      </w:r>
      <w:r>
        <w:rPr>
          <w:rFonts w:hint="eastAsia" w:ascii="仿宋_GB2312" w:hAnsi="仿宋_GB2312" w:eastAsia="仿宋_GB2312"/>
          <w:color w:val="000000"/>
          <w:sz w:val="32"/>
        </w:rPr>
        <w:t>项目支出：指在基本支出之外为完成特定行政任务和事业发展目标所发生的支出。</w:t>
      </w:r>
      <w:r>
        <w:rPr>
          <w:rFonts w:ascii="仿宋_GB2312" w:hAnsi="仿宋_GB2312" w:eastAsia="仿宋_GB2312"/>
          <w:color w:val="000000"/>
          <w:sz w:val="32"/>
        </w:rPr>
        <w:t xml:space="preserve"> </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23.</w:t>
      </w:r>
      <w:r>
        <w:rPr>
          <w:rFonts w:hint="eastAsia" w:ascii="仿宋_GB2312" w:hAnsi="仿宋_GB2312" w:eastAsia="仿宋_GB2312"/>
          <w:color w:val="000000"/>
          <w:sz w:val="32"/>
        </w:rPr>
        <w:t>经营支出：指事业单位在专业业务活动及其辅助活动之外开展非独立核算经营活动发生的支出。</w:t>
      </w:r>
    </w:p>
    <w:p>
      <w:pPr>
        <w:spacing w:line="576" w:lineRule="exact"/>
        <w:ind w:firstLine="640"/>
        <w:rPr>
          <w:rFonts w:ascii="仿宋_GB2312" w:hAnsi="仿宋_GB2312" w:eastAsia="仿宋_GB2312"/>
          <w:color w:val="000000"/>
          <w:sz w:val="32"/>
        </w:rPr>
      </w:pPr>
      <w:r>
        <w:rPr>
          <w:rFonts w:ascii="仿宋_GB2312" w:hAnsi="仿宋_GB2312" w:eastAsia="仿宋_GB2312"/>
          <w:color w:val="000000"/>
          <w:sz w:val="32"/>
        </w:rPr>
        <w:t>24.</w:t>
      </w:r>
      <w:r>
        <w:rPr>
          <w:rFonts w:hint="eastAsia" w:ascii="仿宋_GB2312" w:hAnsi="仿宋_GB2312" w:eastAsia="仿宋_GB2312"/>
          <w:color w:val="000000"/>
          <w:sz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ascii="仿宋_GB2312" w:hAnsi="仿宋_GB2312" w:eastAsia="仿宋_GB2312"/>
          <w:sz w:val="32"/>
        </w:rPr>
      </w:pPr>
      <w:r>
        <w:rPr>
          <w:rFonts w:ascii="仿宋_GB2312" w:hAnsi="仿宋_GB2312" w:eastAsia="仿宋_GB2312"/>
          <w:color w:val="000000"/>
          <w:sz w:val="32"/>
        </w:rPr>
        <w:t>25.</w:t>
      </w:r>
      <w:r>
        <w:rPr>
          <w:rFonts w:hint="eastAsia" w:ascii="仿宋_GB2312" w:hAnsi="仿宋_GB2312" w:eastAsia="仿宋_GB2312"/>
          <w:color w:val="000000"/>
          <w:sz w:val="32"/>
        </w:rPr>
        <w:t>机关运行经费：</w:t>
      </w:r>
      <w:r>
        <w:rPr>
          <w:rFonts w:hint="eastAsia" w:ascii="仿宋_GB2312" w:hAnsi="仿宋_GB2312" w:eastAsia="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r>
        <w:rPr>
          <w:rFonts w:ascii="宋体"/>
          <w:b/>
          <w:sz w:val="44"/>
          <w:szCs w:val="44"/>
        </w:rPr>
        <w:br w:type="page"/>
      </w:r>
      <w:bookmarkStart w:id="70" w:name="_Toc178084498"/>
      <w:bookmarkStart w:id="71" w:name="_Toc15396614"/>
      <w:r>
        <w:rPr>
          <w:rFonts w:hint="eastAsia" w:ascii="黑体" w:hAnsi="黑体" w:eastAsia="黑体"/>
          <w:sz w:val="44"/>
          <w:szCs w:val="44"/>
        </w:rPr>
        <w:t>第</w:t>
      </w:r>
      <w:r>
        <w:rPr>
          <w:rStyle w:val="28"/>
          <w:rFonts w:hint="eastAsia" w:ascii="黑体" w:hAnsi="黑体" w:eastAsia="黑体"/>
          <w:b w:val="0"/>
        </w:rPr>
        <w:t>四部分 附件</w:t>
      </w:r>
      <w:bookmarkEnd w:id="70"/>
      <w:bookmarkEnd w:id="71"/>
    </w:p>
    <w:p>
      <w:pPr>
        <w:pStyle w:val="4"/>
        <w:rPr>
          <w:rFonts w:ascii="黑体" w:hAnsi="黑体" w:eastAsia="黑体"/>
          <w:color w:val="FF0000"/>
          <w:sz w:val="44"/>
          <w:szCs w:val="44"/>
        </w:rPr>
      </w:pPr>
      <w:bookmarkStart w:id="72" w:name="_Toc178084499"/>
      <w:bookmarkStart w:id="73" w:name="_Toc15396618"/>
      <w:r>
        <w:rPr>
          <w:rFonts w:hint="eastAsia"/>
        </w:rPr>
        <w:t>附件：单位预算项目支出绩效自评表（202</w:t>
      </w:r>
      <w:r>
        <w:rPr>
          <w:rFonts w:hint="eastAsia"/>
          <w:lang w:val="en-US" w:eastAsia="zh-CN"/>
        </w:rPr>
        <w:t>4</w:t>
      </w:r>
      <w:r>
        <w:rPr>
          <w:rFonts w:hint="eastAsia"/>
        </w:rPr>
        <w:t>年度）</w:t>
      </w:r>
      <w:bookmarkEnd w:id="72"/>
    </w:p>
    <w:tbl>
      <w:tblPr>
        <w:tblStyle w:val="16"/>
        <w:tblW w:w="992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57"/>
        <w:gridCol w:w="528"/>
        <w:gridCol w:w="603"/>
        <w:gridCol w:w="532"/>
        <w:gridCol w:w="953"/>
        <w:gridCol w:w="540"/>
        <w:gridCol w:w="1240"/>
        <w:gridCol w:w="519"/>
        <w:gridCol w:w="33"/>
        <w:gridCol w:w="520"/>
        <w:gridCol w:w="190"/>
        <w:gridCol w:w="519"/>
        <w:gridCol w:w="38"/>
        <w:gridCol w:w="521"/>
        <w:gridCol w:w="247"/>
        <w:gridCol w:w="505"/>
        <w:gridCol w:w="56"/>
        <w:gridCol w:w="430"/>
        <w:gridCol w:w="75"/>
        <w:gridCol w:w="486"/>
        <w:gridCol w:w="546"/>
        <w:gridCol w:w="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60" w:type="dxa"/>
          <w:trHeight w:val="904" w:hRule="atLeast"/>
          <w:jc w:val="center"/>
        </w:trPr>
        <w:tc>
          <w:tcPr>
            <w:tcW w:w="966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286" w:hRule="atLeast"/>
          <w:jc w:val="center"/>
        </w:trPr>
        <w:tc>
          <w:tcPr>
            <w:tcW w:w="1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51110024T000011238797-2023年省级体育发展专项资金(第二批）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512" w:hRule="atLeast"/>
          <w:jc w:val="center"/>
        </w:trPr>
        <w:tc>
          <w:tcPr>
            <w:tcW w:w="1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乐山市体育局</w:t>
            </w:r>
          </w:p>
        </w:tc>
        <w:tc>
          <w:tcPr>
            <w:tcW w:w="80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kern w:val="0"/>
                <w:sz w:val="18"/>
                <w:szCs w:val="18"/>
                <w:u w:val="none"/>
                <w:lang w:val="en-US" w:eastAsia="zh-CN" w:bidi="ar"/>
              </w:rPr>
            </w:pPr>
            <w:r>
              <w:rPr>
                <w:rFonts w:hint="default" w:ascii="黑体" w:hAnsi="黑体" w:eastAsia="黑体" w:cs="黑体"/>
                <w:i w:val="0"/>
                <w:color w:val="000000"/>
                <w:kern w:val="0"/>
                <w:sz w:val="18"/>
                <w:szCs w:val="18"/>
                <w:u w:val="none"/>
                <w:lang w:val="en-US" w:eastAsia="zh-CN" w:bidi="ar"/>
              </w:rPr>
              <w:t>实施</w:t>
            </w:r>
          </w:p>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单位</w:t>
            </w:r>
          </w:p>
        </w:tc>
        <w:tc>
          <w:tcPr>
            <w:tcW w:w="2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乐山市体育中心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286" w:hRule="atLeast"/>
          <w:jc w:val="center"/>
        </w:trPr>
        <w:tc>
          <w:tcPr>
            <w:tcW w:w="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960"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2023年体育助学资助经费4.32万元；承办第一届全国学生（青年）运动会（公开组）花样游泳、男子排球18岁组预赛经费各15万元；承办2023年四川省青少年艺术体操体育活动补助20万元。</w:t>
            </w:r>
          </w:p>
        </w:tc>
        <w:tc>
          <w:tcPr>
            <w:tcW w:w="2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项目已全部完成，下达金额54.32万元，支付46.8万元，剩余7.52万元，未完成支付是因为活动实际支付金额小于预算数，剩余资金不再使用。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693"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4.32万元用于符合资助条件的体育类学生，支持其参与体育训练与学习，提升体育后备人才的培养；15万元用于赛事组织、场地保障、裁判服务等人员相关支出；20万元用于艺术体操体育活动补助。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520" w:hRule="atLeast"/>
          <w:jc w:val="center"/>
        </w:trPr>
        <w:tc>
          <w:tcPr>
            <w:tcW w:w="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46"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54.32</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46.80</w:t>
            </w:r>
          </w:p>
        </w:tc>
        <w:tc>
          <w:tcPr>
            <w:tcW w:w="1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46.80</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val="0"/>
                <w:color w:val="000000"/>
                <w:kern w:val="0"/>
                <w:sz w:val="18"/>
                <w:szCs w:val="18"/>
                <w:u w:val="none"/>
                <w:lang w:val="en-US" w:eastAsia="zh-CN" w:bidi="ar"/>
              </w:rPr>
              <w:t>活动实际支付金额小于预算数，剩余资金不再使用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660"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54.32</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46.80</w:t>
            </w:r>
          </w:p>
        </w:tc>
        <w:tc>
          <w:tcPr>
            <w:tcW w:w="1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46.80</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500"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61"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39"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452" w:hRule="atLeast"/>
          <w:jc w:val="center"/>
        </w:trPr>
        <w:tc>
          <w:tcPr>
            <w:tcW w:w="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39"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承办赛事个数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39"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赛事承办质量</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39"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赛事承办及时性</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39"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促进体育事业的发展</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339" w:hRule="atLeast"/>
          <w:jc w:val="center"/>
        </w:trPr>
        <w:tc>
          <w:tcPr>
            <w:tcW w:w="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60" w:type="dxa"/>
          <w:trHeight w:val="286" w:hRule="atLeast"/>
          <w:jc w:val="center"/>
        </w:trPr>
        <w:tc>
          <w:tcPr>
            <w:tcW w:w="756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904" w:hRule="atLeast"/>
          <w:jc w:val="center"/>
        </w:trPr>
        <w:tc>
          <w:tcPr>
            <w:tcW w:w="939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286" w:hRule="atLeast"/>
          <w:jc w:val="center"/>
        </w:trPr>
        <w:tc>
          <w:tcPr>
            <w:tcW w:w="1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67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51110024T000011263373-</w:t>
            </w:r>
            <w:r>
              <w:rPr>
                <w:rFonts w:ascii="宋体" w:hAnsi="宋体" w:eastAsia="宋体" w:cs="宋体"/>
                <w:i w:val="0"/>
                <w:color w:val="000000"/>
                <w:kern w:val="0"/>
                <w:sz w:val="16"/>
                <w:szCs w:val="16"/>
                <w:u w:val="none"/>
                <w:lang w:val="en-US" w:eastAsia="zh-CN" w:bidi="ar"/>
              </w:rPr>
              <w:t>大型体育场馆免费低收费开放专项补助资金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512" w:hRule="atLeast"/>
          <w:jc w:val="center"/>
        </w:trPr>
        <w:tc>
          <w:tcPr>
            <w:tcW w:w="1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乐山市体育局</w:t>
            </w:r>
          </w:p>
        </w:tc>
        <w:tc>
          <w:tcPr>
            <w:tcW w:w="80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kern w:val="0"/>
                <w:sz w:val="18"/>
                <w:szCs w:val="18"/>
                <w:u w:val="none"/>
                <w:lang w:val="en-US" w:eastAsia="zh-CN" w:bidi="ar"/>
              </w:rPr>
            </w:pPr>
            <w:r>
              <w:rPr>
                <w:rFonts w:hint="default" w:ascii="黑体" w:hAnsi="黑体" w:eastAsia="黑体" w:cs="黑体"/>
                <w:i w:val="0"/>
                <w:color w:val="000000"/>
                <w:kern w:val="0"/>
                <w:sz w:val="18"/>
                <w:szCs w:val="18"/>
                <w:u w:val="none"/>
                <w:lang w:val="en-US" w:eastAsia="zh-CN" w:bidi="ar"/>
              </w:rPr>
              <w:t>实施</w:t>
            </w:r>
          </w:p>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单位</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乐山市体育中心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286" w:hRule="atLeast"/>
          <w:jc w:val="center"/>
        </w:trPr>
        <w:tc>
          <w:tcPr>
            <w:tcW w:w="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708"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0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馆和区域内的公共体育场所和设施免费、低收费向社会开放；2、保证每周开放时间35小时以上，全年开放时间330天以上；3、场馆所有户外公共区域及健身器材全年免费开放；4、场馆对年满60周岁以上老年人、残疾人、学生、军人、消防救援人员八折优惠开放；5、场馆在全民健身日（每年8月8日）全面免费向社会开放。</w:t>
            </w:r>
          </w:p>
        </w:tc>
        <w:tc>
          <w:tcPr>
            <w:tcW w:w="2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693"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67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kern w:val="0"/>
                <w:sz w:val="18"/>
                <w:szCs w:val="18"/>
                <w:u w:val="none"/>
                <w:lang w:val="en-US" w:eastAsia="zh-CN" w:bidi="ar"/>
              </w:rPr>
              <w:t>项目执行过程中，严格落实开放要求，健全服务管理机制，加强设施维护与安全管理，保障各类群体公平、安全使用场馆资源，全面完成了既定开放目标，有效提升了场馆公共服务效能和社会满意度。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540" w:hRule="atLeast"/>
          <w:jc w:val="center"/>
        </w:trPr>
        <w:tc>
          <w:tcPr>
            <w:tcW w:w="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46"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380.6</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380.6</w:t>
            </w: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380.6</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预算执行率=预算执行数/调整后预算数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480"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380.6</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380.6</w:t>
            </w: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380.6</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540"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61"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3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452" w:hRule="atLeast"/>
          <w:jc w:val="center"/>
        </w:trPr>
        <w:tc>
          <w:tcPr>
            <w:tcW w:w="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3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免费低收费场馆个数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3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场馆开放质量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3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场馆开放及时性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3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促进体育事业的发展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33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527" w:type="dxa"/>
          <w:trHeight w:val="286" w:hRule="atLeast"/>
          <w:jc w:val="center"/>
        </w:trPr>
        <w:tc>
          <w:tcPr>
            <w:tcW w:w="760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bl>
    <w:p>
      <w:pPr>
        <w:pStyle w:val="6"/>
        <w:spacing w:before="93"/>
        <w:rPr>
          <w:rFonts w:hAnsi="Calibri" w:cs="仿宋"/>
          <w:sz w:val="32"/>
          <w:szCs w:val="32"/>
        </w:rPr>
      </w:pPr>
    </w:p>
    <w:p>
      <w:pPr>
        <w:pStyle w:val="6"/>
        <w:spacing w:before="93"/>
        <w:rPr>
          <w:rFonts w:hint="eastAsia" w:hAnsi="Calibri" w:cs="仿宋"/>
          <w:sz w:val="32"/>
          <w:szCs w:val="32"/>
        </w:rPr>
      </w:pPr>
    </w:p>
    <w:p>
      <w:pPr>
        <w:pStyle w:val="6"/>
        <w:spacing w:before="93"/>
        <w:rPr>
          <w:rFonts w:hint="eastAsia" w:hAnsi="Calibri" w:cs="仿宋"/>
          <w:sz w:val="32"/>
          <w:szCs w:val="32"/>
        </w:rPr>
      </w:pPr>
    </w:p>
    <w:tbl>
      <w:tblPr>
        <w:tblStyle w:val="16"/>
        <w:tblW w:w="10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134"/>
        <w:gridCol w:w="1490"/>
        <w:gridCol w:w="1789"/>
        <w:gridCol w:w="520"/>
        <w:gridCol w:w="749"/>
        <w:gridCol w:w="520"/>
        <w:gridCol w:w="808"/>
        <w:gridCol w:w="505"/>
        <w:gridCol w:w="486"/>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0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7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51110024T000011809334-2022年1-12月清算和2023年1-3月市本级体彩公益金分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乐山市体育局</w:t>
            </w:r>
          </w:p>
        </w:tc>
        <w:tc>
          <w:tcPr>
            <w:tcW w:w="80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乐山市体育中心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0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省十五运会备战经费（第一批）78万元；承办全国第一届学生（青年）运动会（公开组）男子排球18岁组预赛及花样游泳比赛补助经费16万元；参加2023年四川青少年体育锦标赛第二批经费19.35万元；人才跟踪培养保障经费6.07万元；承办重阳节老干部趣味健身活动经费5万元。项目合计金额124.42万元。</w:t>
            </w:r>
          </w:p>
        </w:tc>
        <w:tc>
          <w:tcPr>
            <w:tcW w:w="3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项目全部完成，下达金额124.42万元，2024年支付</w:t>
            </w:r>
          </w:p>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120.29万元，剩余4.13万元，未完成支付原因是有的项目完成较晚，财政收回资金,2025年完成支付。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7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项目整体按照计划推进，各项内容均已实施完成。资金执行方面，</w:t>
            </w:r>
            <w:r>
              <w:rPr>
                <w:rFonts w:hint="eastAsia" w:ascii="宋体" w:hAnsi="宋体" w:cs="宋体"/>
                <w:i w:val="0"/>
                <w:color w:val="000000"/>
                <w:sz w:val="18"/>
                <w:szCs w:val="18"/>
                <w:u w:val="none"/>
                <w:lang w:val="en-US" w:eastAsia="zh-CN"/>
              </w:rPr>
              <w:t>2024年实际支付120.29万元，剩余4.13万元因部分赛事及活动结算延后，财政予以收回，2025年再完成相应资金支付工作。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2"/>
                <w:szCs w:val="12"/>
                <w:u w:val="none"/>
              </w:rPr>
            </w:pPr>
            <w:r>
              <w:rPr>
                <w:rFonts w:ascii="宋体" w:hAnsi="宋体" w:eastAsia="宋体" w:cs="宋体"/>
                <w:i w:val="0"/>
                <w:color w:val="000000"/>
                <w:kern w:val="0"/>
                <w:sz w:val="12"/>
                <w:szCs w:val="12"/>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124.42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120.29</w:t>
            </w:r>
          </w:p>
        </w:tc>
        <w:tc>
          <w:tcPr>
            <w:tcW w:w="17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120.29</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2"/>
                <w:szCs w:val="12"/>
                <w:u w:val="none"/>
              </w:rPr>
            </w:pPr>
            <w:r>
              <w:rPr>
                <w:rFonts w:hint="default" w:ascii="黑体" w:hAnsi="黑体" w:eastAsia="黑体" w:cs="黑体"/>
                <w:i/>
                <w:color w:val="000000"/>
                <w:kern w:val="0"/>
                <w:sz w:val="12"/>
                <w:szCs w:val="12"/>
                <w:u w:val="none"/>
                <w:lang w:val="en-US" w:eastAsia="zh-CN" w:bidi="ar"/>
              </w:rPr>
              <w:t>预算执行率=预算执行数/调整后预算数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120.29</w:t>
            </w:r>
          </w:p>
        </w:tc>
        <w:tc>
          <w:tcPr>
            <w:tcW w:w="17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120.29</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项目已完成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重阳节老干部趣味健身活动经费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四川青少年体育锦标赛第二批经费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人才跟踪培养保障经费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男子排球18岁组预赛及花样游泳比赛补助经费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省十五运会备战经费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活动圆满完成率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活动完成及时率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促进体育事业的发展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75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bl>
    <w:p>
      <w:pPr>
        <w:pStyle w:val="6"/>
        <w:spacing w:before="93"/>
        <w:rPr>
          <w:rFonts w:hint="eastAsia" w:hAnsi="Calibri" w:cs="仿宋"/>
          <w:sz w:val="32"/>
          <w:szCs w:val="32"/>
        </w:rPr>
      </w:pPr>
    </w:p>
    <w:p>
      <w:pPr>
        <w:pStyle w:val="6"/>
        <w:spacing w:before="93"/>
        <w:rPr>
          <w:rFonts w:hAnsi="Calibri" w:cs="仿宋"/>
          <w:sz w:val="32"/>
          <w:szCs w:val="32"/>
        </w:rPr>
      </w:pPr>
    </w:p>
    <w:p>
      <w:pPr>
        <w:spacing w:line="600" w:lineRule="exact"/>
        <w:jc w:val="center"/>
        <w:outlineLvl w:val="0"/>
        <w:rPr>
          <w:rFonts w:ascii="仿宋" w:hAnsi="仿宋" w:eastAsia="仿宋"/>
        </w:rPr>
      </w:pPr>
      <w:bookmarkStart w:id="74" w:name="_Toc178084500"/>
      <w:r>
        <w:rPr>
          <w:rFonts w:hint="eastAsia" w:ascii="黑体" w:hAnsi="黑体" w:eastAsia="黑体"/>
          <w:sz w:val="44"/>
          <w:szCs w:val="44"/>
        </w:rPr>
        <w:t>第</w:t>
      </w:r>
      <w:r>
        <w:rPr>
          <w:rStyle w:val="28"/>
          <w:rFonts w:hint="eastAsia" w:ascii="黑体" w:hAnsi="黑体" w:eastAsia="黑体"/>
          <w:b w:val="0"/>
        </w:rPr>
        <w:t>五部分 附表</w:t>
      </w:r>
      <w:bookmarkEnd w:id="69"/>
      <w:bookmarkEnd w:id="73"/>
      <w:bookmarkEnd w:id="74"/>
      <w:bookmarkStart w:id="75" w:name="_Toc15396619"/>
    </w:p>
    <w:p>
      <w:pPr>
        <w:pStyle w:val="4"/>
        <w:rPr>
          <w:rFonts w:ascii="仿宋" w:hAnsi="仿宋" w:eastAsia="仿宋"/>
        </w:rPr>
      </w:pPr>
      <w:bookmarkStart w:id="76" w:name="_Toc178084501"/>
      <w:r>
        <w:rPr>
          <w:rFonts w:hint="eastAsia" w:ascii="仿宋" w:hAnsi="仿宋" w:eastAsia="仿宋"/>
          <w:b w:val="0"/>
        </w:rPr>
        <w:t>一、收</w:t>
      </w:r>
      <w:r>
        <w:rPr>
          <w:rStyle w:val="29"/>
          <w:rFonts w:hint="eastAsia" w:ascii="仿宋" w:hAnsi="仿宋" w:eastAsia="仿宋"/>
          <w:b w:val="0"/>
          <w:bCs w:val="0"/>
        </w:rPr>
        <w:t>入支出决算总表</w:t>
      </w:r>
      <w:bookmarkEnd w:id="75"/>
      <w:bookmarkEnd w:id="76"/>
    </w:p>
    <w:p>
      <w:pPr>
        <w:pStyle w:val="4"/>
        <w:rPr>
          <w:rFonts w:ascii="仿宋" w:hAnsi="仿宋" w:eastAsia="仿宋"/>
        </w:rPr>
      </w:pPr>
      <w:bookmarkStart w:id="77" w:name="_Toc15396620"/>
      <w:bookmarkStart w:id="78" w:name="_Toc178084502"/>
      <w:r>
        <w:rPr>
          <w:rFonts w:hint="eastAsia" w:ascii="仿宋" w:hAnsi="仿宋" w:eastAsia="仿宋"/>
          <w:b w:val="0"/>
        </w:rPr>
        <w:t>二、收</w:t>
      </w:r>
      <w:r>
        <w:rPr>
          <w:rStyle w:val="29"/>
          <w:rFonts w:hint="eastAsia" w:ascii="仿宋" w:hAnsi="仿宋" w:eastAsia="仿宋"/>
          <w:b w:val="0"/>
          <w:bCs w:val="0"/>
        </w:rPr>
        <w:t>入决算表</w:t>
      </w:r>
      <w:bookmarkEnd w:id="77"/>
      <w:bookmarkEnd w:id="78"/>
    </w:p>
    <w:p>
      <w:pPr>
        <w:pStyle w:val="4"/>
        <w:rPr>
          <w:rFonts w:ascii="仿宋" w:hAnsi="仿宋" w:eastAsia="仿宋"/>
        </w:rPr>
      </w:pPr>
      <w:bookmarkStart w:id="79" w:name="_Toc178084503"/>
      <w:bookmarkStart w:id="8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79"/>
      <w:bookmarkEnd w:id="80"/>
    </w:p>
    <w:p>
      <w:pPr>
        <w:pStyle w:val="4"/>
        <w:rPr>
          <w:rFonts w:ascii="仿宋" w:hAnsi="仿宋" w:eastAsia="仿宋"/>
          <w:b w:val="0"/>
        </w:rPr>
      </w:pPr>
      <w:bookmarkStart w:id="81" w:name="_Toc178084504"/>
      <w:bookmarkStart w:id="82"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1"/>
      <w:bookmarkEnd w:id="82"/>
    </w:p>
    <w:p>
      <w:pPr>
        <w:pStyle w:val="4"/>
        <w:rPr>
          <w:rStyle w:val="29"/>
          <w:rFonts w:ascii="仿宋" w:hAnsi="仿宋" w:eastAsia="仿宋"/>
          <w:b w:val="0"/>
          <w:bCs w:val="0"/>
        </w:rPr>
      </w:pPr>
      <w:bookmarkStart w:id="83" w:name="_Toc178084505"/>
      <w:bookmarkStart w:id="84"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3"/>
      <w:bookmarkEnd w:id="84"/>
      <w:bookmarkStart w:id="85" w:name="_Toc15396624"/>
    </w:p>
    <w:p>
      <w:pPr>
        <w:pStyle w:val="4"/>
        <w:rPr>
          <w:rFonts w:ascii="仿宋" w:hAnsi="仿宋" w:eastAsia="仿宋"/>
        </w:rPr>
      </w:pPr>
      <w:bookmarkStart w:id="86" w:name="_Toc178084506"/>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5"/>
      <w:bookmarkEnd w:id="86"/>
    </w:p>
    <w:p>
      <w:pPr>
        <w:pStyle w:val="4"/>
        <w:rPr>
          <w:rFonts w:ascii="仿宋" w:hAnsi="仿宋" w:eastAsia="仿宋"/>
        </w:rPr>
      </w:pPr>
      <w:bookmarkStart w:id="87" w:name="_Toc15396625"/>
      <w:bookmarkStart w:id="88" w:name="_Toc178084507"/>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7"/>
      <w:bookmarkEnd w:id="88"/>
    </w:p>
    <w:p>
      <w:pPr>
        <w:pStyle w:val="4"/>
        <w:rPr>
          <w:rFonts w:ascii="仿宋" w:hAnsi="仿宋" w:eastAsia="仿宋"/>
        </w:rPr>
      </w:pPr>
      <w:bookmarkStart w:id="89" w:name="_Toc15396626"/>
      <w:bookmarkStart w:id="90" w:name="_Toc178084508"/>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89"/>
      <w:bookmarkEnd w:id="90"/>
    </w:p>
    <w:p>
      <w:pPr>
        <w:pStyle w:val="4"/>
        <w:rPr>
          <w:rFonts w:ascii="仿宋" w:hAnsi="仿宋" w:eastAsia="仿宋"/>
        </w:rPr>
      </w:pPr>
      <w:bookmarkStart w:id="91" w:name="_Toc178084509"/>
      <w:bookmarkStart w:id="9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1"/>
      <w:bookmarkEnd w:id="92"/>
    </w:p>
    <w:p>
      <w:pPr>
        <w:pStyle w:val="4"/>
        <w:rPr>
          <w:rFonts w:ascii="仿宋" w:hAnsi="仿宋" w:eastAsia="仿宋"/>
        </w:rPr>
      </w:pPr>
      <w:bookmarkStart w:id="93" w:name="_Toc15396628"/>
      <w:bookmarkStart w:id="94" w:name="_Toc178084510"/>
      <w:r>
        <w:rPr>
          <w:rStyle w:val="29"/>
          <w:rFonts w:hint="eastAsia" w:ascii="仿宋" w:hAnsi="仿宋" w:eastAsia="仿宋"/>
          <w:b w:val="0"/>
          <w:bCs w:val="0"/>
        </w:rPr>
        <w:t>十、</w:t>
      </w:r>
      <w:bookmarkEnd w:id="93"/>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4"/>
    </w:p>
    <w:p>
      <w:pPr>
        <w:pStyle w:val="4"/>
        <w:rPr>
          <w:rFonts w:ascii="仿宋" w:hAnsi="仿宋" w:eastAsia="仿宋"/>
        </w:rPr>
      </w:pPr>
      <w:bookmarkStart w:id="95" w:name="_Toc15396629"/>
      <w:bookmarkStart w:id="96" w:name="_Toc178084511"/>
      <w:r>
        <w:rPr>
          <w:rStyle w:val="29"/>
          <w:rFonts w:hint="eastAsia" w:ascii="仿宋" w:hAnsi="仿宋" w:eastAsia="仿宋"/>
          <w:b w:val="0"/>
          <w:bCs w:val="0"/>
        </w:rPr>
        <w:t>十一、</w:t>
      </w:r>
      <w:bookmarkEnd w:id="95"/>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96"/>
    </w:p>
    <w:p>
      <w:pPr>
        <w:pStyle w:val="4"/>
        <w:rPr>
          <w:rFonts w:ascii="仿宋" w:hAnsi="仿宋" w:eastAsia="仿宋"/>
        </w:rPr>
      </w:pPr>
      <w:bookmarkStart w:id="97" w:name="_Toc15396630"/>
      <w:bookmarkStart w:id="98" w:name="_Toc178084512"/>
      <w:r>
        <w:rPr>
          <w:rStyle w:val="29"/>
          <w:rFonts w:hint="eastAsia" w:ascii="仿宋" w:hAnsi="仿宋" w:eastAsia="仿宋"/>
          <w:b w:val="0"/>
          <w:bCs w:val="0"/>
        </w:rPr>
        <w:t>十二、</w:t>
      </w:r>
      <w:bookmarkEnd w:id="97"/>
      <w:r>
        <w:rPr>
          <w:rStyle w:val="29"/>
          <w:rFonts w:hint="eastAsia" w:ascii="仿宋" w:hAnsi="仿宋" w:eastAsia="仿宋"/>
          <w:b w:val="0"/>
          <w:bCs w:val="0"/>
        </w:rPr>
        <w:t>国有资本经营预算财政拨款支出决算表</w:t>
      </w:r>
      <w:bookmarkEnd w:id="98"/>
    </w:p>
    <w:p>
      <w:pPr>
        <w:pStyle w:val="4"/>
        <w:rPr>
          <w:rFonts w:eastAsia="仿宋"/>
        </w:rPr>
      </w:pPr>
      <w:bookmarkStart w:id="99" w:name="_Toc15396631"/>
      <w:bookmarkStart w:id="100" w:name="_Toc178084513"/>
      <w:r>
        <w:rPr>
          <w:rStyle w:val="29"/>
          <w:rFonts w:hint="eastAsia" w:ascii="仿宋" w:hAnsi="仿宋" w:eastAsia="仿宋"/>
          <w:b w:val="0"/>
          <w:bCs w:val="0"/>
        </w:rPr>
        <w:t>十三、</w:t>
      </w:r>
      <w:bookmarkEnd w:id="99"/>
      <w:r>
        <w:rPr>
          <w:rStyle w:val="29"/>
          <w:rFonts w:hint="eastAsia" w:ascii="仿宋" w:hAnsi="仿宋" w:eastAsia="仿宋"/>
          <w:b w:val="0"/>
          <w:bCs w:val="0"/>
        </w:rPr>
        <w:t>财政拨款“三公”经费支出决算表</w:t>
      </w:r>
      <w:bookmarkEnd w:id="10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85A84"/>
    <w:rsid w:val="0009184B"/>
    <w:rsid w:val="00094236"/>
    <w:rsid w:val="000953A2"/>
    <w:rsid w:val="0009593C"/>
    <w:rsid w:val="00097322"/>
    <w:rsid w:val="000A233F"/>
    <w:rsid w:val="000A6A92"/>
    <w:rsid w:val="000B0440"/>
    <w:rsid w:val="000B047F"/>
    <w:rsid w:val="000B5923"/>
    <w:rsid w:val="000B5A48"/>
    <w:rsid w:val="000B6FF3"/>
    <w:rsid w:val="000C3467"/>
    <w:rsid w:val="000C3CA6"/>
    <w:rsid w:val="000D1267"/>
    <w:rsid w:val="000D1D50"/>
    <w:rsid w:val="000D5782"/>
    <w:rsid w:val="000D63E0"/>
    <w:rsid w:val="000E6613"/>
    <w:rsid w:val="000E7119"/>
    <w:rsid w:val="00114E9B"/>
    <w:rsid w:val="00116389"/>
    <w:rsid w:val="00131298"/>
    <w:rsid w:val="00142216"/>
    <w:rsid w:val="00144D6A"/>
    <w:rsid w:val="0014729F"/>
    <w:rsid w:val="00157BAB"/>
    <w:rsid w:val="001654D1"/>
    <w:rsid w:val="00174518"/>
    <w:rsid w:val="001801FB"/>
    <w:rsid w:val="0018106D"/>
    <w:rsid w:val="001877A7"/>
    <w:rsid w:val="00191536"/>
    <w:rsid w:val="00196687"/>
    <w:rsid w:val="00197425"/>
    <w:rsid w:val="001A1DAD"/>
    <w:rsid w:val="001B57C2"/>
    <w:rsid w:val="001C0962"/>
    <w:rsid w:val="001D7531"/>
    <w:rsid w:val="001E01E4"/>
    <w:rsid w:val="001E737D"/>
    <w:rsid w:val="001F0592"/>
    <w:rsid w:val="001F7506"/>
    <w:rsid w:val="002006CD"/>
    <w:rsid w:val="00202B36"/>
    <w:rsid w:val="00204B7A"/>
    <w:rsid w:val="00204CDE"/>
    <w:rsid w:val="00206907"/>
    <w:rsid w:val="0021101A"/>
    <w:rsid w:val="00211480"/>
    <w:rsid w:val="00212B4A"/>
    <w:rsid w:val="0021700D"/>
    <w:rsid w:val="00220536"/>
    <w:rsid w:val="00235629"/>
    <w:rsid w:val="00244C34"/>
    <w:rsid w:val="00260C38"/>
    <w:rsid w:val="002616C0"/>
    <w:rsid w:val="00261918"/>
    <w:rsid w:val="00262C7C"/>
    <w:rsid w:val="00265372"/>
    <w:rsid w:val="002662AA"/>
    <w:rsid w:val="00267347"/>
    <w:rsid w:val="00277767"/>
    <w:rsid w:val="00280496"/>
    <w:rsid w:val="00294DC9"/>
    <w:rsid w:val="00295495"/>
    <w:rsid w:val="002A31DE"/>
    <w:rsid w:val="002B2613"/>
    <w:rsid w:val="002B7264"/>
    <w:rsid w:val="002C5004"/>
    <w:rsid w:val="002D6D05"/>
    <w:rsid w:val="002E1B5C"/>
    <w:rsid w:val="002E7990"/>
    <w:rsid w:val="002F1818"/>
    <w:rsid w:val="002F567B"/>
    <w:rsid w:val="00304772"/>
    <w:rsid w:val="00307257"/>
    <w:rsid w:val="003216A9"/>
    <w:rsid w:val="003316AA"/>
    <w:rsid w:val="00335A74"/>
    <w:rsid w:val="003614E7"/>
    <w:rsid w:val="0036561B"/>
    <w:rsid w:val="0037013F"/>
    <w:rsid w:val="00375E59"/>
    <w:rsid w:val="00377CD5"/>
    <w:rsid w:val="00380C92"/>
    <w:rsid w:val="00386094"/>
    <w:rsid w:val="00393AA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54346"/>
    <w:rsid w:val="0046049C"/>
    <w:rsid w:val="00464400"/>
    <w:rsid w:val="00471401"/>
    <w:rsid w:val="00473F31"/>
    <w:rsid w:val="00474D09"/>
    <w:rsid w:val="0048263A"/>
    <w:rsid w:val="00485490"/>
    <w:rsid w:val="00486D59"/>
    <w:rsid w:val="00487E5D"/>
    <w:rsid w:val="004A711F"/>
    <w:rsid w:val="004B199D"/>
    <w:rsid w:val="004B4690"/>
    <w:rsid w:val="004B48A6"/>
    <w:rsid w:val="004C0402"/>
    <w:rsid w:val="004D0002"/>
    <w:rsid w:val="004E0891"/>
    <w:rsid w:val="004E0A2D"/>
    <w:rsid w:val="004E206B"/>
    <w:rsid w:val="004E6DF7"/>
    <w:rsid w:val="004F0F66"/>
    <w:rsid w:val="004F0FBD"/>
    <w:rsid w:val="0050548B"/>
    <w:rsid w:val="00505A47"/>
    <w:rsid w:val="00512FDA"/>
    <w:rsid w:val="00520DA0"/>
    <w:rsid w:val="00523588"/>
    <w:rsid w:val="005349F1"/>
    <w:rsid w:val="0054433D"/>
    <w:rsid w:val="005533CF"/>
    <w:rsid w:val="00560313"/>
    <w:rsid w:val="00563EE9"/>
    <w:rsid w:val="005664BB"/>
    <w:rsid w:val="00566FFA"/>
    <w:rsid w:val="00573F2C"/>
    <w:rsid w:val="0057481D"/>
    <w:rsid w:val="0058486E"/>
    <w:rsid w:val="00585B33"/>
    <w:rsid w:val="0059014D"/>
    <w:rsid w:val="005B5C64"/>
    <w:rsid w:val="005B6E8A"/>
    <w:rsid w:val="005C41C1"/>
    <w:rsid w:val="005C5337"/>
    <w:rsid w:val="005C6BD0"/>
    <w:rsid w:val="005D1C8B"/>
    <w:rsid w:val="005D468D"/>
    <w:rsid w:val="005D5CED"/>
    <w:rsid w:val="005F10BC"/>
    <w:rsid w:val="005F1A4C"/>
    <w:rsid w:val="00605688"/>
    <w:rsid w:val="006070AF"/>
    <w:rsid w:val="00607E6C"/>
    <w:rsid w:val="006101B1"/>
    <w:rsid w:val="00614E44"/>
    <w:rsid w:val="006179EF"/>
    <w:rsid w:val="0062270A"/>
    <w:rsid w:val="00622830"/>
    <w:rsid w:val="00623DA0"/>
    <w:rsid w:val="00630AEF"/>
    <w:rsid w:val="006325F8"/>
    <w:rsid w:val="00633463"/>
    <w:rsid w:val="00634C9A"/>
    <w:rsid w:val="006353B5"/>
    <w:rsid w:val="006440E4"/>
    <w:rsid w:val="00655FC5"/>
    <w:rsid w:val="0066343B"/>
    <w:rsid w:val="00664777"/>
    <w:rsid w:val="006748A4"/>
    <w:rsid w:val="00674F9B"/>
    <w:rsid w:val="00681A31"/>
    <w:rsid w:val="00683E73"/>
    <w:rsid w:val="00686EC8"/>
    <w:rsid w:val="006A3141"/>
    <w:rsid w:val="006A51B4"/>
    <w:rsid w:val="006A5E34"/>
    <w:rsid w:val="006B2422"/>
    <w:rsid w:val="006B2B9A"/>
    <w:rsid w:val="006B42BA"/>
    <w:rsid w:val="006C1937"/>
    <w:rsid w:val="006C479A"/>
    <w:rsid w:val="006F020C"/>
    <w:rsid w:val="0071021A"/>
    <w:rsid w:val="007127B7"/>
    <w:rsid w:val="0071486E"/>
    <w:rsid w:val="0071798E"/>
    <w:rsid w:val="007322AD"/>
    <w:rsid w:val="007372A6"/>
    <w:rsid w:val="007416B6"/>
    <w:rsid w:val="00746F48"/>
    <w:rsid w:val="00747983"/>
    <w:rsid w:val="00751B8D"/>
    <w:rsid w:val="0075404D"/>
    <w:rsid w:val="0076182A"/>
    <w:rsid w:val="00767B7E"/>
    <w:rsid w:val="007702C9"/>
    <w:rsid w:val="007770C3"/>
    <w:rsid w:val="00784D24"/>
    <w:rsid w:val="00785FBA"/>
    <w:rsid w:val="00786E4A"/>
    <w:rsid w:val="007875EB"/>
    <w:rsid w:val="0079158E"/>
    <w:rsid w:val="0079426B"/>
    <w:rsid w:val="007A51C3"/>
    <w:rsid w:val="007D1682"/>
    <w:rsid w:val="007D312A"/>
    <w:rsid w:val="007D3F19"/>
    <w:rsid w:val="007E0382"/>
    <w:rsid w:val="007E092E"/>
    <w:rsid w:val="007E23B0"/>
    <w:rsid w:val="007E23E5"/>
    <w:rsid w:val="007F1991"/>
    <w:rsid w:val="007F2C2F"/>
    <w:rsid w:val="007F55FC"/>
    <w:rsid w:val="007F5665"/>
    <w:rsid w:val="007F5F7C"/>
    <w:rsid w:val="00800112"/>
    <w:rsid w:val="00813102"/>
    <w:rsid w:val="00813348"/>
    <w:rsid w:val="00816EF1"/>
    <w:rsid w:val="008253BB"/>
    <w:rsid w:val="0083706E"/>
    <w:rsid w:val="008408F6"/>
    <w:rsid w:val="008423A5"/>
    <w:rsid w:val="00850625"/>
    <w:rsid w:val="00853718"/>
    <w:rsid w:val="00855221"/>
    <w:rsid w:val="008579ED"/>
    <w:rsid w:val="00860645"/>
    <w:rsid w:val="00865717"/>
    <w:rsid w:val="00871F71"/>
    <w:rsid w:val="00872FD8"/>
    <w:rsid w:val="00885AF4"/>
    <w:rsid w:val="008939CD"/>
    <w:rsid w:val="008957F5"/>
    <w:rsid w:val="008B0B00"/>
    <w:rsid w:val="008B768C"/>
    <w:rsid w:val="008C4DB1"/>
    <w:rsid w:val="008C4EAF"/>
    <w:rsid w:val="008C5176"/>
    <w:rsid w:val="008C7562"/>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E64"/>
    <w:rsid w:val="00957EC2"/>
    <w:rsid w:val="0097099F"/>
    <w:rsid w:val="00971680"/>
    <w:rsid w:val="00971997"/>
    <w:rsid w:val="00971FFC"/>
    <w:rsid w:val="009756A6"/>
    <w:rsid w:val="0098660A"/>
    <w:rsid w:val="00987D7F"/>
    <w:rsid w:val="009931C3"/>
    <w:rsid w:val="009A69D5"/>
    <w:rsid w:val="009B153F"/>
    <w:rsid w:val="009B2C43"/>
    <w:rsid w:val="009B4EAE"/>
    <w:rsid w:val="009B7573"/>
    <w:rsid w:val="009C22F4"/>
    <w:rsid w:val="009C2A4B"/>
    <w:rsid w:val="009C2E98"/>
    <w:rsid w:val="009C76A6"/>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09D3"/>
    <w:rsid w:val="00A733B2"/>
    <w:rsid w:val="00A741C2"/>
    <w:rsid w:val="00A8190A"/>
    <w:rsid w:val="00A91760"/>
    <w:rsid w:val="00A93B00"/>
    <w:rsid w:val="00A93C21"/>
    <w:rsid w:val="00AA4FA9"/>
    <w:rsid w:val="00AA7CBE"/>
    <w:rsid w:val="00AB64C9"/>
    <w:rsid w:val="00AB661D"/>
    <w:rsid w:val="00AC26D3"/>
    <w:rsid w:val="00AC3C6A"/>
    <w:rsid w:val="00AD45DD"/>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5E1A"/>
    <w:rsid w:val="00BC289F"/>
    <w:rsid w:val="00BC2D50"/>
    <w:rsid w:val="00BC5361"/>
    <w:rsid w:val="00BC5460"/>
    <w:rsid w:val="00BC6B50"/>
    <w:rsid w:val="00BD0E25"/>
    <w:rsid w:val="00BF3BB1"/>
    <w:rsid w:val="00BF5BD6"/>
    <w:rsid w:val="00C03E31"/>
    <w:rsid w:val="00C27275"/>
    <w:rsid w:val="00C33B15"/>
    <w:rsid w:val="00C33E72"/>
    <w:rsid w:val="00C354B2"/>
    <w:rsid w:val="00C35554"/>
    <w:rsid w:val="00C42709"/>
    <w:rsid w:val="00C533CC"/>
    <w:rsid w:val="00C5751C"/>
    <w:rsid w:val="00C61BFC"/>
    <w:rsid w:val="00C62628"/>
    <w:rsid w:val="00C62B85"/>
    <w:rsid w:val="00C65438"/>
    <w:rsid w:val="00C83DFF"/>
    <w:rsid w:val="00C87FD8"/>
    <w:rsid w:val="00C91381"/>
    <w:rsid w:val="00C91CBB"/>
    <w:rsid w:val="00CA31CF"/>
    <w:rsid w:val="00CB4E70"/>
    <w:rsid w:val="00CC09B6"/>
    <w:rsid w:val="00CC12E2"/>
    <w:rsid w:val="00CC4FFC"/>
    <w:rsid w:val="00CC666F"/>
    <w:rsid w:val="00CD1E3F"/>
    <w:rsid w:val="00CE44F6"/>
    <w:rsid w:val="00CE49DA"/>
    <w:rsid w:val="00CE7B61"/>
    <w:rsid w:val="00CF2601"/>
    <w:rsid w:val="00CF70D4"/>
    <w:rsid w:val="00D00095"/>
    <w:rsid w:val="00D0090B"/>
    <w:rsid w:val="00D00B9C"/>
    <w:rsid w:val="00D114F0"/>
    <w:rsid w:val="00D20620"/>
    <w:rsid w:val="00D254F7"/>
    <w:rsid w:val="00D26091"/>
    <w:rsid w:val="00D2685C"/>
    <w:rsid w:val="00D31E6F"/>
    <w:rsid w:val="00D34E7C"/>
    <w:rsid w:val="00D35489"/>
    <w:rsid w:val="00D36AFE"/>
    <w:rsid w:val="00D43089"/>
    <w:rsid w:val="00D44C2E"/>
    <w:rsid w:val="00D51276"/>
    <w:rsid w:val="00D613E8"/>
    <w:rsid w:val="00D615E4"/>
    <w:rsid w:val="00D7035F"/>
    <w:rsid w:val="00DA634F"/>
    <w:rsid w:val="00DA65AC"/>
    <w:rsid w:val="00DB1913"/>
    <w:rsid w:val="00DC410D"/>
    <w:rsid w:val="00DC5A81"/>
    <w:rsid w:val="00DC68CA"/>
    <w:rsid w:val="00DC7CBA"/>
    <w:rsid w:val="00DD73B7"/>
    <w:rsid w:val="00DF28BC"/>
    <w:rsid w:val="00DF34B9"/>
    <w:rsid w:val="00E01053"/>
    <w:rsid w:val="00E02244"/>
    <w:rsid w:val="00E026F1"/>
    <w:rsid w:val="00E07ACF"/>
    <w:rsid w:val="00E331A1"/>
    <w:rsid w:val="00E33202"/>
    <w:rsid w:val="00E336A9"/>
    <w:rsid w:val="00E45B2E"/>
    <w:rsid w:val="00E472B1"/>
    <w:rsid w:val="00E50624"/>
    <w:rsid w:val="00E568DF"/>
    <w:rsid w:val="00E64269"/>
    <w:rsid w:val="00E7734F"/>
    <w:rsid w:val="00E82267"/>
    <w:rsid w:val="00E853CE"/>
    <w:rsid w:val="00E867B6"/>
    <w:rsid w:val="00EA010F"/>
    <w:rsid w:val="00EB76A2"/>
    <w:rsid w:val="00ED1B63"/>
    <w:rsid w:val="00ED3C1F"/>
    <w:rsid w:val="00ED4085"/>
    <w:rsid w:val="00ED420E"/>
    <w:rsid w:val="00ED6FBE"/>
    <w:rsid w:val="00EE2F57"/>
    <w:rsid w:val="00EF2EF8"/>
    <w:rsid w:val="00EF4C34"/>
    <w:rsid w:val="00EF77C6"/>
    <w:rsid w:val="00F05438"/>
    <w:rsid w:val="00F1361C"/>
    <w:rsid w:val="00F156F0"/>
    <w:rsid w:val="00F160C7"/>
    <w:rsid w:val="00F201A1"/>
    <w:rsid w:val="00F2408F"/>
    <w:rsid w:val="00F240E9"/>
    <w:rsid w:val="00F33118"/>
    <w:rsid w:val="00F36D8F"/>
    <w:rsid w:val="00F417B1"/>
    <w:rsid w:val="00F44B63"/>
    <w:rsid w:val="00F45853"/>
    <w:rsid w:val="00F602DF"/>
    <w:rsid w:val="00F754A1"/>
    <w:rsid w:val="00F81FD9"/>
    <w:rsid w:val="00F841AA"/>
    <w:rsid w:val="00F84A94"/>
    <w:rsid w:val="00F87E96"/>
    <w:rsid w:val="00F94C13"/>
    <w:rsid w:val="00FA23E8"/>
    <w:rsid w:val="00FD3CC1"/>
    <w:rsid w:val="00FE75B6"/>
    <w:rsid w:val="00FF1E02"/>
    <w:rsid w:val="00FF30B4"/>
    <w:rsid w:val="03DC2831"/>
    <w:rsid w:val="081B5E94"/>
    <w:rsid w:val="0A2032A3"/>
    <w:rsid w:val="0B8A37D8"/>
    <w:rsid w:val="0F5FFB2F"/>
    <w:rsid w:val="0FFFCF60"/>
    <w:rsid w:val="10C055FF"/>
    <w:rsid w:val="118107EC"/>
    <w:rsid w:val="11DD6519"/>
    <w:rsid w:val="16BB723D"/>
    <w:rsid w:val="172E2320"/>
    <w:rsid w:val="17C3C42F"/>
    <w:rsid w:val="18015F3F"/>
    <w:rsid w:val="1B7F0613"/>
    <w:rsid w:val="1BDF37BD"/>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6FED8A"/>
    <w:rsid w:val="2F9D17E1"/>
    <w:rsid w:val="30B46D73"/>
    <w:rsid w:val="319F7F4E"/>
    <w:rsid w:val="356A28F1"/>
    <w:rsid w:val="357C035A"/>
    <w:rsid w:val="368E000D"/>
    <w:rsid w:val="379B932C"/>
    <w:rsid w:val="383D272C"/>
    <w:rsid w:val="39AE70AB"/>
    <w:rsid w:val="3A4DCE41"/>
    <w:rsid w:val="3BCB56FA"/>
    <w:rsid w:val="3BF997B3"/>
    <w:rsid w:val="3C0C0783"/>
    <w:rsid w:val="3DEAFA1A"/>
    <w:rsid w:val="3EE7C2F4"/>
    <w:rsid w:val="3F371B56"/>
    <w:rsid w:val="3F792ED8"/>
    <w:rsid w:val="3F9F3A96"/>
    <w:rsid w:val="3FECA4B2"/>
    <w:rsid w:val="3FF58C48"/>
    <w:rsid w:val="42FF6694"/>
    <w:rsid w:val="48BF60AB"/>
    <w:rsid w:val="493C27E9"/>
    <w:rsid w:val="496F39ED"/>
    <w:rsid w:val="49FF41D3"/>
    <w:rsid w:val="4A8A134C"/>
    <w:rsid w:val="4BE068DB"/>
    <w:rsid w:val="4BF6002B"/>
    <w:rsid w:val="4BFFC6BE"/>
    <w:rsid w:val="4ECE2238"/>
    <w:rsid w:val="512957A7"/>
    <w:rsid w:val="51DB4B86"/>
    <w:rsid w:val="51F64DB0"/>
    <w:rsid w:val="528D652C"/>
    <w:rsid w:val="55333C3E"/>
    <w:rsid w:val="567B42A5"/>
    <w:rsid w:val="56FF8C5B"/>
    <w:rsid w:val="57E33FFB"/>
    <w:rsid w:val="5BA6152F"/>
    <w:rsid w:val="5BDF1190"/>
    <w:rsid w:val="5EEF9448"/>
    <w:rsid w:val="5F67802D"/>
    <w:rsid w:val="5F7DC4F2"/>
    <w:rsid w:val="5FB36814"/>
    <w:rsid w:val="5FBB8E56"/>
    <w:rsid w:val="5FEF7C99"/>
    <w:rsid w:val="5FFB5535"/>
    <w:rsid w:val="63BB79DD"/>
    <w:rsid w:val="64CA39A1"/>
    <w:rsid w:val="69630ADE"/>
    <w:rsid w:val="69BD5F13"/>
    <w:rsid w:val="69FB0B4B"/>
    <w:rsid w:val="6BFFE1FB"/>
    <w:rsid w:val="6C4A05C8"/>
    <w:rsid w:val="6D3B1A89"/>
    <w:rsid w:val="6DB7D8A3"/>
    <w:rsid w:val="6DBFD95C"/>
    <w:rsid w:val="6EC78701"/>
    <w:rsid w:val="6F5FDEC9"/>
    <w:rsid w:val="6F7A5481"/>
    <w:rsid w:val="6FE70802"/>
    <w:rsid w:val="6FFE07A9"/>
    <w:rsid w:val="708767F1"/>
    <w:rsid w:val="71BF4EC2"/>
    <w:rsid w:val="72734D90"/>
    <w:rsid w:val="73E75B71"/>
    <w:rsid w:val="7412278C"/>
    <w:rsid w:val="75DDCDA9"/>
    <w:rsid w:val="75FF44B1"/>
    <w:rsid w:val="77670518"/>
    <w:rsid w:val="777FA627"/>
    <w:rsid w:val="77DF1B5F"/>
    <w:rsid w:val="77EF2D9D"/>
    <w:rsid w:val="79E7B28D"/>
    <w:rsid w:val="7ACFF0C2"/>
    <w:rsid w:val="7AFB9108"/>
    <w:rsid w:val="7BBD2127"/>
    <w:rsid w:val="7BD5340C"/>
    <w:rsid w:val="7BFB19D2"/>
    <w:rsid w:val="7BFD1750"/>
    <w:rsid w:val="7BFDAA1B"/>
    <w:rsid w:val="7CDF9A82"/>
    <w:rsid w:val="7CFFA1BD"/>
    <w:rsid w:val="7D2E3F7A"/>
    <w:rsid w:val="7DED9490"/>
    <w:rsid w:val="7DFB26D7"/>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7FFFADC4"/>
    <w:rsid w:val="84BF1F3B"/>
    <w:rsid w:val="8F55B106"/>
    <w:rsid w:val="95DF317D"/>
    <w:rsid w:val="97E77C70"/>
    <w:rsid w:val="9D7E6169"/>
    <w:rsid w:val="9E3A10E2"/>
    <w:rsid w:val="9FB91FBD"/>
    <w:rsid w:val="9FD54998"/>
    <w:rsid w:val="A671883B"/>
    <w:rsid w:val="A7EFD17F"/>
    <w:rsid w:val="A7FFE43F"/>
    <w:rsid w:val="BDFEA317"/>
    <w:rsid w:val="BEBF6F27"/>
    <w:rsid w:val="BF6B5C93"/>
    <w:rsid w:val="CD9BBABB"/>
    <w:rsid w:val="CF99F292"/>
    <w:rsid w:val="CFFDD981"/>
    <w:rsid w:val="D5DA60B3"/>
    <w:rsid w:val="D615DE36"/>
    <w:rsid w:val="D7C6F579"/>
    <w:rsid w:val="D8FECA92"/>
    <w:rsid w:val="DAFFBE66"/>
    <w:rsid w:val="DBB7F51D"/>
    <w:rsid w:val="DD2C0BFE"/>
    <w:rsid w:val="DE3F332B"/>
    <w:rsid w:val="DE6F4A3D"/>
    <w:rsid w:val="DF69F8B0"/>
    <w:rsid w:val="DFC71555"/>
    <w:rsid w:val="DFFC559C"/>
    <w:rsid w:val="DFFEDFAE"/>
    <w:rsid w:val="DFFFB5EB"/>
    <w:rsid w:val="E4B33E57"/>
    <w:rsid w:val="E5BF946A"/>
    <w:rsid w:val="E9FAC352"/>
    <w:rsid w:val="EB39BD45"/>
    <w:rsid w:val="EBCF1FC2"/>
    <w:rsid w:val="EBD18F66"/>
    <w:rsid w:val="ED17392C"/>
    <w:rsid w:val="ED9FFD9A"/>
    <w:rsid w:val="EDB7968B"/>
    <w:rsid w:val="EDBF7234"/>
    <w:rsid w:val="EDFDA6C5"/>
    <w:rsid w:val="EEF73F60"/>
    <w:rsid w:val="EFED9E42"/>
    <w:rsid w:val="EFFFB194"/>
    <w:rsid w:val="F2E1F9D4"/>
    <w:rsid w:val="F3FF9DCF"/>
    <w:rsid w:val="F5FF7449"/>
    <w:rsid w:val="F7880819"/>
    <w:rsid w:val="F7AF180D"/>
    <w:rsid w:val="F7BDBFA7"/>
    <w:rsid w:val="F7E71D28"/>
    <w:rsid w:val="F7FAD68F"/>
    <w:rsid w:val="F7FB14CF"/>
    <w:rsid w:val="FB3FC69C"/>
    <w:rsid w:val="FBDFF225"/>
    <w:rsid w:val="FBF7AB63"/>
    <w:rsid w:val="FC2F3373"/>
    <w:rsid w:val="FCF51535"/>
    <w:rsid w:val="FD77F6B8"/>
    <w:rsid w:val="FDD69328"/>
    <w:rsid w:val="FDDFEC0E"/>
    <w:rsid w:val="FDE58BDD"/>
    <w:rsid w:val="FDEC7001"/>
    <w:rsid w:val="FEDFE87F"/>
    <w:rsid w:val="FEF1D25B"/>
    <w:rsid w:val="FEFE51D6"/>
    <w:rsid w:val="FEFFB9ED"/>
    <w:rsid w:val="FF3EF90F"/>
    <w:rsid w:val="FFAF6081"/>
    <w:rsid w:val="FFAFB796"/>
    <w:rsid w:val="FFECCD8C"/>
    <w:rsid w:val="FFED60BD"/>
    <w:rsid w:val="FFEE08F0"/>
    <w:rsid w:val="FFEE7F9F"/>
    <w:rsid w:val="FFF54763"/>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uppressAutoHyphens/>
      <w:spacing w:before="100" w:beforeAutospacing="1" w:after="100" w:afterAutospacing="1"/>
      <w:jc w:val="left"/>
    </w:pPr>
    <w:rPr>
      <w:rFonts w:ascii="Calibri" w:hAnsi="Calibri"/>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0"/>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p0"/>
    <w:basedOn w:val="1"/>
    <w:qFormat/>
    <w:uiPriority w:val="0"/>
    <w:pPr>
      <w:widowControl/>
      <w:suppressAutoHyphens/>
      <w:spacing w:line="365" w:lineRule="atLeast"/>
      <w:ind w:left="1"/>
    </w:pPr>
    <w:rPr>
      <w:rFonts w:ascii="Calibri" w:hAnsi="Calibri"/>
      <w:kern w:val="0"/>
      <w:sz w:val="24"/>
    </w:rPr>
  </w:style>
  <w:style w:type="paragraph" w:customStyle="1" w:styleId="35">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37319;&#36141;&#25805;&#20316;&#25163;&#20876;/&#20915;&#31639;&#20844;&#24320;&#22270;&#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37319;&#36141;&#25805;&#20316;&#25163;&#20876;/&#20915;&#31639;&#20844;&#24320;&#22270;&#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37319;&#36141;&#25805;&#20316;&#25163;&#20876;/&#20915;&#31639;&#20844;&#24320;&#22270;&#2036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37319;&#36141;&#25805;&#20316;&#25163;&#20876;/&#20915;&#31639;&#20844;&#24320;&#22270;&#2036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37319;&#36141;&#25805;&#20316;&#25163;&#20876;/&#20915;&#31639;&#20844;&#24320;&#22270;&#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37319;&#36141;&#25805;&#20316;&#25163;&#20876;/&#20915;&#31639;&#20844;&#24320;&#22270;&#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37319;&#36141;&#25805;&#20316;&#25163;&#20876;/&#20915;&#31639;&#20844;&#24320;&#22270;&#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dk1"/>
                </a:solidFill>
                <a:latin typeface="+mn-lt"/>
                <a:ea typeface="+mn-ea"/>
                <a:cs typeface="+mn-cs"/>
              </a:defRPr>
            </a:pPr>
            <a:r>
              <a:rPr lang="zh-CN"/>
              <a:t>收、支决算总计变动情况图</a:t>
            </a:r>
            <a:endParaRPr lang="zh-CN"/>
          </a:p>
        </c:rich>
      </c:tx>
      <c:layout>
        <c:manualLayout>
          <c:xMode val="edge"/>
          <c:yMode val="edge"/>
          <c:x val="0.250148944796535"/>
          <c:y val="0.0324074074074074"/>
        </c:manualLayout>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[决算公开图例.xlsx]决算图例!$A$4:$A$5</c:f>
              <c:strCache>
                <c:ptCount val="2"/>
                <c:pt idx="0">
                  <c:v>2023年</c:v>
                </c:pt>
                <c:pt idx="1">
                  <c:v>2024年</c:v>
                </c:pt>
              </c:strCache>
            </c:strRef>
          </c:cat>
          <c:val>
            <c:numRef>
              <c:f>[决算公开图例.xlsx]决算图例!$B$4:$B$5</c:f>
              <c:numCache>
                <c:formatCode>General</c:formatCode>
                <c:ptCount val="2"/>
                <c:pt idx="0">
                  <c:v>1605.59</c:v>
                </c:pt>
                <c:pt idx="1">
                  <c:v>1442.1</c:v>
                </c:pt>
              </c:numCache>
            </c:numRef>
          </c:val>
        </c:ser>
        <c:dLbls>
          <c:showLegendKey val="0"/>
          <c:showVal val="1"/>
          <c:showCatName val="0"/>
          <c:showSerName val="0"/>
          <c:showPercent val="0"/>
          <c:showBubbleSize val="0"/>
        </c:dLbls>
        <c:gapWidth val="100"/>
        <c:overlap val="-24"/>
        <c:axId val="282501240"/>
        <c:axId val="282725288"/>
      </c:barChart>
      <c:catAx>
        <c:axId val="282501240"/>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282725288"/>
        <c:crosses val="autoZero"/>
        <c:auto val="1"/>
        <c:lblAlgn val="ctr"/>
        <c:lblOffset val="100"/>
        <c:noMultiLvlLbl val="0"/>
      </c:catAx>
      <c:valAx>
        <c:axId val="282725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282501240"/>
        <c:crosses val="autoZero"/>
        <c:crossBetween val="between"/>
      </c:valAx>
      <c:spPr>
        <a:noFill/>
        <a:ln>
          <a:noFill/>
        </a:ln>
        <a:effectLst/>
      </c:spPr>
    </c:plotArea>
    <c:plotVisOnly val="1"/>
    <c:dispBlanksAs val="gap"/>
    <c:showDLblsOverMax val="0"/>
  </c:chart>
  <c:spPr>
    <a:solidFill>
      <a:schemeClr val="lt1"/>
    </a:solidFill>
    <a:ln w="15875" cap="flat" cmpd="sng" algn="ctr">
      <a:solidFill>
        <a:schemeClr val="tx1"/>
      </a:solidFill>
      <a:prstDash val="solid"/>
      <a:miter lim="800000"/>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收入决算结构图</a:t>
            </a:r>
            <a:endParaRPr lang="zh-CN"/>
          </a:p>
        </c:rich>
      </c:tx>
      <c:layout>
        <c:manualLayout>
          <c:xMode val="edge"/>
          <c:yMode val="edge"/>
          <c:x val="0.324861111111111"/>
          <c:y val="0.0208333333333333"/>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0543197615936735"/>
                  <c:y val="-0.03801169590643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25907353703287"/>
                  <c:y val="0.02046783625731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95833333333333"/>
                  <c:y val="-0.01754385964912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[决算公开图例.xlsx]决算图例!$A$21:$A$23</c:f>
              <c:strCache>
                <c:ptCount val="3"/>
                <c:pt idx="0">
                  <c:v>一般公共预算财政拨款收入</c:v>
                </c:pt>
                <c:pt idx="1">
                  <c:v>事业收入</c:v>
                </c:pt>
                <c:pt idx="2">
                  <c:v>政府性基金预算财政拨款收入</c:v>
                </c:pt>
              </c:strCache>
            </c:strRef>
          </c:cat>
          <c:val>
            <c:numRef>
              <c:f>[决算公开图例.xlsx]决算图例!$B$21:$B$23</c:f>
              <c:numCache>
                <c:formatCode>General</c:formatCode>
                <c:ptCount val="3"/>
                <c:pt idx="0">
                  <c:v>937.81</c:v>
                </c:pt>
                <c:pt idx="1">
                  <c:v>34</c:v>
                </c:pt>
                <c:pt idx="2">
                  <c:v>468.93</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支出决算结构图</a:t>
            </a:r>
            <a:endParaRPr lang="zh-CN"/>
          </a:p>
        </c:rich>
      </c:tx>
      <c:layout>
        <c:manualLayout>
          <c:xMode val="edge"/>
          <c:yMode val="edge"/>
          <c:x val="0.343619791666667"/>
          <c:y val="0.037051111533346"/>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0509480189055305"/>
                  <c:y val="-0.08728047368819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90217215502575"/>
                  <c:y val="0.0225726771778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[决算公开图例.xlsx]决算图例!$A$44:$A$45</c:f>
              <c:strCache>
                <c:ptCount val="2"/>
                <c:pt idx="0">
                  <c:v>基本支出</c:v>
                </c:pt>
                <c:pt idx="1">
                  <c:v>项目支出</c:v>
                </c:pt>
              </c:strCache>
            </c:strRef>
          </c:cat>
          <c:val>
            <c:numRef>
              <c:f>[决算公开图例.xlsx]决算图例!$B$44:$B$45</c:f>
              <c:numCache>
                <c:formatCode>General</c:formatCode>
                <c:ptCount val="2"/>
                <c:pt idx="0">
                  <c:v>497.5</c:v>
                </c:pt>
                <c:pt idx="1">
                  <c:v>944.6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财政拨款收、支决算总计变动情况</a:t>
            </a:r>
            <a:endParaRPr lang="zh-CN"/>
          </a:p>
        </c:rich>
      </c:tx>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277777777777778"/>
                  <c:y val="0.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759259259259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[决算公开图例.xlsx]决算图例!$A$61:$A$62</c:f>
              <c:strCache>
                <c:ptCount val="2"/>
                <c:pt idx="0">
                  <c:v>2023年</c:v>
                </c:pt>
                <c:pt idx="1">
                  <c:v>2024年</c:v>
                </c:pt>
              </c:strCache>
            </c:strRef>
          </c:cat>
          <c:val>
            <c:numRef>
              <c:f>[决算公开图例.xlsx]决算图例!$B$61:$B$62</c:f>
              <c:numCache>
                <c:formatCode>General</c:formatCode>
                <c:ptCount val="2"/>
                <c:pt idx="0">
                  <c:v>1570.89</c:v>
                </c:pt>
                <c:pt idx="1">
                  <c:v>1407.4</c:v>
                </c:pt>
              </c:numCache>
            </c:numRef>
          </c:val>
        </c:ser>
        <c:dLbls>
          <c:showLegendKey val="0"/>
          <c:showVal val="0"/>
          <c:showCatName val="0"/>
          <c:showSerName val="0"/>
          <c:showPercent val="0"/>
          <c:showBubbleSize val="0"/>
        </c:dLbls>
        <c:gapWidth val="100"/>
        <c:axId val="282726856"/>
        <c:axId val="282727248"/>
      </c:barChart>
      <c:catAx>
        <c:axId val="282726856"/>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27248"/>
        <c:crosses val="autoZero"/>
        <c:auto val="1"/>
        <c:lblAlgn val="ctr"/>
        <c:lblOffset val="100"/>
        <c:noMultiLvlLbl val="0"/>
      </c:catAx>
      <c:valAx>
        <c:axId val="28272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2685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一般公共预算财政拨款支出决算变动情况</a:t>
            </a:r>
            <a:endParaRPr lang="zh-CN"/>
          </a:p>
        </c:rich>
      </c:tx>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396825396825394"/>
                  <c:y val="-0.01041666666666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92063492063504"/>
                  <c:y val="0.009259259259259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[决算公开图例.xlsx]决算图例!$A$79:$A$80</c:f>
              <c:strCache>
                <c:ptCount val="2"/>
                <c:pt idx="0">
                  <c:v>2023年</c:v>
                </c:pt>
                <c:pt idx="1">
                  <c:v>2024年</c:v>
                </c:pt>
              </c:strCache>
            </c:strRef>
          </c:cat>
          <c:val>
            <c:numRef>
              <c:f>[决算公开图例.xlsx]决算图例!$B$79:$B$80</c:f>
              <c:numCache>
                <c:formatCode>General</c:formatCode>
                <c:ptCount val="2"/>
                <c:pt idx="0">
                  <c:v>1038.33</c:v>
                </c:pt>
                <c:pt idx="1">
                  <c:v>938.46</c:v>
                </c:pt>
              </c:numCache>
            </c:numRef>
          </c:val>
        </c:ser>
        <c:dLbls>
          <c:showLegendKey val="0"/>
          <c:showVal val="0"/>
          <c:showCatName val="0"/>
          <c:showSerName val="0"/>
          <c:showPercent val="0"/>
          <c:showBubbleSize val="0"/>
        </c:dLbls>
        <c:gapWidth val="100"/>
        <c:overlap val="-24"/>
        <c:axId val="282728032"/>
        <c:axId val="282728424"/>
      </c:barChart>
      <c:catAx>
        <c:axId val="282728032"/>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28424"/>
        <c:crosses val="autoZero"/>
        <c:auto val="1"/>
        <c:lblAlgn val="ctr"/>
        <c:lblOffset val="100"/>
        <c:noMultiLvlLbl val="0"/>
      </c:catAx>
      <c:valAx>
        <c:axId val="282728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28032"/>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一般公共预算财政拨款支出决算结构</a:t>
            </a:r>
            <a:endParaRPr lang="zh-CN"/>
          </a:p>
        </c:rich>
      </c:tx>
      <c:layout>
        <c:manualLayout>
          <c:xMode val="edge"/>
          <c:yMode val="edge"/>
          <c:x val="0.114784946236559"/>
          <c:y val="0.0187539070639717"/>
        </c:manualLayout>
      </c:layout>
      <c:overlay val="0"/>
      <c:spPr>
        <a:noFill/>
        <a:ln>
          <a:noFill/>
        </a:ln>
        <a:effectLst/>
      </c:spPr>
    </c:title>
    <c:autoTitleDeleted val="0"/>
    <c:plotArea>
      <c:layout>
        <c:manualLayout>
          <c:layoutTarget val="inner"/>
          <c:xMode val="edge"/>
          <c:yMode val="edge"/>
          <c:x val="0.0680555555555555"/>
          <c:y val="0.243308544765238"/>
          <c:w val="0.813888888888889"/>
          <c:h val="0.439654418197725"/>
        </c:manualLayout>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133260767760212"/>
                  <c:y val="0.0134682860363593"/>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lt1">
                            <a:lumMod val="85000"/>
                          </a:schemeClr>
                        </a:solidFill>
                        <a:latin typeface="+mn-lt"/>
                        <a:ea typeface="+mn-ea"/>
                        <a:cs typeface="+mn-cs"/>
                      </a:defRPr>
                    </a:pPr>
                    <a:r>
                      <a:t>文化旅游体育与传媒支出88.</a:t>
                    </a:r>
                    <a:r>
                      <a:rPr lang="en-US" altLang="zh-CN"/>
                      <a:t>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65676298373793"/>
                  <c:y val="0.11837866555887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6127839751456"/>
                  <c:y val="-0.02841395238084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2187776594847"/>
                  <c:y val="-0.024906201615355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[决算公开图例.xlsx]决算图例!$A$98:$A$101</c:f>
              <c:strCache>
                <c:ptCount val="4"/>
                <c:pt idx="0">
                  <c:v>文化旅游体育与传媒支出</c:v>
                </c:pt>
                <c:pt idx="1">
                  <c:v>社会保障和就业支出</c:v>
                </c:pt>
                <c:pt idx="2">
                  <c:v>卫生健康支出</c:v>
                </c:pt>
                <c:pt idx="3">
                  <c:v>住房保障支出</c:v>
                </c:pt>
              </c:strCache>
            </c:strRef>
          </c:cat>
          <c:val>
            <c:numRef>
              <c:f>[决算公开图例.xlsx]决算图例!$B$98:$B$101</c:f>
              <c:numCache>
                <c:formatCode>General</c:formatCode>
                <c:ptCount val="4"/>
                <c:pt idx="0">
                  <c:v>830.18</c:v>
                </c:pt>
                <c:pt idx="1">
                  <c:v>63.43</c:v>
                </c:pt>
                <c:pt idx="2">
                  <c:v>11.84</c:v>
                </c:pt>
                <c:pt idx="3">
                  <c:v>33.01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“三公”经费财政拨款支出结构</a:t>
            </a:r>
            <a:endParaRPr lang="zh-CN"/>
          </a:p>
        </c:rich>
      </c:tx>
      <c:layout>
        <c:manualLayout>
          <c:xMode val="edge"/>
          <c:yMode val="edge"/>
          <c:x val="0.1975"/>
          <c:y val="0.00707769738911607"/>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224999758677698"/>
                  <c:y val="0.05403727814598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7945818642878"/>
                  <c:y val="0.04928436615073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122834519918674"/>
                  <c:y val="-0.01812364307231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[决算公开图例.xlsx]决算图例!$A$119:$A$121</c:f>
              <c:strCache>
                <c:ptCount val="3"/>
                <c:pt idx="0">
                  <c:v>因公出国（境）费用</c:v>
                </c:pt>
                <c:pt idx="1">
                  <c:v>公务用车购置及运行费</c:v>
                </c:pt>
                <c:pt idx="2">
                  <c:v>公务接待费</c:v>
                </c:pt>
              </c:strCache>
            </c:strRef>
          </c:cat>
          <c:val>
            <c:numRef>
              <c:f>[决算公开图例.xlsx]决算图例!$B$119:$B$121</c:f>
              <c:numCache>
                <c:formatCode>General</c:formatCode>
                <c:ptCount val="3"/>
                <c:pt idx="0">
                  <c:v>0</c:v>
                </c:pt>
                <c:pt idx="1">
                  <c:v>1.3</c:v>
                </c:pt>
                <c:pt idx="2">
                  <c:v>0.22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875"/>
          <c:y val="0.799322347143077"/>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1281</Words>
  <Characters>7308</Characters>
  <Lines>60</Lines>
  <Paragraphs>17</Paragraphs>
  <TotalTime>42</TotalTime>
  <ScaleCrop>false</ScaleCrop>
  <LinksUpToDate>false</LinksUpToDate>
  <CharactersWithSpaces>8572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2024-09-14T07:06:00Z</dcterms:created>
  <dc:creator>曹颖</dc:creator>
  <cp:lastModifiedBy>Administrator</cp:lastModifiedBy>
  <cp:lastPrinted>2023-08-04T02:35:00Z</cp:lastPrinted>
  <dcterms:modified xsi:type="dcterms:W3CDTF">2025-09-16T07:28:42Z</dcterms:modified>
  <dc:title>四川省***</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